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svg" ContentType="image/svg+xml"/>
  <Default Extension="tmp" ContentType="image/p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1.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2.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3.xml" ContentType="application/vnd.openxmlformats-officedocument.themeOverride+xml"/>
  <Override PartName="/word/drawings/drawing3.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4.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5.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theme/themeOverride6.xml" ContentType="application/vnd.openxmlformats-officedocument.themeOverride+xml"/>
  <Override PartName="/word/drawings/drawing4.xml" ContentType="application/vnd.openxmlformats-officedocument.drawingml.chartshapes+xml"/>
  <Override PartName="/word/charts/chart20.xml" ContentType="application/vnd.openxmlformats-officedocument.drawingml.chart+xml"/>
  <Override PartName="/word/theme/themeOverride7.xml" ContentType="application/vnd.openxmlformats-officedocument.themeOverride+xml"/>
  <Override PartName="/word/charts/chart21.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2.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3.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4.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5.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8.xml" ContentType="application/vnd.openxmlformats-officedocument.themeOverride+xml"/>
  <Override PartName="/word/charts/chartEx1.xml" ContentType="application/vnd.ms-office.chartex+xml"/>
  <Override PartName="/word/charts/style24.xml" ContentType="application/vnd.ms-office.chartstyle+xml"/>
  <Override PartName="/word/charts/colors24.xml" ContentType="application/vnd.ms-office.chartcolorstyle+xml"/>
  <Override PartName="/word/charts/chartEx2.xml" ContentType="application/vnd.ms-office.chartex+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drawings/drawing5.xml" ContentType="application/vnd.openxmlformats-officedocument.drawingml.chartshapes+xml"/>
  <Override PartName="/word/charts/chartEx3.xml" ContentType="application/vnd.ms-office.chartex+xml"/>
  <Override PartName="/word/charts/style27.xml" ContentType="application/vnd.ms-office.chartstyle+xml"/>
  <Override PartName="/word/charts/colors27.xml" ContentType="application/vnd.ms-office.chartcolorstyle+xml"/>
  <Override PartName="/word/charts/chart27.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9.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word/charts/chart120.xml" ContentType="application/vnd.openxmlformats-officedocument.drawingml.chart+xml"/>
  <Override PartName="/word/theme/themeOverride30.xml" ContentType="application/vnd.openxmlformats-officedocument.themeOverride+xml"/>
  <Override PartName="/word/charts/colors120.xml" ContentType="application/vnd.ms-office.chartcolorstyle+xml"/>
  <Override PartName="/word/charts/style120.xml" ContentType="application/vnd.ms-office.chartstyle+xml"/>
  <Override PartName="/word/drawings/drawing30.xml" ContentType="application/vnd.openxmlformats-officedocument.drawingml.chartshap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04D2E0" w14:textId="77777777" w:rsidR="002700AF" w:rsidRPr="00A74D23" w:rsidRDefault="002700AF" w:rsidP="009D6EE5">
      <w:pPr>
        <w:spacing w:line="22" w:lineRule="atLeast"/>
        <w:ind w:left="709" w:hanging="1135"/>
        <w:jc w:val="both"/>
        <w:rPr>
          <w:rFonts w:asciiTheme="minorHAnsi" w:hAnsiTheme="minorHAnsi" w:cs="Open Sans"/>
          <w:sz w:val="20"/>
        </w:rPr>
      </w:pPr>
    </w:p>
    <w:p w14:paraId="149EA353" w14:textId="6AC8C39A" w:rsidR="098D4332" w:rsidRPr="00A74D23" w:rsidRDefault="008961D6" w:rsidP="009D6EE5">
      <w:pPr>
        <w:spacing w:line="22" w:lineRule="atLeast"/>
        <w:ind w:left="709" w:hanging="1135"/>
        <w:jc w:val="both"/>
        <w:rPr>
          <w:rFonts w:asciiTheme="minorHAnsi" w:hAnsiTheme="minorHAnsi" w:cs="Open Sans"/>
          <w:sz w:val="20"/>
        </w:rPr>
      </w:pPr>
      <w:r w:rsidRPr="00A74D23">
        <w:rPr>
          <w:rFonts w:asciiTheme="minorHAnsi" w:hAnsiTheme="minorHAnsi" w:cs="Open Sans"/>
          <w:sz w:val="20"/>
        </w:rPr>
        <w:br w:type="textWrapping" w:clear="all"/>
      </w:r>
    </w:p>
    <w:p w14:paraId="7E481C1E" w14:textId="7C70A98B" w:rsidR="00413ED8" w:rsidRPr="00A74D23" w:rsidRDefault="00413ED8" w:rsidP="009D6EE5">
      <w:pPr>
        <w:spacing w:line="22" w:lineRule="atLeast"/>
        <w:ind w:left="709" w:firstLine="709"/>
        <w:jc w:val="both"/>
        <w:rPr>
          <w:rFonts w:asciiTheme="minorHAnsi" w:hAnsiTheme="minorHAnsi" w:cs="Open Sans"/>
          <w:sz w:val="20"/>
        </w:rPr>
      </w:pPr>
      <w:bookmarkStart w:id="0" w:name="_Hlk68617353"/>
      <w:bookmarkEnd w:id="0"/>
    </w:p>
    <w:p w14:paraId="52504204" w14:textId="3B557973" w:rsidR="00413ED8" w:rsidRPr="00A74D23" w:rsidRDefault="00413ED8" w:rsidP="009D6EE5">
      <w:pPr>
        <w:spacing w:line="22" w:lineRule="atLeast"/>
        <w:ind w:left="709" w:firstLine="709"/>
        <w:jc w:val="both"/>
        <w:rPr>
          <w:rFonts w:asciiTheme="minorHAnsi" w:hAnsiTheme="minorHAnsi" w:cs="Open Sans"/>
          <w:sz w:val="20"/>
        </w:rPr>
      </w:pPr>
    </w:p>
    <w:p w14:paraId="10292CA2" w14:textId="4533BACB" w:rsidR="00413ED8" w:rsidRPr="00A74D23" w:rsidRDefault="00413ED8" w:rsidP="009D6EE5">
      <w:pPr>
        <w:spacing w:line="22" w:lineRule="atLeast"/>
        <w:ind w:left="709" w:firstLine="709"/>
        <w:jc w:val="both"/>
        <w:rPr>
          <w:rFonts w:asciiTheme="minorHAnsi" w:hAnsiTheme="minorHAnsi" w:cs="Open Sans"/>
          <w:sz w:val="20"/>
        </w:rPr>
      </w:pPr>
    </w:p>
    <w:p w14:paraId="1553A800" w14:textId="77777777" w:rsidR="00C87C80" w:rsidRPr="00A74D23" w:rsidRDefault="00C87C80" w:rsidP="009D6EE5">
      <w:pPr>
        <w:spacing w:line="22" w:lineRule="atLeast"/>
        <w:ind w:left="709" w:firstLine="709"/>
        <w:jc w:val="both"/>
        <w:rPr>
          <w:rFonts w:asciiTheme="minorHAnsi" w:hAnsiTheme="minorHAnsi" w:cs="Open Sans"/>
          <w:sz w:val="20"/>
        </w:rPr>
      </w:pPr>
    </w:p>
    <w:tbl>
      <w:tblPr>
        <w:tblpPr w:vertAnchor="page" w:horzAnchor="page" w:tblpX="852" w:tblpY="3120"/>
        <w:tblOverlap w:val="never"/>
        <w:tblW w:w="11243" w:type="dxa"/>
        <w:tblLayout w:type="fixed"/>
        <w:tblCellMar>
          <w:left w:w="0" w:type="dxa"/>
          <w:right w:w="0" w:type="dxa"/>
        </w:tblCellMar>
        <w:tblLook w:val="0600" w:firstRow="0" w:lastRow="0" w:firstColumn="0" w:lastColumn="0" w:noHBand="1" w:noVBand="1"/>
      </w:tblPr>
      <w:tblGrid>
        <w:gridCol w:w="5387"/>
        <w:gridCol w:w="5856"/>
      </w:tblGrid>
      <w:tr w:rsidR="00710353" w:rsidRPr="00A74D23" w14:paraId="409AC160" w14:textId="77777777" w:rsidTr="1380D284">
        <w:tc>
          <w:tcPr>
            <w:tcW w:w="5387" w:type="dxa"/>
            <w:noWrap/>
          </w:tcPr>
          <w:bookmarkStart w:id="1" w:name="_Hlk109070713" w:displacedByCustomXml="next"/>
          <w:bookmarkEnd w:id="1" w:displacedByCustomXml="next"/>
          <w:sdt>
            <w:sdtPr>
              <w:rPr>
                <w:rFonts w:cs="Open Sans"/>
              </w:rPr>
              <w:alias w:val="Type de document"/>
              <w:tag w:val="Type de document"/>
              <w:id w:val="891460401"/>
              <w:placeholder>
                <w:docPart w:val="2E7B504962804A9EBEA5E6A8533B8427"/>
              </w:placeholder>
              <w:comboBox>
                <w:listItem w:displayText=" " w:value=" "/>
                <w:listItem w:displayText="Type de document" w:value="Type de document"/>
                <w:listItem w:displayText="Compte rendu" w:value="Compte rendu"/>
                <w:listItem w:displayText="Note interne" w:value="Note interne"/>
                <w:listItem w:displayText="Plan de communication" w:value="Plan de communication"/>
                <w:listItem w:displayText="Rapport technique" w:value="Rapport technique"/>
              </w:comboBox>
            </w:sdtPr>
            <w:sdtEndPr/>
            <w:sdtContent>
              <w:p w14:paraId="17BF56AC" w14:textId="0EB221B2" w:rsidR="00710353" w:rsidRPr="00A74D23" w:rsidRDefault="003214DC" w:rsidP="009D6EE5">
                <w:pPr>
                  <w:pStyle w:val="Documenttype"/>
                  <w:framePr w:wrap="auto" w:vAnchor="margin" w:hAnchor="text" w:xAlign="left" w:yAlign="inline"/>
                  <w:spacing w:line="22" w:lineRule="atLeast"/>
                  <w:ind w:left="284"/>
                  <w:suppressOverlap w:val="0"/>
                  <w:jc w:val="both"/>
                  <w:rPr>
                    <w:rFonts w:cs="Open Sans"/>
                    <w:bdr w:val="single" w:sz="24" w:space="0" w:color="0085BF"/>
                    <w:shd w:val="clear" w:color="auto" w:fill="0085BF"/>
                  </w:rPr>
                </w:pPr>
                <w:r w:rsidRPr="00A74D23">
                  <w:rPr>
                    <w:rFonts w:cs="Open Sans"/>
                  </w:rPr>
                  <w:t>Rapport LOI ENERGIE CLIMAT</w:t>
                </w:r>
              </w:p>
            </w:sdtContent>
          </w:sdt>
        </w:tc>
        <w:tc>
          <w:tcPr>
            <w:tcW w:w="5856" w:type="dxa"/>
          </w:tcPr>
          <w:p w14:paraId="226CBCFC" w14:textId="4616BFD3" w:rsidR="00710353" w:rsidRPr="00A74D23" w:rsidRDefault="00710353" w:rsidP="009D6EE5">
            <w:pPr>
              <w:spacing w:line="22" w:lineRule="atLeast"/>
              <w:jc w:val="both"/>
              <w:rPr>
                <w:rFonts w:asciiTheme="minorHAnsi" w:hAnsiTheme="minorHAnsi" w:cs="Open Sans"/>
                <w:bdr w:val="single" w:sz="24" w:space="0" w:color="0085BF"/>
                <w:shd w:val="clear" w:color="auto" w:fill="0085BF"/>
              </w:rPr>
            </w:pPr>
          </w:p>
        </w:tc>
      </w:tr>
      <w:tr w:rsidR="00710353" w:rsidRPr="00A74D23" w14:paraId="76C000FD" w14:textId="77777777" w:rsidTr="1380D284">
        <w:trPr>
          <w:trHeight w:hRule="exact" w:val="567"/>
        </w:trPr>
        <w:tc>
          <w:tcPr>
            <w:tcW w:w="11243" w:type="dxa"/>
            <w:gridSpan w:val="2"/>
          </w:tcPr>
          <w:p w14:paraId="0BF951B3" w14:textId="174591CE" w:rsidR="00710353" w:rsidRPr="00A74D23" w:rsidRDefault="00710353" w:rsidP="009D6EE5">
            <w:pPr>
              <w:spacing w:line="22" w:lineRule="atLeast"/>
              <w:ind w:left="284"/>
              <w:jc w:val="both"/>
              <w:rPr>
                <w:rFonts w:asciiTheme="minorHAnsi" w:hAnsiTheme="minorHAnsi" w:cs="Open Sans"/>
              </w:rPr>
            </w:pPr>
            <w:r w:rsidRPr="00A74D23">
              <w:rPr>
                <w:rFonts w:asciiTheme="minorHAnsi" w:hAnsiTheme="minorHAnsi" w:cs="Open Sans"/>
                <w:noProof/>
              </w:rPr>
              <mc:AlternateContent>
                <mc:Choice Requires="wps">
                  <w:drawing>
                    <wp:inline distT="0" distB="0" distL="0" distR="0" wp14:anchorId="263D8FAF" wp14:editId="44303B9F">
                      <wp:extent cx="360000" cy="635"/>
                      <wp:effectExtent l="19050" t="19050" r="21590" b="37465"/>
                      <wp:docPr id="258" name="Connecteur droit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0000" cy="635"/>
                              </a:xfrm>
                              <a:prstGeom prst="line">
                                <a:avLst/>
                              </a:prstGeom>
                              <a:noFill/>
                              <a:ln w="28575" cap="flat" cmpd="sng" algn="ctr">
                                <a:solidFill>
                                  <a:schemeClr val="accent1"/>
                                </a:solidFill>
                                <a:prstDash val="solid"/>
                                <a:miter lim="800000"/>
                              </a:ln>
                              <a:effectLst/>
                            </wps:spPr>
                            <wps:bodyPr/>
                          </wps:wsp>
                        </a:graphicData>
                      </a:graphic>
                    </wp:inline>
                  </w:drawing>
                </mc:Choice>
                <mc:Fallback>
                  <w:pict>
                    <v:line w14:anchorId="28ECABF3" id="Connecteur droit 36" o:spid="_x0000_s1026" style="visibility:visible;mso-wrap-style:square;mso-left-percent:-10001;mso-top-percent:-10001;mso-position-horizontal:absolute;mso-position-horizontal-relative:char;mso-position-vertical:absolute;mso-position-vertical-relative:line;mso-left-percent:-10001;mso-top-percent:-10001" from="0,0" to="28.3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" strokecolor="#ffd400 [3204]" strokeweight="2.25pt">
                      <v:stroke joinstyle="miter"/>
                      <o:lock v:ext="edit" shapetype="f"/>
                      <w10:anchorlock/>
                    </v:line>
                  </w:pict>
                </mc:Fallback>
              </mc:AlternateContent>
            </w:r>
          </w:p>
        </w:tc>
      </w:tr>
      <w:tr w:rsidR="00710353" w:rsidRPr="00302DFF" w14:paraId="05126EA2" w14:textId="77777777" w:rsidTr="1380D284">
        <w:trPr>
          <w:trHeight w:val="66"/>
        </w:trPr>
        <w:tc>
          <w:tcPr>
            <w:tcW w:w="11243" w:type="dxa"/>
            <w:gridSpan w:val="2"/>
          </w:tcPr>
          <w:sdt>
            <w:sdtPr>
              <w:rPr>
                <w:rFonts w:eastAsiaTheme="majorEastAsia" w:cs="Open Sans"/>
                <w:smallCaps/>
                <w:spacing w:val="0"/>
                <w:sz w:val="48"/>
                <w:szCs w:val="144"/>
                <w:lang w:eastAsia="en-US"/>
              </w:rPr>
              <w:alias w:val="Nom du document"/>
              <w:tag w:val=""/>
              <w:id w:val="1540779744"/>
              <w:placeholder>
                <w:docPart w:val="EB512ACEA9C84F6F99E944189B2D7F23"/>
              </w:placeholder>
              <w:dataBinding w:prefixMappings="xmlns:ns0='http://purl.org/dc/elements/1.1/' xmlns:ns1='http://schemas.openxmlformats.org/package/2006/metadata/core-properties' " w:xpath="/ns1:coreProperties[1]/ns0:title[1]" w:storeItemID="{6C3C8BC8-F283-45AE-878A-BAB7291924A1}"/>
              <w:text w:multiLine="1"/>
            </w:sdtPr>
            <w:sdtEndPr/>
            <w:sdtContent>
              <w:p w14:paraId="3EF2D642" w14:textId="1C9297FF" w:rsidR="00710353" w:rsidRPr="00A74D23" w:rsidRDefault="00AF008A" w:rsidP="000F5488">
                <w:pPr>
                  <w:pStyle w:val="Documentnom"/>
                  <w:framePr w:wrap="auto" w:vAnchor="margin" w:hAnchor="text" w:xAlign="left" w:yAlign="inline"/>
                  <w:spacing w:line="22" w:lineRule="atLeast"/>
                  <w:ind w:left="284"/>
                  <w:suppressOverlap w:val="0"/>
                  <w:rPr>
                    <w:rFonts w:cs="Open Sans"/>
                  </w:rPr>
                </w:pPr>
                <w:r w:rsidRPr="00A74D23">
                  <w:rPr>
                    <w:rFonts w:eastAsiaTheme="majorEastAsia" w:cs="Open Sans"/>
                    <w:smallCaps/>
                    <w:spacing w:val="0"/>
                    <w:sz w:val="48"/>
                    <w:szCs w:val="144"/>
                    <w:lang w:eastAsia="en-US"/>
                  </w:rPr>
                  <w:t>Investissement Responsable</w:t>
                </w:r>
                <w:r w:rsidRPr="00A74D23">
                  <w:rPr>
                    <w:rFonts w:eastAsiaTheme="majorEastAsia" w:cs="Open Sans"/>
                    <w:smallCaps/>
                    <w:spacing w:val="0"/>
                    <w:sz w:val="48"/>
                    <w:szCs w:val="144"/>
                    <w:lang w:eastAsia="en-US"/>
                  </w:rPr>
                  <w:br/>
                </w:r>
                <w:r w:rsidRPr="00A74D23">
                  <w:rPr>
                    <w:rFonts w:eastAsiaTheme="majorEastAsia" w:cs="Open Sans"/>
                    <w:smallCaps/>
                    <w:spacing w:val="0"/>
                    <w:sz w:val="48"/>
                    <w:szCs w:val="144"/>
                    <w:lang w:eastAsia="en-US"/>
                  </w:rPr>
                  <w:br/>
                  <w:t xml:space="preserve">Rapport 2026 </w:t>
                </w:r>
                <w:r w:rsidRPr="00A74D23">
                  <w:rPr>
                    <w:rFonts w:eastAsiaTheme="majorEastAsia" w:cs="Open Sans"/>
                    <w:smallCaps/>
                    <w:spacing w:val="0"/>
                    <w:sz w:val="48"/>
                    <w:szCs w:val="144"/>
                    <w:lang w:eastAsia="en-US"/>
                  </w:rPr>
                  <w:br/>
                  <w:t xml:space="preserve">Abeille </w:t>
                </w:r>
                <w:r>
                  <w:rPr>
                    <w:rFonts w:eastAsiaTheme="majorEastAsia" w:cs="Open Sans"/>
                    <w:smallCaps/>
                    <w:spacing w:val="0"/>
                    <w:sz w:val="48"/>
                    <w:szCs w:val="144"/>
                    <w:lang w:eastAsia="en-US"/>
                  </w:rPr>
                  <w:t>Retraite Professionnelle</w:t>
                </w:r>
              </w:p>
            </w:sdtContent>
          </w:sdt>
        </w:tc>
      </w:tr>
      <w:tr w:rsidR="00710353" w:rsidRPr="00302DFF" w14:paraId="1C474438" w14:textId="77777777" w:rsidTr="1380D284">
        <w:trPr>
          <w:trHeight w:hRule="exact" w:val="454"/>
        </w:trPr>
        <w:tc>
          <w:tcPr>
            <w:tcW w:w="11243" w:type="dxa"/>
            <w:gridSpan w:val="2"/>
          </w:tcPr>
          <w:p w14:paraId="2F2AE95C" w14:textId="46096166" w:rsidR="00710353" w:rsidRPr="00A74D23" w:rsidRDefault="00710353" w:rsidP="000F5488">
            <w:pPr>
              <w:spacing w:line="22" w:lineRule="atLeast"/>
              <w:ind w:left="284"/>
              <w:rPr>
                <w:rFonts w:asciiTheme="minorHAnsi" w:hAnsiTheme="minorHAnsi" w:cs="Open Sans"/>
                <w:lang w:val="fr-FR"/>
              </w:rPr>
            </w:pPr>
          </w:p>
        </w:tc>
      </w:tr>
      <w:tr w:rsidR="00710353" w:rsidRPr="00302DFF" w14:paraId="20486A63" w14:textId="77777777" w:rsidTr="1380D284">
        <w:tc>
          <w:tcPr>
            <w:tcW w:w="11243" w:type="dxa"/>
            <w:gridSpan w:val="2"/>
          </w:tcPr>
          <w:p w14:paraId="7510CAFE" w14:textId="7E094815" w:rsidR="00710353" w:rsidRPr="00A74D23" w:rsidRDefault="00ED51BD" w:rsidP="009D6EE5">
            <w:pPr>
              <w:pStyle w:val="Documentsous-titre"/>
              <w:framePr w:wrap="auto" w:vAnchor="margin" w:hAnchor="text" w:xAlign="left" w:yAlign="inline"/>
              <w:spacing w:line="22" w:lineRule="atLeast"/>
              <w:ind w:left="284"/>
              <w:suppressOverlap w:val="0"/>
              <w:jc w:val="both"/>
              <w:rPr>
                <w:rFonts w:cs="Open Sans"/>
              </w:rPr>
            </w:pPr>
            <w:r w:rsidRPr="00A74D23">
              <w:rPr>
                <w:rFonts w:cs="Open Sans"/>
                <w:noProof/>
              </w:rPr>
              <mc:AlternateContent>
                <mc:Choice Requires="wpg">
                  <w:drawing>
                    <wp:anchor distT="0" distB="0" distL="114300" distR="114300" simplePos="0" relativeHeight="251294720" behindDoc="0" locked="0" layoutInCell="1" allowOverlap="1" wp14:anchorId="6B31CE68" wp14:editId="4F620CB7">
                      <wp:simplePos x="0" y="0"/>
                      <wp:positionH relativeFrom="column">
                        <wp:posOffset>1908175</wp:posOffset>
                      </wp:positionH>
                      <wp:positionV relativeFrom="page">
                        <wp:posOffset>158305</wp:posOffset>
                      </wp:positionV>
                      <wp:extent cx="4989195" cy="5878195"/>
                      <wp:effectExtent l="0" t="0" r="1905" b="8255"/>
                      <wp:wrapNone/>
                      <wp:docPr id="21" name="Groupe 21"/>
                      <wp:cNvGraphicFramePr/>
                      <a:graphic xmlns:a="http://schemas.openxmlformats.org/drawingml/2006/main">
                        <a:graphicData uri="http://schemas.microsoft.com/office/word/2010/wordprocessingGroup">
                          <wpg:wgp>
                            <wpg:cNvGrpSpPr/>
                            <wpg:grpSpPr>
                              <a:xfrm>
                                <a:off x="0" y="0"/>
                                <a:ext cx="4989195" cy="5878195"/>
                                <a:chOff x="11877" y="0"/>
                                <a:chExt cx="4990465" cy="5878195"/>
                              </a:xfrm>
                            </wpg:grpSpPr>
                            <wpg:graphicFrame>
                              <wpg:cNvPr id="22" name="Diagram 30"/>
                              <wpg:cNvFrPr/>
                              <wpg:xfrm>
                                <a:off x="461176" y="469127"/>
                                <a:ext cx="4535805" cy="5407025"/>
                              </wpg:xfrm>
                              <a:graphic>
                                <a:graphicData uri="http://schemas.openxmlformats.org/drawingml/2006/diagram">
                                  <dgm:relIds xmlns:dgm="http://schemas.openxmlformats.org/drawingml/2006/diagram" xmlns:r="http://schemas.openxmlformats.org/officeDocument/2006/relationships" r:dm="rId11" r:lo="rId12" r:qs="rId13" r:cs="rId14"/>
                                </a:graphicData>
                              </a:graphic>
                            </wpg:graphicFrame>
                            <wpg:grpSp>
                              <wpg:cNvPr id="24" name="Groupe 24"/>
                              <wpg:cNvGrpSpPr/>
                              <wpg:grpSpPr>
                                <a:xfrm>
                                  <a:off x="11877" y="0"/>
                                  <a:ext cx="4990465" cy="5878195"/>
                                  <a:chOff x="2590433" y="4827681"/>
                                  <a:chExt cx="4990646" cy="5878103"/>
                                </a:xfrm>
                              </wpg:grpSpPr>
                              <wps:wsp>
                                <wps:cNvPr id="25" name="Freeform 72"/>
                                <wps:cNvSpPr>
                                  <a:spLocks/>
                                </wps:cNvSpPr>
                                <wps:spPr bwMode="auto">
                                  <a:xfrm>
                                    <a:off x="2590433" y="4827681"/>
                                    <a:ext cx="4990646" cy="5878103"/>
                                  </a:xfrm>
                                  <a:custGeom>
                                    <a:avLst/>
                                    <a:gdLst>
                                      <a:gd name="T0" fmla="*/ 663 w 3436"/>
                                      <a:gd name="T1" fmla="*/ 2884 h 4048"/>
                                      <a:gd name="T2" fmla="*/ 318 w 3436"/>
                                      <a:gd name="T3" fmla="*/ 2119 h 4048"/>
                                      <a:gd name="T4" fmla="*/ 3436 w 3436"/>
                                      <a:gd name="T5" fmla="*/ 318 h 4048"/>
                                      <a:gd name="T6" fmla="*/ 3436 w 3436"/>
                                      <a:gd name="T7" fmla="*/ 0 h 4048"/>
                                      <a:gd name="T8" fmla="*/ 12 w 3436"/>
                                      <a:gd name="T9" fmla="*/ 2108 h 4048"/>
                                      <a:gd name="T10" fmla="*/ 440 w 3436"/>
                                      <a:gd name="T11" fmla="*/ 3095 h 4048"/>
                                      <a:gd name="T12" fmla="*/ 1938 w 3436"/>
                                      <a:gd name="T13" fmla="*/ 4047 h 4048"/>
                                      <a:gd name="T14" fmla="*/ 2691 w 3436"/>
                                      <a:gd name="T15" fmla="*/ 4048 h 4048"/>
                                      <a:gd name="T16" fmla="*/ 2779 w 3436"/>
                                      <a:gd name="T17" fmla="*/ 4048 h 4048"/>
                                      <a:gd name="T18" fmla="*/ 663 w 3436"/>
                                      <a:gd name="T19" fmla="*/ 2884 h 40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3436" h="4048">
                                        <a:moveTo>
                                          <a:pt x="663" y="2884"/>
                                        </a:moveTo>
                                        <a:cubicBezTo>
                                          <a:pt x="425" y="2633"/>
                                          <a:pt x="309" y="2376"/>
                                          <a:pt x="318" y="2119"/>
                                        </a:cubicBezTo>
                                        <a:cubicBezTo>
                                          <a:pt x="340" y="1513"/>
                                          <a:pt x="1502" y="843"/>
                                          <a:pt x="3436" y="318"/>
                                        </a:cubicBezTo>
                                        <a:cubicBezTo>
                                          <a:pt x="3436" y="0"/>
                                          <a:pt x="3436" y="0"/>
                                          <a:pt x="3436" y="0"/>
                                        </a:cubicBezTo>
                                        <a:cubicBezTo>
                                          <a:pt x="2150" y="343"/>
                                          <a:pt x="49" y="1063"/>
                                          <a:pt x="12" y="2108"/>
                                        </a:cubicBezTo>
                                        <a:cubicBezTo>
                                          <a:pt x="0" y="2450"/>
                                          <a:pt x="144" y="2782"/>
                                          <a:pt x="440" y="3095"/>
                                        </a:cubicBezTo>
                                        <a:cubicBezTo>
                                          <a:pt x="789" y="3463"/>
                                          <a:pt x="1323" y="3779"/>
                                          <a:pt x="1938" y="4047"/>
                                        </a:cubicBezTo>
                                        <a:cubicBezTo>
                                          <a:pt x="2691" y="4048"/>
                                          <a:pt x="2691" y="4048"/>
                                          <a:pt x="2691" y="4048"/>
                                        </a:cubicBezTo>
                                        <a:cubicBezTo>
                                          <a:pt x="2779" y="4048"/>
                                          <a:pt x="2779" y="4048"/>
                                          <a:pt x="2779" y="4048"/>
                                        </a:cubicBezTo>
                                        <a:cubicBezTo>
                                          <a:pt x="1826" y="3715"/>
                                          <a:pt x="1081" y="3325"/>
                                          <a:pt x="663" y="2884"/>
                                        </a:cubicBezTo>
                                        <a:close/>
                                      </a:path>
                                    </a:pathLst>
                                  </a:custGeom>
                                  <a:solidFill>
                                    <a:srgbClr val="FFD5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6" name="Forme libre : forme 26"/>
                                <wps:cNvSpPr/>
                                <wps:spPr>
                                  <a:xfrm>
                                    <a:off x="3027404" y="5263063"/>
                                    <a:ext cx="3101458" cy="5437644"/>
                                  </a:xfrm>
                                  <a:custGeom>
                                    <a:avLst/>
                                    <a:gdLst>
                                      <a:gd name="connsiteX0" fmla="*/ 0 w 4556124"/>
                                      <a:gd name="connsiteY0" fmla="*/ 3810204 h 5437641"/>
                                      <a:gd name="connsiteX1" fmla="*/ 53698 w 4556124"/>
                                      <a:gd name="connsiteY1" fmla="*/ 3882081 h 5437641"/>
                                      <a:gd name="connsiteX2" fmla="*/ 204561 w 4556124"/>
                                      <a:gd name="connsiteY2" fmla="*/ 4053789 h 5437641"/>
                                      <a:gd name="connsiteX3" fmla="*/ 2380343 w 4556124"/>
                                      <a:gd name="connsiteY3" fmla="*/ 5436189 h 5437641"/>
                                      <a:gd name="connsiteX4" fmla="*/ 3474044 w 4556124"/>
                                      <a:gd name="connsiteY4" fmla="*/ 5437641 h 5437641"/>
                                      <a:gd name="connsiteX5" fmla="*/ 0 w 4556124"/>
                                      <a:gd name="connsiteY5" fmla="*/ 5437641 h 5437641"/>
                                      <a:gd name="connsiteX6" fmla="*/ 4556124 w 4556124"/>
                                      <a:gd name="connsiteY6" fmla="*/ 21307 h 5437641"/>
                                      <a:gd name="connsiteX7" fmla="*/ 4556124 w 4556124"/>
                                      <a:gd name="connsiteY7" fmla="*/ 5437641 h 5437641"/>
                                      <a:gd name="connsiteX8" fmla="*/ 3601860 w 4556124"/>
                                      <a:gd name="connsiteY8" fmla="*/ 5437641 h 5437641"/>
                                      <a:gd name="connsiteX9" fmla="*/ 528459 w 4556124"/>
                                      <a:gd name="connsiteY9" fmla="*/ 3747396 h 5437641"/>
                                      <a:gd name="connsiteX10" fmla="*/ 27361 w 4556124"/>
                                      <a:gd name="connsiteY10" fmla="*/ 2636539 h 5437641"/>
                                      <a:gd name="connsiteX11" fmla="*/ 4042698 w 4556124"/>
                                      <a:gd name="connsiteY11" fmla="*/ 166641 h 5437641"/>
                                      <a:gd name="connsiteX12" fmla="*/ 0 w 4556124"/>
                                      <a:gd name="connsiteY12" fmla="*/ 0 h 5437641"/>
                                      <a:gd name="connsiteX13" fmla="*/ 3101458 w 4556124"/>
                                      <a:gd name="connsiteY13" fmla="*/ 0 h 5437641"/>
                                      <a:gd name="connsiteX14" fmla="*/ 2998614 w 4556124"/>
                                      <a:gd name="connsiteY14" fmla="*/ 34557 h 5437641"/>
                                      <a:gd name="connsiteX15" fmla="*/ 4764 w 4556124"/>
                                      <a:gd name="connsiteY15" fmla="*/ 1693281 h 5437641"/>
                                      <a:gd name="connsiteX16" fmla="*/ 0 w 4556124"/>
                                      <a:gd name="connsiteY16" fmla="*/ 1699015 h 5437641"/>
                                      <a:gd name="connsiteX0" fmla="*/ 0 w 4556124"/>
                                      <a:gd name="connsiteY0" fmla="*/ 3810204 h 5437641"/>
                                      <a:gd name="connsiteX1" fmla="*/ 53698 w 4556124"/>
                                      <a:gd name="connsiteY1" fmla="*/ 3882081 h 5437641"/>
                                      <a:gd name="connsiteX2" fmla="*/ 204561 w 4556124"/>
                                      <a:gd name="connsiteY2" fmla="*/ 4053789 h 5437641"/>
                                      <a:gd name="connsiteX3" fmla="*/ 2380343 w 4556124"/>
                                      <a:gd name="connsiteY3" fmla="*/ 5436189 h 5437641"/>
                                      <a:gd name="connsiteX4" fmla="*/ 3474044 w 4556124"/>
                                      <a:gd name="connsiteY4" fmla="*/ 5437641 h 5437641"/>
                                      <a:gd name="connsiteX5" fmla="*/ 0 w 4556124"/>
                                      <a:gd name="connsiteY5" fmla="*/ 5437641 h 5437641"/>
                                      <a:gd name="connsiteX6" fmla="*/ 0 w 4556124"/>
                                      <a:gd name="connsiteY6" fmla="*/ 3810204 h 5437641"/>
                                      <a:gd name="connsiteX7" fmla="*/ 4042698 w 4556124"/>
                                      <a:gd name="connsiteY7" fmla="*/ 166641 h 5437641"/>
                                      <a:gd name="connsiteX8" fmla="*/ 4556124 w 4556124"/>
                                      <a:gd name="connsiteY8" fmla="*/ 5437641 h 5437641"/>
                                      <a:gd name="connsiteX9" fmla="*/ 3601860 w 4556124"/>
                                      <a:gd name="connsiteY9" fmla="*/ 5437641 h 5437641"/>
                                      <a:gd name="connsiteX10" fmla="*/ 528459 w 4556124"/>
                                      <a:gd name="connsiteY10" fmla="*/ 3747396 h 5437641"/>
                                      <a:gd name="connsiteX11" fmla="*/ 27361 w 4556124"/>
                                      <a:gd name="connsiteY11" fmla="*/ 2636539 h 5437641"/>
                                      <a:gd name="connsiteX12" fmla="*/ 4042698 w 4556124"/>
                                      <a:gd name="connsiteY12" fmla="*/ 166641 h 5437641"/>
                                      <a:gd name="connsiteX13" fmla="*/ 0 w 4556124"/>
                                      <a:gd name="connsiteY13" fmla="*/ 0 h 5437641"/>
                                      <a:gd name="connsiteX14" fmla="*/ 3101458 w 4556124"/>
                                      <a:gd name="connsiteY14" fmla="*/ 0 h 5437641"/>
                                      <a:gd name="connsiteX15" fmla="*/ 2998614 w 4556124"/>
                                      <a:gd name="connsiteY15" fmla="*/ 34557 h 5437641"/>
                                      <a:gd name="connsiteX16" fmla="*/ 4764 w 4556124"/>
                                      <a:gd name="connsiteY16" fmla="*/ 1693281 h 5437641"/>
                                      <a:gd name="connsiteX17" fmla="*/ 0 w 4556124"/>
                                      <a:gd name="connsiteY17" fmla="*/ 1699015 h 5437641"/>
                                      <a:gd name="connsiteX18" fmla="*/ 0 w 4556124"/>
                                      <a:gd name="connsiteY18" fmla="*/ 0 h 5437641"/>
                                      <a:gd name="connsiteX0" fmla="*/ 0 w 4556124"/>
                                      <a:gd name="connsiteY0" fmla="*/ 3810204 h 5437641"/>
                                      <a:gd name="connsiteX1" fmla="*/ 53698 w 4556124"/>
                                      <a:gd name="connsiteY1" fmla="*/ 3882081 h 5437641"/>
                                      <a:gd name="connsiteX2" fmla="*/ 204561 w 4556124"/>
                                      <a:gd name="connsiteY2" fmla="*/ 4053789 h 5437641"/>
                                      <a:gd name="connsiteX3" fmla="*/ 2380343 w 4556124"/>
                                      <a:gd name="connsiteY3" fmla="*/ 5436189 h 5437641"/>
                                      <a:gd name="connsiteX4" fmla="*/ 3474044 w 4556124"/>
                                      <a:gd name="connsiteY4" fmla="*/ 5437641 h 5437641"/>
                                      <a:gd name="connsiteX5" fmla="*/ 0 w 4556124"/>
                                      <a:gd name="connsiteY5" fmla="*/ 5437641 h 5437641"/>
                                      <a:gd name="connsiteX6" fmla="*/ 0 w 4556124"/>
                                      <a:gd name="connsiteY6" fmla="*/ 3810204 h 5437641"/>
                                      <a:gd name="connsiteX7" fmla="*/ 27361 w 4556124"/>
                                      <a:gd name="connsiteY7" fmla="*/ 2636539 h 5437641"/>
                                      <a:gd name="connsiteX8" fmla="*/ 4556124 w 4556124"/>
                                      <a:gd name="connsiteY8" fmla="*/ 5437641 h 5437641"/>
                                      <a:gd name="connsiteX9" fmla="*/ 3601860 w 4556124"/>
                                      <a:gd name="connsiteY9" fmla="*/ 5437641 h 5437641"/>
                                      <a:gd name="connsiteX10" fmla="*/ 528459 w 4556124"/>
                                      <a:gd name="connsiteY10" fmla="*/ 3747396 h 5437641"/>
                                      <a:gd name="connsiteX11" fmla="*/ 27361 w 4556124"/>
                                      <a:gd name="connsiteY11" fmla="*/ 2636539 h 5437641"/>
                                      <a:gd name="connsiteX12" fmla="*/ 0 w 4556124"/>
                                      <a:gd name="connsiteY12" fmla="*/ 0 h 5437641"/>
                                      <a:gd name="connsiteX13" fmla="*/ 3101458 w 4556124"/>
                                      <a:gd name="connsiteY13" fmla="*/ 0 h 5437641"/>
                                      <a:gd name="connsiteX14" fmla="*/ 2998614 w 4556124"/>
                                      <a:gd name="connsiteY14" fmla="*/ 34557 h 5437641"/>
                                      <a:gd name="connsiteX15" fmla="*/ 4764 w 4556124"/>
                                      <a:gd name="connsiteY15" fmla="*/ 1693281 h 5437641"/>
                                      <a:gd name="connsiteX16" fmla="*/ 0 w 4556124"/>
                                      <a:gd name="connsiteY16" fmla="*/ 1699015 h 5437641"/>
                                      <a:gd name="connsiteX17" fmla="*/ 0 w 4556124"/>
                                      <a:gd name="connsiteY17" fmla="*/ 0 h 5437641"/>
                                      <a:gd name="connsiteX0" fmla="*/ 0 w 4556124"/>
                                      <a:gd name="connsiteY0" fmla="*/ 3810204 h 5437641"/>
                                      <a:gd name="connsiteX1" fmla="*/ 53698 w 4556124"/>
                                      <a:gd name="connsiteY1" fmla="*/ 3882081 h 5437641"/>
                                      <a:gd name="connsiteX2" fmla="*/ 204561 w 4556124"/>
                                      <a:gd name="connsiteY2" fmla="*/ 4053789 h 5437641"/>
                                      <a:gd name="connsiteX3" fmla="*/ 2380343 w 4556124"/>
                                      <a:gd name="connsiteY3" fmla="*/ 5436189 h 5437641"/>
                                      <a:gd name="connsiteX4" fmla="*/ 3474044 w 4556124"/>
                                      <a:gd name="connsiteY4" fmla="*/ 5437641 h 5437641"/>
                                      <a:gd name="connsiteX5" fmla="*/ 0 w 4556124"/>
                                      <a:gd name="connsiteY5" fmla="*/ 5437641 h 5437641"/>
                                      <a:gd name="connsiteX6" fmla="*/ 0 w 4556124"/>
                                      <a:gd name="connsiteY6" fmla="*/ 3810204 h 5437641"/>
                                      <a:gd name="connsiteX7" fmla="*/ 528459 w 4556124"/>
                                      <a:gd name="connsiteY7" fmla="*/ 3747396 h 5437641"/>
                                      <a:gd name="connsiteX8" fmla="*/ 4556124 w 4556124"/>
                                      <a:gd name="connsiteY8" fmla="*/ 5437641 h 5437641"/>
                                      <a:gd name="connsiteX9" fmla="*/ 3601860 w 4556124"/>
                                      <a:gd name="connsiteY9" fmla="*/ 5437641 h 5437641"/>
                                      <a:gd name="connsiteX10" fmla="*/ 528459 w 4556124"/>
                                      <a:gd name="connsiteY10" fmla="*/ 3747396 h 5437641"/>
                                      <a:gd name="connsiteX11" fmla="*/ 0 w 4556124"/>
                                      <a:gd name="connsiteY11" fmla="*/ 0 h 5437641"/>
                                      <a:gd name="connsiteX12" fmla="*/ 3101458 w 4556124"/>
                                      <a:gd name="connsiteY12" fmla="*/ 0 h 5437641"/>
                                      <a:gd name="connsiteX13" fmla="*/ 2998614 w 4556124"/>
                                      <a:gd name="connsiteY13" fmla="*/ 34557 h 5437641"/>
                                      <a:gd name="connsiteX14" fmla="*/ 4764 w 4556124"/>
                                      <a:gd name="connsiteY14" fmla="*/ 1693281 h 5437641"/>
                                      <a:gd name="connsiteX15" fmla="*/ 0 w 4556124"/>
                                      <a:gd name="connsiteY15" fmla="*/ 1699015 h 5437641"/>
                                      <a:gd name="connsiteX16" fmla="*/ 0 w 4556124"/>
                                      <a:gd name="connsiteY16" fmla="*/ 0 h 5437641"/>
                                      <a:gd name="connsiteX0" fmla="*/ 0 w 4556124"/>
                                      <a:gd name="connsiteY0" fmla="*/ 3810204 h 5437641"/>
                                      <a:gd name="connsiteX1" fmla="*/ 53698 w 4556124"/>
                                      <a:gd name="connsiteY1" fmla="*/ 3882081 h 5437641"/>
                                      <a:gd name="connsiteX2" fmla="*/ 204561 w 4556124"/>
                                      <a:gd name="connsiteY2" fmla="*/ 4053789 h 5437641"/>
                                      <a:gd name="connsiteX3" fmla="*/ 2380343 w 4556124"/>
                                      <a:gd name="connsiteY3" fmla="*/ 5436189 h 5437641"/>
                                      <a:gd name="connsiteX4" fmla="*/ 3474044 w 4556124"/>
                                      <a:gd name="connsiteY4" fmla="*/ 5437641 h 5437641"/>
                                      <a:gd name="connsiteX5" fmla="*/ 0 w 4556124"/>
                                      <a:gd name="connsiteY5" fmla="*/ 5437641 h 5437641"/>
                                      <a:gd name="connsiteX6" fmla="*/ 0 w 4556124"/>
                                      <a:gd name="connsiteY6" fmla="*/ 3810204 h 5437641"/>
                                      <a:gd name="connsiteX7" fmla="*/ 3601860 w 4556124"/>
                                      <a:gd name="connsiteY7" fmla="*/ 5437641 h 5437641"/>
                                      <a:gd name="connsiteX8" fmla="*/ 4556124 w 4556124"/>
                                      <a:gd name="connsiteY8" fmla="*/ 5437641 h 5437641"/>
                                      <a:gd name="connsiteX9" fmla="*/ 3601860 w 4556124"/>
                                      <a:gd name="connsiteY9" fmla="*/ 5437641 h 5437641"/>
                                      <a:gd name="connsiteX10" fmla="*/ 0 w 4556124"/>
                                      <a:gd name="connsiteY10" fmla="*/ 0 h 5437641"/>
                                      <a:gd name="connsiteX11" fmla="*/ 3101458 w 4556124"/>
                                      <a:gd name="connsiteY11" fmla="*/ 0 h 5437641"/>
                                      <a:gd name="connsiteX12" fmla="*/ 2998614 w 4556124"/>
                                      <a:gd name="connsiteY12" fmla="*/ 34557 h 5437641"/>
                                      <a:gd name="connsiteX13" fmla="*/ 4764 w 4556124"/>
                                      <a:gd name="connsiteY13" fmla="*/ 1693281 h 5437641"/>
                                      <a:gd name="connsiteX14" fmla="*/ 0 w 4556124"/>
                                      <a:gd name="connsiteY14" fmla="*/ 1699015 h 5437641"/>
                                      <a:gd name="connsiteX15" fmla="*/ 0 w 4556124"/>
                                      <a:gd name="connsiteY15" fmla="*/ 0 h 5437641"/>
                                      <a:gd name="connsiteX0" fmla="*/ 0 w 3474044"/>
                                      <a:gd name="connsiteY0" fmla="*/ 3810204 h 5437641"/>
                                      <a:gd name="connsiteX1" fmla="*/ 53698 w 3474044"/>
                                      <a:gd name="connsiteY1" fmla="*/ 3882081 h 5437641"/>
                                      <a:gd name="connsiteX2" fmla="*/ 204561 w 3474044"/>
                                      <a:gd name="connsiteY2" fmla="*/ 4053789 h 5437641"/>
                                      <a:gd name="connsiteX3" fmla="*/ 2380343 w 3474044"/>
                                      <a:gd name="connsiteY3" fmla="*/ 5436189 h 5437641"/>
                                      <a:gd name="connsiteX4" fmla="*/ 3474044 w 3474044"/>
                                      <a:gd name="connsiteY4" fmla="*/ 5437641 h 5437641"/>
                                      <a:gd name="connsiteX5" fmla="*/ 0 w 3474044"/>
                                      <a:gd name="connsiteY5" fmla="*/ 5437641 h 5437641"/>
                                      <a:gd name="connsiteX6" fmla="*/ 0 w 3474044"/>
                                      <a:gd name="connsiteY6" fmla="*/ 3810204 h 5437641"/>
                                      <a:gd name="connsiteX7" fmla="*/ 0 w 3474044"/>
                                      <a:gd name="connsiteY7" fmla="*/ 0 h 5437641"/>
                                      <a:gd name="connsiteX8" fmla="*/ 3101458 w 3474044"/>
                                      <a:gd name="connsiteY8" fmla="*/ 0 h 5437641"/>
                                      <a:gd name="connsiteX9" fmla="*/ 2998614 w 3474044"/>
                                      <a:gd name="connsiteY9" fmla="*/ 34557 h 5437641"/>
                                      <a:gd name="connsiteX10" fmla="*/ 4764 w 3474044"/>
                                      <a:gd name="connsiteY10" fmla="*/ 1693281 h 5437641"/>
                                      <a:gd name="connsiteX11" fmla="*/ 0 w 3474044"/>
                                      <a:gd name="connsiteY11" fmla="*/ 1699015 h 5437641"/>
                                      <a:gd name="connsiteX12" fmla="*/ 0 w 3474044"/>
                                      <a:gd name="connsiteY12" fmla="*/ 0 h 5437641"/>
                                      <a:gd name="connsiteX0" fmla="*/ 0 w 3101458"/>
                                      <a:gd name="connsiteY0" fmla="*/ 3810204 h 5437641"/>
                                      <a:gd name="connsiteX1" fmla="*/ 53698 w 3101458"/>
                                      <a:gd name="connsiteY1" fmla="*/ 3882081 h 5437641"/>
                                      <a:gd name="connsiteX2" fmla="*/ 204561 w 3101458"/>
                                      <a:gd name="connsiteY2" fmla="*/ 4053789 h 5437641"/>
                                      <a:gd name="connsiteX3" fmla="*/ 2380343 w 3101458"/>
                                      <a:gd name="connsiteY3" fmla="*/ 5436189 h 5437641"/>
                                      <a:gd name="connsiteX4" fmla="*/ 0 w 3101458"/>
                                      <a:gd name="connsiteY4" fmla="*/ 5437641 h 5437641"/>
                                      <a:gd name="connsiteX5" fmla="*/ 0 w 3101458"/>
                                      <a:gd name="connsiteY5" fmla="*/ 3810204 h 5437641"/>
                                      <a:gd name="connsiteX6" fmla="*/ 0 w 3101458"/>
                                      <a:gd name="connsiteY6" fmla="*/ 0 h 5437641"/>
                                      <a:gd name="connsiteX7" fmla="*/ 3101458 w 3101458"/>
                                      <a:gd name="connsiteY7" fmla="*/ 0 h 5437641"/>
                                      <a:gd name="connsiteX8" fmla="*/ 2998614 w 3101458"/>
                                      <a:gd name="connsiteY8" fmla="*/ 34557 h 5437641"/>
                                      <a:gd name="connsiteX9" fmla="*/ 4764 w 3101458"/>
                                      <a:gd name="connsiteY9" fmla="*/ 1693281 h 5437641"/>
                                      <a:gd name="connsiteX10" fmla="*/ 0 w 3101458"/>
                                      <a:gd name="connsiteY10" fmla="*/ 1699015 h 5437641"/>
                                      <a:gd name="connsiteX11" fmla="*/ 0 w 3101458"/>
                                      <a:gd name="connsiteY11" fmla="*/ 0 h 54376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101458" h="5437641">
                                        <a:moveTo>
                                          <a:pt x="0" y="3810204"/>
                                        </a:moveTo>
                                        <a:lnTo>
                                          <a:pt x="53698" y="3882081"/>
                                        </a:lnTo>
                                        <a:cubicBezTo>
                                          <a:pt x="100528" y="3939731"/>
                                          <a:pt x="150820" y="3996976"/>
                                          <a:pt x="204561" y="4053789"/>
                                        </a:cubicBezTo>
                                        <a:cubicBezTo>
                                          <a:pt x="711469" y="4588162"/>
                                          <a:pt x="1487081" y="5047026"/>
                                          <a:pt x="2380343" y="5436189"/>
                                        </a:cubicBezTo>
                                        <a:lnTo>
                                          <a:pt x="0" y="5437641"/>
                                        </a:lnTo>
                                        <a:lnTo>
                                          <a:pt x="0" y="3810204"/>
                                        </a:lnTo>
                                        <a:close/>
                                        <a:moveTo>
                                          <a:pt x="0" y="0"/>
                                        </a:moveTo>
                                        <a:lnTo>
                                          <a:pt x="3101458" y="0"/>
                                        </a:lnTo>
                                        <a:lnTo>
                                          <a:pt x="2998614" y="34557"/>
                                        </a:lnTo>
                                        <a:cubicBezTo>
                                          <a:pt x="1830721" y="442064"/>
                                          <a:pt x="623783" y="998746"/>
                                          <a:pt x="4764" y="1693281"/>
                                        </a:cubicBezTo>
                                        <a:lnTo>
                                          <a:pt x="0" y="1699015"/>
                                        </a:lnTo>
                                        <a:lnTo>
                                          <a:pt x="0" y="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B5D5B2D" id="Groupe 21" o:spid="_x0000_s1026" style="position:absolute;margin-left:150.25pt;margin-top:12.45pt;width:392.85pt;height:462.85pt;z-index:251294720;mso-position-vertical-relative:page;mso-width-relative:margin;mso-height-relative:margin" coordorigin="118" coordsize="49904,58781" o:gfxdata="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">
                      <v:shape id="Diagram 30" o:spid="_x0000_s1027" type="#_x0000_t75" style="position:absolute;left:4630;top:4693;width:45366;height:540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">
                        <v:imagedata r:id="rId16" o:title=""/>
                        <o:lock v:ext="edit" aspectratio="f"/>
                      </v:shape>
                      <v:group id="Groupe 24" o:spid="_x0000_s1028" style="position:absolute;left:118;width:49905;height:58781" coordorigin="25904,48276" coordsize="49906,58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Freeform 72" o:spid="_x0000_s1029" style="position:absolute;left:25904;top:48276;width:49906;height:58781;visibility:visible;mso-wrap-style:square;v-text-anchor:top" coordsize="3436,4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" path="m663,2884c425,2633,309,2376,318,2119,340,1513,1502,843,3436,318,3436,,3436,,3436,,2150,343,49,1063,12,2108,,2450,144,2782,440,3095v349,368,883,684,1498,952c2691,4048,2691,4048,2691,4048v88,,88,,88,c1826,3715,1081,3325,663,2884xe" fillcolor="#ffd500" stroked="f">
                          <v:path arrowok="t" o:connecttype="custom" o:connectlocs="962980,4187858;461882,3077001;4990646,461768;4990646,0;17429,3061028;639082,4494251;2814864,5876651;3908565,5878103;4036381,5878103;962980,4187858" o:connectangles="0,0,0,0,0,0,0,0,0,0"/>
                        </v:shape>
                        <v:shape id="Forme libre : forme 26" o:spid="_x0000_s1030" style="position:absolute;left:30274;top:52630;width:31014;height:54377;visibility:visible;mso-wrap-style:square;v-text-anchor:middle" coordsize="3101458,5437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" path="m,3810204r53698,71877c100528,3939731,150820,3996976,204561,4053789v506908,534373,1282520,993237,2175782,1382400l,5437641,,3810204xm,l3101458,,2998614,34557c1830721,442064,623783,998746,4764,1693281l,1699015,,xe" fillcolor="white [3212]" stroked="f" strokeweight="1pt">
                          <v:stroke joinstyle="miter"/>
                          <v:path arrowok="t" o:connecttype="custom" o:connectlocs="0,3810206;53698,3882083;204561,4053791;2380343,5436192;0,5437644;0,3810206;0,0;3101458,0;2998614,34557;4764,1693282;0,1699016;0,0" o:connectangles="0,0,0,0,0,0,0,0,0,0,0,0"/>
                        </v:shape>
                      </v:group>
                      <w10:wrap anchory="page"/>
                    </v:group>
                  </w:pict>
                </mc:Fallback>
              </mc:AlternateContent>
            </w:r>
            <w:sdt>
              <w:sdtPr>
                <w:rPr>
                  <w:rFonts w:eastAsiaTheme="majorEastAsia" w:cs="Open Sans"/>
                  <w:i w:val="0"/>
                  <w:iCs w:val="0"/>
                  <w:smallCaps/>
                  <w:color w:val="auto"/>
                  <w:spacing w:val="0"/>
                  <w:sz w:val="28"/>
                  <w:szCs w:val="48"/>
                  <w:lang w:eastAsia="en-US"/>
                </w:rPr>
                <w:alias w:val="Sous-titre"/>
                <w:tag w:val=""/>
                <w:id w:val="-1029633033"/>
                <w:placeholder>
                  <w:docPart w:val="F3C2A4BBC3F6436685DC49128F343BAE"/>
                </w:placeholder>
                <w:dataBinding w:prefixMappings="xmlns:ns0='http://purl.org/dc/elements/1.1/' xmlns:ns1='http://schemas.openxmlformats.org/package/2006/metadata/core-properties' " w:xpath="/ns1:coreProperties[1]/ns0:subject[1]" w:storeItemID="{6C3C8BC8-F283-45AE-878A-BAB7291924A1}"/>
                <w:text w:multiLine="1"/>
              </w:sdtPr>
              <w:sdtEndPr/>
              <w:sdtContent>
                <w:r w:rsidR="001F477D" w:rsidRPr="00A74D23">
                  <w:rPr>
                    <w:rFonts w:eastAsiaTheme="majorEastAsia" w:cs="Open Sans"/>
                    <w:i w:val="0"/>
                    <w:iCs w:val="0"/>
                    <w:smallCaps/>
                    <w:color w:val="auto"/>
                    <w:spacing w:val="0"/>
                    <w:sz w:val="28"/>
                    <w:szCs w:val="48"/>
                    <w:lang w:eastAsia="en-US"/>
                  </w:rPr>
                  <w:t>ARTICLE 29 DE LA LOI ENERGIE CLIMAT</w:t>
                </w:r>
              </w:sdtContent>
            </w:sdt>
          </w:p>
        </w:tc>
      </w:tr>
      <w:tr w:rsidR="00710353" w:rsidRPr="00302DFF" w14:paraId="708EB457" w14:textId="77777777" w:rsidTr="1380D284">
        <w:trPr>
          <w:trHeight w:val="1134"/>
        </w:trPr>
        <w:tc>
          <w:tcPr>
            <w:tcW w:w="11243" w:type="dxa"/>
            <w:gridSpan w:val="2"/>
          </w:tcPr>
          <w:p w14:paraId="7213792B" w14:textId="22603B6F" w:rsidR="00205E90" w:rsidRPr="00A74D23" w:rsidRDefault="00205E90" w:rsidP="009D6EE5">
            <w:pPr>
              <w:autoSpaceDE w:val="0"/>
              <w:autoSpaceDN w:val="0"/>
              <w:adjustRightInd w:val="0"/>
              <w:spacing w:line="22" w:lineRule="atLeast"/>
              <w:ind w:left="284"/>
              <w:jc w:val="both"/>
              <w:rPr>
                <w:rFonts w:asciiTheme="minorHAnsi" w:hAnsiTheme="minorHAnsi" w:cs="Open Sans"/>
                <w:i/>
                <w:iCs/>
                <w:sz w:val="20"/>
                <w:lang w:val="fr-FR"/>
              </w:rPr>
            </w:pPr>
            <w:r w:rsidRPr="00A74D23">
              <w:rPr>
                <w:rFonts w:asciiTheme="minorHAnsi" w:hAnsiTheme="minorHAnsi" w:cs="Open Sans"/>
                <w:i/>
                <w:iCs/>
                <w:sz w:val="20"/>
                <w:lang w:val="fr-FR"/>
              </w:rPr>
              <w:t>Rapport prévu à l’article L. 533-22-1 du Code monétaire et financier, portant sur l’exercice clos au 31 décembre 202</w:t>
            </w:r>
            <w:r w:rsidR="000F5488" w:rsidRPr="00A74D23">
              <w:rPr>
                <w:rFonts w:asciiTheme="minorHAnsi" w:hAnsiTheme="minorHAnsi" w:cs="Open Sans"/>
                <w:i/>
                <w:iCs/>
                <w:sz w:val="20"/>
                <w:lang w:val="fr-FR"/>
              </w:rPr>
              <w:t>5</w:t>
            </w:r>
          </w:p>
          <w:p w14:paraId="701C5AFB" w14:textId="785558C8" w:rsidR="00205E90" w:rsidRPr="00A74D23" w:rsidRDefault="00205E90" w:rsidP="009D6EE5">
            <w:pPr>
              <w:spacing w:line="22" w:lineRule="atLeast"/>
              <w:ind w:left="284"/>
              <w:jc w:val="both"/>
              <w:rPr>
                <w:rFonts w:asciiTheme="minorHAnsi" w:hAnsiTheme="minorHAnsi" w:cs="Open Sans"/>
                <w:sz w:val="20"/>
                <w:lang w:val="fr-FR"/>
              </w:rPr>
            </w:pPr>
          </w:p>
          <w:p w14:paraId="1526120A" w14:textId="57CE5F48" w:rsidR="00710353" w:rsidRPr="00A74D23" w:rsidRDefault="00710353" w:rsidP="009D6EE5">
            <w:pPr>
              <w:spacing w:line="22" w:lineRule="atLeast"/>
              <w:ind w:left="284"/>
              <w:jc w:val="both"/>
              <w:rPr>
                <w:rFonts w:asciiTheme="minorHAnsi" w:hAnsiTheme="minorHAnsi" w:cs="Open Sans"/>
                <w:lang w:val="fr-FR"/>
              </w:rPr>
            </w:pPr>
          </w:p>
        </w:tc>
      </w:tr>
      <w:tr w:rsidR="00710353" w:rsidRPr="00A74D23" w14:paraId="38EB054B" w14:textId="77777777" w:rsidTr="1380D284">
        <w:sdt>
          <w:sdtPr>
            <w:rPr>
              <w:rFonts w:cs="Open Sans"/>
            </w:rPr>
            <w:alias w:val="Date"/>
            <w:tag w:val="Date"/>
            <w:id w:val="177320558"/>
            <w:placeholder>
              <w:docPart w:val="124818B3B0DE4096B36CE0C8ABC9D461"/>
            </w:placeholder>
            <w:date w:fullDate="2026-06-30T00:00:00Z">
              <w:dateFormat w:val="d MMMM yyyy"/>
              <w:lid w:val="fr-FR"/>
              <w:storeMappedDataAs w:val="dateTime"/>
              <w:calendar w:val="gregorian"/>
            </w:date>
          </w:sdtPr>
          <w:sdtEndPr/>
          <w:sdtContent>
            <w:tc>
              <w:tcPr>
                <w:tcW w:w="5387" w:type="dxa"/>
              </w:tcPr>
              <w:p w14:paraId="2DA95BFA" w14:textId="787F444A" w:rsidR="00710353" w:rsidRPr="00A74D23" w:rsidRDefault="007D6279" w:rsidP="1380D284">
                <w:pPr>
                  <w:pStyle w:val="Documentdate"/>
                  <w:framePr w:wrap="auto" w:vAnchor="margin" w:hAnchor="text" w:xAlign="left" w:yAlign="inline"/>
                  <w:spacing w:line="22" w:lineRule="atLeast"/>
                  <w:ind w:left="284"/>
                  <w:suppressOverlap w:val="0"/>
                  <w:jc w:val="both"/>
                  <w:rPr>
                    <w:rFonts w:cs="Open Sans"/>
                    <w:lang w:val="en-US"/>
                  </w:rPr>
                </w:pPr>
                <w:r w:rsidRPr="00A74D23">
                  <w:rPr>
                    <w:rFonts w:cs="Open Sans"/>
                    <w:lang w:val="en-US"/>
                  </w:rPr>
                  <w:t>30 juin 202</w:t>
                </w:r>
                <w:r w:rsidR="005B63F1" w:rsidRPr="00A74D23">
                  <w:rPr>
                    <w:rFonts w:cs="Open Sans"/>
                    <w:lang w:val="en-US"/>
                  </w:rPr>
                  <w:t>6</w:t>
                </w:r>
              </w:p>
            </w:tc>
          </w:sdtContent>
        </w:sdt>
        <w:tc>
          <w:tcPr>
            <w:tcW w:w="5856" w:type="dxa"/>
          </w:tcPr>
          <w:p w14:paraId="553A4EB9" w14:textId="77777777" w:rsidR="00710353" w:rsidRPr="00A74D23" w:rsidRDefault="00710353" w:rsidP="009D6EE5">
            <w:pPr>
              <w:spacing w:line="22" w:lineRule="atLeast"/>
              <w:jc w:val="both"/>
              <w:rPr>
                <w:rFonts w:asciiTheme="minorHAnsi" w:hAnsiTheme="minorHAnsi" w:cs="Open Sans"/>
              </w:rPr>
            </w:pPr>
          </w:p>
        </w:tc>
      </w:tr>
    </w:tbl>
    <w:p w14:paraId="2B36F247" w14:textId="41BD5D61" w:rsidR="00710353" w:rsidRPr="00A74D23" w:rsidRDefault="00710353" w:rsidP="009D6EE5">
      <w:pPr>
        <w:spacing w:line="22" w:lineRule="atLeast"/>
        <w:jc w:val="both"/>
        <w:rPr>
          <w:rFonts w:asciiTheme="minorHAnsi" w:hAnsiTheme="minorHAnsi" w:cs="Open Sans"/>
        </w:rPr>
      </w:pPr>
    </w:p>
    <w:p w14:paraId="75F95413" w14:textId="77777777" w:rsidR="00710353" w:rsidRPr="00A74D23" w:rsidRDefault="00710353" w:rsidP="009D6EE5">
      <w:pPr>
        <w:spacing w:line="22" w:lineRule="atLeast"/>
        <w:jc w:val="both"/>
        <w:rPr>
          <w:rFonts w:asciiTheme="minorHAnsi" w:hAnsiTheme="minorHAnsi" w:cs="Open Sans"/>
        </w:rPr>
      </w:pPr>
    </w:p>
    <w:p w14:paraId="791B4546" w14:textId="77777777" w:rsidR="00710353" w:rsidRPr="00A74D23" w:rsidRDefault="00710353" w:rsidP="009D6EE5">
      <w:pPr>
        <w:pStyle w:val="Textesparateursoulign"/>
        <w:spacing w:line="22" w:lineRule="atLeast"/>
        <w:jc w:val="both"/>
        <w:rPr>
          <w:rFonts w:asciiTheme="minorHAnsi" w:hAnsiTheme="minorHAnsi" w:cs="Open Sans"/>
        </w:rPr>
      </w:pPr>
      <w:r w:rsidRPr="00A74D23">
        <w:rPr>
          <w:rFonts w:asciiTheme="minorHAnsi" w:hAnsiTheme="minorHAnsi" w:cs="Open Sans"/>
        </w:rPr>
        <w:br w:type="page"/>
      </w:r>
    </w:p>
    <w:p w14:paraId="09B3D111" w14:textId="77777777" w:rsidR="00557DD6" w:rsidRPr="00A74D23" w:rsidRDefault="00557DD6" w:rsidP="009D6EE5">
      <w:pPr>
        <w:pStyle w:val="Documentgrostitre"/>
        <w:spacing w:line="22" w:lineRule="atLeast"/>
        <w:jc w:val="both"/>
        <w:rPr>
          <w:rFonts w:cs="Open Sans"/>
        </w:rPr>
      </w:pPr>
      <w:r w:rsidRPr="00A74D23">
        <w:rPr>
          <w:rFonts w:cs="Open Sans"/>
          <w:noProof/>
        </w:rPr>
        <w:lastRenderedPageBreak/>
        <w:drawing>
          <wp:inline distT="0" distB="0" distL="0" distR="0" wp14:anchorId="6353774B" wp14:editId="132410BB">
            <wp:extent cx="536354" cy="551642"/>
            <wp:effectExtent l="0" t="0" r="0" b="1270"/>
            <wp:docPr id="262" name="Image 72">
              <a:extLst xmlns:a="http://schemas.openxmlformats.org/drawingml/2006/main">
                <a:ext uri="{FF2B5EF4-FFF2-40B4-BE49-F238E27FC236}">
                  <a16:creationId xmlns:a16="http://schemas.microsoft.com/office/drawing/2014/main" id="{B0B048F6-AFA9-C139-FC41-1F7A6BA08A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 72">
                      <a:extLst>
                        <a:ext uri="{FF2B5EF4-FFF2-40B4-BE49-F238E27FC236}">
                          <a16:creationId xmlns:a16="http://schemas.microsoft.com/office/drawing/2014/main" id="{B0B048F6-AFA9-C139-FC41-1F7A6BA08A0F}"/>
                        </a:ext>
                      </a:extLst>
                    </pic:cNvPr>
                    <pic:cNvPicPr>
                      <a:picLocks noChangeAspect="1"/>
                    </pic:cNvPicPr>
                  </pic:nvPicPr>
                  <pic:blipFill>
                    <a:blip r:embed="rId17"/>
                    <a:stretch>
                      <a:fillRect/>
                    </a:stretch>
                  </pic:blipFill>
                  <pic:spPr>
                    <a:xfrm>
                      <a:off x="0" y="0"/>
                      <a:ext cx="536354" cy="551642"/>
                    </a:xfrm>
                    <a:prstGeom prst="rect">
                      <a:avLst/>
                    </a:prstGeom>
                  </pic:spPr>
                </pic:pic>
              </a:graphicData>
            </a:graphic>
          </wp:inline>
        </w:drawing>
      </w:r>
    </w:p>
    <w:p w14:paraId="5268320C" w14:textId="77777777" w:rsidR="00557DD6" w:rsidRPr="00A74D23" w:rsidRDefault="00557DD6" w:rsidP="1380D284">
      <w:pPr>
        <w:pStyle w:val="Documentgrostitre"/>
        <w:spacing w:line="22" w:lineRule="atLeast"/>
        <w:jc w:val="both"/>
        <w:rPr>
          <w:rFonts w:cs="Open Sans"/>
          <w:lang w:val="en-US"/>
        </w:rPr>
      </w:pPr>
      <w:r w:rsidRPr="00A74D23">
        <w:rPr>
          <w:rFonts w:cs="Open Sans"/>
          <w:lang w:val="en-US"/>
        </w:rPr>
        <w:t>Sommaire</w:t>
      </w:r>
    </w:p>
    <w:p w14:paraId="0254CB08" w14:textId="77777777" w:rsidR="00557DD6" w:rsidRPr="00A74D23" w:rsidRDefault="00557DD6" w:rsidP="009D6EE5">
      <w:pPr>
        <w:spacing w:line="22" w:lineRule="atLeast"/>
        <w:jc w:val="both"/>
        <w:rPr>
          <w:rFonts w:asciiTheme="minorHAnsi" w:hAnsiTheme="minorHAnsi" w:cs="Open Sans"/>
        </w:rPr>
      </w:pPr>
      <w:r w:rsidRPr="00A74D23">
        <w:rPr>
          <w:rFonts w:asciiTheme="minorHAnsi" w:hAnsiTheme="minorHAnsi" w:cs="Open Sans"/>
          <w:noProof/>
        </w:rPr>
        <mc:AlternateContent>
          <mc:Choice Requires="wps">
            <w:drawing>
              <wp:inline distT="0" distB="0" distL="0" distR="0" wp14:anchorId="6B478008" wp14:editId="3107A5B3">
                <wp:extent cx="360000" cy="635"/>
                <wp:effectExtent l="19050" t="19050" r="21590" b="37465"/>
                <wp:docPr id="183" name="Connecteur droit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0000" cy="635"/>
                        </a:xfrm>
                        <a:prstGeom prst="line">
                          <a:avLst/>
                        </a:prstGeom>
                        <a:noFill/>
                        <a:ln w="28575" cap="flat" cmpd="sng" algn="ctr">
                          <a:solidFill>
                            <a:schemeClr val="accent1"/>
                          </a:solidFill>
                          <a:prstDash val="solid"/>
                          <a:miter lim="800000"/>
                        </a:ln>
                        <a:effectLst/>
                      </wps:spPr>
                      <wps:bodyPr/>
                    </wps:wsp>
                  </a:graphicData>
                </a:graphic>
              </wp:inline>
            </w:drawing>
          </mc:Choice>
          <mc:Fallback>
            <w:pict>
              <v:line w14:anchorId="61CE0042" id="Connecteur droit 36" o:spid="_x0000_s1026" style="visibility:visible;mso-wrap-style:square;mso-left-percent:-10001;mso-top-percent:-10001;mso-position-horizontal:absolute;mso-position-horizontal-relative:char;mso-position-vertical:absolute;mso-position-vertical-relative:line;mso-left-percent:-10001;mso-top-percent:-10001" from="0,0" to="28.3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" strokecolor="#ffd400 [3204]" strokeweight="2.25pt">
                <v:stroke joinstyle="miter"/>
                <o:lock v:ext="edit" shapetype="f"/>
                <w10:anchorlock/>
              </v:line>
            </w:pict>
          </mc:Fallback>
        </mc:AlternateContent>
      </w:r>
    </w:p>
    <w:p w14:paraId="16ED853E" w14:textId="5AEC89A4" w:rsidR="003E1543" w:rsidRPr="003E1543" w:rsidRDefault="001F7EFC">
      <w:pPr>
        <w:pStyle w:val="TM1"/>
        <w:rPr>
          <w:rFonts w:asciiTheme="minorHAnsi" w:eastAsiaTheme="minorEastAsia" w:hAnsiTheme="minorHAnsi"/>
          <w:b/>
          <w:bCs/>
          <w:kern w:val="2"/>
          <w:sz w:val="24"/>
          <w:szCs w:val="24"/>
          <w:lang w:val="en-US"/>
          <w14:ligatures w14:val="standardContextual"/>
        </w:rPr>
      </w:pPr>
      <w:r w:rsidRPr="00A74D23">
        <w:rPr>
          <w:rFonts w:asciiTheme="minorHAnsi" w:hAnsiTheme="minorHAnsi" w:cs="Open Sans"/>
          <w:color w:val="7030A0"/>
          <w:sz w:val="20"/>
        </w:rPr>
        <w:fldChar w:fldCharType="begin"/>
      </w:r>
      <w:r w:rsidRPr="00A74D23">
        <w:rPr>
          <w:rFonts w:asciiTheme="minorHAnsi" w:hAnsiTheme="minorHAnsi" w:cs="Open Sans"/>
          <w:color w:val="7030A0"/>
          <w:sz w:val="20"/>
        </w:rPr>
        <w:instrText xml:space="preserve"> TOC \o "1-2" \h \z \u </w:instrText>
      </w:r>
      <w:r w:rsidRPr="00A74D23">
        <w:rPr>
          <w:rFonts w:asciiTheme="minorHAnsi" w:hAnsiTheme="minorHAnsi" w:cs="Open Sans"/>
          <w:color w:val="7030A0"/>
          <w:sz w:val="20"/>
        </w:rPr>
        <w:fldChar w:fldCharType="separate"/>
      </w:r>
      <w:hyperlink w:anchor="_Toc231336996" w:history="1">
        <w:r w:rsidR="003E1543" w:rsidRPr="003E1543">
          <w:rPr>
            <w:rStyle w:val="Lienhypertexte"/>
            <w:rFonts w:eastAsia="Calibri" w:cs="Open Sans"/>
            <w:b/>
            <w:bCs/>
            <w:kern w:val="32"/>
            <w:lang w:eastAsia="fr-FR"/>
            <w14:textOutline w14:w="6350" w14:cap="rnd" w14:cmpd="sng" w14:algn="ctr">
              <w14:noFill/>
              <w14:prstDash w14:val="solid"/>
              <w14:bevel/>
            </w14:textOutline>
          </w:rPr>
          <w:t>A. Introduction</w:t>
        </w:r>
        <w:r w:rsidR="003E1543" w:rsidRPr="003E1543">
          <w:rPr>
            <w:b/>
            <w:bCs/>
            <w:webHidden/>
          </w:rPr>
          <w:tab/>
        </w:r>
        <w:r w:rsidR="003E1543" w:rsidRPr="003E1543">
          <w:rPr>
            <w:b/>
            <w:bCs/>
            <w:webHidden/>
          </w:rPr>
          <w:fldChar w:fldCharType="begin"/>
        </w:r>
        <w:r w:rsidR="003E1543" w:rsidRPr="003E1543">
          <w:rPr>
            <w:b/>
            <w:bCs/>
            <w:webHidden/>
          </w:rPr>
          <w:instrText xml:space="preserve"> PAGEREF _Toc231336996 \h </w:instrText>
        </w:r>
        <w:r w:rsidR="003E1543" w:rsidRPr="003E1543">
          <w:rPr>
            <w:b/>
            <w:bCs/>
            <w:webHidden/>
          </w:rPr>
        </w:r>
        <w:r w:rsidR="003E1543" w:rsidRPr="003E1543">
          <w:rPr>
            <w:b/>
            <w:bCs/>
            <w:webHidden/>
          </w:rPr>
          <w:fldChar w:fldCharType="separate"/>
        </w:r>
        <w:r w:rsidR="00FD2A7E">
          <w:rPr>
            <w:b/>
            <w:bCs/>
            <w:webHidden/>
          </w:rPr>
          <w:t>5</w:t>
        </w:r>
        <w:r w:rsidR="003E1543" w:rsidRPr="003E1543">
          <w:rPr>
            <w:b/>
            <w:bCs/>
            <w:webHidden/>
          </w:rPr>
          <w:fldChar w:fldCharType="end"/>
        </w:r>
      </w:hyperlink>
    </w:p>
    <w:p w14:paraId="311D51A0" w14:textId="6A7A58A1" w:rsidR="003E1543" w:rsidRDefault="003E1543">
      <w:pPr>
        <w:pStyle w:val="TM1"/>
        <w:rPr>
          <w:rFonts w:asciiTheme="minorHAnsi" w:eastAsiaTheme="minorEastAsia" w:hAnsiTheme="minorHAnsi"/>
          <w:kern w:val="2"/>
          <w:sz w:val="24"/>
          <w:szCs w:val="24"/>
          <w:lang w:val="en-US"/>
          <w14:ligatures w14:val="standardContextual"/>
        </w:rPr>
      </w:pPr>
      <w:hyperlink w:anchor="_Toc231336997" w:history="1">
        <w:r w:rsidRPr="00DF2263">
          <w:rPr>
            <w:rStyle w:val="Lienhypertexte"/>
          </w:rPr>
          <w:t>1.</w:t>
        </w:r>
        <w:r>
          <w:rPr>
            <w:rFonts w:asciiTheme="minorHAnsi" w:eastAsiaTheme="minorEastAsia" w:hAnsiTheme="minorHAnsi"/>
            <w:kern w:val="2"/>
            <w:sz w:val="24"/>
            <w:szCs w:val="24"/>
            <w:lang w:val="en-US"/>
            <w14:ligatures w14:val="standardContextual"/>
          </w:rPr>
          <w:tab/>
        </w:r>
        <w:r w:rsidRPr="00DF2263">
          <w:rPr>
            <w:rStyle w:val="Lienhypertexte"/>
          </w:rPr>
          <w:t>Qui sommes-nous ? Abeille Assurances</w:t>
        </w:r>
        <w:r>
          <w:rPr>
            <w:webHidden/>
          </w:rPr>
          <w:tab/>
        </w:r>
        <w:r>
          <w:rPr>
            <w:webHidden/>
          </w:rPr>
          <w:fldChar w:fldCharType="begin"/>
        </w:r>
        <w:r>
          <w:rPr>
            <w:webHidden/>
          </w:rPr>
          <w:instrText xml:space="preserve"> PAGEREF _Toc231336997 \h </w:instrText>
        </w:r>
        <w:r>
          <w:rPr>
            <w:webHidden/>
          </w:rPr>
        </w:r>
        <w:r>
          <w:rPr>
            <w:webHidden/>
          </w:rPr>
          <w:fldChar w:fldCharType="separate"/>
        </w:r>
        <w:r w:rsidR="00FD2A7E">
          <w:rPr>
            <w:webHidden/>
          </w:rPr>
          <w:t>5</w:t>
        </w:r>
        <w:r>
          <w:rPr>
            <w:webHidden/>
          </w:rPr>
          <w:fldChar w:fldCharType="end"/>
        </w:r>
      </w:hyperlink>
    </w:p>
    <w:p w14:paraId="4CD12E83" w14:textId="707A7AAB" w:rsidR="003E1543" w:rsidRDefault="003E1543">
      <w:pPr>
        <w:pStyle w:val="TM1"/>
        <w:rPr>
          <w:rFonts w:asciiTheme="minorHAnsi" w:eastAsiaTheme="minorEastAsia" w:hAnsiTheme="minorHAnsi"/>
          <w:kern w:val="2"/>
          <w:sz w:val="24"/>
          <w:szCs w:val="24"/>
          <w:lang w:val="en-US"/>
          <w14:ligatures w14:val="standardContextual"/>
        </w:rPr>
      </w:pPr>
      <w:hyperlink w:anchor="_Toc231336998" w:history="1">
        <w:r w:rsidRPr="00DF2263">
          <w:rPr>
            <w:rStyle w:val="Lienhypertexte"/>
          </w:rPr>
          <w:t>2.</w:t>
        </w:r>
        <w:r>
          <w:rPr>
            <w:rFonts w:asciiTheme="minorHAnsi" w:eastAsiaTheme="minorEastAsia" w:hAnsiTheme="minorHAnsi"/>
            <w:kern w:val="2"/>
            <w:sz w:val="24"/>
            <w:szCs w:val="24"/>
            <w:lang w:val="en-US"/>
            <w14:ligatures w14:val="standardContextual"/>
          </w:rPr>
          <w:tab/>
        </w:r>
        <w:r w:rsidRPr="00DF2263">
          <w:rPr>
            <w:rStyle w:val="Lienhypertexte"/>
          </w:rPr>
          <w:t>Notre réponse aux enjeux de durabilité</w:t>
        </w:r>
        <w:r>
          <w:rPr>
            <w:webHidden/>
          </w:rPr>
          <w:tab/>
        </w:r>
        <w:r>
          <w:rPr>
            <w:webHidden/>
          </w:rPr>
          <w:fldChar w:fldCharType="begin"/>
        </w:r>
        <w:r>
          <w:rPr>
            <w:webHidden/>
          </w:rPr>
          <w:instrText xml:space="preserve"> PAGEREF _Toc231336998 \h </w:instrText>
        </w:r>
        <w:r>
          <w:rPr>
            <w:webHidden/>
          </w:rPr>
        </w:r>
        <w:r>
          <w:rPr>
            <w:webHidden/>
          </w:rPr>
          <w:fldChar w:fldCharType="separate"/>
        </w:r>
        <w:r w:rsidR="00FD2A7E">
          <w:rPr>
            <w:webHidden/>
          </w:rPr>
          <w:t>9</w:t>
        </w:r>
        <w:r>
          <w:rPr>
            <w:webHidden/>
          </w:rPr>
          <w:fldChar w:fldCharType="end"/>
        </w:r>
      </w:hyperlink>
    </w:p>
    <w:p w14:paraId="0FF23D45" w14:textId="7E43CC76" w:rsidR="003E1543" w:rsidRPr="003E1543" w:rsidRDefault="003E1543">
      <w:pPr>
        <w:pStyle w:val="TM1"/>
        <w:rPr>
          <w:rFonts w:asciiTheme="minorHAnsi" w:eastAsiaTheme="minorEastAsia" w:hAnsiTheme="minorHAnsi"/>
          <w:b/>
          <w:bCs/>
          <w:kern w:val="2"/>
          <w:sz w:val="24"/>
          <w:szCs w:val="24"/>
          <w:lang w:val="en-US"/>
          <w14:ligatures w14:val="standardContextual"/>
        </w:rPr>
      </w:pPr>
      <w:hyperlink w:anchor="_Toc231336999" w:history="1">
        <w:r w:rsidRPr="003E1543">
          <w:rPr>
            <w:rStyle w:val="Lienhypertexte"/>
            <w:rFonts w:eastAsia="Calibri" w:cs="Open Sans"/>
            <w:b/>
            <w:bCs/>
            <w:kern w:val="32"/>
            <w:lang w:eastAsia="fr-FR"/>
            <w14:textOutline w14:w="6350" w14:cap="rnd" w14:cmpd="sng" w14:algn="ctr">
              <w14:noFill/>
              <w14:prstDash w14:val="solid"/>
              <w14:bevel/>
            </w14:textOutline>
          </w:rPr>
          <w:t>B. Démarche générale d’Abeille Assurances sur la prise en compte des critères ESG</w:t>
        </w:r>
        <w:r w:rsidRPr="003E1543">
          <w:rPr>
            <w:b/>
            <w:bCs/>
            <w:webHidden/>
          </w:rPr>
          <w:tab/>
        </w:r>
        <w:r w:rsidRPr="003E1543">
          <w:rPr>
            <w:b/>
            <w:bCs/>
            <w:webHidden/>
          </w:rPr>
          <w:fldChar w:fldCharType="begin"/>
        </w:r>
        <w:r w:rsidRPr="003E1543">
          <w:rPr>
            <w:b/>
            <w:bCs/>
            <w:webHidden/>
          </w:rPr>
          <w:instrText xml:space="preserve"> PAGEREF _Toc231336999 \h </w:instrText>
        </w:r>
        <w:r w:rsidRPr="003E1543">
          <w:rPr>
            <w:b/>
            <w:bCs/>
            <w:webHidden/>
          </w:rPr>
        </w:r>
        <w:r w:rsidRPr="003E1543">
          <w:rPr>
            <w:b/>
            <w:bCs/>
            <w:webHidden/>
          </w:rPr>
          <w:fldChar w:fldCharType="separate"/>
        </w:r>
        <w:r w:rsidR="00FD2A7E">
          <w:rPr>
            <w:b/>
            <w:bCs/>
            <w:webHidden/>
          </w:rPr>
          <w:t>12</w:t>
        </w:r>
        <w:r w:rsidRPr="003E1543">
          <w:rPr>
            <w:b/>
            <w:bCs/>
            <w:webHidden/>
          </w:rPr>
          <w:fldChar w:fldCharType="end"/>
        </w:r>
      </w:hyperlink>
    </w:p>
    <w:p w14:paraId="5B254633" w14:textId="7487EA37" w:rsidR="003E1543" w:rsidRDefault="003E1543">
      <w:pPr>
        <w:pStyle w:val="TM1"/>
        <w:rPr>
          <w:rFonts w:asciiTheme="minorHAnsi" w:eastAsiaTheme="minorEastAsia" w:hAnsiTheme="minorHAnsi"/>
          <w:kern w:val="2"/>
          <w:sz w:val="24"/>
          <w:szCs w:val="24"/>
          <w:lang w:val="en-US"/>
          <w14:ligatures w14:val="standardContextual"/>
        </w:rPr>
      </w:pPr>
      <w:hyperlink w:anchor="_Toc231337000" w:history="1">
        <w:r w:rsidRPr="00DF2263">
          <w:rPr>
            <w:rStyle w:val="Lienhypertexte"/>
          </w:rPr>
          <w:t>1.</w:t>
        </w:r>
        <w:r>
          <w:rPr>
            <w:rFonts w:asciiTheme="minorHAnsi" w:eastAsiaTheme="minorEastAsia" w:hAnsiTheme="minorHAnsi"/>
            <w:kern w:val="2"/>
            <w:sz w:val="24"/>
            <w:szCs w:val="24"/>
            <w:lang w:val="en-US"/>
            <w14:ligatures w14:val="standardContextual"/>
          </w:rPr>
          <w:tab/>
        </w:r>
        <w:r w:rsidRPr="00DF2263">
          <w:rPr>
            <w:rStyle w:val="Lienhypertexte"/>
          </w:rPr>
          <w:t>Notre rôle en tant qu’assureur et investisseur</w:t>
        </w:r>
        <w:r>
          <w:rPr>
            <w:webHidden/>
          </w:rPr>
          <w:tab/>
        </w:r>
        <w:r>
          <w:rPr>
            <w:webHidden/>
          </w:rPr>
          <w:fldChar w:fldCharType="begin"/>
        </w:r>
        <w:r>
          <w:rPr>
            <w:webHidden/>
          </w:rPr>
          <w:instrText xml:space="preserve"> PAGEREF _Toc231337000 \h </w:instrText>
        </w:r>
        <w:r>
          <w:rPr>
            <w:webHidden/>
          </w:rPr>
        </w:r>
        <w:r>
          <w:rPr>
            <w:webHidden/>
          </w:rPr>
          <w:fldChar w:fldCharType="separate"/>
        </w:r>
        <w:r w:rsidR="00FD2A7E">
          <w:rPr>
            <w:webHidden/>
          </w:rPr>
          <w:t>12</w:t>
        </w:r>
        <w:r>
          <w:rPr>
            <w:webHidden/>
          </w:rPr>
          <w:fldChar w:fldCharType="end"/>
        </w:r>
      </w:hyperlink>
    </w:p>
    <w:p w14:paraId="4002ECF7" w14:textId="451F19BD" w:rsidR="003E1543" w:rsidRDefault="003E1543">
      <w:pPr>
        <w:pStyle w:val="TM1"/>
        <w:rPr>
          <w:rFonts w:asciiTheme="minorHAnsi" w:eastAsiaTheme="minorEastAsia" w:hAnsiTheme="minorHAnsi"/>
          <w:kern w:val="2"/>
          <w:sz w:val="24"/>
          <w:szCs w:val="24"/>
          <w:lang w:val="en-US"/>
          <w14:ligatures w14:val="standardContextual"/>
        </w:rPr>
      </w:pPr>
      <w:hyperlink w:anchor="_Toc231337001" w:history="1">
        <w:r w:rsidRPr="00DF2263">
          <w:rPr>
            <w:rStyle w:val="Lienhypertexte"/>
          </w:rPr>
          <w:t>2. Synthèse de notre stratégie de durabilité sur le portefeuille d’investissement</w:t>
        </w:r>
        <w:r>
          <w:rPr>
            <w:webHidden/>
          </w:rPr>
          <w:tab/>
        </w:r>
        <w:r>
          <w:rPr>
            <w:webHidden/>
          </w:rPr>
          <w:fldChar w:fldCharType="begin"/>
        </w:r>
        <w:r>
          <w:rPr>
            <w:webHidden/>
          </w:rPr>
          <w:instrText xml:space="preserve"> PAGEREF _Toc231337001 \h </w:instrText>
        </w:r>
        <w:r>
          <w:rPr>
            <w:webHidden/>
          </w:rPr>
        </w:r>
        <w:r>
          <w:rPr>
            <w:webHidden/>
          </w:rPr>
          <w:fldChar w:fldCharType="separate"/>
        </w:r>
        <w:r w:rsidR="00FD2A7E">
          <w:rPr>
            <w:webHidden/>
          </w:rPr>
          <w:t>18</w:t>
        </w:r>
        <w:r>
          <w:rPr>
            <w:webHidden/>
          </w:rPr>
          <w:fldChar w:fldCharType="end"/>
        </w:r>
      </w:hyperlink>
    </w:p>
    <w:p w14:paraId="4B49A2C9" w14:textId="2D1DA814" w:rsidR="003E1543" w:rsidRPr="003E1543" w:rsidRDefault="003E1543">
      <w:pPr>
        <w:pStyle w:val="TM1"/>
        <w:rPr>
          <w:rFonts w:asciiTheme="minorHAnsi" w:eastAsiaTheme="minorEastAsia" w:hAnsiTheme="minorHAnsi"/>
          <w:b/>
          <w:bCs/>
          <w:kern w:val="2"/>
          <w:sz w:val="24"/>
          <w:szCs w:val="24"/>
          <w:lang w:val="en-US"/>
          <w14:ligatures w14:val="standardContextual"/>
        </w:rPr>
      </w:pPr>
      <w:hyperlink w:anchor="_Toc231337002" w:history="1">
        <w:r w:rsidRPr="003E1543">
          <w:rPr>
            <w:rStyle w:val="Lienhypertexte"/>
            <w:rFonts w:cs="Open Sans"/>
            <w:b/>
            <w:bCs/>
          </w:rPr>
          <w:t>C. Les moyens internes déployés par Abeille Assurances</w:t>
        </w:r>
        <w:r w:rsidRPr="003E1543">
          <w:rPr>
            <w:b/>
            <w:bCs/>
            <w:webHidden/>
          </w:rPr>
          <w:tab/>
        </w:r>
        <w:r w:rsidRPr="003E1543">
          <w:rPr>
            <w:b/>
            <w:bCs/>
            <w:webHidden/>
          </w:rPr>
          <w:fldChar w:fldCharType="begin"/>
        </w:r>
        <w:r w:rsidRPr="003E1543">
          <w:rPr>
            <w:b/>
            <w:bCs/>
            <w:webHidden/>
          </w:rPr>
          <w:instrText xml:space="preserve"> PAGEREF _Toc231337002 \h </w:instrText>
        </w:r>
        <w:r w:rsidRPr="003E1543">
          <w:rPr>
            <w:b/>
            <w:bCs/>
            <w:webHidden/>
          </w:rPr>
        </w:r>
        <w:r w:rsidRPr="003E1543">
          <w:rPr>
            <w:b/>
            <w:bCs/>
            <w:webHidden/>
          </w:rPr>
          <w:fldChar w:fldCharType="separate"/>
        </w:r>
        <w:r w:rsidR="00FD2A7E">
          <w:rPr>
            <w:b/>
            <w:bCs/>
            <w:webHidden/>
          </w:rPr>
          <w:t>30</w:t>
        </w:r>
        <w:r w:rsidRPr="003E1543">
          <w:rPr>
            <w:b/>
            <w:bCs/>
            <w:webHidden/>
          </w:rPr>
          <w:fldChar w:fldCharType="end"/>
        </w:r>
      </w:hyperlink>
    </w:p>
    <w:p w14:paraId="62F6D7CD" w14:textId="3E4C5A70" w:rsidR="003E1543" w:rsidRDefault="003E1543">
      <w:pPr>
        <w:pStyle w:val="TM1"/>
        <w:rPr>
          <w:rFonts w:asciiTheme="minorHAnsi" w:eastAsiaTheme="minorEastAsia" w:hAnsiTheme="minorHAnsi"/>
          <w:kern w:val="2"/>
          <w:sz w:val="24"/>
          <w:szCs w:val="24"/>
          <w:lang w:val="en-US"/>
          <w14:ligatures w14:val="standardContextual"/>
        </w:rPr>
      </w:pPr>
      <w:hyperlink w:anchor="_Toc231337003" w:history="1">
        <w:r w:rsidRPr="00DF2263">
          <w:rPr>
            <w:rStyle w:val="Lienhypertexte"/>
          </w:rPr>
          <w:t>1.</w:t>
        </w:r>
        <w:r>
          <w:rPr>
            <w:rFonts w:asciiTheme="minorHAnsi" w:eastAsiaTheme="minorEastAsia" w:hAnsiTheme="minorHAnsi"/>
            <w:kern w:val="2"/>
            <w:sz w:val="24"/>
            <w:szCs w:val="24"/>
            <w:lang w:val="en-US"/>
            <w14:ligatures w14:val="standardContextual"/>
          </w:rPr>
          <w:tab/>
        </w:r>
        <w:r w:rsidRPr="00DF2263">
          <w:rPr>
            <w:rStyle w:val="Lienhypertexte"/>
          </w:rPr>
          <w:t>Un engagement de moyens humains pour intégrer les enjeux de durabilité</w:t>
        </w:r>
        <w:r>
          <w:rPr>
            <w:webHidden/>
          </w:rPr>
          <w:tab/>
        </w:r>
        <w:r>
          <w:rPr>
            <w:webHidden/>
          </w:rPr>
          <w:fldChar w:fldCharType="begin"/>
        </w:r>
        <w:r>
          <w:rPr>
            <w:webHidden/>
          </w:rPr>
          <w:instrText xml:space="preserve"> PAGEREF _Toc231337003 \h </w:instrText>
        </w:r>
        <w:r>
          <w:rPr>
            <w:webHidden/>
          </w:rPr>
        </w:r>
        <w:r>
          <w:rPr>
            <w:webHidden/>
          </w:rPr>
          <w:fldChar w:fldCharType="separate"/>
        </w:r>
        <w:r w:rsidR="00FD2A7E">
          <w:rPr>
            <w:webHidden/>
          </w:rPr>
          <w:t>30</w:t>
        </w:r>
        <w:r>
          <w:rPr>
            <w:webHidden/>
          </w:rPr>
          <w:fldChar w:fldCharType="end"/>
        </w:r>
      </w:hyperlink>
    </w:p>
    <w:p w14:paraId="32C1CB0F" w14:textId="763F9F1E" w:rsidR="003E1543" w:rsidRDefault="003E1543">
      <w:pPr>
        <w:pStyle w:val="TM1"/>
        <w:rPr>
          <w:rFonts w:asciiTheme="minorHAnsi" w:eastAsiaTheme="minorEastAsia" w:hAnsiTheme="minorHAnsi"/>
          <w:kern w:val="2"/>
          <w:sz w:val="24"/>
          <w:szCs w:val="24"/>
          <w:lang w:val="en-US"/>
          <w14:ligatures w14:val="standardContextual"/>
        </w:rPr>
      </w:pPr>
      <w:hyperlink w:anchor="_Toc231337004" w:history="1">
        <w:r w:rsidRPr="00DF2263">
          <w:rPr>
            <w:rStyle w:val="Lienhypertexte"/>
          </w:rPr>
          <w:t>2.</w:t>
        </w:r>
        <w:r>
          <w:rPr>
            <w:rFonts w:asciiTheme="minorHAnsi" w:eastAsiaTheme="minorEastAsia" w:hAnsiTheme="minorHAnsi"/>
            <w:kern w:val="2"/>
            <w:sz w:val="24"/>
            <w:szCs w:val="24"/>
            <w:lang w:val="en-US"/>
            <w14:ligatures w14:val="standardContextual"/>
          </w:rPr>
          <w:tab/>
        </w:r>
        <w:r w:rsidRPr="00DF2263">
          <w:rPr>
            <w:rStyle w:val="Lienhypertexte"/>
          </w:rPr>
          <w:t>Développer l’expertise des collaborateurs pour soutenir l’ambition commune</w:t>
        </w:r>
        <w:r>
          <w:rPr>
            <w:webHidden/>
          </w:rPr>
          <w:tab/>
        </w:r>
        <w:r>
          <w:rPr>
            <w:webHidden/>
          </w:rPr>
          <w:fldChar w:fldCharType="begin"/>
        </w:r>
        <w:r>
          <w:rPr>
            <w:webHidden/>
          </w:rPr>
          <w:instrText xml:space="preserve"> PAGEREF _Toc231337004 \h </w:instrText>
        </w:r>
        <w:r>
          <w:rPr>
            <w:webHidden/>
          </w:rPr>
        </w:r>
        <w:r>
          <w:rPr>
            <w:webHidden/>
          </w:rPr>
          <w:fldChar w:fldCharType="separate"/>
        </w:r>
        <w:r w:rsidR="00FD2A7E">
          <w:rPr>
            <w:webHidden/>
          </w:rPr>
          <w:t>31</w:t>
        </w:r>
        <w:r>
          <w:rPr>
            <w:webHidden/>
          </w:rPr>
          <w:fldChar w:fldCharType="end"/>
        </w:r>
      </w:hyperlink>
    </w:p>
    <w:p w14:paraId="4F97D464" w14:textId="0ED6436C" w:rsidR="003E1543" w:rsidRPr="003E1543" w:rsidRDefault="003E1543">
      <w:pPr>
        <w:pStyle w:val="TM1"/>
        <w:rPr>
          <w:rFonts w:asciiTheme="minorHAnsi" w:eastAsiaTheme="minorEastAsia" w:hAnsiTheme="minorHAnsi"/>
          <w:b/>
          <w:bCs/>
          <w:kern w:val="2"/>
          <w:sz w:val="24"/>
          <w:szCs w:val="24"/>
          <w:lang w:val="en-US"/>
          <w14:ligatures w14:val="standardContextual"/>
        </w:rPr>
      </w:pPr>
      <w:hyperlink w:anchor="_Toc231337005" w:history="1">
        <w:r w:rsidRPr="003E1543">
          <w:rPr>
            <w:rStyle w:val="Lienhypertexte"/>
            <w:rFonts w:cs="Open Sans"/>
            <w:b/>
            <w:bCs/>
          </w:rPr>
          <w:t>D. Prise en compte des critères ESG au niveau de la gouvernance d’Abeille Assurances</w:t>
        </w:r>
        <w:r w:rsidRPr="003E1543">
          <w:rPr>
            <w:b/>
            <w:bCs/>
            <w:webHidden/>
          </w:rPr>
          <w:tab/>
        </w:r>
        <w:r w:rsidRPr="003E1543">
          <w:rPr>
            <w:b/>
            <w:bCs/>
            <w:webHidden/>
          </w:rPr>
          <w:fldChar w:fldCharType="begin"/>
        </w:r>
        <w:r w:rsidRPr="003E1543">
          <w:rPr>
            <w:b/>
            <w:bCs/>
            <w:webHidden/>
          </w:rPr>
          <w:instrText xml:space="preserve"> PAGEREF _Toc231337005 \h </w:instrText>
        </w:r>
        <w:r w:rsidRPr="003E1543">
          <w:rPr>
            <w:b/>
            <w:bCs/>
            <w:webHidden/>
          </w:rPr>
        </w:r>
        <w:r w:rsidRPr="003E1543">
          <w:rPr>
            <w:b/>
            <w:bCs/>
            <w:webHidden/>
          </w:rPr>
          <w:fldChar w:fldCharType="separate"/>
        </w:r>
        <w:r w:rsidR="00FD2A7E">
          <w:rPr>
            <w:b/>
            <w:bCs/>
            <w:webHidden/>
          </w:rPr>
          <w:t>33</w:t>
        </w:r>
        <w:r w:rsidRPr="003E1543">
          <w:rPr>
            <w:b/>
            <w:bCs/>
            <w:webHidden/>
          </w:rPr>
          <w:fldChar w:fldCharType="end"/>
        </w:r>
      </w:hyperlink>
    </w:p>
    <w:p w14:paraId="0EBBE748" w14:textId="2102B581" w:rsidR="003E1543" w:rsidRDefault="003E1543">
      <w:pPr>
        <w:pStyle w:val="TM1"/>
        <w:rPr>
          <w:rFonts w:asciiTheme="minorHAnsi" w:eastAsiaTheme="minorEastAsia" w:hAnsiTheme="minorHAnsi"/>
          <w:kern w:val="2"/>
          <w:sz w:val="24"/>
          <w:szCs w:val="24"/>
          <w:lang w:val="en-US"/>
          <w14:ligatures w14:val="standardContextual"/>
        </w:rPr>
      </w:pPr>
      <w:hyperlink w:anchor="_Toc231337006" w:history="1">
        <w:r w:rsidRPr="00DF2263">
          <w:rPr>
            <w:rStyle w:val="Lienhypertexte"/>
          </w:rPr>
          <w:t>1.</w:t>
        </w:r>
        <w:r>
          <w:rPr>
            <w:rFonts w:asciiTheme="minorHAnsi" w:eastAsiaTheme="minorEastAsia" w:hAnsiTheme="minorHAnsi"/>
            <w:kern w:val="2"/>
            <w:sz w:val="24"/>
            <w:szCs w:val="24"/>
            <w:lang w:val="en-US"/>
            <w14:ligatures w14:val="standardContextual"/>
          </w:rPr>
          <w:tab/>
        </w:r>
        <w:r w:rsidRPr="00DF2263">
          <w:rPr>
            <w:rStyle w:val="Lienhypertexte"/>
          </w:rPr>
          <w:t>Au sein d’Abeille Assurances</w:t>
        </w:r>
        <w:r>
          <w:rPr>
            <w:webHidden/>
          </w:rPr>
          <w:tab/>
        </w:r>
        <w:r>
          <w:rPr>
            <w:webHidden/>
          </w:rPr>
          <w:fldChar w:fldCharType="begin"/>
        </w:r>
        <w:r>
          <w:rPr>
            <w:webHidden/>
          </w:rPr>
          <w:instrText xml:space="preserve"> PAGEREF _Toc231337006 \h </w:instrText>
        </w:r>
        <w:r>
          <w:rPr>
            <w:webHidden/>
          </w:rPr>
        </w:r>
        <w:r>
          <w:rPr>
            <w:webHidden/>
          </w:rPr>
          <w:fldChar w:fldCharType="separate"/>
        </w:r>
        <w:r w:rsidR="00FD2A7E">
          <w:rPr>
            <w:webHidden/>
          </w:rPr>
          <w:t>33</w:t>
        </w:r>
        <w:r>
          <w:rPr>
            <w:webHidden/>
          </w:rPr>
          <w:fldChar w:fldCharType="end"/>
        </w:r>
      </w:hyperlink>
    </w:p>
    <w:p w14:paraId="59A47EA9" w14:textId="0D376299" w:rsidR="003E1543" w:rsidRDefault="003E1543">
      <w:pPr>
        <w:pStyle w:val="TM1"/>
        <w:rPr>
          <w:rFonts w:asciiTheme="minorHAnsi" w:eastAsiaTheme="minorEastAsia" w:hAnsiTheme="minorHAnsi"/>
          <w:kern w:val="2"/>
          <w:sz w:val="24"/>
          <w:szCs w:val="24"/>
          <w:lang w:val="en-US"/>
          <w14:ligatures w14:val="standardContextual"/>
        </w:rPr>
      </w:pPr>
      <w:hyperlink w:anchor="_Toc231337007" w:history="1">
        <w:r w:rsidRPr="00DF2263">
          <w:rPr>
            <w:rStyle w:val="Lienhypertexte"/>
          </w:rPr>
          <w:t>2.</w:t>
        </w:r>
        <w:r>
          <w:rPr>
            <w:rFonts w:asciiTheme="minorHAnsi" w:eastAsiaTheme="minorEastAsia" w:hAnsiTheme="minorHAnsi"/>
            <w:kern w:val="2"/>
            <w:sz w:val="24"/>
            <w:szCs w:val="24"/>
            <w:lang w:val="en-US"/>
            <w14:ligatures w14:val="standardContextual"/>
          </w:rPr>
          <w:tab/>
        </w:r>
        <w:r w:rsidRPr="00DF2263">
          <w:rPr>
            <w:rStyle w:val="Lienhypertexte"/>
          </w:rPr>
          <w:t>Au sein d’Aéma Groupe</w:t>
        </w:r>
        <w:r>
          <w:rPr>
            <w:webHidden/>
          </w:rPr>
          <w:tab/>
        </w:r>
        <w:r>
          <w:rPr>
            <w:webHidden/>
          </w:rPr>
          <w:fldChar w:fldCharType="begin"/>
        </w:r>
        <w:r>
          <w:rPr>
            <w:webHidden/>
          </w:rPr>
          <w:instrText xml:space="preserve"> PAGEREF _Toc231337007 \h </w:instrText>
        </w:r>
        <w:r>
          <w:rPr>
            <w:webHidden/>
          </w:rPr>
        </w:r>
        <w:r>
          <w:rPr>
            <w:webHidden/>
          </w:rPr>
          <w:fldChar w:fldCharType="separate"/>
        </w:r>
        <w:r w:rsidR="00FD2A7E">
          <w:rPr>
            <w:webHidden/>
          </w:rPr>
          <w:t>35</w:t>
        </w:r>
        <w:r>
          <w:rPr>
            <w:webHidden/>
          </w:rPr>
          <w:fldChar w:fldCharType="end"/>
        </w:r>
      </w:hyperlink>
    </w:p>
    <w:p w14:paraId="169BFA81" w14:textId="116B8439" w:rsidR="003E1543" w:rsidRDefault="003E1543">
      <w:pPr>
        <w:pStyle w:val="TM1"/>
        <w:rPr>
          <w:rFonts w:asciiTheme="minorHAnsi" w:eastAsiaTheme="minorEastAsia" w:hAnsiTheme="minorHAnsi"/>
          <w:kern w:val="2"/>
          <w:sz w:val="24"/>
          <w:szCs w:val="24"/>
          <w:lang w:val="en-US"/>
          <w14:ligatures w14:val="standardContextual"/>
        </w:rPr>
      </w:pPr>
      <w:hyperlink w:anchor="_Toc231337008" w:history="1">
        <w:r w:rsidRPr="00DF2263">
          <w:rPr>
            <w:rStyle w:val="Lienhypertexte"/>
          </w:rPr>
          <w:t>3.</w:t>
        </w:r>
        <w:r>
          <w:rPr>
            <w:rFonts w:asciiTheme="minorHAnsi" w:eastAsiaTheme="minorEastAsia" w:hAnsiTheme="minorHAnsi"/>
            <w:kern w:val="2"/>
            <w:sz w:val="24"/>
            <w:szCs w:val="24"/>
            <w:lang w:val="en-US"/>
            <w14:ligatures w14:val="standardContextual"/>
          </w:rPr>
          <w:tab/>
        </w:r>
        <w:r w:rsidRPr="00DF2263">
          <w:rPr>
            <w:rStyle w:val="Lienhypertexte"/>
          </w:rPr>
          <w:t>Intégration des enjeux de durabilité dans les politiques de rémunération</w:t>
        </w:r>
        <w:r>
          <w:rPr>
            <w:webHidden/>
          </w:rPr>
          <w:tab/>
        </w:r>
        <w:r>
          <w:rPr>
            <w:webHidden/>
          </w:rPr>
          <w:fldChar w:fldCharType="begin"/>
        </w:r>
        <w:r>
          <w:rPr>
            <w:webHidden/>
          </w:rPr>
          <w:instrText xml:space="preserve"> PAGEREF _Toc231337008 \h </w:instrText>
        </w:r>
        <w:r>
          <w:rPr>
            <w:webHidden/>
          </w:rPr>
        </w:r>
        <w:r>
          <w:rPr>
            <w:webHidden/>
          </w:rPr>
          <w:fldChar w:fldCharType="separate"/>
        </w:r>
        <w:r w:rsidR="00FD2A7E">
          <w:rPr>
            <w:webHidden/>
          </w:rPr>
          <w:t>35</w:t>
        </w:r>
        <w:r>
          <w:rPr>
            <w:webHidden/>
          </w:rPr>
          <w:fldChar w:fldCharType="end"/>
        </w:r>
      </w:hyperlink>
    </w:p>
    <w:p w14:paraId="78E5E9EC" w14:textId="1A65B91A" w:rsidR="003E1543" w:rsidRPr="003E1543" w:rsidRDefault="003E1543">
      <w:pPr>
        <w:pStyle w:val="TM1"/>
        <w:rPr>
          <w:rFonts w:asciiTheme="minorHAnsi" w:eastAsiaTheme="minorEastAsia" w:hAnsiTheme="minorHAnsi"/>
          <w:b/>
          <w:bCs/>
          <w:kern w:val="2"/>
          <w:sz w:val="24"/>
          <w:szCs w:val="24"/>
          <w:lang w:val="en-US"/>
          <w14:ligatures w14:val="standardContextual"/>
        </w:rPr>
      </w:pPr>
      <w:hyperlink w:anchor="_Toc231337009" w:history="1">
        <w:r w:rsidRPr="003E1543">
          <w:rPr>
            <w:rStyle w:val="Lienhypertexte"/>
            <w:rFonts w:cs="Open Sans"/>
            <w:b/>
            <w:bCs/>
          </w:rPr>
          <w:t>E. Stratégie d'engagement auprès des émetteurs ou vis-à-vis des sociétés de gestion ainsi que sur sa mise en œuvre</w:t>
        </w:r>
        <w:r w:rsidRPr="003E1543">
          <w:rPr>
            <w:b/>
            <w:bCs/>
            <w:webHidden/>
          </w:rPr>
          <w:tab/>
        </w:r>
        <w:r w:rsidRPr="003E1543">
          <w:rPr>
            <w:b/>
            <w:bCs/>
            <w:webHidden/>
          </w:rPr>
          <w:fldChar w:fldCharType="begin"/>
        </w:r>
        <w:r w:rsidRPr="003E1543">
          <w:rPr>
            <w:b/>
            <w:bCs/>
            <w:webHidden/>
          </w:rPr>
          <w:instrText xml:space="preserve"> PAGEREF _Toc231337009 \h </w:instrText>
        </w:r>
        <w:r w:rsidRPr="003E1543">
          <w:rPr>
            <w:b/>
            <w:bCs/>
            <w:webHidden/>
          </w:rPr>
        </w:r>
        <w:r w:rsidRPr="003E1543">
          <w:rPr>
            <w:b/>
            <w:bCs/>
            <w:webHidden/>
          </w:rPr>
          <w:fldChar w:fldCharType="separate"/>
        </w:r>
        <w:r w:rsidR="00FD2A7E">
          <w:rPr>
            <w:b/>
            <w:bCs/>
            <w:webHidden/>
          </w:rPr>
          <w:t>37</w:t>
        </w:r>
        <w:r w:rsidRPr="003E1543">
          <w:rPr>
            <w:b/>
            <w:bCs/>
            <w:webHidden/>
          </w:rPr>
          <w:fldChar w:fldCharType="end"/>
        </w:r>
      </w:hyperlink>
    </w:p>
    <w:p w14:paraId="274BF261" w14:textId="6238A61C" w:rsidR="003E1543" w:rsidRDefault="003E1543">
      <w:pPr>
        <w:pStyle w:val="TM1"/>
        <w:rPr>
          <w:rFonts w:asciiTheme="minorHAnsi" w:eastAsiaTheme="minorEastAsia" w:hAnsiTheme="minorHAnsi"/>
          <w:kern w:val="2"/>
          <w:sz w:val="24"/>
          <w:szCs w:val="24"/>
          <w:lang w:val="en-US"/>
          <w14:ligatures w14:val="standardContextual"/>
        </w:rPr>
      </w:pPr>
      <w:hyperlink w:anchor="_Toc231337010" w:history="1">
        <w:r w:rsidRPr="00DF2263">
          <w:rPr>
            <w:rStyle w:val="Lienhypertexte"/>
          </w:rPr>
          <w:t>1.</w:t>
        </w:r>
        <w:r>
          <w:rPr>
            <w:rFonts w:asciiTheme="minorHAnsi" w:eastAsiaTheme="minorEastAsia" w:hAnsiTheme="minorHAnsi"/>
            <w:kern w:val="2"/>
            <w:sz w:val="24"/>
            <w:szCs w:val="24"/>
            <w:lang w:val="en-US"/>
            <w14:ligatures w14:val="standardContextual"/>
          </w:rPr>
          <w:tab/>
        </w:r>
        <w:r w:rsidRPr="00DF2263">
          <w:rPr>
            <w:rStyle w:val="Lienhypertexte"/>
          </w:rPr>
          <w:t>Abeille Assurances, moteur du changement</w:t>
        </w:r>
        <w:r>
          <w:rPr>
            <w:webHidden/>
          </w:rPr>
          <w:tab/>
        </w:r>
        <w:r>
          <w:rPr>
            <w:webHidden/>
          </w:rPr>
          <w:fldChar w:fldCharType="begin"/>
        </w:r>
        <w:r>
          <w:rPr>
            <w:webHidden/>
          </w:rPr>
          <w:instrText xml:space="preserve"> PAGEREF _Toc231337010 \h </w:instrText>
        </w:r>
        <w:r>
          <w:rPr>
            <w:webHidden/>
          </w:rPr>
        </w:r>
        <w:r>
          <w:rPr>
            <w:webHidden/>
          </w:rPr>
          <w:fldChar w:fldCharType="separate"/>
        </w:r>
        <w:r w:rsidR="00FD2A7E">
          <w:rPr>
            <w:webHidden/>
          </w:rPr>
          <w:t>37</w:t>
        </w:r>
        <w:r>
          <w:rPr>
            <w:webHidden/>
          </w:rPr>
          <w:fldChar w:fldCharType="end"/>
        </w:r>
      </w:hyperlink>
    </w:p>
    <w:p w14:paraId="279E3F98" w14:textId="0FB3D5C6" w:rsidR="003E1543" w:rsidRDefault="003E1543">
      <w:pPr>
        <w:pStyle w:val="TM1"/>
        <w:rPr>
          <w:rFonts w:asciiTheme="minorHAnsi" w:eastAsiaTheme="minorEastAsia" w:hAnsiTheme="minorHAnsi"/>
          <w:kern w:val="2"/>
          <w:sz w:val="24"/>
          <w:szCs w:val="24"/>
          <w:lang w:val="en-US"/>
          <w14:ligatures w14:val="standardContextual"/>
        </w:rPr>
      </w:pPr>
      <w:hyperlink w:anchor="_Toc231337011" w:history="1">
        <w:r w:rsidRPr="00DF2263">
          <w:rPr>
            <w:rStyle w:val="Lienhypertexte"/>
          </w:rPr>
          <w:t>2.</w:t>
        </w:r>
        <w:r>
          <w:rPr>
            <w:rFonts w:asciiTheme="minorHAnsi" w:eastAsiaTheme="minorEastAsia" w:hAnsiTheme="minorHAnsi"/>
            <w:kern w:val="2"/>
            <w:sz w:val="24"/>
            <w:szCs w:val="24"/>
            <w:lang w:val="en-US"/>
            <w14:ligatures w14:val="standardContextual"/>
          </w:rPr>
          <w:tab/>
        </w:r>
        <w:r w:rsidRPr="00DF2263">
          <w:rPr>
            <w:rStyle w:val="Lienhypertexte"/>
          </w:rPr>
          <w:t>Des stratégies d’engagement dédiées aux secteurs les plus exposés aux risques de durabilité</w:t>
        </w:r>
        <w:r>
          <w:rPr>
            <w:webHidden/>
          </w:rPr>
          <w:tab/>
        </w:r>
        <w:r>
          <w:rPr>
            <w:webHidden/>
          </w:rPr>
          <w:fldChar w:fldCharType="begin"/>
        </w:r>
        <w:r>
          <w:rPr>
            <w:webHidden/>
          </w:rPr>
          <w:instrText xml:space="preserve"> PAGEREF _Toc231337011 \h </w:instrText>
        </w:r>
        <w:r>
          <w:rPr>
            <w:webHidden/>
          </w:rPr>
        </w:r>
        <w:r>
          <w:rPr>
            <w:webHidden/>
          </w:rPr>
          <w:fldChar w:fldCharType="separate"/>
        </w:r>
        <w:r w:rsidR="00FD2A7E">
          <w:rPr>
            <w:webHidden/>
          </w:rPr>
          <w:t>39</w:t>
        </w:r>
        <w:r>
          <w:rPr>
            <w:webHidden/>
          </w:rPr>
          <w:fldChar w:fldCharType="end"/>
        </w:r>
      </w:hyperlink>
    </w:p>
    <w:p w14:paraId="7CFA6136" w14:textId="1441B5AC" w:rsidR="003E1543" w:rsidRPr="003E1543" w:rsidRDefault="003E1543">
      <w:pPr>
        <w:pStyle w:val="TM1"/>
        <w:rPr>
          <w:rFonts w:asciiTheme="minorHAnsi" w:eastAsiaTheme="minorEastAsia" w:hAnsiTheme="minorHAnsi"/>
          <w:b/>
          <w:bCs/>
          <w:kern w:val="2"/>
          <w:sz w:val="24"/>
          <w:szCs w:val="24"/>
          <w:lang w:val="en-US"/>
          <w14:ligatures w14:val="standardContextual"/>
        </w:rPr>
      </w:pPr>
      <w:hyperlink w:anchor="_Toc231337012" w:history="1">
        <w:r w:rsidRPr="003E1543">
          <w:rPr>
            <w:rStyle w:val="Lienhypertexte"/>
            <w:rFonts w:cs="Open Sans"/>
            <w:b/>
            <w:bCs/>
          </w:rPr>
          <w:t>F. Taxonomie européenne et combustibles fossiles</w:t>
        </w:r>
        <w:r w:rsidRPr="003E1543">
          <w:rPr>
            <w:b/>
            <w:bCs/>
            <w:webHidden/>
          </w:rPr>
          <w:tab/>
        </w:r>
        <w:r w:rsidRPr="003E1543">
          <w:rPr>
            <w:b/>
            <w:bCs/>
            <w:webHidden/>
          </w:rPr>
          <w:fldChar w:fldCharType="begin"/>
        </w:r>
        <w:r w:rsidRPr="003E1543">
          <w:rPr>
            <w:b/>
            <w:bCs/>
            <w:webHidden/>
          </w:rPr>
          <w:instrText xml:space="preserve"> PAGEREF _Toc231337012 \h </w:instrText>
        </w:r>
        <w:r w:rsidRPr="003E1543">
          <w:rPr>
            <w:b/>
            <w:bCs/>
            <w:webHidden/>
          </w:rPr>
        </w:r>
        <w:r w:rsidRPr="003E1543">
          <w:rPr>
            <w:b/>
            <w:bCs/>
            <w:webHidden/>
          </w:rPr>
          <w:fldChar w:fldCharType="separate"/>
        </w:r>
        <w:r w:rsidR="00FD2A7E">
          <w:rPr>
            <w:b/>
            <w:bCs/>
            <w:webHidden/>
          </w:rPr>
          <w:t>42</w:t>
        </w:r>
        <w:r w:rsidRPr="003E1543">
          <w:rPr>
            <w:b/>
            <w:bCs/>
            <w:webHidden/>
          </w:rPr>
          <w:fldChar w:fldCharType="end"/>
        </w:r>
      </w:hyperlink>
    </w:p>
    <w:p w14:paraId="2C706142" w14:textId="5098A6A0" w:rsidR="003E1543" w:rsidRDefault="003E1543">
      <w:pPr>
        <w:pStyle w:val="TM1"/>
        <w:rPr>
          <w:rFonts w:asciiTheme="minorHAnsi" w:eastAsiaTheme="minorEastAsia" w:hAnsiTheme="minorHAnsi"/>
          <w:kern w:val="2"/>
          <w:sz w:val="24"/>
          <w:szCs w:val="24"/>
          <w:lang w:val="en-US"/>
          <w14:ligatures w14:val="standardContextual"/>
        </w:rPr>
      </w:pPr>
      <w:hyperlink w:anchor="_Toc231337013" w:history="1">
        <w:r w:rsidRPr="00DF2263">
          <w:rPr>
            <w:rStyle w:val="Lienhypertexte"/>
          </w:rPr>
          <w:t>1.</w:t>
        </w:r>
        <w:r>
          <w:rPr>
            <w:rFonts w:asciiTheme="minorHAnsi" w:eastAsiaTheme="minorEastAsia" w:hAnsiTheme="minorHAnsi"/>
            <w:kern w:val="2"/>
            <w:sz w:val="24"/>
            <w:szCs w:val="24"/>
            <w:lang w:val="en-US"/>
            <w14:ligatures w14:val="standardContextual"/>
          </w:rPr>
          <w:tab/>
        </w:r>
        <w:r w:rsidRPr="00DF2263">
          <w:rPr>
            <w:rStyle w:val="Lienhypertexte"/>
          </w:rPr>
          <w:t>Contribuer au développement d’activités économiques considérées comme durables sur le plan environnemental</w:t>
        </w:r>
        <w:r>
          <w:rPr>
            <w:webHidden/>
          </w:rPr>
          <w:tab/>
        </w:r>
        <w:r>
          <w:rPr>
            <w:webHidden/>
          </w:rPr>
          <w:fldChar w:fldCharType="begin"/>
        </w:r>
        <w:r>
          <w:rPr>
            <w:webHidden/>
          </w:rPr>
          <w:instrText xml:space="preserve"> PAGEREF _Toc231337013 \h </w:instrText>
        </w:r>
        <w:r>
          <w:rPr>
            <w:webHidden/>
          </w:rPr>
        </w:r>
        <w:r>
          <w:rPr>
            <w:webHidden/>
          </w:rPr>
          <w:fldChar w:fldCharType="separate"/>
        </w:r>
        <w:r w:rsidR="00FD2A7E">
          <w:rPr>
            <w:webHidden/>
          </w:rPr>
          <w:t>42</w:t>
        </w:r>
        <w:r>
          <w:rPr>
            <w:webHidden/>
          </w:rPr>
          <w:fldChar w:fldCharType="end"/>
        </w:r>
      </w:hyperlink>
    </w:p>
    <w:p w14:paraId="6E4FF891" w14:textId="4462631F" w:rsidR="003E1543" w:rsidRDefault="003E1543">
      <w:pPr>
        <w:pStyle w:val="TM1"/>
        <w:rPr>
          <w:rFonts w:asciiTheme="minorHAnsi" w:eastAsiaTheme="minorEastAsia" w:hAnsiTheme="minorHAnsi"/>
          <w:kern w:val="2"/>
          <w:sz w:val="24"/>
          <w:szCs w:val="24"/>
          <w:lang w:val="en-US"/>
          <w14:ligatures w14:val="standardContextual"/>
        </w:rPr>
      </w:pPr>
      <w:hyperlink w:anchor="_Toc231337014" w:history="1">
        <w:r w:rsidRPr="00DF2263">
          <w:rPr>
            <w:rStyle w:val="Lienhypertexte"/>
          </w:rPr>
          <w:t>2.</w:t>
        </w:r>
        <w:r>
          <w:rPr>
            <w:rFonts w:asciiTheme="minorHAnsi" w:eastAsiaTheme="minorEastAsia" w:hAnsiTheme="minorHAnsi"/>
            <w:kern w:val="2"/>
            <w:sz w:val="24"/>
            <w:szCs w:val="24"/>
            <w:lang w:val="en-US"/>
            <w14:ligatures w14:val="standardContextual"/>
          </w:rPr>
          <w:tab/>
        </w:r>
        <w:r w:rsidRPr="00DF2263">
          <w:rPr>
            <w:rStyle w:val="Lienhypertexte"/>
          </w:rPr>
          <w:t>Diminuer notre part d’investissement dans les énergies fossiles</w:t>
        </w:r>
        <w:r>
          <w:rPr>
            <w:webHidden/>
          </w:rPr>
          <w:tab/>
        </w:r>
        <w:r>
          <w:rPr>
            <w:webHidden/>
          </w:rPr>
          <w:fldChar w:fldCharType="begin"/>
        </w:r>
        <w:r>
          <w:rPr>
            <w:webHidden/>
          </w:rPr>
          <w:instrText xml:space="preserve"> PAGEREF _Toc231337014 \h </w:instrText>
        </w:r>
        <w:r>
          <w:rPr>
            <w:webHidden/>
          </w:rPr>
        </w:r>
        <w:r>
          <w:rPr>
            <w:webHidden/>
          </w:rPr>
          <w:fldChar w:fldCharType="separate"/>
        </w:r>
        <w:r w:rsidR="00FD2A7E">
          <w:rPr>
            <w:webHidden/>
          </w:rPr>
          <w:t>45</w:t>
        </w:r>
        <w:r>
          <w:rPr>
            <w:webHidden/>
          </w:rPr>
          <w:fldChar w:fldCharType="end"/>
        </w:r>
      </w:hyperlink>
    </w:p>
    <w:p w14:paraId="0CFFB97B" w14:textId="0D7C7671" w:rsidR="003E1543" w:rsidRPr="003E1543" w:rsidRDefault="003E1543">
      <w:pPr>
        <w:pStyle w:val="TM1"/>
        <w:rPr>
          <w:rFonts w:asciiTheme="minorHAnsi" w:eastAsiaTheme="minorEastAsia" w:hAnsiTheme="minorHAnsi"/>
          <w:b/>
          <w:bCs/>
          <w:kern w:val="2"/>
          <w:sz w:val="24"/>
          <w:szCs w:val="24"/>
          <w:lang w:val="en-US"/>
          <w14:ligatures w14:val="standardContextual"/>
        </w:rPr>
      </w:pPr>
      <w:hyperlink w:anchor="_Toc231337015" w:history="1">
        <w:r w:rsidRPr="003E1543">
          <w:rPr>
            <w:rStyle w:val="Lienhypertexte"/>
            <w:rFonts w:cs="Open Sans"/>
            <w:b/>
            <w:bCs/>
          </w:rPr>
          <w:t>G. Stratégie d'alignement avec les objectifs de l'Accord de Paris et la stratégie nationale bas-carbone</w:t>
        </w:r>
        <w:r w:rsidRPr="003E1543">
          <w:rPr>
            <w:b/>
            <w:bCs/>
            <w:webHidden/>
          </w:rPr>
          <w:tab/>
        </w:r>
        <w:r w:rsidRPr="003E1543">
          <w:rPr>
            <w:b/>
            <w:bCs/>
            <w:webHidden/>
          </w:rPr>
          <w:fldChar w:fldCharType="begin"/>
        </w:r>
        <w:r w:rsidRPr="003E1543">
          <w:rPr>
            <w:b/>
            <w:bCs/>
            <w:webHidden/>
          </w:rPr>
          <w:instrText xml:space="preserve"> PAGEREF _Toc231337015 \h </w:instrText>
        </w:r>
        <w:r w:rsidRPr="003E1543">
          <w:rPr>
            <w:b/>
            <w:bCs/>
            <w:webHidden/>
          </w:rPr>
        </w:r>
        <w:r w:rsidRPr="003E1543">
          <w:rPr>
            <w:b/>
            <w:bCs/>
            <w:webHidden/>
          </w:rPr>
          <w:fldChar w:fldCharType="separate"/>
        </w:r>
        <w:r w:rsidR="00FD2A7E">
          <w:rPr>
            <w:b/>
            <w:bCs/>
            <w:webHidden/>
          </w:rPr>
          <w:t>47</w:t>
        </w:r>
        <w:r w:rsidRPr="003E1543">
          <w:rPr>
            <w:b/>
            <w:bCs/>
            <w:webHidden/>
          </w:rPr>
          <w:fldChar w:fldCharType="end"/>
        </w:r>
      </w:hyperlink>
    </w:p>
    <w:p w14:paraId="497B5F40" w14:textId="2F133DDF" w:rsidR="003E1543" w:rsidRDefault="003E1543">
      <w:pPr>
        <w:pStyle w:val="TM1"/>
        <w:rPr>
          <w:rFonts w:asciiTheme="minorHAnsi" w:eastAsiaTheme="minorEastAsia" w:hAnsiTheme="minorHAnsi"/>
          <w:kern w:val="2"/>
          <w:sz w:val="24"/>
          <w:szCs w:val="24"/>
          <w:lang w:val="en-US"/>
          <w14:ligatures w14:val="standardContextual"/>
        </w:rPr>
      </w:pPr>
      <w:hyperlink w:anchor="_Toc231337016" w:history="1">
        <w:r w:rsidRPr="00DF2263">
          <w:rPr>
            <w:rStyle w:val="Lienhypertexte"/>
          </w:rPr>
          <w:t>1.</w:t>
        </w:r>
        <w:r>
          <w:rPr>
            <w:rFonts w:asciiTheme="minorHAnsi" w:eastAsiaTheme="minorEastAsia" w:hAnsiTheme="minorHAnsi"/>
            <w:kern w:val="2"/>
            <w:sz w:val="24"/>
            <w:szCs w:val="24"/>
            <w:lang w:val="en-US"/>
            <w14:ligatures w14:val="standardContextual"/>
          </w:rPr>
          <w:tab/>
        </w:r>
        <w:r w:rsidRPr="00DF2263">
          <w:rPr>
            <w:rStyle w:val="Lienhypertexte"/>
          </w:rPr>
          <w:t>Pourquoi agir en faveur du climat</w:t>
        </w:r>
        <w:r>
          <w:rPr>
            <w:webHidden/>
          </w:rPr>
          <w:tab/>
        </w:r>
        <w:r>
          <w:rPr>
            <w:webHidden/>
          </w:rPr>
          <w:fldChar w:fldCharType="begin"/>
        </w:r>
        <w:r>
          <w:rPr>
            <w:webHidden/>
          </w:rPr>
          <w:instrText xml:space="preserve"> PAGEREF _Toc231337016 \h </w:instrText>
        </w:r>
        <w:r>
          <w:rPr>
            <w:webHidden/>
          </w:rPr>
        </w:r>
        <w:r>
          <w:rPr>
            <w:webHidden/>
          </w:rPr>
          <w:fldChar w:fldCharType="separate"/>
        </w:r>
        <w:r w:rsidR="00FD2A7E">
          <w:rPr>
            <w:webHidden/>
          </w:rPr>
          <w:t>47</w:t>
        </w:r>
        <w:r>
          <w:rPr>
            <w:webHidden/>
          </w:rPr>
          <w:fldChar w:fldCharType="end"/>
        </w:r>
      </w:hyperlink>
    </w:p>
    <w:p w14:paraId="1D02039A" w14:textId="0A19663F" w:rsidR="003E1543" w:rsidRDefault="003E1543">
      <w:pPr>
        <w:pStyle w:val="TM1"/>
        <w:rPr>
          <w:rFonts w:asciiTheme="minorHAnsi" w:eastAsiaTheme="minorEastAsia" w:hAnsiTheme="minorHAnsi"/>
          <w:kern w:val="2"/>
          <w:sz w:val="24"/>
          <w:szCs w:val="24"/>
          <w:lang w:val="en-US"/>
          <w14:ligatures w14:val="standardContextual"/>
        </w:rPr>
      </w:pPr>
      <w:hyperlink w:anchor="_Toc231337017" w:history="1">
        <w:r w:rsidRPr="00DF2263">
          <w:rPr>
            <w:rStyle w:val="Lienhypertexte"/>
          </w:rPr>
          <w:t>2.</w:t>
        </w:r>
        <w:r>
          <w:rPr>
            <w:rFonts w:asciiTheme="minorHAnsi" w:eastAsiaTheme="minorEastAsia" w:hAnsiTheme="minorHAnsi"/>
            <w:kern w:val="2"/>
            <w:sz w:val="24"/>
            <w:szCs w:val="24"/>
            <w:lang w:val="en-US"/>
            <w14:ligatures w14:val="standardContextual"/>
          </w:rPr>
          <w:tab/>
        </w:r>
        <w:r w:rsidRPr="00DF2263">
          <w:rPr>
            <w:rStyle w:val="Lienhypertexte"/>
          </w:rPr>
          <w:t>Nos objectifs dans le cadre de l’engagement Net Zero 2050</w:t>
        </w:r>
        <w:r>
          <w:rPr>
            <w:webHidden/>
          </w:rPr>
          <w:tab/>
        </w:r>
        <w:r>
          <w:rPr>
            <w:webHidden/>
          </w:rPr>
          <w:fldChar w:fldCharType="begin"/>
        </w:r>
        <w:r>
          <w:rPr>
            <w:webHidden/>
          </w:rPr>
          <w:instrText xml:space="preserve"> PAGEREF _Toc231337017 \h </w:instrText>
        </w:r>
        <w:r>
          <w:rPr>
            <w:webHidden/>
          </w:rPr>
        </w:r>
        <w:r>
          <w:rPr>
            <w:webHidden/>
          </w:rPr>
          <w:fldChar w:fldCharType="separate"/>
        </w:r>
        <w:r w:rsidR="00FD2A7E">
          <w:rPr>
            <w:webHidden/>
          </w:rPr>
          <w:t>48</w:t>
        </w:r>
        <w:r>
          <w:rPr>
            <w:webHidden/>
          </w:rPr>
          <w:fldChar w:fldCharType="end"/>
        </w:r>
      </w:hyperlink>
    </w:p>
    <w:p w14:paraId="7150ED41" w14:textId="4C8810D6" w:rsidR="003E1543" w:rsidRDefault="003E1543">
      <w:pPr>
        <w:pStyle w:val="TM1"/>
        <w:rPr>
          <w:rFonts w:asciiTheme="minorHAnsi" w:eastAsiaTheme="minorEastAsia" w:hAnsiTheme="minorHAnsi"/>
          <w:kern w:val="2"/>
          <w:sz w:val="24"/>
          <w:szCs w:val="24"/>
          <w:lang w:val="en-US"/>
          <w14:ligatures w14:val="standardContextual"/>
        </w:rPr>
      </w:pPr>
      <w:hyperlink w:anchor="_Toc231337018" w:history="1">
        <w:r w:rsidRPr="00DF2263">
          <w:rPr>
            <w:rStyle w:val="Lienhypertexte"/>
          </w:rPr>
          <w:t>3.</w:t>
        </w:r>
        <w:r>
          <w:rPr>
            <w:rFonts w:asciiTheme="minorHAnsi" w:eastAsiaTheme="minorEastAsia" w:hAnsiTheme="minorHAnsi"/>
            <w:kern w:val="2"/>
            <w:sz w:val="24"/>
            <w:szCs w:val="24"/>
            <w:lang w:val="en-US"/>
            <w14:ligatures w14:val="standardContextual"/>
          </w:rPr>
          <w:tab/>
        </w:r>
        <w:r w:rsidRPr="00DF2263">
          <w:rPr>
            <w:rStyle w:val="Lienhypertexte"/>
          </w:rPr>
          <w:t>Nos leviers d’action</w:t>
        </w:r>
        <w:r>
          <w:rPr>
            <w:webHidden/>
          </w:rPr>
          <w:tab/>
        </w:r>
        <w:r>
          <w:rPr>
            <w:webHidden/>
          </w:rPr>
          <w:fldChar w:fldCharType="begin"/>
        </w:r>
        <w:r>
          <w:rPr>
            <w:webHidden/>
          </w:rPr>
          <w:instrText xml:space="preserve"> PAGEREF _Toc231337018 \h </w:instrText>
        </w:r>
        <w:r>
          <w:rPr>
            <w:webHidden/>
          </w:rPr>
        </w:r>
        <w:r>
          <w:rPr>
            <w:webHidden/>
          </w:rPr>
          <w:fldChar w:fldCharType="separate"/>
        </w:r>
        <w:r w:rsidR="00FD2A7E">
          <w:rPr>
            <w:webHidden/>
          </w:rPr>
          <w:t>50</w:t>
        </w:r>
        <w:r>
          <w:rPr>
            <w:webHidden/>
          </w:rPr>
          <w:fldChar w:fldCharType="end"/>
        </w:r>
      </w:hyperlink>
    </w:p>
    <w:p w14:paraId="48AACD4D" w14:textId="46F0BC7F" w:rsidR="003E1543" w:rsidRDefault="003E1543">
      <w:pPr>
        <w:pStyle w:val="TM1"/>
        <w:rPr>
          <w:rFonts w:asciiTheme="minorHAnsi" w:eastAsiaTheme="minorEastAsia" w:hAnsiTheme="minorHAnsi"/>
          <w:kern w:val="2"/>
          <w:sz w:val="24"/>
          <w:szCs w:val="24"/>
          <w:lang w:val="en-US"/>
          <w14:ligatures w14:val="standardContextual"/>
        </w:rPr>
      </w:pPr>
      <w:hyperlink w:anchor="_Toc231337019" w:history="1">
        <w:r w:rsidRPr="00DF2263">
          <w:rPr>
            <w:rStyle w:val="Lienhypertexte"/>
            <w:rFonts w:cs="Open Sans"/>
          </w:rPr>
          <w:t>4.</w:t>
        </w:r>
        <w:r>
          <w:rPr>
            <w:rFonts w:asciiTheme="minorHAnsi" w:eastAsiaTheme="minorEastAsia" w:hAnsiTheme="minorHAnsi"/>
            <w:kern w:val="2"/>
            <w:sz w:val="24"/>
            <w:szCs w:val="24"/>
            <w:lang w:val="en-US"/>
            <w14:ligatures w14:val="standardContextual"/>
          </w:rPr>
          <w:tab/>
        </w:r>
        <w:r w:rsidRPr="00DF2263">
          <w:rPr>
            <w:rStyle w:val="Lienhypertexte"/>
            <w:rFonts w:cs="Open Sans"/>
          </w:rPr>
          <w:t>Mesure et pilotage de nos engagements</w:t>
        </w:r>
        <w:r>
          <w:rPr>
            <w:webHidden/>
          </w:rPr>
          <w:tab/>
        </w:r>
        <w:r>
          <w:rPr>
            <w:webHidden/>
          </w:rPr>
          <w:fldChar w:fldCharType="begin"/>
        </w:r>
        <w:r>
          <w:rPr>
            <w:webHidden/>
          </w:rPr>
          <w:instrText xml:space="preserve"> PAGEREF _Toc231337019 \h </w:instrText>
        </w:r>
        <w:r>
          <w:rPr>
            <w:webHidden/>
          </w:rPr>
        </w:r>
        <w:r>
          <w:rPr>
            <w:webHidden/>
          </w:rPr>
          <w:fldChar w:fldCharType="separate"/>
        </w:r>
        <w:r w:rsidR="00FD2A7E">
          <w:rPr>
            <w:webHidden/>
          </w:rPr>
          <w:t>55</w:t>
        </w:r>
        <w:r>
          <w:rPr>
            <w:webHidden/>
          </w:rPr>
          <w:fldChar w:fldCharType="end"/>
        </w:r>
      </w:hyperlink>
    </w:p>
    <w:p w14:paraId="5B92D205" w14:textId="20962B04" w:rsidR="003E1543" w:rsidRPr="003E1543" w:rsidRDefault="003E1543">
      <w:pPr>
        <w:pStyle w:val="TM1"/>
        <w:rPr>
          <w:rFonts w:asciiTheme="minorHAnsi" w:eastAsiaTheme="minorEastAsia" w:hAnsiTheme="minorHAnsi"/>
          <w:b/>
          <w:bCs/>
          <w:kern w:val="2"/>
          <w:sz w:val="24"/>
          <w:szCs w:val="24"/>
          <w:lang w:val="en-US"/>
          <w14:ligatures w14:val="standardContextual"/>
        </w:rPr>
      </w:pPr>
      <w:hyperlink w:anchor="_Toc231337020" w:history="1">
        <w:r w:rsidRPr="003E1543">
          <w:rPr>
            <w:rStyle w:val="Lienhypertexte"/>
            <w:rFonts w:cs="Open Sans"/>
            <w:b/>
            <w:bCs/>
          </w:rPr>
          <w:t>H. Stratégie d'alignement avec les objectifs de long terme liés à la biodiversité</w:t>
        </w:r>
        <w:r w:rsidRPr="003E1543">
          <w:rPr>
            <w:b/>
            <w:bCs/>
            <w:webHidden/>
          </w:rPr>
          <w:tab/>
        </w:r>
        <w:r w:rsidRPr="003E1543">
          <w:rPr>
            <w:b/>
            <w:bCs/>
            <w:webHidden/>
          </w:rPr>
          <w:fldChar w:fldCharType="begin"/>
        </w:r>
        <w:r w:rsidRPr="003E1543">
          <w:rPr>
            <w:b/>
            <w:bCs/>
            <w:webHidden/>
          </w:rPr>
          <w:instrText xml:space="preserve"> PAGEREF _Toc231337020 \h </w:instrText>
        </w:r>
        <w:r w:rsidRPr="003E1543">
          <w:rPr>
            <w:b/>
            <w:bCs/>
            <w:webHidden/>
          </w:rPr>
        </w:r>
        <w:r w:rsidRPr="003E1543">
          <w:rPr>
            <w:b/>
            <w:bCs/>
            <w:webHidden/>
          </w:rPr>
          <w:fldChar w:fldCharType="separate"/>
        </w:r>
        <w:r w:rsidR="00FD2A7E">
          <w:rPr>
            <w:b/>
            <w:bCs/>
            <w:webHidden/>
          </w:rPr>
          <w:t>66</w:t>
        </w:r>
        <w:r w:rsidRPr="003E1543">
          <w:rPr>
            <w:b/>
            <w:bCs/>
            <w:webHidden/>
          </w:rPr>
          <w:fldChar w:fldCharType="end"/>
        </w:r>
      </w:hyperlink>
    </w:p>
    <w:p w14:paraId="2A8FFBDC" w14:textId="5130D84C" w:rsidR="003E1543" w:rsidRDefault="003E1543">
      <w:pPr>
        <w:pStyle w:val="TM1"/>
        <w:rPr>
          <w:rFonts w:asciiTheme="minorHAnsi" w:eastAsiaTheme="minorEastAsia" w:hAnsiTheme="minorHAnsi"/>
          <w:kern w:val="2"/>
          <w:sz w:val="24"/>
          <w:szCs w:val="24"/>
          <w:lang w:val="en-US"/>
          <w14:ligatures w14:val="standardContextual"/>
        </w:rPr>
      </w:pPr>
      <w:hyperlink w:anchor="_Toc231337021" w:history="1">
        <w:r w:rsidRPr="00DF2263">
          <w:rPr>
            <w:rStyle w:val="Lienhypertexte"/>
            <w:rFonts w:cs="Open Sans"/>
          </w:rPr>
          <w:t>1.</w:t>
        </w:r>
        <w:r>
          <w:rPr>
            <w:rFonts w:asciiTheme="minorHAnsi" w:eastAsiaTheme="minorEastAsia" w:hAnsiTheme="minorHAnsi"/>
            <w:kern w:val="2"/>
            <w:sz w:val="24"/>
            <w:szCs w:val="24"/>
            <w:lang w:val="en-US"/>
            <w14:ligatures w14:val="standardContextual"/>
          </w:rPr>
          <w:tab/>
        </w:r>
        <w:r w:rsidRPr="00DF2263">
          <w:rPr>
            <w:rStyle w:val="Lienhypertexte"/>
            <w:rFonts w:cs="Open Sans"/>
          </w:rPr>
          <w:t>Intégrer les enjeux liés à la biodiversité dans notre stratégie</w:t>
        </w:r>
        <w:r>
          <w:rPr>
            <w:webHidden/>
          </w:rPr>
          <w:tab/>
        </w:r>
        <w:r>
          <w:rPr>
            <w:webHidden/>
          </w:rPr>
          <w:fldChar w:fldCharType="begin"/>
        </w:r>
        <w:r>
          <w:rPr>
            <w:webHidden/>
          </w:rPr>
          <w:instrText xml:space="preserve"> PAGEREF _Toc231337021 \h </w:instrText>
        </w:r>
        <w:r>
          <w:rPr>
            <w:webHidden/>
          </w:rPr>
        </w:r>
        <w:r>
          <w:rPr>
            <w:webHidden/>
          </w:rPr>
          <w:fldChar w:fldCharType="separate"/>
        </w:r>
        <w:r w:rsidR="00FD2A7E">
          <w:rPr>
            <w:webHidden/>
          </w:rPr>
          <w:t>66</w:t>
        </w:r>
        <w:r>
          <w:rPr>
            <w:webHidden/>
          </w:rPr>
          <w:fldChar w:fldCharType="end"/>
        </w:r>
      </w:hyperlink>
    </w:p>
    <w:p w14:paraId="70BDEBEE" w14:textId="32791465" w:rsidR="003E1543" w:rsidRDefault="003E1543">
      <w:pPr>
        <w:pStyle w:val="TM1"/>
        <w:rPr>
          <w:rFonts w:asciiTheme="minorHAnsi" w:eastAsiaTheme="minorEastAsia" w:hAnsiTheme="minorHAnsi"/>
          <w:kern w:val="2"/>
          <w:sz w:val="24"/>
          <w:szCs w:val="24"/>
          <w:lang w:val="en-US"/>
          <w14:ligatures w14:val="standardContextual"/>
        </w:rPr>
      </w:pPr>
      <w:hyperlink w:anchor="_Toc231337022" w:history="1">
        <w:r w:rsidRPr="00DF2263">
          <w:rPr>
            <w:rStyle w:val="Lienhypertexte"/>
            <w:rFonts w:cs="Open Sans"/>
          </w:rPr>
          <w:t>2.</w:t>
        </w:r>
        <w:r>
          <w:rPr>
            <w:rFonts w:asciiTheme="minorHAnsi" w:eastAsiaTheme="minorEastAsia" w:hAnsiTheme="minorHAnsi"/>
            <w:kern w:val="2"/>
            <w:sz w:val="24"/>
            <w:szCs w:val="24"/>
            <w:lang w:val="en-US"/>
            <w14:ligatures w14:val="standardContextual"/>
          </w:rPr>
          <w:tab/>
        </w:r>
        <w:r w:rsidRPr="00DF2263">
          <w:rPr>
            <w:rStyle w:val="Lienhypertexte"/>
            <w:rFonts w:cs="Open Sans"/>
          </w:rPr>
          <w:t>Nos politiques sectorielles sur la biodiversité</w:t>
        </w:r>
        <w:r>
          <w:rPr>
            <w:webHidden/>
          </w:rPr>
          <w:tab/>
        </w:r>
        <w:r>
          <w:rPr>
            <w:webHidden/>
          </w:rPr>
          <w:fldChar w:fldCharType="begin"/>
        </w:r>
        <w:r>
          <w:rPr>
            <w:webHidden/>
          </w:rPr>
          <w:instrText xml:space="preserve"> PAGEREF _Toc231337022 \h </w:instrText>
        </w:r>
        <w:r>
          <w:rPr>
            <w:webHidden/>
          </w:rPr>
        </w:r>
        <w:r>
          <w:rPr>
            <w:webHidden/>
          </w:rPr>
          <w:fldChar w:fldCharType="separate"/>
        </w:r>
        <w:r w:rsidR="00FD2A7E">
          <w:rPr>
            <w:webHidden/>
          </w:rPr>
          <w:t>69</w:t>
        </w:r>
        <w:r>
          <w:rPr>
            <w:webHidden/>
          </w:rPr>
          <w:fldChar w:fldCharType="end"/>
        </w:r>
      </w:hyperlink>
    </w:p>
    <w:p w14:paraId="4110EE77" w14:textId="225C3D77" w:rsidR="003E1543" w:rsidRDefault="003E1543">
      <w:pPr>
        <w:pStyle w:val="TM1"/>
        <w:rPr>
          <w:rFonts w:asciiTheme="minorHAnsi" w:eastAsiaTheme="minorEastAsia" w:hAnsiTheme="minorHAnsi"/>
          <w:kern w:val="2"/>
          <w:sz w:val="24"/>
          <w:szCs w:val="24"/>
          <w:lang w:val="en-US"/>
          <w14:ligatures w14:val="standardContextual"/>
        </w:rPr>
      </w:pPr>
      <w:hyperlink w:anchor="_Toc231337023" w:history="1">
        <w:r w:rsidRPr="00DF2263">
          <w:rPr>
            <w:rStyle w:val="Lienhypertexte"/>
            <w:rFonts w:cs="Open Sans"/>
          </w:rPr>
          <w:t>3.</w:t>
        </w:r>
        <w:r>
          <w:rPr>
            <w:rFonts w:asciiTheme="minorHAnsi" w:eastAsiaTheme="minorEastAsia" w:hAnsiTheme="minorHAnsi"/>
            <w:kern w:val="2"/>
            <w:sz w:val="24"/>
            <w:szCs w:val="24"/>
            <w:lang w:val="en-US"/>
            <w14:ligatures w14:val="standardContextual"/>
          </w:rPr>
          <w:tab/>
        </w:r>
        <w:r w:rsidRPr="00DF2263">
          <w:rPr>
            <w:rStyle w:val="Lienhypertexte"/>
            <w:rFonts w:cs="Open Sans"/>
          </w:rPr>
          <w:t>Notre impact sur la biodiversité</w:t>
        </w:r>
        <w:r>
          <w:rPr>
            <w:webHidden/>
          </w:rPr>
          <w:tab/>
        </w:r>
        <w:r>
          <w:rPr>
            <w:webHidden/>
          </w:rPr>
          <w:fldChar w:fldCharType="begin"/>
        </w:r>
        <w:r>
          <w:rPr>
            <w:webHidden/>
          </w:rPr>
          <w:instrText xml:space="preserve"> PAGEREF _Toc231337023 \h </w:instrText>
        </w:r>
        <w:r>
          <w:rPr>
            <w:webHidden/>
          </w:rPr>
        </w:r>
        <w:r>
          <w:rPr>
            <w:webHidden/>
          </w:rPr>
          <w:fldChar w:fldCharType="separate"/>
        </w:r>
        <w:r w:rsidR="00FD2A7E">
          <w:rPr>
            <w:webHidden/>
          </w:rPr>
          <w:t>71</w:t>
        </w:r>
        <w:r>
          <w:rPr>
            <w:webHidden/>
          </w:rPr>
          <w:fldChar w:fldCharType="end"/>
        </w:r>
      </w:hyperlink>
    </w:p>
    <w:p w14:paraId="41991F60" w14:textId="1AC719CC" w:rsidR="003E1543" w:rsidRPr="003E1543" w:rsidRDefault="003E1543">
      <w:pPr>
        <w:pStyle w:val="TM1"/>
        <w:rPr>
          <w:rFonts w:asciiTheme="minorHAnsi" w:eastAsiaTheme="minorEastAsia" w:hAnsiTheme="minorHAnsi"/>
          <w:b/>
          <w:bCs/>
          <w:kern w:val="2"/>
          <w:sz w:val="24"/>
          <w:szCs w:val="24"/>
          <w:lang w:val="en-US"/>
          <w14:ligatures w14:val="standardContextual"/>
        </w:rPr>
      </w:pPr>
      <w:hyperlink w:anchor="_Toc231337024" w:history="1">
        <w:r w:rsidRPr="003E1543">
          <w:rPr>
            <w:rStyle w:val="Lienhypertexte"/>
            <w:rFonts w:cs="Open Sans"/>
            <w:b/>
            <w:bCs/>
          </w:rPr>
          <w:t>I.</w:t>
        </w:r>
        <w:r w:rsidRPr="003E1543">
          <w:rPr>
            <w:rFonts w:asciiTheme="minorHAnsi" w:eastAsiaTheme="minorEastAsia" w:hAnsiTheme="minorHAnsi"/>
            <w:b/>
            <w:bCs/>
            <w:kern w:val="2"/>
            <w:sz w:val="24"/>
            <w:szCs w:val="24"/>
            <w:lang w:val="en-US"/>
            <w14:ligatures w14:val="standardContextual"/>
          </w:rPr>
          <w:tab/>
        </w:r>
        <w:r w:rsidRPr="003E1543">
          <w:rPr>
            <w:rStyle w:val="Lienhypertexte"/>
            <w:rFonts w:cs="Open Sans"/>
            <w:b/>
            <w:bCs/>
          </w:rPr>
          <w:t>Démarche de prise en compte des critères ESG dans la gestion des risques</w:t>
        </w:r>
        <w:r w:rsidRPr="003E1543">
          <w:rPr>
            <w:b/>
            <w:bCs/>
            <w:webHidden/>
          </w:rPr>
          <w:tab/>
        </w:r>
        <w:r w:rsidRPr="003E1543">
          <w:rPr>
            <w:b/>
            <w:bCs/>
            <w:webHidden/>
          </w:rPr>
          <w:fldChar w:fldCharType="begin"/>
        </w:r>
        <w:r w:rsidRPr="003E1543">
          <w:rPr>
            <w:b/>
            <w:bCs/>
            <w:webHidden/>
          </w:rPr>
          <w:instrText xml:space="preserve"> PAGEREF _Toc231337024 \h </w:instrText>
        </w:r>
        <w:r w:rsidRPr="003E1543">
          <w:rPr>
            <w:b/>
            <w:bCs/>
            <w:webHidden/>
          </w:rPr>
        </w:r>
        <w:r w:rsidRPr="003E1543">
          <w:rPr>
            <w:b/>
            <w:bCs/>
            <w:webHidden/>
          </w:rPr>
          <w:fldChar w:fldCharType="separate"/>
        </w:r>
        <w:r w:rsidR="00FD2A7E">
          <w:rPr>
            <w:b/>
            <w:bCs/>
            <w:webHidden/>
          </w:rPr>
          <w:t>75</w:t>
        </w:r>
        <w:r w:rsidRPr="003E1543">
          <w:rPr>
            <w:b/>
            <w:bCs/>
            <w:webHidden/>
          </w:rPr>
          <w:fldChar w:fldCharType="end"/>
        </w:r>
      </w:hyperlink>
    </w:p>
    <w:p w14:paraId="2A557F0B" w14:textId="480F51CD" w:rsidR="003E1543" w:rsidRDefault="003E1543">
      <w:pPr>
        <w:pStyle w:val="TM1"/>
        <w:rPr>
          <w:rFonts w:asciiTheme="minorHAnsi" w:eastAsiaTheme="minorEastAsia" w:hAnsiTheme="minorHAnsi"/>
          <w:kern w:val="2"/>
          <w:sz w:val="24"/>
          <w:szCs w:val="24"/>
          <w:lang w:val="en-US"/>
          <w14:ligatures w14:val="standardContextual"/>
        </w:rPr>
      </w:pPr>
      <w:hyperlink w:anchor="_Toc231337025" w:history="1">
        <w:r w:rsidRPr="00DF2263">
          <w:rPr>
            <w:rStyle w:val="Lienhypertexte"/>
            <w:rFonts w:cs="Open Sans"/>
          </w:rPr>
          <w:t>1.</w:t>
        </w:r>
        <w:r>
          <w:rPr>
            <w:rFonts w:asciiTheme="minorHAnsi" w:eastAsiaTheme="minorEastAsia" w:hAnsiTheme="minorHAnsi"/>
            <w:kern w:val="2"/>
            <w:sz w:val="24"/>
            <w:szCs w:val="24"/>
            <w:lang w:val="en-US"/>
            <w14:ligatures w14:val="standardContextual"/>
          </w:rPr>
          <w:tab/>
        </w:r>
        <w:r w:rsidRPr="00DF2263">
          <w:rPr>
            <w:rStyle w:val="Lienhypertexte"/>
            <w:rFonts w:cs="Open Sans"/>
          </w:rPr>
          <w:t>Identifier les risques de durabilité</w:t>
        </w:r>
        <w:r>
          <w:rPr>
            <w:webHidden/>
          </w:rPr>
          <w:tab/>
        </w:r>
        <w:r>
          <w:rPr>
            <w:webHidden/>
          </w:rPr>
          <w:fldChar w:fldCharType="begin"/>
        </w:r>
        <w:r>
          <w:rPr>
            <w:webHidden/>
          </w:rPr>
          <w:instrText xml:space="preserve"> PAGEREF _Toc231337025 \h </w:instrText>
        </w:r>
        <w:r>
          <w:rPr>
            <w:webHidden/>
          </w:rPr>
        </w:r>
        <w:r>
          <w:rPr>
            <w:webHidden/>
          </w:rPr>
          <w:fldChar w:fldCharType="separate"/>
        </w:r>
        <w:r w:rsidR="00FD2A7E">
          <w:rPr>
            <w:webHidden/>
          </w:rPr>
          <w:t>76</w:t>
        </w:r>
        <w:r>
          <w:rPr>
            <w:webHidden/>
          </w:rPr>
          <w:fldChar w:fldCharType="end"/>
        </w:r>
      </w:hyperlink>
    </w:p>
    <w:p w14:paraId="2CF78251" w14:textId="05260A07" w:rsidR="003E1543" w:rsidRDefault="003E1543">
      <w:pPr>
        <w:pStyle w:val="TM1"/>
        <w:rPr>
          <w:rFonts w:asciiTheme="minorHAnsi" w:eastAsiaTheme="minorEastAsia" w:hAnsiTheme="minorHAnsi"/>
          <w:kern w:val="2"/>
          <w:sz w:val="24"/>
          <w:szCs w:val="24"/>
          <w:lang w:val="en-US"/>
          <w14:ligatures w14:val="standardContextual"/>
        </w:rPr>
      </w:pPr>
      <w:hyperlink w:anchor="_Toc231337026" w:history="1">
        <w:r w:rsidRPr="00DF2263">
          <w:rPr>
            <w:rStyle w:val="Lienhypertexte"/>
            <w:rFonts w:cs="Open Sans"/>
          </w:rPr>
          <w:t>2.</w:t>
        </w:r>
        <w:r>
          <w:rPr>
            <w:rFonts w:asciiTheme="minorHAnsi" w:eastAsiaTheme="minorEastAsia" w:hAnsiTheme="minorHAnsi"/>
            <w:kern w:val="2"/>
            <w:sz w:val="24"/>
            <w:szCs w:val="24"/>
            <w:lang w:val="en-US"/>
            <w14:ligatures w14:val="standardContextual"/>
          </w:rPr>
          <w:tab/>
        </w:r>
        <w:r w:rsidRPr="00DF2263">
          <w:rPr>
            <w:rStyle w:val="Lienhypertexte"/>
            <w:rFonts w:cs="Open Sans"/>
          </w:rPr>
          <w:t>Evaluation de l’exposition des investissements aux risques de durabilité</w:t>
        </w:r>
        <w:r>
          <w:rPr>
            <w:webHidden/>
          </w:rPr>
          <w:tab/>
        </w:r>
        <w:r>
          <w:rPr>
            <w:webHidden/>
          </w:rPr>
          <w:fldChar w:fldCharType="begin"/>
        </w:r>
        <w:r>
          <w:rPr>
            <w:webHidden/>
          </w:rPr>
          <w:instrText xml:space="preserve"> PAGEREF _Toc231337026 \h </w:instrText>
        </w:r>
        <w:r>
          <w:rPr>
            <w:webHidden/>
          </w:rPr>
        </w:r>
        <w:r>
          <w:rPr>
            <w:webHidden/>
          </w:rPr>
          <w:fldChar w:fldCharType="separate"/>
        </w:r>
        <w:r w:rsidR="00FD2A7E">
          <w:rPr>
            <w:webHidden/>
          </w:rPr>
          <w:t>76</w:t>
        </w:r>
        <w:r>
          <w:rPr>
            <w:webHidden/>
          </w:rPr>
          <w:fldChar w:fldCharType="end"/>
        </w:r>
      </w:hyperlink>
    </w:p>
    <w:p w14:paraId="2E4F358B" w14:textId="5CDD9D20" w:rsidR="003E1543" w:rsidRDefault="003E1543">
      <w:pPr>
        <w:pStyle w:val="TM1"/>
        <w:rPr>
          <w:rFonts w:asciiTheme="minorHAnsi" w:eastAsiaTheme="minorEastAsia" w:hAnsiTheme="minorHAnsi"/>
          <w:kern w:val="2"/>
          <w:sz w:val="24"/>
          <w:szCs w:val="24"/>
          <w:lang w:val="en-US"/>
          <w14:ligatures w14:val="standardContextual"/>
        </w:rPr>
      </w:pPr>
      <w:hyperlink w:anchor="_Toc231337027" w:history="1">
        <w:r w:rsidRPr="00DF2263">
          <w:rPr>
            <w:rStyle w:val="Lienhypertexte"/>
            <w:rFonts w:cs="Open Sans"/>
          </w:rPr>
          <w:t>3.</w:t>
        </w:r>
        <w:r>
          <w:rPr>
            <w:rFonts w:asciiTheme="minorHAnsi" w:eastAsiaTheme="minorEastAsia" w:hAnsiTheme="minorHAnsi"/>
            <w:kern w:val="2"/>
            <w:sz w:val="24"/>
            <w:szCs w:val="24"/>
            <w:lang w:val="en-US"/>
            <w14:ligatures w14:val="standardContextual"/>
          </w:rPr>
          <w:tab/>
        </w:r>
        <w:r w:rsidRPr="00DF2263">
          <w:rPr>
            <w:rStyle w:val="Lienhypertexte"/>
            <w:rFonts w:cs="Open Sans"/>
          </w:rPr>
          <w:t>Evaluation de l’exposition des investissements aux risques liés à la nature</w:t>
        </w:r>
        <w:r>
          <w:rPr>
            <w:webHidden/>
          </w:rPr>
          <w:tab/>
        </w:r>
        <w:r>
          <w:rPr>
            <w:webHidden/>
          </w:rPr>
          <w:fldChar w:fldCharType="begin"/>
        </w:r>
        <w:r>
          <w:rPr>
            <w:webHidden/>
          </w:rPr>
          <w:instrText xml:space="preserve"> PAGEREF _Toc231337027 \h </w:instrText>
        </w:r>
        <w:r>
          <w:rPr>
            <w:webHidden/>
          </w:rPr>
        </w:r>
        <w:r>
          <w:rPr>
            <w:webHidden/>
          </w:rPr>
          <w:fldChar w:fldCharType="separate"/>
        </w:r>
        <w:r w:rsidR="00FD2A7E">
          <w:rPr>
            <w:webHidden/>
          </w:rPr>
          <w:t>79</w:t>
        </w:r>
        <w:r>
          <w:rPr>
            <w:webHidden/>
          </w:rPr>
          <w:fldChar w:fldCharType="end"/>
        </w:r>
      </w:hyperlink>
    </w:p>
    <w:p w14:paraId="2FC5E05A" w14:textId="64F8C619" w:rsidR="003E1543" w:rsidRDefault="003E1543">
      <w:pPr>
        <w:pStyle w:val="TM1"/>
        <w:rPr>
          <w:rFonts w:asciiTheme="minorHAnsi" w:eastAsiaTheme="minorEastAsia" w:hAnsiTheme="minorHAnsi"/>
          <w:kern w:val="2"/>
          <w:sz w:val="24"/>
          <w:szCs w:val="24"/>
          <w:lang w:val="en-US"/>
          <w14:ligatures w14:val="standardContextual"/>
        </w:rPr>
      </w:pPr>
      <w:hyperlink w:anchor="_Toc231337028" w:history="1">
        <w:r w:rsidRPr="00DF2263">
          <w:rPr>
            <w:rStyle w:val="Lienhypertexte"/>
            <w:bCs/>
          </w:rPr>
          <w:t>4.</w:t>
        </w:r>
        <w:r>
          <w:rPr>
            <w:rFonts w:asciiTheme="minorHAnsi" w:eastAsiaTheme="minorEastAsia" w:hAnsiTheme="minorHAnsi"/>
            <w:kern w:val="2"/>
            <w:sz w:val="24"/>
            <w:szCs w:val="24"/>
            <w:lang w:val="en-US"/>
            <w14:ligatures w14:val="standardContextual"/>
          </w:rPr>
          <w:tab/>
        </w:r>
        <w:r w:rsidRPr="00DF2263">
          <w:rPr>
            <w:rStyle w:val="Lienhypertexte"/>
            <w:rFonts w:cs="Open Sans"/>
          </w:rPr>
          <w:t>Dispositif de pilotage des risques de durabilité</w:t>
        </w:r>
        <w:r>
          <w:rPr>
            <w:webHidden/>
          </w:rPr>
          <w:tab/>
        </w:r>
        <w:r>
          <w:rPr>
            <w:webHidden/>
          </w:rPr>
          <w:fldChar w:fldCharType="begin"/>
        </w:r>
        <w:r>
          <w:rPr>
            <w:webHidden/>
          </w:rPr>
          <w:instrText xml:space="preserve"> PAGEREF _Toc231337028 \h </w:instrText>
        </w:r>
        <w:r>
          <w:rPr>
            <w:webHidden/>
          </w:rPr>
        </w:r>
        <w:r>
          <w:rPr>
            <w:webHidden/>
          </w:rPr>
          <w:fldChar w:fldCharType="separate"/>
        </w:r>
        <w:r w:rsidR="00FD2A7E">
          <w:rPr>
            <w:webHidden/>
          </w:rPr>
          <w:t>96</w:t>
        </w:r>
        <w:r>
          <w:rPr>
            <w:webHidden/>
          </w:rPr>
          <w:fldChar w:fldCharType="end"/>
        </w:r>
      </w:hyperlink>
    </w:p>
    <w:p w14:paraId="553CA1C7" w14:textId="4486B62C" w:rsidR="003E1543" w:rsidRPr="003E1543" w:rsidRDefault="003E1543">
      <w:pPr>
        <w:pStyle w:val="TM1"/>
        <w:rPr>
          <w:rFonts w:asciiTheme="minorHAnsi" w:eastAsiaTheme="minorEastAsia" w:hAnsiTheme="minorHAnsi"/>
          <w:b/>
          <w:bCs/>
          <w:kern w:val="2"/>
          <w:sz w:val="24"/>
          <w:szCs w:val="24"/>
          <w:lang w:val="en-US"/>
          <w14:ligatures w14:val="standardContextual"/>
        </w:rPr>
      </w:pPr>
      <w:hyperlink w:anchor="_Toc231337029" w:history="1">
        <w:r w:rsidRPr="003E1543">
          <w:rPr>
            <w:rStyle w:val="Lienhypertexte"/>
            <w:rFonts w:cs="Open Sans"/>
            <w:b/>
            <w:bCs/>
          </w:rPr>
          <w:t>J. Perspectives</w:t>
        </w:r>
        <w:r w:rsidRPr="003E1543">
          <w:rPr>
            <w:b/>
            <w:bCs/>
            <w:webHidden/>
          </w:rPr>
          <w:tab/>
        </w:r>
        <w:r w:rsidRPr="003E1543">
          <w:rPr>
            <w:b/>
            <w:bCs/>
            <w:webHidden/>
          </w:rPr>
          <w:fldChar w:fldCharType="begin"/>
        </w:r>
        <w:r w:rsidRPr="003E1543">
          <w:rPr>
            <w:b/>
            <w:bCs/>
            <w:webHidden/>
          </w:rPr>
          <w:instrText xml:space="preserve"> PAGEREF _Toc231337029 \h </w:instrText>
        </w:r>
        <w:r w:rsidRPr="003E1543">
          <w:rPr>
            <w:b/>
            <w:bCs/>
            <w:webHidden/>
          </w:rPr>
        </w:r>
        <w:r w:rsidRPr="003E1543">
          <w:rPr>
            <w:b/>
            <w:bCs/>
            <w:webHidden/>
          </w:rPr>
          <w:fldChar w:fldCharType="separate"/>
        </w:r>
        <w:r w:rsidR="00FD2A7E">
          <w:rPr>
            <w:b/>
            <w:bCs/>
            <w:webHidden/>
          </w:rPr>
          <w:t>99</w:t>
        </w:r>
        <w:r w:rsidRPr="003E1543">
          <w:rPr>
            <w:b/>
            <w:bCs/>
            <w:webHidden/>
          </w:rPr>
          <w:fldChar w:fldCharType="end"/>
        </w:r>
      </w:hyperlink>
    </w:p>
    <w:p w14:paraId="12173B45" w14:textId="1DEE4149" w:rsidR="003E1543" w:rsidRPr="003E1543" w:rsidRDefault="003E1543">
      <w:pPr>
        <w:pStyle w:val="TM1"/>
        <w:rPr>
          <w:rFonts w:asciiTheme="minorHAnsi" w:eastAsiaTheme="minorEastAsia" w:hAnsiTheme="minorHAnsi"/>
          <w:b/>
          <w:bCs/>
          <w:kern w:val="2"/>
          <w:sz w:val="24"/>
          <w:szCs w:val="24"/>
          <w:lang w:val="en-US"/>
          <w14:ligatures w14:val="standardContextual"/>
        </w:rPr>
      </w:pPr>
      <w:hyperlink w:anchor="_Toc231337030" w:history="1">
        <w:r w:rsidRPr="003E1543">
          <w:rPr>
            <w:rStyle w:val="Lienhypertexte"/>
            <w:rFonts w:cs="Open Sans"/>
            <w:b/>
            <w:bCs/>
          </w:rPr>
          <w:t>K. Informations issues des dispositions de l’article 4 du règlement (UE) 2019/2088 du Parlement européen et du Conseil du 27 novembre 2019</w:t>
        </w:r>
        <w:r w:rsidRPr="003E1543">
          <w:rPr>
            <w:b/>
            <w:bCs/>
            <w:webHidden/>
          </w:rPr>
          <w:tab/>
        </w:r>
        <w:r w:rsidRPr="003E1543">
          <w:rPr>
            <w:b/>
            <w:bCs/>
            <w:webHidden/>
          </w:rPr>
          <w:fldChar w:fldCharType="begin"/>
        </w:r>
        <w:r w:rsidRPr="003E1543">
          <w:rPr>
            <w:b/>
            <w:bCs/>
            <w:webHidden/>
          </w:rPr>
          <w:instrText xml:space="preserve"> PAGEREF _Toc231337030 \h </w:instrText>
        </w:r>
        <w:r w:rsidRPr="003E1543">
          <w:rPr>
            <w:b/>
            <w:bCs/>
            <w:webHidden/>
          </w:rPr>
        </w:r>
        <w:r w:rsidRPr="003E1543">
          <w:rPr>
            <w:b/>
            <w:bCs/>
            <w:webHidden/>
          </w:rPr>
          <w:fldChar w:fldCharType="separate"/>
        </w:r>
        <w:r w:rsidR="00FD2A7E">
          <w:rPr>
            <w:b/>
            <w:bCs/>
            <w:webHidden/>
          </w:rPr>
          <w:t>100</w:t>
        </w:r>
        <w:r w:rsidRPr="003E1543">
          <w:rPr>
            <w:b/>
            <w:bCs/>
            <w:webHidden/>
          </w:rPr>
          <w:fldChar w:fldCharType="end"/>
        </w:r>
      </w:hyperlink>
    </w:p>
    <w:p w14:paraId="20496FBB" w14:textId="718C48D6" w:rsidR="003E1543" w:rsidRPr="003E1543" w:rsidRDefault="003E1543">
      <w:pPr>
        <w:pStyle w:val="TM1"/>
        <w:rPr>
          <w:rFonts w:asciiTheme="minorHAnsi" w:eastAsiaTheme="minorEastAsia" w:hAnsiTheme="minorHAnsi"/>
          <w:b/>
          <w:bCs/>
          <w:kern w:val="2"/>
          <w:sz w:val="24"/>
          <w:szCs w:val="24"/>
          <w:lang w:val="en-US"/>
          <w14:ligatures w14:val="standardContextual"/>
        </w:rPr>
      </w:pPr>
      <w:hyperlink w:anchor="_Toc231337031" w:history="1">
        <w:r w:rsidRPr="003E1543">
          <w:rPr>
            <w:rStyle w:val="Lienhypertexte"/>
            <w:rFonts w:cs="Open Sans"/>
            <w:b/>
            <w:bCs/>
          </w:rPr>
          <w:t>Annexes</w:t>
        </w:r>
        <w:r w:rsidRPr="003E1543">
          <w:rPr>
            <w:b/>
            <w:bCs/>
            <w:webHidden/>
          </w:rPr>
          <w:tab/>
        </w:r>
        <w:r w:rsidRPr="003E1543">
          <w:rPr>
            <w:b/>
            <w:bCs/>
            <w:webHidden/>
          </w:rPr>
          <w:fldChar w:fldCharType="begin"/>
        </w:r>
        <w:r w:rsidRPr="003E1543">
          <w:rPr>
            <w:b/>
            <w:bCs/>
            <w:webHidden/>
          </w:rPr>
          <w:instrText xml:space="preserve"> PAGEREF _Toc231337031 \h </w:instrText>
        </w:r>
        <w:r w:rsidRPr="003E1543">
          <w:rPr>
            <w:b/>
            <w:bCs/>
            <w:webHidden/>
          </w:rPr>
        </w:r>
        <w:r w:rsidRPr="003E1543">
          <w:rPr>
            <w:b/>
            <w:bCs/>
            <w:webHidden/>
          </w:rPr>
          <w:fldChar w:fldCharType="separate"/>
        </w:r>
        <w:r w:rsidR="00FD2A7E">
          <w:rPr>
            <w:b/>
            <w:bCs/>
            <w:webHidden/>
          </w:rPr>
          <w:t>105</w:t>
        </w:r>
        <w:r w:rsidRPr="003E1543">
          <w:rPr>
            <w:b/>
            <w:bCs/>
            <w:webHidden/>
          </w:rPr>
          <w:fldChar w:fldCharType="end"/>
        </w:r>
      </w:hyperlink>
    </w:p>
    <w:p w14:paraId="6578AA6B" w14:textId="65ED6A55" w:rsidR="000B4AB2" w:rsidRPr="00A74D23" w:rsidRDefault="001F7EFC" w:rsidP="009D6EE5">
      <w:pPr>
        <w:spacing w:line="22" w:lineRule="atLeast"/>
        <w:jc w:val="both"/>
        <w:rPr>
          <w:rFonts w:asciiTheme="minorHAnsi" w:hAnsiTheme="minorHAnsi" w:cs="Open Sans"/>
          <w:color w:val="7030A0"/>
          <w:sz w:val="20"/>
        </w:rPr>
      </w:pPr>
      <w:r w:rsidRPr="00A74D23">
        <w:rPr>
          <w:rFonts w:asciiTheme="minorHAnsi" w:eastAsiaTheme="minorHAnsi" w:hAnsiTheme="minorHAnsi" w:cs="Open Sans"/>
          <w:noProof/>
          <w:color w:val="7030A0"/>
          <w:sz w:val="20"/>
          <w:szCs w:val="22"/>
          <w:lang w:val="fr-FR"/>
        </w:rPr>
        <w:fldChar w:fldCharType="end"/>
      </w:r>
      <w:r w:rsidR="000F023C" w:rsidRPr="00A74D23">
        <w:rPr>
          <w:rFonts w:asciiTheme="minorHAnsi" w:hAnsiTheme="minorHAnsi" w:cs="Open Sans"/>
          <w:noProof/>
          <w:lang w:val="en-GB"/>
        </w:rPr>
        <mc:AlternateContent>
          <mc:Choice Requires="wpg">
            <w:drawing>
              <wp:anchor distT="0" distB="0" distL="114300" distR="114300" simplePos="0" relativeHeight="251300864" behindDoc="1" locked="0" layoutInCell="1" allowOverlap="1" wp14:anchorId="367DC77B" wp14:editId="42E3C7A8">
                <wp:simplePos x="0" y="0"/>
                <wp:positionH relativeFrom="page">
                  <wp:align>left</wp:align>
                </wp:positionH>
                <wp:positionV relativeFrom="page">
                  <wp:align>bottom</wp:align>
                </wp:positionV>
                <wp:extent cx="7560000" cy="2131200"/>
                <wp:effectExtent l="0" t="0" r="22225" b="21590"/>
                <wp:wrapNone/>
                <wp:docPr id="208" name="Groupe 208"/>
                <wp:cNvGraphicFramePr/>
                <a:graphic xmlns:a="http://schemas.openxmlformats.org/drawingml/2006/main">
                  <a:graphicData uri="http://schemas.microsoft.com/office/word/2010/wordprocessingGroup">
                    <wpg:wgp>
                      <wpg:cNvGrpSpPr/>
                      <wpg:grpSpPr>
                        <a:xfrm>
                          <a:off x="0" y="0"/>
                          <a:ext cx="7560000" cy="2131200"/>
                          <a:chOff x="0" y="0"/>
                          <a:chExt cx="7560000" cy="2130864"/>
                        </a:xfrm>
                      </wpg:grpSpPr>
                      <wpg:graphicFrame>
                        <wpg:cNvPr id="209" name="Diagram 30"/>
                        <wpg:cNvFrPr/>
                        <wpg:xfrm>
                          <a:off x="0" y="367469"/>
                          <a:ext cx="7559675" cy="1763395"/>
                        </wpg:xfrm>
                        <a:graphic>
                          <a:graphicData uri="http://schemas.openxmlformats.org/drawingml/2006/diagram">
                            <dgm:relIds xmlns:dgm="http://schemas.openxmlformats.org/drawingml/2006/diagram" xmlns:r="http://schemas.openxmlformats.org/officeDocument/2006/relationships" r:dm="rId18" r:lo="rId19" r:qs="rId20" r:cs="rId21"/>
                          </a:graphicData>
                        </a:graphic>
                      </wpg:graphicFrame>
                      <wpg:grpSp>
                        <wpg:cNvPr id="210" name="Groupe 17"/>
                        <wpg:cNvGrpSpPr/>
                        <wpg:grpSpPr>
                          <a:xfrm>
                            <a:off x="0" y="0"/>
                            <a:ext cx="7560000" cy="2093913"/>
                            <a:chOff x="0" y="0"/>
                            <a:chExt cx="7566026" cy="2093913"/>
                          </a:xfrm>
                        </wpg:grpSpPr>
                        <wps:wsp>
                          <wps:cNvPr id="211" name="Forme libre : forme 211"/>
                          <wps:cNvSpPr/>
                          <wps:spPr>
                            <a:xfrm>
                              <a:off x="0" y="178242"/>
                              <a:ext cx="5296308" cy="1413884"/>
                            </a:xfrm>
                            <a:custGeom>
                              <a:avLst/>
                              <a:gdLst>
                                <a:gd name="connsiteX0" fmla="*/ 7562850 w 7562850"/>
                                <a:gd name="connsiteY0" fmla="*/ 264895 h 2645093"/>
                                <a:gd name="connsiteX1" fmla="*/ 7562850 w 7562850"/>
                                <a:gd name="connsiteY1" fmla="*/ 2645093 h 2645093"/>
                                <a:gd name="connsiteX2" fmla="*/ 0 w 7562850"/>
                                <a:gd name="connsiteY2" fmla="*/ 2645093 h 2645093"/>
                                <a:gd name="connsiteX3" fmla="*/ 0 w 7562850"/>
                                <a:gd name="connsiteY3" fmla="*/ 1915659 h 2645093"/>
                                <a:gd name="connsiteX4" fmla="*/ 2291098 w 7562850"/>
                                <a:gd name="connsiteY4" fmla="*/ 981844 h 2645093"/>
                                <a:gd name="connsiteX5" fmla="*/ 6867429 w 7562850"/>
                                <a:gd name="connsiteY5" fmla="*/ 296478 h 2645093"/>
                                <a:gd name="connsiteX6" fmla="*/ 0 w 7562850"/>
                                <a:gd name="connsiteY6" fmla="*/ 0 h 2645093"/>
                                <a:gd name="connsiteX7" fmla="*/ 5241753 w 7562850"/>
                                <a:gd name="connsiteY7" fmla="*/ 0 h 2645093"/>
                                <a:gd name="connsiteX8" fmla="*/ 4746640 w 7562850"/>
                                <a:gd name="connsiteY8" fmla="*/ 61574 h 2645093"/>
                                <a:gd name="connsiteX9" fmla="*/ 2179880 w 7562850"/>
                                <a:gd name="connsiteY9" fmla="*/ 564336 h 2645093"/>
                                <a:gd name="connsiteX10" fmla="*/ 0 w 7562850"/>
                                <a:gd name="connsiteY10" fmla="*/ 1399352 h 2645093"/>
                                <a:gd name="connsiteX0" fmla="*/ 7562850 w 7562850"/>
                                <a:gd name="connsiteY0" fmla="*/ 264895 h 2645093"/>
                                <a:gd name="connsiteX1" fmla="*/ 0 w 7562850"/>
                                <a:gd name="connsiteY1" fmla="*/ 2645093 h 2645093"/>
                                <a:gd name="connsiteX2" fmla="*/ 0 w 7562850"/>
                                <a:gd name="connsiteY2" fmla="*/ 1915659 h 2645093"/>
                                <a:gd name="connsiteX3" fmla="*/ 2291098 w 7562850"/>
                                <a:gd name="connsiteY3" fmla="*/ 981844 h 2645093"/>
                                <a:gd name="connsiteX4" fmla="*/ 6867429 w 7562850"/>
                                <a:gd name="connsiteY4" fmla="*/ 296478 h 2645093"/>
                                <a:gd name="connsiteX5" fmla="*/ 7562850 w 7562850"/>
                                <a:gd name="connsiteY5" fmla="*/ 264895 h 2645093"/>
                                <a:gd name="connsiteX6" fmla="*/ 0 w 7562850"/>
                                <a:gd name="connsiteY6" fmla="*/ 0 h 2645093"/>
                                <a:gd name="connsiteX7" fmla="*/ 5241753 w 7562850"/>
                                <a:gd name="connsiteY7" fmla="*/ 0 h 2645093"/>
                                <a:gd name="connsiteX8" fmla="*/ 4746640 w 7562850"/>
                                <a:gd name="connsiteY8" fmla="*/ 61574 h 2645093"/>
                                <a:gd name="connsiteX9" fmla="*/ 2179880 w 7562850"/>
                                <a:gd name="connsiteY9" fmla="*/ 564336 h 2645093"/>
                                <a:gd name="connsiteX10" fmla="*/ 0 w 7562850"/>
                                <a:gd name="connsiteY10" fmla="*/ 1399352 h 2645093"/>
                                <a:gd name="connsiteX11" fmla="*/ 0 w 7562850"/>
                                <a:gd name="connsiteY11" fmla="*/ 0 h 2645093"/>
                                <a:gd name="connsiteX0" fmla="*/ 7562850 w 7562850"/>
                                <a:gd name="connsiteY0" fmla="*/ 264895 h 1915659"/>
                                <a:gd name="connsiteX1" fmla="*/ 0 w 7562850"/>
                                <a:gd name="connsiteY1" fmla="*/ 1915659 h 1915659"/>
                                <a:gd name="connsiteX2" fmla="*/ 2291098 w 7562850"/>
                                <a:gd name="connsiteY2" fmla="*/ 981844 h 1915659"/>
                                <a:gd name="connsiteX3" fmla="*/ 6867429 w 7562850"/>
                                <a:gd name="connsiteY3" fmla="*/ 296478 h 1915659"/>
                                <a:gd name="connsiteX4" fmla="*/ 7562850 w 7562850"/>
                                <a:gd name="connsiteY4" fmla="*/ 264895 h 1915659"/>
                                <a:gd name="connsiteX5" fmla="*/ 0 w 7562850"/>
                                <a:gd name="connsiteY5" fmla="*/ 0 h 1915659"/>
                                <a:gd name="connsiteX6" fmla="*/ 5241753 w 7562850"/>
                                <a:gd name="connsiteY6" fmla="*/ 0 h 1915659"/>
                                <a:gd name="connsiteX7" fmla="*/ 4746640 w 7562850"/>
                                <a:gd name="connsiteY7" fmla="*/ 61574 h 1915659"/>
                                <a:gd name="connsiteX8" fmla="*/ 2179880 w 7562850"/>
                                <a:gd name="connsiteY8" fmla="*/ 564336 h 1915659"/>
                                <a:gd name="connsiteX9" fmla="*/ 0 w 7562850"/>
                                <a:gd name="connsiteY9" fmla="*/ 1399352 h 1915659"/>
                                <a:gd name="connsiteX10" fmla="*/ 0 w 7562850"/>
                                <a:gd name="connsiteY10" fmla="*/ 0 h 1915659"/>
                                <a:gd name="connsiteX0" fmla="*/ 7562850 w 7562850"/>
                                <a:gd name="connsiteY0" fmla="*/ 264895 h 1399352"/>
                                <a:gd name="connsiteX1" fmla="*/ 2291098 w 7562850"/>
                                <a:gd name="connsiteY1" fmla="*/ 981844 h 1399352"/>
                                <a:gd name="connsiteX2" fmla="*/ 6867429 w 7562850"/>
                                <a:gd name="connsiteY2" fmla="*/ 296478 h 1399352"/>
                                <a:gd name="connsiteX3" fmla="*/ 7562850 w 7562850"/>
                                <a:gd name="connsiteY3" fmla="*/ 264895 h 1399352"/>
                                <a:gd name="connsiteX4" fmla="*/ 0 w 7562850"/>
                                <a:gd name="connsiteY4" fmla="*/ 0 h 1399352"/>
                                <a:gd name="connsiteX5" fmla="*/ 5241753 w 7562850"/>
                                <a:gd name="connsiteY5" fmla="*/ 0 h 1399352"/>
                                <a:gd name="connsiteX6" fmla="*/ 4746640 w 7562850"/>
                                <a:gd name="connsiteY6" fmla="*/ 61574 h 1399352"/>
                                <a:gd name="connsiteX7" fmla="*/ 2179880 w 7562850"/>
                                <a:gd name="connsiteY7" fmla="*/ 564336 h 1399352"/>
                                <a:gd name="connsiteX8" fmla="*/ 0 w 7562850"/>
                                <a:gd name="connsiteY8" fmla="*/ 1399352 h 1399352"/>
                                <a:gd name="connsiteX9" fmla="*/ 0 w 7562850"/>
                                <a:gd name="connsiteY9" fmla="*/ 0 h 1399352"/>
                                <a:gd name="connsiteX0" fmla="*/ 7562850 w 7562850"/>
                                <a:gd name="connsiteY0" fmla="*/ 264895 h 1399352"/>
                                <a:gd name="connsiteX1" fmla="*/ 6867429 w 7562850"/>
                                <a:gd name="connsiteY1" fmla="*/ 296478 h 1399352"/>
                                <a:gd name="connsiteX2" fmla="*/ 7562850 w 7562850"/>
                                <a:gd name="connsiteY2" fmla="*/ 264895 h 1399352"/>
                                <a:gd name="connsiteX3" fmla="*/ 0 w 7562850"/>
                                <a:gd name="connsiteY3" fmla="*/ 0 h 1399352"/>
                                <a:gd name="connsiteX4" fmla="*/ 5241753 w 7562850"/>
                                <a:gd name="connsiteY4" fmla="*/ 0 h 1399352"/>
                                <a:gd name="connsiteX5" fmla="*/ 4746640 w 7562850"/>
                                <a:gd name="connsiteY5" fmla="*/ 61574 h 1399352"/>
                                <a:gd name="connsiteX6" fmla="*/ 2179880 w 7562850"/>
                                <a:gd name="connsiteY6" fmla="*/ 564336 h 1399352"/>
                                <a:gd name="connsiteX7" fmla="*/ 0 w 7562850"/>
                                <a:gd name="connsiteY7" fmla="*/ 1399352 h 1399352"/>
                                <a:gd name="connsiteX8" fmla="*/ 0 w 7562850"/>
                                <a:gd name="connsiteY8" fmla="*/ 0 h 1399352"/>
                                <a:gd name="connsiteX0" fmla="*/ 0 w 5241753"/>
                                <a:gd name="connsiteY0" fmla="*/ 0 h 1399352"/>
                                <a:gd name="connsiteX1" fmla="*/ 5241753 w 5241753"/>
                                <a:gd name="connsiteY1" fmla="*/ 0 h 1399352"/>
                                <a:gd name="connsiteX2" fmla="*/ 4746640 w 5241753"/>
                                <a:gd name="connsiteY2" fmla="*/ 61574 h 1399352"/>
                                <a:gd name="connsiteX3" fmla="*/ 2179880 w 5241753"/>
                                <a:gd name="connsiteY3" fmla="*/ 564336 h 1399352"/>
                                <a:gd name="connsiteX4" fmla="*/ 0 w 5241753"/>
                                <a:gd name="connsiteY4" fmla="*/ 1399352 h 1399352"/>
                                <a:gd name="connsiteX5" fmla="*/ 0 w 5241753"/>
                                <a:gd name="connsiteY5" fmla="*/ 0 h 13993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241753" h="1399352">
                                  <a:moveTo>
                                    <a:pt x="0" y="0"/>
                                  </a:moveTo>
                                  <a:lnTo>
                                    <a:pt x="5241753" y="0"/>
                                  </a:lnTo>
                                  <a:lnTo>
                                    <a:pt x="4746640" y="61574"/>
                                  </a:lnTo>
                                  <a:cubicBezTo>
                                    <a:pt x="3833061" y="187464"/>
                                    <a:pt x="2961586" y="357176"/>
                                    <a:pt x="2179880" y="564336"/>
                                  </a:cubicBezTo>
                                  <a:cubicBezTo>
                                    <a:pt x="1436306" y="765122"/>
                                    <a:pt x="606935" y="1039211"/>
                                    <a:pt x="0" y="1399352"/>
                                  </a:cubicBezTo>
                                  <a:lnTo>
                                    <a:pt x="0" y="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2" name="Freeform 5"/>
                          <wps:cNvSpPr>
                            <a:spLocks/>
                          </wps:cNvSpPr>
                          <wps:spPr bwMode="auto">
                            <a:xfrm>
                              <a:off x="1" y="0"/>
                              <a:ext cx="7566025" cy="2093913"/>
                            </a:xfrm>
                            <a:custGeom>
                              <a:avLst/>
                              <a:gdLst>
                                <a:gd name="T0" fmla="*/ 721 w 2381"/>
                                <a:gd name="T1" fmla="*/ 364 h 657"/>
                                <a:gd name="T2" fmla="*/ 2381 w 2381"/>
                                <a:gd name="T3" fmla="*/ 139 h 657"/>
                                <a:gd name="T4" fmla="*/ 2381 w 2381"/>
                                <a:gd name="T5" fmla="*/ 0 h 657"/>
                                <a:gd name="T6" fmla="*/ 686 w 2381"/>
                                <a:gd name="T7" fmla="*/ 233 h 657"/>
                                <a:gd name="T8" fmla="*/ 0 w 2381"/>
                                <a:gd name="T9" fmla="*/ 495 h 657"/>
                                <a:gd name="T10" fmla="*/ 0 w 2381"/>
                                <a:gd name="T11" fmla="*/ 657 h 657"/>
                                <a:gd name="T12" fmla="*/ 721 w 2381"/>
                                <a:gd name="T13" fmla="*/ 364 h 657"/>
                              </a:gdLst>
                              <a:ahLst/>
                              <a:cxnLst>
                                <a:cxn ang="0">
                                  <a:pos x="T0" y="T1"/>
                                </a:cxn>
                                <a:cxn ang="0">
                                  <a:pos x="T2" y="T3"/>
                                </a:cxn>
                                <a:cxn ang="0">
                                  <a:pos x="T4" y="T5"/>
                                </a:cxn>
                                <a:cxn ang="0">
                                  <a:pos x="T6" y="T7"/>
                                </a:cxn>
                                <a:cxn ang="0">
                                  <a:pos x="T8" y="T9"/>
                                </a:cxn>
                                <a:cxn ang="0">
                                  <a:pos x="T10" y="T11"/>
                                </a:cxn>
                                <a:cxn ang="0">
                                  <a:pos x="T12" y="T13"/>
                                </a:cxn>
                              </a:cxnLst>
                              <a:rect l="0" t="0" r="r" b="b"/>
                              <a:pathLst>
                                <a:path w="2381" h="657">
                                  <a:moveTo>
                                    <a:pt x="721" y="364"/>
                                  </a:moveTo>
                                  <a:cubicBezTo>
                                    <a:pt x="1202" y="238"/>
                                    <a:pt x="1795" y="158"/>
                                    <a:pt x="2381" y="139"/>
                                  </a:cubicBezTo>
                                  <a:cubicBezTo>
                                    <a:pt x="2381" y="0"/>
                                    <a:pt x="2381" y="0"/>
                                    <a:pt x="2381" y="0"/>
                                  </a:cubicBezTo>
                                  <a:cubicBezTo>
                                    <a:pt x="1783" y="20"/>
                                    <a:pt x="1178" y="103"/>
                                    <a:pt x="686" y="233"/>
                                  </a:cubicBezTo>
                                  <a:cubicBezTo>
                                    <a:pt x="452" y="296"/>
                                    <a:pt x="191" y="382"/>
                                    <a:pt x="0" y="495"/>
                                  </a:cubicBezTo>
                                  <a:cubicBezTo>
                                    <a:pt x="0" y="657"/>
                                    <a:pt x="0" y="657"/>
                                    <a:pt x="0" y="657"/>
                                  </a:cubicBezTo>
                                  <a:cubicBezTo>
                                    <a:pt x="130" y="564"/>
                                    <a:pt x="359" y="460"/>
                                    <a:pt x="721" y="364"/>
                                  </a:cubicBezTo>
                                  <a:close/>
                                </a:path>
                              </a:pathLst>
                            </a:custGeom>
                            <a:solidFill>
                              <a:srgbClr val="FFD505"/>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wgp>
                  </a:graphicData>
                </a:graphic>
                <wp14:sizeRelH relativeFrom="margin">
                  <wp14:pctWidth>0</wp14:pctWidth>
                </wp14:sizeRelH>
                <wp14:sizeRelV relativeFrom="margin">
                  <wp14:pctHeight>0</wp14:pctHeight>
                </wp14:sizeRelV>
              </wp:anchor>
            </w:drawing>
          </mc:Choice>
          <mc:Fallback>
            <w:pict>
              <v:group w14:anchorId="5CFD4BFD" id="Groupe 208" o:spid="_x0000_s1026" style="position:absolute;margin-left:0;margin-top:0;width:595.3pt;height:167.8pt;z-index:-252015616;mso-position-horizontal:left;mso-position-horizontal-relative:page;mso-position-vertical:bottom;mso-position-vertical-relative:page;mso-width-relative:margin;mso-height-relative:margin" coordsize="75600,21308" o:gfxdata="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">
                <v:shape id="Diagram 30" o:spid="_x0000_s1027" type="#_x0000_t75" style="position:absolute;left:-60;top:3596;width:75711;height:1779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">
                  <v:imagedata r:id="rId23" o:title=""/>
                  <o:lock v:ext="edit" aspectratio="f"/>
                </v:shape>
                <v:group id="Groupe 17" o:spid="_x0000_s1028" style="position:absolute;width:75600;height:20939" coordsize="75660,20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shape id="Forme libre : forme 211" o:spid="_x0000_s1029" style="position:absolute;top:1782;width:52963;height:14139;visibility:visible;mso-wrap-style:square;v-text-anchor:middle" coordsize="5241753,1399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" path="m,l5241753,,4746640,61574c3833061,187464,2961586,357176,2179880,564336,1436306,765122,606935,1039211,,1399352l,xe" fillcolor="white [3212]" stroked="f" strokeweight="1pt">
                    <v:stroke joinstyle="miter"/>
                    <v:path arrowok="t" o:connecttype="custom" o:connectlocs="0,0;5296308,0;4796042,62213;2202568,570197;0,1413884;0,0" o:connectangles="0,0,0,0,0,0"/>
                  </v:shape>
                  <v:shape id="Freeform 5" o:spid="_x0000_s1030" style="position:absolute;width:75660;height:20939;visibility:visible;mso-wrap-style:square;v-text-anchor:top" coordsize="2381,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" path="m721,364c1202,238,1795,158,2381,139,2381,,2381,,2381,,1783,20,1178,103,686,233,452,296,191,382,,495,,657,,657,,657,130,564,359,460,721,364xe" fillcolor="#ffd505" stroked="f">
                    <v:path arrowok="t" o:connecttype="custom" o:connectlocs="2291098,1160098;7566025,443004;7566025,0;2179880,742590;0,1577606;0,2093913;2291098,1160098" o:connectangles="0,0,0,0,0,0,0"/>
                  </v:shape>
                </v:group>
                <w10:wrap anchorx="page" anchory="page"/>
              </v:group>
            </w:pict>
          </mc:Fallback>
        </mc:AlternateContent>
      </w:r>
      <w:r w:rsidR="004656E7" w:rsidRPr="00A74D23">
        <w:rPr>
          <w:rFonts w:asciiTheme="minorHAnsi" w:hAnsiTheme="minorHAnsi" w:cs="Open Sans"/>
          <w:color w:val="7030A0"/>
          <w:sz w:val="20"/>
        </w:rPr>
        <w:br w:type="page"/>
      </w:r>
      <w:bookmarkStart w:id="2" w:name="_Hlk137455365"/>
      <w:bookmarkStart w:id="3" w:name="_Hlk137448410"/>
      <w:bookmarkStart w:id="4" w:name="_Hlk199328618"/>
    </w:p>
    <w:p w14:paraId="77BFF24C" w14:textId="77777777" w:rsidR="003B488B" w:rsidRPr="00A74D23" w:rsidRDefault="003B488B" w:rsidP="009D6EE5">
      <w:pPr>
        <w:spacing w:line="22" w:lineRule="atLeast"/>
        <w:jc w:val="both"/>
        <w:rPr>
          <w:rFonts w:asciiTheme="minorHAnsi" w:hAnsiTheme="minorHAnsi" w:cs="Open Sans"/>
          <w:b/>
          <w:bCs/>
          <w:sz w:val="28"/>
          <w:szCs w:val="28"/>
          <w:lang w:val="fr-FR"/>
        </w:rPr>
      </w:pPr>
    </w:p>
    <w:bookmarkEnd w:id="2"/>
    <w:bookmarkEnd w:id="3"/>
    <w:bookmarkEnd w:id="4"/>
    <w:p w14:paraId="0A628CC3" w14:textId="77777777" w:rsidR="00CC2324" w:rsidRPr="009D6EE5" w:rsidRDefault="00CC2324" w:rsidP="00CC2324">
      <w:pPr>
        <w:spacing w:line="22" w:lineRule="atLeast"/>
        <w:jc w:val="both"/>
        <w:rPr>
          <w:rFonts w:asciiTheme="minorHAnsi" w:hAnsiTheme="minorHAnsi" w:cs="Open Sans"/>
          <w:sz w:val="28"/>
          <w:szCs w:val="28"/>
          <w:lang w:val="fr-FR"/>
        </w:rPr>
      </w:pPr>
      <w:r w:rsidRPr="009D6EE5">
        <w:rPr>
          <w:rFonts w:asciiTheme="minorHAnsi" w:hAnsiTheme="minorHAnsi" w:cs="Open Sans"/>
          <w:b/>
          <w:bCs/>
          <w:sz w:val="28"/>
          <w:szCs w:val="28"/>
          <w:lang w:val="fr-FR"/>
        </w:rPr>
        <w:t>Construire ensemble une assurance durable, engagée et responsable</w:t>
      </w:r>
    </w:p>
    <w:p w14:paraId="01BECD6A" w14:textId="751292A4" w:rsidR="00CC2324" w:rsidRPr="00385998" w:rsidRDefault="00CC2324" w:rsidP="00CC2324">
      <w:pPr>
        <w:spacing w:before="240" w:line="22" w:lineRule="atLeast"/>
        <w:jc w:val="both"/>
        <w:rPr>
          <w:rFonts w:ascii="Source Sans Pro" w:eastAsia="Source Sans Pro" w:hAnsi="Source Sans Pro" w:cs="Source Sans Pro"/>
          <w:kern w:val="2"/>
          <w:sz w:val="20"/>
          <w:szCs w:val="20"/>
          <w:lang w:val="fr-FR"/>
          <w14:ligatures w14:val="standardContextual"/>
        </w:rPr>
      </w:pPr>
      <w:r w:rsidRPr="009D6EE5">
        <w:rPr>
          <w:rFonts w:asciiTheme="minorHAnsi" w:hAnsiTheme="minorHAnsi"/>
          <w:sz w:val="20"/>
          <w:szCs w:val="20"/>
          <w:lang w:val="fr-FR"/>
        </w:rPr>
        <w:t xml:space="preserve">L’année 2025 confirme une réalité </w:t>
      </w:r>
      <w:r w:rsidRPr="47AB8FEA">
        <w:rPr>
          <w:rFonts w:asciiTheme="minorHAnsi" w:hAnsiTheme="minorHAnsi"/>
          <w:sz w:val="20"/>
          <w:szCs w:val="20"/>
          <w:lang w:val="fr-FR"/>
        </w:rPr>
        <w:t>simple </w:t>
      </w:r>
      <w:r w:rsidRPr="009D6EE5">
        <w:rPr>
          <w:rFonts w:asciiTheme="minorHAnsi" w:hAnsiTheme="minorHAnsi"/>
          <w:sz w:val="20"/>
          <w:szCs w:val="20"/>
          <w:lang w:val="fr-FR"/>
        </w:rPr>
        <w:t xml:space="preserve">: les risques liés au climat et à la nature sont </w:t>
      </w:r>
      <w:r>
        <w:rPr>
          <w:rFonts w:asciiTheme="minorHAnsi" w:hAnsiTheme="minorHAnsi"/>
          <w:sz w:val="20"/>
          <w:szCs w:val="20"/>
          <w:lang w:val="fr-FR"/>
        </w:rPr>
        <w:t>omniprésents</w:t>
      </w:r>
      <w:r w:rsidRPr="009D6EE5">
        <w:rPr>
          <w:rFonts w:asciiTheme="minorHAnsi" w:hAnsiTheme="minorHAnsi"/>
          <w:sz w:val="20"/>
          <w:szCs w:val="20"/>
          <w:lang w:val="fr-FR"/>
        </w:rPr>
        <w:t>. La France a enregistré une température moyenne supérieure de +2,</w:t>
      </w:r>
      <w:r w:rsidRPr="47AB8FEA">
        <w:rPr>
          <w:rFonts w:asciiTheme="minorHAnsi" w:hAnsiTheme="minorHAnsi"/>
          <w:sz w:val="20"/>
          <w:szCs w:val="20"/>
          <w:lang w:val="fr-FR"/>
        </w:rPr>
        <w:t>5 </w:t>
      </w:r>
      <w:r w:rsidRPr="009D6EE5">
        <w:rPr>
          <w:rFonts w:asciiTheme="minorHAnsi" w:hAnsiTheme="minorHAnsi"/>
          <w:sz w:val="20"/>
          <w:szCs w:val="20"/>
          <w:lang w:val="fr-FR"/>
        </w:rPr>
        <w:t>°C à l’ère préindustrielle, tandis que deux canicules successives ont marqué l’été, faisant de 2025 le troisième été le plus chaud jamais observé en France. Au</w:t>
      </w:r>
      <w:r w:rsidRPr="00F8121F">
        <w:rPr>
          <w:lang w:val="fr-FR"/>
        </w:rPr>
        <w:noBreakHyphen/>
      </w:r>
      <w:r w:rsidRPr="009D6EE5">
        <w:rPr>
          <w:rFonts w:asciiTheme="minorHAnsi" w:hAnsiTheme="minorHAnsi"/>
          <w:sz w:val="20"/>
          <w:szCs w:val="20"/>
          <w:lang w:val="fr-FR"/>
        </w:rPr>
        <w:t xml:space="preserve">delà de ces records climatiques, </w:t>
      </w:r>
      <w:r w:rsidRPr="47AB8FEA">
        <w:rPr>
          <w:rFonts w:asciiTheme="minorHAnsi" w:hAnsiTheme="minorHAnsi"/>
          <w:sz w:val="20"/>
          <w:szCs w:val="20"/>
          <w:lang w:val="fr-FR"/>
        </w:rPr>
        <w:t>56 </w:t>
      </w:r>
      <w:r w:rsidRPr="009D6EE5">
        <w:rPr>
          <w:rFonts w:asciiTheme="minorHAnsi" w:hAnsiTheme="minorHAnsi"/>
          <w:sz w:val="20"/>
          <w:szCs w:val="20"/>
          <w:lang w:val="fr-FR"/>
        </w:rPr>
        <w:t>% des Français déclarent avoir déjà subi un dommage lié à un événement climatique sur leur logement ou leurs biens, soulignant la traduction très concrète du dérèglement climatique dans la vie quotidienne et dans le risque assurantiel.</w:t>
      </w:r>
      <w:r w:rsidRPr="47AB8FEA">
        <w:rPr>
          <w:rFonts w:asciiTheme="minorHAnsi" w:hAnsiTheme="minorHAnsi"/>
          <w:sz w:val="20"/>
          <w:szCs w:val="20"/>
          <w:lang w:val="fr-FR"/>
        </w:rPr>
        <w:t xml:space="preserve"> </w:t>
      </w:r>
      <w:r w:rsidRPr="2019480C">
        <w:rPr>
          <w:rFonts w:asciiTheme="minorHAnsi" w:hAnsiTheme="minorHAnsi"/>
          <w:sz w:val="20"/>
          <w:szCs w:val="20"/>
          <w:lang w:val="fr-FR"/>
        </w:rPr>
        <w:t xml:space="preserve">Dans ce contexte, </w:t>
      </w:r>
      <w:r>
        <w:rPr>
          <w:rFonts w:asciiTheme="minorHAnsi" w:hAnsiTheme="minorHAnsi"/>
          <w:sz w:val="20"/>
          <w:szCs w:val="20"/>
          <w:lang w:val="fr-FR"/>
        </w:rPr>
        <w:t>Abeille Assurances s’attache</w:t>
      </w:r>
      <w:r w:rsidRPr="2019480C">
        <w:rPr>
          <w:rFonts w:ascii="Source Sans Pro" w:eastAsia="Source Sans Pro" w:hAnsi="Source Sans Pro" w:cs="Source Sans Pro"/>
          <w:sz w:val="20"/>
          <w:szCs w:val="20"/>
          <w:lang w:val="fr-FR"/>
        </w:rPr>
        <w:t xml:space="preserve"> à protéger nos clients et nos parties prenantes ainsi qu’à renforcer leur résilience</w:t>
      </w:r>
      <w:r>
        <w:rPr>
          <w:rFonts w:ascii="Source Sans Pro" w:eastAsia="Source Sans Pro" w:hAnsi="Source Sans Pro" w:cs="Source Sans Pro"/>
          <w:sz w:val="20"/>
          <w:szCs w:val="20"/>
          <w:lang w:val="fr-FR"/>
        </w:rPr>
        <w:t xml:space="preserve"> comme ce fut le cas lors des inondations dans le Var</w:t>
      </w:r>
      <w:r w:rsidRPr="00F8121F">
        <w:rPr>
          <w:rFonts w:ascii="Source Sans Pro" w:eastAsia="Source Sans Pro" w:hAnsi="Source Sans Pro" w:cs="Source Sans Pro"/>
          <w:sz w:val="20"/>
          <w:szCs w:val="20"/>
          <w:lang w:val="fr-FR"/>
        </w:rPr>
        <w:t xml:space="preserve"> où nos équipes se sont fortement mobilisées pour accompagner nos assurés et répondre aux situations d’urgence</w:t>
      </w:r>
      <w:r>
        <w:rPr>
          <w:rFonts w:ascii="Source Sans Pro" w:eastAsia="Source Sans Pro" w:hAnsi="Source Sans Pro" w:cs="Source Sans Pro"/>
          <w:sz w:val="20"/>
          <w:szCs w:val="20"/>
          <w:lang w:val="fr-FR"/>
        </w:rPr>
        <w:t>.</w:t>
      </w:r>
    </w:p>
    <w:p w14:paraId="0FDB144F" w14:textId="033EBE6A" w:rsidR="00CC2324" w:rsidRPr="009D6EE5" w:rsidRDefault="00CC2324" w:rsidP="00CC2324">
      <w:pPr>
        <w:spacing w:before="240" w:line="22" w:lineRule="atLeast"/>
        <w:jc w:val="both"/>
        <w:rPr>
          <w:rFonts w:asciiTheme="minorHAnsi" w:hAnsiTheme="minorHAnsi"/>
          <w:kern w:val="2"/>
          <w:lang w:val="fr-FR"/>
          <w14:ligatures w14:val="standardContextual"/>
        </w:rPr>
      </w:pPr>
      <w:r w:rsidRPr="009D6EE5">
        <w:rPr>
          <w:rFonts w:asciiTheme="minorHAnsi" w:hAnsiTheme="minorHAnsi"/>
          <w:sz w:val="20"/>
          <w:szCs w:val="20"/>
          <w:lang w:val="fr-FR"/>
        </w:rPr>
        <w:t xml:space="preserve">Abeille Assurances assume un rôle d’assureur et d’investisseur responsable. </w:t>
      </w:r>
      <w:r w:rsidRPr="47AB8FEA">
        <w:rPr>
          <w:rFonts w:asciiTheme="minorHAnsi" w:hAnsiTheme="minorHAnsi"/>
          <w:sz w:val="20"/>
          <w:szCs w:val="20"/>
          <w:lang w:val="fr-FR"/>
        </w:rPr>
        <w:t>A</w:t>
      </w:r>
      <w:r w:rsidRPr="47AB8FEA">
        <w:rPr>
          <w:rFonts w:ascii="Source Sans Pro" w:eastAsia="Source Sans Pro" w:hAnsi="Source Sans Pro" w:cs="Source Sans Pro"/>
          <w:sz w:val="20"/>
          <w:szCs w:val="20"/>
          <w:lang w:val="fr-FR"/>
        </w:rPr>
        <w:t xml:space="preserve">ssureur, nous protégeons nos clients face à l’imprévu et nous les accompagnons dans la réalisation de leurs projets tout au long de la vie. Investisseur, </w:t>
      </w:r>
      <w:r w:rsidR="007C6E6E">
        <w:rPr>
          <w:rFonts w:ascii="Source Sans Pro" w:eastAsia="Source Sans Pro" w:hAnsi="Source Sans Pro" w:cs="Source Sans Pro"/>
          <w:sz w:val="20"/>
          <w:szCs w:val="20"/>
          <w:lang w:val="fr-FR"/>
        </w:rPr>
        <w:t>par</w:t>
      </w:r>
      <w:r w:rsidRPr="47AB8FEA">
        <w:rPr>
          <w:rFonts w:ascii="Source Sans Pro" w:eastAsia="Source Sans Pro" w:hAnsi="Source Sans Pro" w:cs="Source Sans Pro"/>
          <w:sz w:val="20"/>
          <w:szCs w:val="20"/>
          <w:lang w:val="fr-FR"/>
        </w:rPr>
        <w:t xml:space="preserve"> l’épargne qui nous est confiée, nous contribuons au développement économique et social dans les territoires et nous agissons pour construire ensemble une société responsable et durable. </w:t>
      </w:r>
      <w:r w:rsidRPr="009D6EE5">
        <w:rPr>
          <w:rFonts w:asciiTheme="minorHAnsi" w:hAnsiTheme="minorHAnsi"/>
          <w:sz w:val="20"/>
          <w:szCs w:val="20"/>
          <w:lang w:val="fr-FR"/>
        </w:rPr>
        <w:t xml:space="preserve">Nous avons une responsabilité fiduciaire envers nos assurés et nos épargnants, et gérons un bilan assurantiel exposé à des risques systémiques. Notre objectif est </w:t>
      </w:r>
      <w:r w:rsidRPr="47AB8FEA">
        <w:rPr>
          <w:rFonts w:asciiTheme="minorHAnsi" w:hAnsiTheme="minorHAnsi"/>
          <w:sz w:val="20"/>
          <w:szCs w:val="20"/>
          <w:lang w:val="fr-FR"/>
        </w:rPr>
        <w:t>clair </w:t>
      </w:r>
      <w:r w:rsidRPr="009D6EE5">
        <w:rPr>
          <w:rFonts w:asciiTheme="minorHAnsi" w:hAnsiTheme="minorHAnsi"/>
          <w:sz w:val="20"/>
          <w:szCs w:val="20"/>
          <w:lang w:val="fr-FR"/>
        </w:rPr>
        <w:t>: maîtriser nos risques tout en contribuant positivement à la transformation de l’économie.</w:t>
      </w:r>
    </w:p>
    <w:p w14:paraId="62A6C20A" w14:textId="254A797A" w:rsidR="00CC2324" w:rsidRPr="0077789D" w:rsidRDefault="00CC2324" w:rsidP="00CC2324">
      <w:pPr>
        <w:spacing w:before="240" w:line="22" w:lineRule="atLeast"/>
        <w:jc w:val="both"/>
        <w:rPr>
          <w:rFonts w:asciiTheme="minorHAnsi" w:hAnsiTheme="minorHAnsi"/>
          <w:sz w:val="20"/>
          <w:szCs w:val="20"/>
          <w:lang w:val="fr-FR"/>
        </w:rPr>
      </w:pPr>
      <w:r w:rsidRPr="009D6EE5">
        <w:rPr>
          <w:rFonts w:asciiTheme="minorHAnsi" w:hAnsiTheme="minorHAnsi"/>
          <w:sz w:val="20"/>
          <w:szCs w:val="20"/>
          <w:lang w:val="fr-FR"/>
        </w:rPr>
        <w:t xml:space="preserve">Dans un environnement international instable, marqué par des tensions géopolitiques durables et </w:t>
      </w:r>
      <w:r>
        <w:rPr>
          <w:rFonts w:asciiTheme="minorHAnsi" w:hAnsiTheme="minorHAnsi"/>
          <w:sz w:val="20"/>
          <w:szCs w:val="20"/>
          <w:lang w:val="fr-FR"/>
        </w:rPr>
        <w:t xml:space="preserve">un contexte </w:t>
      </w:r>
      <w:r w:rsidR="00822B62">
        <w:rPr>
          <w:rFonts w:asciiTheme="minorHAnsi" w:hAnsiTheme="minorHAnsi"/>
          <w:sz w:val="20"/>
          <w:szCs w:val="20"/>
          <w:lang w:val="fr-FR"/>
        </w:rPr>
        <w:t xml:space="preserve">règlementaire évolutif </w:t>
      </w:r>
      <w:r w:rsidRPr="009D6EE5">
        <w:rPr>
          <w:rFonts w:asciiTheme="minorHAnsi" w:hAnsiTheme="minorHAnsi"/>
          <w:sz w:val="20"/>
          <w:szCs w:val="20"/>
          <w:lang w:val="fr-FR"/>
        </w:rPr>
        <w:t>sur la durabilité, notre cap ne change pas. Nous maintenons notre engagement Net Zero, avec des objectifs intermédiaires ambitieux à horizon 2030, après avoir largement atteint notre premier objectif à horizon fin 202</w:t>
      </w:r>
      <w:r>
        <w:rPr>
          <w:rFonts w:asciiTheme="minorHAnsi" w:hAnsiTheme="minorHAnsi"/>
          <w:sz w:val="20"/>
          <w:szCs w:val="20"/>
          <w:lang w:val="fr-FR"/>
        </w:rPr>
        <w:t>5</w:t>
      </w:r>
      <w:r w:rsidRPr="009D6EE5">
        <w:rPr>
          <w:rFonts w:asciiTheme="minorHAnsi" w:hAnsiTheme="minorHAnsi"/>
          <w:sz w:val="20"/>
          <w:szCs w:val="20"/>
          <w:lang w:val="fr-FR"/>
        </w:rPr>
        <w:t xml:space="preserve">. Nous renforçons nos exigences sur les secteurs les plus émissifs et déployons une stratégie biodiversité structurée, appuyée </w:t>
      </w:r>
      <w:r>
        <w:rPr>
          <w:rFonts w:asciiTheme="minorHAnsi" w:hAnsiTheme="minorHAnsi"/>
          <w:sz w:val="20"/>
          <w:szCs w:val="20"/>
          <w:lang w:val="fr-FR"/>
        </w:rPr>
        <w:t xml:space="preserve">entre autres, </w:t>
      </w:r>
      <w:r w:rsidRPr="009D6EE5">
        <w:rPr>
          <w:rFonts w:asciiTheme="minorHAnsi" w:hAnsiTheme="minorHAnsi"/>
          <w:sz w:val="20"/>
          <w:szCs w:val="20"/>
          <w:lang w:val="fr-FR"/>
        </w:rPr>
        <w:t>sur des investissements concrets</w:t>
      </w:r>
      <w:r w:rsidR="00822B62">
        <w:rPr>
          <w:rFonts w:asciiTheme="minorHAnsi" w:hAnsiTheme="minorHAnsi"/>
          <w:sz w:val="20"/>
          <w:szCs w:val="20"/>
          <w:lang w:val="fr-FR"/>
        </w:rPr>
        <w:t xml:space="preserve">. </w:t>
      </w:r>
      <w:r w:rsidR="002A5E2E" w:rsidRPr="002A5E2E">
        <w:rPr>
          <w:rFonts w:asciiTheme="minorHAnsi" w:hAnsiTheme="minorHAnsi"/>
          <w:sz w:val="20"/>
          <w:szCs w:val="20"/>
          <w:lang w:val="fr-FR"/>
        </w:rPr>
        <w:t>En 2025, nous avons notamment financé le fonds de place Objectif Biodiversité, dédié au financement de la préservation de la biodiversité, ainsi que le fonds Terra de SWEN, qui accompagne les agriculteurs dans leur transition agroécologique</w:t>
      </w:r>
      <w:r w:rsidR="00111DDC">
        <w:rPr>
          <w:rFonts w:asciiTheme="minorHAnsi" w:hAnsiTheme="minorHAnsi"/>
          <w:sz w:val="20"/>
          <w:szCs w:val="20"/>
          <w:lang w:val="fr-FR"/>
        </w:rPr>
        <w:t>.</w:t>
      </w:r>
      <w:r w:rsidRPr="009D6EE5">
        <w:rPr>
          <w:rFonts w:asciiTheme="minorHAnsi" w:hAnsiTheme="minorHAnsi"/>
          <w:sz w:val="20"/>
          <w:szCs w:val="20"/>
          <w:lang w:val="fr-FR"/>
        </w:rPr>
        <w:t xml:space="preserve"> Nous nous sommes également fixé un objectif ambitieux d’investissement durable de </w:t>
      </w:r>
      <w:r w:rsidRPr="7F0D4734">
        <w:rPr>
          <w:rFonts w:asciiTheme="minorHAnsi" w:hAnsiTheme="minorHAnsi"/>
          <w:sz w:val="20"/>
          <w:szCs w:val="20"/>
          <w:lang w:val="fr-FR"/>
        </w:rPr>
        <w:t>5</w:t>
      </w:r>
      <w:r w:rsidRPr="466FA9B5">
        <w:rPr>
          <w:rFonts w:asciiTheme="minorHAnsi" w:hAnsiTheme="minorHAnsi"/>
          <w:sz w:val="20"/>
          <w:szCs w:val="20"/>
          <w:lang w:val="fr-FR"/>
        </w:rPr>
        <w:t>00 m</w:t>
      </w:r>
      <w:r w:rsidRPr="009D6EE5">
        <w:rPr>
          <w:rFonts w:asciiTheme="minorHAnsi" w:hAnsiTheme="minorHAnsi"/>
          <w:sz w:val="20"/>
          <w:szCs w:val="20"/>
          <w:lang w:val="fr-FR"/>
        </w:rPr>
        <w:t xml:space="preserve">€ par an, </w:t>
      </w:r>
      <w:r>
        <w:rPr>
          <w:rFonts w:asciiTheme="minorHAnsi" w:hAnsiTheme="minorHAnsi"/>
          <w:sz w:val="20"/>
          <w:szCs w:val="20"/>
          <w:lang w:val="fr-FR"/>
        </w:rPr>
        <w:t xml:space="preserve">en nous appuyant sur les </w:t>
      </w:r>
      <w:r w:rsidRPr="009D6EE5">
        <w:rPr>
          <w:rFonts w:asciiTheme="minorHAnsi" w:hAnsiTheme="minorHAnsi"/>
          <w:sz w:val="20"/>
          <w:szCs w:val="20"/>
          <w:lang w:val="fr-FR"/>
        </w:rPr>
        <w:t>exigences de la réglementation européenne SFDR, dans le but d’orienter durablement les flux financiers vers des activités</w:t>
      </w:r>
      <w:r>
        <w:rPr>
          <w:rFonts w:asciiTheme="minorHAnsi" w:hAnsiTheme="minorHAnsi"/>
          <w:sz w:val="20"/>
          <w:szCs w:val="20"/>
          <w:lang w:val="fr-FR"/>
        </w:rPr>
        <w:t xml:space="preserve"> contribuant à des solutions climatiques, environnementales, et sociales. </w:t>
      </w:r>
    </w:p>
    <w:p w14:paraId="326ED1F9" w14:textId="77B0118F" w:rsidR="00CC2324" w:rsidRPr="009D6EE5" w:rsidRDefault="00CC2324" w:rsidP="00CC2324">
      <w:pPr>
        <w:spacing w:before="240" w:line="22" w:lineRule="atLeast"/>
        <w:jc w:val="both"/>
        <w:rPr>
          <w:rFonts w:asciiTheme="minorHAnsi" w:hAnsiTheme="minorHAnsi"/>
          <w:kern w:val="2"/>
          <w:lang w:val="fr-FR"/>
          <w14:ligatures w14:val="standardContextual"/>
        </w:rPr>
      </w:pPr>
      <w:r w:rsidRPr="009D6EE5">
        <w:rPr>
          <w:rFonts w:asciiTheme="minorHAnsi" w:hAnsiTheme="minorHAnsi"/>
          <w:sz w:val="20"/>
          <w:szCs w:val="20"/>
          <w:lang w:val="fr-FR"/>
        </w:rPr>
        <w:t>La gestion des risques de durabilité, en particulier ceux liés aux risques physiques du changement climatique</w:t>
      </w:r>
      <w:r w:rsidRPr="0C4BF55A">
        <w:rPr>
          <w:rFonts w:asciiTheme="minorHAnsi" w:hAnsiTheme="minorHAnsi"/>
          <w:sz w:val="20"/>
          <w:szCs w:val="20"/>
          <w:lang w:val="fr-FR"/>
        </w:rPr>
        <w:t xml:space="preserve"> et à leur impact sur nos assurés et nos investissements</w:t>
      </w:r>
      <w:r w:rsidRPr="009D6EE5">
        <w:rPr>
          <w:rFonts w:asciiTheme="minorHAnsi" w:hAnsiTheme="minorHAnsi"/>
          <w:sz w:val="20"/>
          <w:szCs w:val="20"/>
          <w:lang w:val="fr-FR"/>
        </w:rPr>
        <w:t xml:space="preserve">, constitue </w:t>
      </w:r>
      <w:r w:rsidRPr="0C4BF55A">
        <w:rPr>
          <w:rFonts w:asciiTheme="minorHAnsi" w:hAnsiTheme="minorHAnsi"/>
          <w:sz w:val="20"/>
          <w:szCs w:val="20"/>
          <w:lang w:val="fr-FR"/>
        </w:rPr>
        <w:t>une</w:t>
      </w:r>
      <w:r w:rsidRPr="009D6EE5">
        <w:rPr>
          <w:rFonts w:asciiTheme="minorHAnsi" w:hAnsiTheme="minorHAnsi"/>
          <w:sz w:val="20"/>
          <w:szCs w:val="20"/>
          <w:lang w:val="fr-FR"/>
        </w:rPr>
        <w:t xml:space="preserve"> de </w:t>
      </w:r>
      <w:r w:rsidRPr="0C4BF55A">
        <w:rPr>
          <w:rFonts w:asciiTheme="minorHAnsi" w:hAnsiTheme="minorHAnsi"/>
          <w:sz w:val="20"/>
          <w:szCs w:val="20"/>
          <w:lang w:val="fr-FR"/>
        </w:rPr>
        <w:t xml:space="preserve">nos </w:t>
      </w:r>
      <w:r>
        <w:rPr>
          <w:rFonts w:asciiTheme="minorHAnsi" w:hAnsiTheme="minorHAnsi"/>
          <w:sz w:val="20"/>
          <w:szCs w:val="20"/>
          <w:lang w:val="fr-FR"/>
        </w:rPr>
        <w:t xml:space="preserve">principales </w:t>
      </w:r>
      <w:r w:rsidR="003514D5" w:rsidRPr="0C4BF55A">
        <w:rPr>
          <w:rFonts w:asciiTheme="minorHAnsi" w:hAnsiTheme="minorHAnsi"/>
          <w:sz w:val="20"/>
          <w:szCs w:val="20"/>
          <w:lang w:val="fr-FR"/>
        </w:rPr>
        <w:t>préoccupations.</w:t>
      </w:r>
      <w:r w:rsidRPr="009D6EE5">
        <w:rPr>
          <w:rFonts w:asciiTheme="minorHAnsi" w:hAnsiTheme="minorHAnsi"/>
          <w:sz w:val="20"/>
          <w:szCs w:val="20"/>
          <w:lang w:val="fr-FR"/>
        </w:rPr>
        <w:t xml:space="preserve"> L’évolution de ces risques impose de </w:t>
      </w:r>
      <w:r>
        <w:rPr>
          <w:rFonts w:asciiTheme="minorHAnsi" w:hAnsiTheme="minorHAnsi"/>
          <w:sz w:val="20"/>
          <w:szCs w:val="20"/>
          <w:lang w:val="fr-FR"/>
        </w:rPr>
        <w:t xml:space="preserve">les </w:t>
      </w:r>
      <w:r w:rsidR="002A4FC0">
        <w:rPr>
          <w:rFonts w:asciiTheme="minorHAnsi" w:hAnsiTheme="minorHAnsi"/>
          <w:sz w:val="20"/>
          <w:szCs w:val="20"/>
          <w:lang w:val="fr-FR"/>
        </w:rPr>
        <w:t>monitorer</w:t>
      </w:r>
      <w:r>
        <w:rPr>
          <w:rFonts w:asciiTheme="minorHAnsi" w:hAnsiTheme="minorHAnsi"/>
          <w:sz w:val="20"/>
          <w:szCs w:val="20"/>
          <w:lang w:val="fr-FR"/>
        </w:rPr>
        <w:t xml:space="preserve"> de manière toujours plus granulaire</w:t>
      </w:r>
      <w:r w:rsidRPr="009D6EE5">
        <w:rPr>
          <w:rFonts w:asciiTheme="minorHAnsi" w:hAnsiTheme="minorHAnsi"/>
          <w:sz w:val="20"/>
          <w:szCs w:val="20"/>
          <w:lang w:val="fr-FR"/>
        </w:rPr>
        <w:t>, de mesure</w:t>
      </w:r>
      <w:r>
        <w:rPr>
          <w:rFonts w:asciiTheme="minorHAnsi" w:hAnsiTheme="minorHAnsi"/>
          <w:sz w:val="20"/>
          <w:szCs w:val="20"/>
          <w:lang w:val="fr-FR"/>
        </w:rPr>
        <w:t>r</w:t>
      </w:r>
      <w:r w:rsidRPr="009D6EE5">
        <w:rPr>
          <w:rFonts w:asciiTheme="minorHAnsi" w:hAnsiTheme="minorHAnsi"/>
          <w:sz w:val="20"/>
          <w:szCs w:val="20"/>
          <w:lang w:val="fr-FR"/>
        </w:rPr>
        <w:t xml:space="preserve"> et de pilot</w:t>
      </w:r>
      <w:r>
        <w:rPr>
          <w:rFonts w:asciiTheme="minorHAnsi" w:hAnsiTheme="minorHAnsi"/>
          <w:sz w:val="20"/>
          <w:szCs w:val="20"/>
          <w:lang w:val="fr-FR"/>
        </w:rPr>
        <w:t>er</w:t>
      </w:r>
      <w:r w:rsidRPr="009D6EE5">
        <w:rPr>
          <w:rFonts w:asciiTheme="minorHAnsi" w:hAnsiTheme="minorHAnsi"/>
          <w:sz w:val="20"/>
          <w:szCs w:val="20"/>
          <w:lang w:val="fr-FR"/>
        </w:rPr>
        <w:t xml:space="preserve"> </w:t>
      </w:r>
      <w:r>
        <w:rPr>
          <w:rFonts w:asciiTheme="minorHAnsi" w:hAnsiTheme="minorHAnsi"/>
          <w:sz w:val="20"/>
          <w:szCs w:val="20"/>
          <w:lang w:val="fr-FR"/>
        </w:rPr>
        <w:t>l</w:t>
      </w:r>
      <w:r w:rsidRPr="009D6EE5">
        <w:rPr>
          <w:rFonts w:asciiTheme="minorHAnsi" w:hAnsiTheme="minorHAnsi"/>
          <w:sz w:val="20"/>
          <w:szCs w:val="20"/>
          <w:lang w:val="fr-FR"/>
        </w:rPr>
        <w:t xml:space="preserve">es </w:t>
      </w:r>
      <w:r w:rsidR="002A4FC0" w:rsidRPr="009D6EE5">
        <w:rPr>
          <w:rFonts w:asciiTheme="minorHAnsi" w:hAnsiTheme="minorHAnsi"/>
          <w:sz w:val="20"/>
          <w:szCs w:val="20"/>
          <w:lang w:val="fr-FR"/>
        </w:rPr>
        <w:t>expositions</w:t>
      </w:r>
      <w:r w:rsidR="002A4FC0">
        <w:rPr>
          <w:rFonts w:asciiTheme="minorHAnsi" w:hAnsiTheme="minorHAnsi"/>
          <w:sz w:val="20"/>
          <w:szCs w:val="20"/>
          <w:lang w:val="fr-FR"/>
        </w:rPr>
        <w:t xml:space="preserve"> </w:t>
      </w:r>
      <w:r w:rsidR="002A4FC0" w:rsidRPr="009D6EE5">
        <w:rPr>
          <w:rFonts w:asciiTheme="minorHAnsi" w:hAnsiTheme="minorHAnsi"/>
          <w:sz w:val="20"/>
          <w:szCs w:val="20"/>
          <w:lang w:val="fr-FR"/>
        </w:rPr>
        <w:t>afin</w:t>
      </w:r>
      <w:r w:rsidRPr="009D6EE5">
        <w:rPr>
          <w:rFonts w:asciiTheme="minorHAnsi" w:hAnsiTheme="minorHAnsi"/>
          <w:sz w:val="20"/>
          <w:szCs w:val="20"/>
          <w:lang w:val="fr-FR"/>
        </w:rPr>
        <w:t xml:space="preserve"> de préserver l’équilibre du bilan assurantiel. </w:t>
      </w:r>
      <w:r w:rsidRPr="573F3E85">
        <w:rPr>
          <w:rFonts w:asciiTheme="minorHAnsi" w:hAnsiTheme="minorHAnsi"/>
          <w:sz w:val="20"/>
          <w:szCs w:val="20"/>
          <w:lang w:val="fr-FR"/>
        </w:rPr>
        <w:t xml:space="preserve">Cela passe </w:t>
      </w:r>
      <w:r w:rsidR="002A4FC0">
        <w:rPr>
          <w:rFonts w:asciiTheme="minorHAnsi" w:hAnsiTheme="minorHAnsi"/>
          <w:sz w:val="20"/>
          <w:szCs w:val="20"/>
          <w:lang w:val="fr-FR"/>
        </w:rPr>
        <w:t>également</w:t>
      </w:r>
      <w:r w:rsidRPr="573F3E85">
        <w:rPr>
          <w:rFonts w:asciiTheme="minorHAnsi" w:hAnsiTheme="minorHAnsi"/>
          <w:sz w:val="20"/>
          <w:szCs w:val="20"/>
          <w:lang w:val="fr-FR"/>
        </w:rPr>
        <w:t xml:space="preserve"> </w:t>
      </w:r>
      <w:r w:rsidR="002A4FC0">
        <w:rPr>
          <w:rFonts w:asciiTheme="minorHAnsi" w:hAnsiTheme="minorHAnsi"/>
          <w:sz w:val="20"/>
          <w:szCs w:val="20"/>
          <w:lang w:val="fr-FR"/>
        </w:rPr>
        <w:t>par des a</w:t>
      </w:r>
      <w:r w:rsidRPr="573F3E85">
        <w:rPr>
          <w:rFonts w:asciiTheme="minorHAnsi" w:hAnsiTheme="minorHAnsi"/>
          <w:sz w:val="20"/>
          <w:szCs w:val="20"/>
          <w:lang w:val="fr-FR"/>
        </w:rPr>
        <w:t xml:space="preserve">ctivités de prévention auprès de nos assurés afin qu’ils soient préparés face à la survenance potentielle de ces risques. </w:t>
      </w:r>
    </w:p>
    <w:p w14:paraId="607A1D37" w14:textId="77777777" w:rsidR="00CC2324" w:rsidRPr="009D6EE5" w:rsidRDefault="00CC2324" w:rsidP="00CC2324">
      <w:pPr>
        <w:spacing w:before="240" w:line="22" w:lineRule="atLeast"/>
        <w:jc w:val="both"/>
        <w:rPr>
          <w:rFonts w:asciiTheme="minorHAnsi" w:hAnsiTheme="minorHAnsi"/>
          <w:kern w:val="2"/>
          <w:lang w:val="fr-FR"/>
          <w14:ligatures w14:val="standardContextual"/>
        </w:rPr>
      </w:pPr>
      <w:r w:rsidRPr="009D6EE5">
        <w:rPr>
          <w:rFonts w:asciiTheme="minorHAnsi" w:hAnsiTheme="minorHAnsi"/>
          <w:sz w:val="20"/>
          <w:szCs w:val="20"/>
          <w:lang w:val="fr-FR"/>
        </w:rPr>
        <w:t>Nous continuons également à orienter des capitaux vers l’investissement à impact, en particulier sur des thématiques sociales et territoriales, convaincus que la transition doit être juste et inclusive. À travers Abeille Impact Investing</w:t>
      </w:r>
      <w:r>
        <w:rPr>
          <w:rFonts w:asciiTheme="minorHAnsi" w:hAnsiTheme="minorHAnsi"/>
          <w:sz w:val="20"/>
          <w:szCs w:val="20"/>
          <w:lang w:val="fr-FR"/>
        </w:rPr>
        <w:t xml:space="preserve"> France</w:t>
      </w:r>
      <w:r w:rsidRPr="009D6EE5">
        <w:rPr>
          <w:rFonts w:asciiTheme="minorHAnsi" w:hAnsiTheme="minorHAnsi"/>
          <w:sz w:val="20"/>
          <w:szCs w:val="20"/>
          <w:lang w:val="fr-FR"/>
        </w:rPr>
        <w:t>, nous soutenons des projets ancrés dans l’économie réelle, porteurs de valeur durable.</w:t>
      </w:r>
    </w:p>
    <w:p w14:paraId="47BFA610" w14:textId="77777777" w:rsidR="00CC2324" w:rsidRPr="009D6EE5" w:rsidRDefault="00CC2324" w:rsidP="00CC2324">
      <w:pPr>
        <w:spacing w:before="240" w:line="22" w:lineRule="atLeast"/>
        <w:jc w:val="both"/>
        <w:rPr>
          <w:rFonts w:asciiTheme="minorHAnsi" w:hAnsiTheme="minorHAnsi"/>
          <w:kern w:val="2"/>
          <w:lang w:val="fr-FR"/>
          <w14:ligatures w14:val="standardContextual"/>
        </w:rPr>
      </w:pPr>
      <w:r w:rsidRPr="009D6EE5">
        <w:rPr>
          <w:rFonts w:asciiTheme="minorHAnsi" w:hAnsiTheme="minorHAnsi"/>
          <w:sz w:val="20"/>
          <w:szCs w:val="20"/>
          <w:lang w:val="fr-FR"/>
        </w:rPr>
        <w:t>L’année 2025 marque un point d’étape clé dans notre trajectoire. Elle confirme que notre stratégie est robuste, cohérente avec les recommandations scientifiques, et adaptée aux risques d’aujourd’hui comme à ceux de demain. Abeille Assurances poursuivra cette voie avec constance : lucide sur les risques, exigeante dans ses choix et engagée dans l’action.</w:t>
      </w:r>
    </w:p>
    <w:p w14:paraId="1E52A0E9" w14:textId="77777777" w:rsidR="00CC2324" w:rsidRPr="009D6EE5" w:rsidRDefault="00CC2324" w:rsidP="00CC2324">
      <w:pPr>
        <w:spacing w:before="240" w:line="22" w:lineRule="atLeast"/>
        <w:jc w:val="both"/>
        <w:rPr>
          <w:rFonts w:asciiTheme="minorHAnsi" w:hAnsiTheme="minorHAnsi"/>
          <w:kern w:val="2"/>
          <w:lang w:val="fr-FR"/>
          <w14:ligatures w14:val="standardContextual"/>
        </w:rPr>
      </w:pPr>
      <w:r w:rsidRPr="009D6EE5">
        <w:rPr>
          <w:rFonts w:asciiTheme="minorHAnsi" w:hAnsiTheme="minorHAnsi"/>
          <w:b/>
          <w:bCs/>
          <w:sz w:val="20"/>
          <w:szCs w:val="20"/>
          <w:lang w:val="fr-FR"/>
        </w:rPr>
        <w:t>Ce rapport ESG Climat 2025 illustre l’ambition, la responsabilité et la détermination d’Abeille Assurances à agir, aux côtés de l’ensemble de ses parties prenantes, pour construire un avenir plus résilient, plus durable et plus juste.</w:t>
      </w:r>
    </w:p>
    <w:p w14:paraId="62F3D01A" w14:textId="77777777" w:rsidR="00CC2324" w:rsidRPr="009D6EE5" w:rsidRDefault="00CC2324" w:rsidP="00CC2324">
      <w:pPr>
        <w:spacing w:before="240" w:line="22" w:lineRule="atLeast"/>
        <w:jc w:val="both"/>
        <w:rPr>
          <w:rFonts w:asciiTheme="minorHAnsi" w:hAnsiTheme="minorHAnsi"/>
          <w:kern w:val="2"/>
          <w:lang w:val="fr-FR"/>
          <w14:ligatures w14:val="standardContextual"/>
        </w:rPr>
      </w:pPr>
      <w:r w:rsidRPr="009D6EE5">
        <w:rPr>
          <w:rFonts w:asciiTheme="minorHAnsi" w:hAnsiTheme="minorHAnsi"/>
          <w:b/>
          <w:bCs/>
          <w:sz w:val="20"/>
          <w:szCs w:val="20"/>
          <w:lang w:val="fr-FR"/>
        </w:rPr>
        <w:t xml:space="preserve">Philippe Michel Labrosse </w:t>
      </w:r>
      <w:r w:rsidRPr="009D6EE5">
        <w:rPr>
          <w:rFonts w:asciiTheme="minorHAnsi" w:hAnsiTheme="minorHAnsi"/>
          <w:sz w:val="20"/>
          <w:szCs w:val="20"/>
          <w:lang w:val="fr-FR"/>
        </w:rPr>
        <w:t>Directeur Général d’Abeille Assurances</w:t>
      </w:r>
    </w:p>
    <w:p w14:paraId="128EBCB2" w14:textId="77777777" w:rsidR="000D19BB" w:rsidRPr="00A74D23" w:rsidRDefault="000D19BB" w:rsidP="009D6EE5">
      <w:pPr>
        <w:spacing w:line="22" w:lineRule="atLeast"/>
        <w:jc w:val="both"/>
        <w:rPr>
          <w:rFonts w:asciiTheme="minorHAnsi" w:hAnsiTheme="minorHAnsi" w:cs="Open Sans"/>
          <w:sz w:val="20"/>
          <w:szCs w:val="20"/>
          <w:lang w:val="fr-FR"/>
        </w:rPr>
      </w:pPr>
    </w:p>
    <w:p w14:paraId="5E7ED647" w14:textId="3BB68076" w:rsidR="009E210A" w:rsidRPr="00A74D23" w:rsidRDefault="009E210A"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br w:type="page"/>
      </w:r>
    </w:p>
    <w:p w14:paraId="6D3014C7" w14:textId="65F5A4F8" w:rsidR="008A26EB" w:rsidRPr="00D22211" w:rsidRDefault="00AA7C44" w:rsidP="009D6EE5">
      <w:pPr>
        <w:pStyle w:val="Titre10"/>
        <w:spacing w:line="22" w:lineRule="atLeast"/>
        <w:jc w:val="both"/>
        <w:rPr>
          <w:rFonts w:asciiTheme="minorHAnsi" w:eastAsia="Calibri" w:hAnsiTheme="minorHAnsi" w:cs="Open Sans"/>
          <w:b w:val="0"/>
          <w:kern w:val="32"/>
          <w:sz w:val="44"/>
          <w:szCs w:val="44"/>
          <w:lang w:eastAsia="fr-FR"/>
          <w14:textOutline w14:w="6350" w14:cap="rnd" w14:cmpd="sng" w14:algn="ctr">
            <w14:noFill/>
            <w14:prstDash w14:val="solid"/>
            <w14:bevel/>
          </w14:textOutline>
        </w:rPr>
      </w:pPr>
      <w:bookmarkStart w:id="5" w:name="_Toc129091791"/>
      <w:bookmarkStart w:id="6" w:name="_Toc128735880"/>
      <w:bookmarkStart w:id="7" w:name="_Toc231336996"/>
      <w:bookmarkStart w:id="8" w:name="_Toc129091793"/>
      <w:bookmarkStart w:id="9" w:name="_Toc128735882"/>
      <w:r w:rsidRPr="00D22211">
        <w:rPr>
          <w:rFonts w:asciiTheme="minorHAnsi" w:eastAsia="Calibri" w:hAnsiTheme="minorHAnsi" w:cs="Open Sans"/>
          <w:b w:val="0"/>
          <w:kern w:val="32"/>
          <w:sz w:val="44"/>
          <w:szCs w:val="44"/>
          <w:lang w:eastAsia="fr-FR"/>
          <w14:textOutline w14:w="6350" w14:cap="rnd" w14:cmpd="sng" w14:algn="ctr">
            <w14:noFill/>
            <w14:prstDash w14:val="solid"/>
            <w14:bevel/>
          </w14:textOutline>
        </w:rPr>
        <w:lastRenderedPageBreak/>
        <w:t xml:space="preserve">A. </w:t>
      </w:r>
      <w:r w:rsidR="008A26EB" w:rsidRPr="00D22211">
        <w:rPr>
          <w:rFonts w:asciiTheme="minorHAnsi" w:eastAsia="Calibri" w:hAnsiTheme="minorHAnsi" w:cs="Open Sans"/>
          <w:b w:val="0"/>
          <w:kern w:val="32"/>
          <w:sz w:val="44"/>
          <w:szCs w:val="44"/>
          <w:lang w:eastAsia="fr-FR"/>
          <w14:textOutline w14:w="6350" w14:cap="rnd" w14:cmpd="sng" w14:algn="ctr">
            <w14:noFill/>
            <w14:prstDash w14:val="solid"/>
            <w14:bevel/>
          </w14:textOutline>
        </w:rPr>
        <w:t>Introductio</w:t>
      </w:r>
      <w:bookmarkEnd w:id="5"/>
      <w:bookmarkEnd w:id="6"/>
      <w:r w:rsidR="000B4AB2" w:rsidRPr="00D22211">
        <w:rPr>
          <w:rFonts w:asciiTheme="minorHAnsi" w:eastAsia="Calibri" w:hAnsiTheme="minorHAnsi" w:cs="Open Sans"/>
          <w:b w:val="0"/>
          <w:kern w:val="32"/>
          <w:sz w:val="44"/>
          <w:szCs w:val="44"/>
          <w:lang w:eastAsia="fr-FR"/>
          <w14:textOutline w14:w="6350" w14:cap="rnd" w14:cmpd="sng" w14:algn="ctr">
            <w14:noFill/>
            <w14:prstDash w14:val="solid"/>
            <w14:bevel/>
          </w14:textOutline>
        </w:rPr>
        <w:t>n</w:t>
      </w:r>
      <w:bookmarkEnd w:id="7"/>
    </w:p>
    <w:p w14:paraId="7F1BBEA8" w14:textId="407FFC34" w:rsidR="005A2B2D" w:rsidRPr="00A74D23" w:rsidRDefault="005A2B2D" w:rsidP="009D6EE5">
      <w:pPr>
        <w:pStyle w:val="StyleYO"/>
        <w:spacing w:line="22" w:lineRule="atLeast"/>
        <w:jc w:val="both"/>
        <w:rPr>
          <w:kern w:val="2"/>
          <w:sz w:val="32"/>
          <w:szCs w:val="32"/>
          <w14:ligatures w14:val="standardContextual"/>
        </w:rPr>
      </w:pPr>
      <w:bookmarkStart w:id="10" w:name="_Toc231336997"/>
      <w:bookmarkEnd w:id="8"/>
      <w:bookmarkEnd w:id="9"/>
      <w:r w:rsidRPr="00A74D23">
        <w:t>Qui sommes-nous ? Abeille Assurances</w:t>
      </w:r>
      <w:bookmarkEnd w:id="10"/>
    </w:p>
    <w:p w14:paraId="1C7333EB" w14:textId="77777777" w:rsidR="00B30213" w:rsidRPr="00A74D23" w:rsidRDefault="00B30213" w:rsidP="009D6EE5">
      <w:pPr>
        <w:spacing w:line="22" w:lineRule="atLeast"/>
        <w:jc w:val="both"/>
        <w:rPr>
          <w:rFonts w:asciiTheme="minorHAnsi" w:hAnsiTheme="minorHAnsi" w:cs="Open Sans"/>
          <w:b/>
          <w:bCs/>
          <w:sz w:val="20"/>
          <w:lang w:val="fr-FR"/>
        </w:rPr>
      </w:pPr>
    </w:p>
    <w:p w14:paraId="006675CC" w14:textId="77777777" w:rsidR="00B6289C" w:rsidRPr="00A74D23" w:rsidRDefault="00B6289C" w:rsidP="009D6EE5">
      <w:pPr>
        <w:spacing w:line="22" w:lineRule="atLeast"/>
        <w:jc w:val="both"/>
        <w:rPr>
          <w:rFonts w:asciiTheme="minorHAnsi" w:hAnsiTheme="minorHAnsi" w:cs="Open Sans"/>
        </w:rPr>
      </w:pPr>
      <w:bookmarkStart w:id="11" w:name="_Toc129091798"/>
      <w:bookmarkStart w:id="12" w:name="_Toc128735887"/>
    </w:p>
    <w:p w14:paraId="5CE68E84" w14:textId="77777777" w:rsidR="00186A1B" w:rsidRPr="00A74D23" w:rsidRDefault="00186A1B" w:rsidP="009D6EE5">
      <w:pPr>
        <w:spacing w:line="22" w:lineRule="atLeast"/>
        <w:jc w:val="both"/>
        <w:rPr>
          <w:rFonts w:asciiTheme="minorHAnsi" w:hAnsiTheme="minorHAnsi" w:cs="Open Sans"/>
        </w:rPr>
      </w:pPr>
    </w:p>
    <w:p w14:paraId="6CB2088E" w14:textId="77777777" w:rsidR="00186A1B" w:rsidRPr="00A74D23" w:rsidRDefault="00186A1B" w:rsidP="00186A1B">
      <w:pPr>
        <w:jc w:val="both"/>
        <w:rPr>
          <w:rFonts w:asciiTheme="minorHAnsi" w:hAnsiTheme="minorHAnsi"/>
          <w:b/>
          <w:bCs/>
          <w:sz w:val="20"/>
          <w:lang w:val="fr-FR"/>
        </w:rPr>
      </w:pPr>
      <w:r w:rsidRPr="00A74D23">
        <w:rPr>
          <w:rFonts w:asciiTheme="minorHAnsi" w:hAnsiTheme="minorHAnsi"/>
          <w:b/>
          <w:bCs/>
          <w:sz w:val="20"/>
          <w:lang w:val="fr-FR"/>
        </w:rPr>
        <w:t xml:space="preserve">Notre histoire et raison d’être </w:t>
      </w:r>
    </w:p>
    <w:p w14:paraId="04FF2753" w14:textId="77777777" w:rsidR="00186A1B" w:rsidRPr="00A74D23" w:rsidRDefault="00186A1B" w:rsidP="00186A1B">
      <w:pPr>
        <w:jc w:val="both"/>
        <w:rPr>
          <w:rFonts w:asciiTheme="minorHAnsi" w:hAnsiTheme="minorHAnsi"/>
          <w:b/>
          <w:bCs/>
          <w:sz w:val="20"/>
          <w:lang w:val="fr-FR"/>
        </w:rPr>
      </w:pPr>
      <w:r w:rsidRPr="00A74D23">
        <w:rPr>
          <w:rFonts w:asciiTheme="minorHAnsi" w:hAnsiTheme="minorHAnsi"/>
          <w:b/>
          <w:bCs/>
          <w:noProof/>
          <w:sz w:val="20"/>
        </w:rPr>
        <mc:AlternateContent>
          <mc:Choice Requires="wps">
            <w:drawing>
              <wp:anchor distT="0" distB="0" distL="114300" distR="114300" simplePos="0" relativeHeight="251883520" behindDoc="0" locked="0" layoutInCell="1" allowOverlap="1" wp14:anchorId="5D636597" wp14:editId="6E17CB26">
                <wp:simplePos x="0" y="0"/>
                <wp:positionH relativeFrom="margin">
                  <wp:align>left</wp:align>
                </wp:positionH>
                <wp:positionV relativeFrom="paragraph">
                  <wp:posOffset>41123</wp:posOffset>
                </wp:positionV>
                <wp:extent cx="1615627" cy="5610"/>
                <wp:effectExtent l="0" t="0" r="22860" b="33020"/>
                <wp:wrapNone/>
                <wp:docPr id="2130249686" name="Connecteur droit 2"/>
                <wp:cNvGraphicFramePr/>
                <a:graphic xmlns:a="http://schemas.openxmlformats.org/drawingml/2006/main">
                  <a:graphicData uri="http://schemas.microsoft.com/office/word/2010/wordprocessingShape">
                    <wps:wsp>
                      <wps:cNvCnPr/>
                      <wps:spPr>
                        <a:xfrm flipV="1">
                          <a:off x="0" y="0"/>
                          <a:ext cx="1615627" cy="561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C1A383" id="Connecteur droit 2" o:spid="_x0000_s1026" style="position:absolute;flip:y;z-index:251883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25pt" to="127.2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" strokecolor="#ffd400 [3204]" strokeweight="1.5pt">
                <v:stroke joinstyle="miter"/>
                <w10:wrap anchorx="margin"/>
              </v:line>
            </w:pict>
          </mc:Fallback>
        </mc:AlternateContent>
      </w:r>
    </w:p>
    <w:p w14:paraId="4B9458D1" w14:textId="77777777" w:rsidR="00186A1B" w:rsidRPr="00A74D23" w:rsidRDefault="00186A1B" w:rsidP="00186A1B">
      <w:pPr>
        <w:jc w:val="both"/>
        <w:rPr>
          <w:rFonts w:asciiTheme="minorHAnsi" w:hAnsiTheme="minorHAnsi"/>
          <w:b/>
          <w:bCs/>
          <w:sz w:val="20"/>
          <w:lang w:val="fr-FR"/>
        </w:rPr>
      </w:pPr>
      <w:r w:rsidRPr="00A74D23">
        <w:rPr>
          <w:rFonts w:asciiTheme="minorHAnsi" w:hAnsiTheme="minorHAnsi"/>
          <w:b/>
          <w:bCs/>
          <w:sz w:val="20"/>
          <w:lang w:val="fr-FR"/>
        </w:rPr>
        <w:t xml:space="preserve">Ancrage historique et identité de marque : 170 ans d'engagement </w:t>
      </w:r>
    </w:p>
    <w:p w14:paraId="15203693" w14:textId="77777777" w:rsidR="00186A1B" w:rsidRPr="00A74D23" w:rsidRDefault="00186A1B" w:rsidP="00186A1B">
      <w:pPr>
        <w:jc w:val="both"/>
        <w:rPr>
          <w:rFonts w:asciiTheme="minorHAnsi" w:hAnsiTheme="minorHAnsi"/>
          <w:sz w:val="20"/>
          <w:lang w:val="fr-FR"/>
        </w:rPr>
      </w:pPr>
    </w:p>
    <w:p w14:paraId="0FDA676B" w14:textId="77777777" w:rsidR="00186A1B" w:rsidRPr="00A74D23" w:rsidRDefault="00186A1B" w:rsidP="00186A1B">
      <w:pPr>
        <w:jc w:val="both"/>
        <w:rPr>
          <w:rFonts w:asciiTheme="minorHAnsi" w:hAnsiTheme="minorHAnsi"/>
          <w:sz w:val="20"/>
          <w:lang w:val="fr-FR"/>
        </w:rPr>
      </w:pPr>
      <w:r w:rsidRPr="00A74D23">
        <w:rPr>
          <w:rFonts w:asciiTheme="minorHAnsi" w:hAnsiTheme="minorHAnsi"/>
          <w:sz w:val="20"/>
          <w:lang w:val="fr-FR"/>
        </w:rPr>
        <w:t>Fondée en 1856 par des viticulteurs et des notables de Dijon pour assurer le risque de grêle, l’Abeille Bourguignonne – devenue Abeille Assurances – est l’une des plus anciennes compagnies d’assurance françaises. En 2021, elle rejoint Aéma Groupe, groupe mutualiste de protection issu du rapprochement entre Aésio Mutuelle et la Macif.</w:t>
      </w:r>
    </w:p>
    <w:p w14:paraId="48BE2852" w14:textId="77777777" w:rsidR="00186A1B" w:rsidRPr="00A74D23" w:rsidRDefault="00186A1B" w:rsidP="00186A1B">
      <w:pPr>
        <w:jc w:val="both"/>
        <w:rPr>
          <w:rFonts w:asciiTheme="minorHAnsi" w:hAnsiTheme="minorHAnsi"/>
          <w:sz w:val="20"/>
          <w:lang w:val="fr-FR"/>
        </w:rPr>
      </w:pPr>
      <w:r w:rsidRPr="00A74D23">
        <w:rPr>
          <w:rFonts w:asciiTheme="minorHAnsi" w:hAnsiTheme="minorHAnsi"/>
          <w:sz w:val="20"/>
          <w:lang w:val="fr-FR"/>
        </w:rPr>
        <w:t>En renouant avec ses racines, Abeille Assurances réaffirme les valeurs fondatrices qui orientent sa mission depuis l’origine. Sa raison d’être constitue un repère de long terme, donnant du sens à ses engagements, à ses actions et à celles de ses collaborateurs. Elle guide l’évolution de l’entreprise pour répondre avec intégrité et responsabilité aux enjeux contemporains et aux attentes de ses clients.</w:t>
      </w:r>
    </w:p>
    <w:p w14:paraId="421DB153" w14:textId="77777777" w:rsidR="00186A1B" w:rsidRPr="00A74D23" w:rsidRDefault="00186A1B" w:rsidP="00186A1B">
      <w:pPr>
        <w:jc w:val="both"/>
        <w:rPr>
          <w:rFonts w:asciiTheme="minorHAnsi" w:hAnsiTheme="minorHAnsi"/>
          <w:sz w:val="20"/>
          <w:lang w:val="fr-FR"/>
        </w:rPr>
      </w:pPr>
    </w:p>
    <w:p w14:paraId="08288756" w14:textId="77777777" w:rsidR="00186A1B" w:rsidRPr="00A74D23" w:rsidRDefault="00186A1B" w:rsidP="00186A1B">
      <w:pPr>
        <w:jc w:val="both"/>
        <w:rPr>
          <w:rFonts w:asciiTheme="minorHAnsi" w:hAnsiTheme="minorHAnsi"/>
          <w:b/>
          <w:bCs/>
          <w:sz w:val="20"/>
          <w:lang w:val="fr-FR"/>
        </w:rPr>
      </w:pPr>
      <w:r w:rsidRPr="00A74D23">
        <w:rPr>
          <w:rFonts w:asciiTheme="minorHAnsi" w:hAnsiTheme="minorHAnsi"/>
          <w:b/>
          <w:bCs/>
          <w:sz w:val="20"/>
          <w:lang w:val="fr-FR"/>
        </w:rPr>
        <w:t>Une marque renouvelée pour un avenir prometteur </w:t>
      </w:r>
    </w:p>
    <w:p w14:paraId="15DC9AFA" w14:textId="77777777" w:rsidR="00186A1B" w:rsidRPr="00A74D23" w:rsidRDefault="00186A1B" w:rsidP="00186A1B">
      <w:pPr>
        <w:jc w:val="both"/>
        <w:rPr>
          <w:rFonts w:asciiTheme="minorHAnsi" w:hAnsiTheme="minorHAnsi"/>
          <w:b/>
          <w:bCs/>
          <w:sz w:val="20"/>
          <w:lang w:val="fr-FR"/>
        </w:rPr>
      </w:pPr>
    </w:p>
    <w:p w14:paraId="4B322D28" w14:textId="77777777" w:rsidR="00186A1B" w:rsidRPr="00A74D23" w:rsidRDefault="00186A1B" w:rsidP="00186A1B">
      <w:pPr>
        <w:jc w:val="both"/>
        <w:rPr>
          <w:rFonts w:asciiTheme="minorHAnsi" w:hAnsiTheme="minorHAnsi"/>
          <w:sz w:val="20"/>
          <w:lang w:val="fr-FR"/>
        </w:rPr>
      </w:pPr>
      <w:r w:rsidRPr="00A74D23">
        <w:rPr>
          <w:rFonts w:asciiTheme="minorHAnsi" w:hAnsiTheme="minorHAnsi"/>
          <w:sz w:val="20"/>
          <w:lang w:val="fr-FR"/>
        </w:rPr>
        <w:t>Les récentes campagnes de communication ont contribué à renforcer la notoriété et l’attractivité d’Abeille Assurances, en valorisant une image de marque fondée sur la proximité et la qualité de service. Les clients reconnaissent notamment l’écoute, la disponibilité et la capacité de l’entreprise à répondre à leurs besoins spécifiques, appuyée par un réseau national d’agents généraux.</w:t>
      </w:r>
    </w:p>
    <w:p w14:paraId="5EFB242E" w14:textId="77777777" w:rsidR="00186A1B" w:rsidRPr="00A74D23" w:rsidRDefault="00186A1B" w:rsidP="00186A1B">
      <w:pPr>
        <w:jc w:val="both"/>
        <w:rPr>
          <w:rFonts w:asciiTheme="minorHAnsi" w:hAnsiTheme="minorHAnsi"/>
          <w:sz w:val="20"/>
          <w:lang w:val="fr-FR"/>
        </w:rPr>
      </w:pPr>
      <w:r w:rsidRPr="00A74D23">
        <w:rPr>
          <w:rFonts w:asciiTheme="minorHAnsi" w:hAnsiTheme="minorHAnsi"/>
          <w:sz w:val="20"/>
          <w:lang w:val="fr-FR"/>
        </w:rPr>
        <w:t>La signature «</w:t>
      </w:r>
      <w:r w:rsidRPr="00A74D23">
        <w:rPr>
          <w:rFonts w:asciiTheme="minorHAnsi" w:hAnsiTheme="minorHAnsi"/>
          <w:b/>
          <w:bCs/>
          <w:sz w:val="20"/>
          <w:lang w:val="fr-FR"/>
        </w:rPr>
        <w:t> Donner des ailes à votre avenir </w:t>
      </w:r>
      <w:r w:rsidRPr="00A74D23">
        <w:rPr>
          <w:rFonts w:asciiTheme="minorHAnsi" w:hAnsiTheme="minorHAnsi"/>
          <w:sz w:val="20"/>
          <w:lang w:val="fr-FR"/>
        </w:rPr>
        <w:t>» exprime l’engagement d’Abeille Assurances à accompagner durablement ses clients et à leur offrir une protection responsable. Sa raison d’être, véritable boussole stratégique, confirme son rôle dans la société à travers ses métiers, ses engagements et ses initiatives.</w:t>
      </w:r>
    </w:p>
    <w:p w14:paraId="0B8983B0" w14:textId="77777777" w:rsidR="002B6D56" w:rsidRPr="00A74D23" w:rsidRDefault="002B6D56" w:rsidP="00186A1B">
      <w:pPr>
        <w:jc w:val="both"/>
        <w:rPr>
          <w:rFonts w:asciiTheme="minorHAnsi" w:hAnsiTheme="minorHAnsi"/>
          <w:sz w:val="20"/>
          <w:lang w:val="fr-FR"/>
        </w:rPr>
      </w:pPr>
    </w:p>
    <w:p w14:paraId="6B0BC323" w14:textId="77777777" w:rsidR="002B6D56" w:rsidRPr="00A74D23" w:rsidRDefault="002B6D56" w:rsidP="002B6D56">
      <w:pPr>
        <w:jc w:val="both"/>
        <w:rPr>
          <w:rFonts w:asciiTheme="minorHAnsi" w:hAnsiTheme="minorHAnsi"/>
          <w:sz w:val="20"/>
          <w:szCs w:val="20"/>
          <w:lang w:val="fr-FR"/>
        </w:rPr>
      </w:pPr>
      <w:r w:rsidRPr="00A74D23">
        <w:rPr>
          <w:rFonts w:asciiTheme="minorHAnsi" w:hAnsiTheme="minorHAnsi"/>
          <w:sz w:val="20"/>
          <w:szCs w:val="20"/>
          <w:lang w:val="fr-FR"/>
        </w:rPr>
        <w:t>Auprès de ses collaborateurs, Abeille Assurances fonde son action sur deux valeurs cardinales – le respect et l’intégrité – ainsi que sur quatre principes actionnables autour de la culture clients (« Soyons le Client »), la collaboration (« Collaborons sans frontières »), l’action (« Visons l’essentiel ») et l’engagement (« Agissons et soyons engagés »).</w:t>
      </w:r>
    </w:p>
    <w:p w14:paraId="495602FF" w14:textId="77777777" w:rsidR="002B6D56" w:rsidRPr="00A74D23" w:rsidRDefault="002B6D56" w:rsidP="002B6D56">
      <w:pPr>
        <w:jc w:val="both"/>
        <w:rPr>
          <w:rFonts w:asciiTheme="minorHAnsi" w:hAnsiTheme="minorHAnsi"/>
          <w:sz w:val="20"/>
          <w:szCs w:val="20"/>
          <w:lang w:val="fr-FR"/>
        </w:rPr>
      </w:pPr>
    </w:p>
    <w:p w14:paraId="5C3A9923" w14:textId="13CE5E79" w:rsidR="002B6D56" w:rsidRPr="00A74D23" w:rsidRDefault="002B6D56" w:rsidP="00186A1B">
      <w:pPr>
        <w:jc w:val="both"/>
        <w:rPr>
          <w:rFonts w:asciiTheme="minorHAnsi" w:hAnsiTheme="minorHAnsi"/>
          <w:sz w:val="20"/>
          <w:szCs w:val="20"/>
          <w:lang w:val="fr-FR"/>
        </w:rPr>
      </w:pPr>
      <w:r w:rsidRPr="00A74D23">
        <w:rPr>
          <w:rFonts w:asciiTheme="minorHAnsi" w:hAnsiTheme="minorHAnsi"/>
          <w:sz w:val="20"/>
          <w:szCs w:val="20"/>
          <w:lang w:val="fr-FR"/>
        </w:rPr>
        <w:t>Ces éléments constituent les fondations de son identité et de sa contribution au sein d’Aéma Groupe comme de la société. Abeille Assurances est un pilier de performance et de stabilité au coeur d’Aéma Groupe. Sa capacité à se renouveler et à se transformer démontre la pertinence de son modèle et sa place d’acteur incontournable au sein du Groupe et au sein du marché.</w:t>
      </w:r>
    </w:p>
    <w:p w14:paraId="0442815E" w14:textId="77777777" w:rsidR="002B6D56" w:rsidRPr="00A74D23" w:rsidRDefault="002B6D56" w:rsidP="00186A1B">
      <w:pPr>
        <w:jc w:val="both"/>
        <w:rPr>
          <w:rFonts w:asciiTheme="minorHAnsi" w:hAnsiTheme="minorHAnsi"/>
          <w:sz w:val="20"/>
          <w:szCs w:val="20"/>
          <w:lang w:val="fr-FR"/>
        </w:rPr>
      </w:pPr>
    </w:p>
    <w:p w14:paraId="160652EE" w14:textId="77777777" w:rsidR="002B6D56" w:rsidRPr="00A74D23" w:rsidRDefault="002B6D56" w:rsidP="00186A1B">
      <w:pPr>
        <w:jc w:val="both"/>
        <w:rPr>
          <w:rFonts w:asciiTheme="minorHAnsi" w:hAnsiTheme="minorHAnsi"/>
          <w:sz w:val="20"/>
          <w:lang w:val="fr-FR"/>
        </w:rPr>
      </w:pPr>
    </w:p>
    <w:p w14:paraId="62C64E54" w14:textId="77777777" w:rsidR="00186A1B" w:rsidRPr="00A74D23" w:rsidRDefault="00186A1B" w:rsidP="00186A1B">
      <w:pPr>
        <w:pStyle w:val="Style1"/>
        <w:numPr>
          <w:ilvl w:val="0"/>
          <w:numId w:val="0"/>
        </w:numPr>
        <w:tabs>
          <w:tab w:val="clear" w:pos="2010"/>
          <w:tab w:val="left" w:pos="1134"/>
        </w:tabs>
        <w:jc w:val="both"/>
        <w:rPr>
          <w:i w:val="0"/>
          <w:color w:val="auto"/>
          <w:sz w:val="20"/>
          <w:szCs w:val="20"/>
        </w:rPr>
      </w:pPr>
      <w:r w:rsidRPr="00A74D23">
        <w:rPr>
          <w:noProof/>
          <w:color w:val="auto"/>
        </w:rPr>
        <mc:AlternateContent>
          <mc:Choice Requires="wps">
            <w:drawing>
              <wp:anchor distT="0" distB="0" distL="114300" distR="114300" simplePos="0" relativeHeight="251858944" behindDoc="0" locked="0" layoutInCell="1" allowOverlap="1" wp14:anchorId="4C0CAE77" wp14:editId="14F13AB5">
                <wp:simplePos x="0" y="0"/>
                <wp:positionH relativeFrom="margin">
                  <wp:posOffset>123300</wp:posOffset>
                </wp:positionH>
                <wp:positionV relativeFrom="paragraph">
                  <wp:posOffset>18974</wp:posOffset>
                </wp:positionV>
                <wp:extent cx="6151592" cy="877824"/>
                <wp:effectExtent l="0" t="0" r="1905" b="0"/>
                <wp:wrapNone/>
                <wp:docPr id="1934349161" name="Zone de texte 1934349161"/>
                <wp:cNvGraphicFramePr/>
                <a:graphic xmlns:a="http://schemas.openxmlformats.org/drawingml/2006/main">
                  <a:graphicData uri="http://schemas.microsoft.com/office/word/2010/wordprocessingShape">
                    <wps:wsp>
                      <wps:cNvSpPr txBox="1"/>
                      <wps:spPr>
                        <a:xfrm>
                          <a:off x="0" y="0"/>
                          <a:ext cx="6151592" cy="877824"/>
                        </a:xfrm>
                        <a:prstGeom prst="rect">
                          <a:avLst/>
                        </a:prstGeom>
                        <a:solidFill>
                          <a:schemeClr val="lt1"/>
                        </a:solidFill>
                        <a:ln w="6350">
                          <a:noFill/>
                        </a:ln>
                      </wps:spPr>
                      <wps:txbx>
                        <w:txbxContent>
                          <w:p w14:paraId="226C2EEB" w14:textId="77777777" w:rsidR="00186A1B" w:rsidRPr="00186A1B" w:rsidRDefault="00186A1B" w:rsidP="00186A1B">
                            <w:pPr>
                              <w:jc w:val="center"/>
                              <w:rPr>
                                <w:rFonts w:ascii="Source Sans Pro" w:eastAsia="Source Sans Pro" w:hAnsi="Source Sans Pro" w:cs="Source Sans Pro"/>
                                <w:b/>
                                <w:bCs/>
                                <w:sz w:val="20"/>
                                <w:szCs w:val="20"/>
                                <w:lang w:val="fr-FR"/>
                              </w:rPr>
                            </w:pPr>
                            <w:r w:rsidRPr="00186A1B">
                              <w:rPr>
                                <w:rFonts w:ascii="Source Sans Pro" w:eastAsia="Source Sans Pro" w:hAnsi="Source Sans Pro" w:cs="Source Sans Pro"/>
                                <w:b/>
                                <w:bCs/>
                                <w:sz w:val="20"/>
                                <w:szCs w:val="20"/>
                                <w:lang w:val="fr-FR"/>
                              </w:rPr>
                              <w:t xml:space="preserve">La Raison d'être d'Abeille Assurances </w:t>
                            </w:r>
                          </w:p>
                          <w:p w14:paraId="2B50B814" w14:textId="77777777" w:rsidR="00186A1B" w:rsidRPr="00186A1B" w:rsidRDefault="00186A1B" w:rsidP="00186A1B">
                            <w:pPr>
                              <w:jc w:val="center"/>
                              <w:rPr>
                                <w:rFonts w:ascii="Source Sans Pro" w:eastAsia="Source Sans Pro" w:hAnsi="Source Sans Pro" w:cs="Source Sans Pro"/>
                                <w:i/>
                                <w:iCs/>
                                <w:sz w:val="20"/>
                                <w:szCs w:val="20"/>
                                <w:lang w:val="fr-FR"/>
                              </w:rPr>
                            </w:pPr>
                            <w:r w:rsidRPr="00186A1B">
                              <w:rPr>
                                <w:rFonts w:ascii="Source Sans Pro" w:eastAsia="Source Sans Pro" w:hAnsi="Source Sans Pro" w:cs="Source Sans Pro"/>
                                <w:b/>
                                <w:bCs/>
                                <w:i/>
                                <w:iCs/>
                                <w:sz w:val="20"/>
                                <w:szCs w:val="20"/>
                                <w:lang w:val="fr-FR"/>
                              </w:rPr>
                              <w:t xml:space="preserve">Assureur, </w:t>
                            </w:r>
                            <w:r w:rsidRPr="00186A1B">
                              <w:rPr>
                                <w:rFonts w:ascii="Source Sans Pro" w:eastAsia="Source Sans Pro" w:hAnsi="Source Sans Pro" w:cs="Source Sans Pro"/>
                                <w:i/>
                                <w:iCs/>
                                <w:sz w:val="20"/>
                                <w:szCs w:val="20"/>
                                <w:lang w:val="fr-FR"/>
                              </w:rPr>
                              <w:t>nous </w:t>
                            </w:r>
                            <w:r w:rsidRPr="00186A1B">
                              <w:rPr>
                                <w:rFonts w:ascii="Source Sans Pro" w:eastAsia="Source Sans Pro" w:hAnsi="Source Sans Pro" w:cs="Source Sans Pro"/>
                                <w:b/>
                                <w:bCs/>
                                <w:i/>
                                <w:iCs/>
                                <w:sz w:val="20"/>
                                <w:szCs w:val="20"/>
                                <w:lang w:val="fr-FR"/>
                              </w:rPr>
                              <w:t>protégeons</w:t>
                            </w:r>
                            <w:r w:rsidRPr="00186A1B">
                              <w:rPr>
                                <w:rFonts w:ascii="Source Sans Pro" w:eastAsia="Source Sans Pro" w:hAnsi="Source Sans Pro" w:cs="Source Sans Pro"/>
                                <w:i/>
                                <w:iCs/>
                                <w:sz w:val="20"/>
                                <w:szCs w:val="20"/>
                                <w:lang w:val="fr-FR"/>
                              </w:rPr>
                              <w:t> nos clients face à l’imprévu et nous les a</w:t>
                            </w:r>
                            <w:r w:rsidRPr="00186A1B">
                              <w:rPr>
                                <w:rFonts w:ascii="Source Sans Pro" w:eastAsia="Source Sans Pro" w:hAnsi="Source Sans Pro" w:cs="Source Sans Pro"/>
                                <w:b/>
                                <w:bCs/>
                                <w:i/>
                                <w:iCs/>
                                <w:sz w:val="20"/>
                                <w:szCs w:val="20"/>
                                <w:lang w:val="fr-FR"/>
                              </w:rPr>
                              <w:t>ccompagnons</w:t>
                            </w:r>
                            <w:r w:rsidRPr="00186A1B">
                              <w:rPr>
                                <w:rFonts w:ascii="Source Sans Pro" w:eastAsia="Source Sans Pro" w:hAnsi="Source Sans Pro" w:cs="Source Sans Pro"/>
                                <w:i/>
                                <w:iCs/>
                                <w:sz w:val="20"/>
                                <w:szCs w:val="20"/>
                                <w:lang w:val="fr-FR"/>
                              </w:rPr>
                              <w:t> dans la réalisation de leurs projets tout au long de la vie.</w:t>
                            </w:r>
                          </w:p>
                          <w:p w14:paraId="52B28E69" w14:textId="77777777" w:rsidR="00186A1B" w:rsidRPr="00186A1B" w:rsidRDefault="00186A1B" w:rsidP="00186A1B">
                            <w:pPr>
                              <w:jc w:val="center"/>
                              <w:rPr>
                                <w:rFonts w:ascii="Source Sans Pro" w:eastAsia="Source Sans Pro" w:hAnsi="Source Sans Pro" w:cs="Source Sans Pro"/>
                                <w:i/>
                                <w:iCs/>
                                <w:sz w:val="20"/>
                                <w:szCs w:val="20"/>
                                <w:lang w:val="fr-FR"/>
                              </w:rPr>
                            </w:pPr>
                            <w:r w:rsidRPr="00186A1B">
                              <w:rPr>
                                <w:rFonts w:ascii="Source Sans Pro" w:eastAsia="Source Sans Pro" w:hAnsi="Source Sans Pro" w:cs="Source Sans Pro"/>
                                <w:b/>
                                <w:bCs/>
                                <w:i/>
                                <w:iCs/>
                                <w:sz w:val="20"/>
                                <w:szCs w:val="20"/>
                                <w:lang w:val="fr-FR"/>
                              </w:rPr>
                              <w:t>Investisseur</w:t>
                            </w:r>
                            <w:r w:rsidRPr="00186A1B">
                              <w:rPr>
                                <w:rFonts w:ascii="Source Sans Pro" w:eastAsia="Source Sans Pro" w:hAnsi="Source Sans Pro" w:cs="Source Sans Pro"/>
                                <w:i/>
                                <w:iCs/>
                                <w:sz w:val="20"/>
                                <w:szCs w:val="20"/>
                                <w:lang w:val="fr-FR"/>
                              </w:rPr>
                              <w:t>, avec l’épargne qui nous est confiée, nous </w:t>
                            </w:r>
                            <w:r w:rsidRPr="00186A1B">
                              <w:rPr>
                                <w:rFonts w:ascii="Source Sans Pro" w:eastAsia="Source Sans Pro" w:hAnsi="Source Sans Pro" w:cs="Source Sans Pro"/>
                                <w:b/>
                                <w:bCs/>
                                <w:i/>
                                <w:iCs/>
                                <w:sz w:val="20"/>
                                <w:szCs w:val="20"/>
                                <w:lang w:val="fr-FR"/>
                              </w:rPr>
                              <w:t>contribuons</w:t>
                            </w:r>
                            <w:r w:rsidRPr="00186A1B">
                              <w:rPr>
                                <w:rFonts w:ascii="Source Sans Pro" w:eastAsia="Source Sans Pro" w:hAnsi="Source Sans Pro" w:cs="Source Sans Pro"/>
                                <w:i/>
                                <w:iCs/>
                                <w:sz w:val="20"/>
                                <w:szCs w:val="20"/>
                                <w:lang w:val="fr-FR"/>
                              </w:rPr>
                              <w:t> au développement économique et social dans les territoires et nous </w:t>
                            </w:r>
                            <w:r w:rsidRPr="00186A1B">
                              <w:rPr>
                                <w:rFonts w:ascii="Source Sans Pro" w:eastAsia="Source Sans Pro" w:hAnsi="Source Sans Pro" w:cs="Source Sans Pro"/>
                                <w:b/>
                                <w:bCs/>
                                <w:i/>
                                <w:iCs/>
                                <w:sz w:val="20"/>
                                <w:szCs w:val="20"/>
                                <w:lang w:val="fr-FR"/>
                              </w:rPr>
                              <w:t>agissons</w:t>
                            </w:r>
                            <w:r w:rsidRPr="00186A1B">
                              <w:rPr>
                                <w:rFonts w:ascii="Source Sans Pro" w:eastAsia="Source Sans Pro" w:hAnsi="Source Sans Pro" w:cs="Source Sans Pro"/>
                                <w:i/>
                                <w:iCs/>
                                <w:sz w:val="20"/>
                                <w:szCs w:val="20"/>
                                <w:lang w:val="fr-FR"/>
                              </w:rPr>
                              <w:t> pour construire ensemble une société responsable et durable.</w:t>
                            </w:r>
                          </w:p>
                          <w:p w14:paraId="270E465C" w14:textId="77777777" w:rsidR="00186A1B" w:rsidRPr="00186A1B" w:rsidRDefault="00186A1B" w:rsidP="00186A1B">
                            <w:pPr>
                              <w:jc w:val="center"/>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0CAE77" id="_x0000_t202" coordsize="21600,21600" o:spt="202" path="m,l,21600r21600,l21600,xe">
                <v:stroke joinstyle="miter"/>
                <v:path gradientshapeok="t" o:connecttype="rect"/>
              </v:shapetype>
              <v:shape id="Zone de texte 1934349161" o:spid="_x0000_s1026" type="#_x0000_t202" style="position:absolute;left:0;text-align:left;margin-left:9.7pt;margin-top:1.5pt;width:484.4pt;height:69.1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" fillcolor="white [3201]" stroked="f" strokeweight=".5pt">
                <v:textbox>
                  <w:txbxContent>
                    <w:p w14:paraId="226C2EEB" w14:textId="77777777" w:rsidR="00186A1B" w:rsidRPr="00186A1B" w:rsidRDefault="00186A1B" w:rsidP="00186A1B">
                      <w:pPr>
                        <w:jc w:val="center"/>
                        <w:rPr>
                          <w:rFonts w:ascii="Source Sans Pro" w:eastAsia="Source Sans Pro" w:hAnsi="Source Sans Pro" w:cs="Source Sans Pro"/>
                          <w:b/>
                          <w:bCs/>
                          <w:sz w:val="20"/>
                          <w:szCs w:val="20"/>
                          <w:lang w:val="fr-FR"/>
                        </w:rPr>
                      </w:pPr>
                      <w:r w:rsidRPr="00186A1B">
                        <w:rPr>
                          <w:rFonts w:ascii="Source Sans Pro" w:eastAsia="Source Sans Pro" w:hAnsi="Source Sans Pro" w:cs="Source Sans Pro"/>
                          <w:b/>
                          <w:bCs/>
                          <w:sz w:val="20"/>
                          <w:szCs w:val="20"/>
                          <w:lang w:val="fr-FR"/>
                        </w:rPr>
                        <w:t xml:space="preserve">La Raison d'être d'Abeille Assurances </w:t>
                      </w:r>
                    </w:p>
                    <w:p w14:paraId="2B50B814" w14:textId="77777777" w:rsidR="00186A1B" w:rsidRPr="00186A1B" w:rsidRDefault="00186A1B" w:rsidP="00186A1B">
                      <w:pPr>
                        <w:jc w:val="center"/>
                        <w:rPr>
                          <w:rFonts w:ascii="Source Sans Pro" w:eastAsia="Source Sans Pro" w:hAnsi="Source Sans Pro" w:cs="Source Sans Pro"/>
                          <w:i/>
                          <w:iCs/>
                          <w:sz w:val="20"/>
                          <w:szCs w:val="20"/>
                          <w:lang w:val="fr-FR"/>
                        </w:rPr>
                      </w:pPr>
                      <w:r w:rsidRPr="00186A1B">
                        <w:rPr>
                          <w:rFonts w:ascii="Source Sans Pro" w:eastAsia="Source Sans Pro" w:hAnsi="Source Sans Pro" w:cs="Source Sans Pro"/>
                          <w:b/>
                          <w:bCs/>
                          <w:i/>
                          <w:iCs/>
                          <w:sz w:val="20"/>
                          <w:szCs w:val="20"/>
                          <w:lang w:val="fr-FR"/>
                        </w:rPr>
                        <w:t xml:space="preserve">Assureur, </w:t>
                      </w:r>
                      <w:r w:rsidRPr="00186A1B">
                        <w:rPr>
                          <w:rFonts w:ascii="Source Sans Pro" w:eastAsia="Source Sans Pro" w:hAnsi="Source Sans Pro" w:cs="Source Sans Pro"/>
                          <w:i/>
                          <w:iCs/>
                          <w:sz w:val="20"/>
                          <w:szCs w:val="20"/>
                          <w:lang w:val="fr-FR"/>
                        </w:rPr>
                        <w:t>nous </w:t>
                      </w:r>
                      <w:r w:rsidRPr="00186A1B">
                        <w:rPr>
                          <w:rFonts w:ascii="Source Sans Pro" w:eastAsia="Source Sans Pro" w:hAnsi="Source Sans Pro" w:cs="Source Sans Pro"/>
                          <w:b/>
                          <w:bCs/>
                          <w:i/>
                          <w:iCs/>
                          <w:sz w:val="20"/>
                          <w:szCs w:val="20"/>
                          <w:lang w:val="fr-FR"/>
                        </w:rPr>
                        <w:t>protégeons</w:t>
                      </w:r>
                      <w:r w:rsidRPr="00186A1B">
                        <w:rPr>
                          <w:rFonts w:ascii="Source Sans Pro" w:eastAsia="Source Sans Pro" w:hAnsi="Source Sans Pro" w:cs="Source Sans Pro"/>
                          <w:i/>
                          <w:iCs/>
                          <w:sz w:val="20"/>
                          <w:szCs w:val="20"/>
                          <w:lang w:val="fr-FR"/>
                        </w:rPr>
                        <w:t> nos clients face à l’imprévu et nous les a</w:t>
                      </w:r>
                      <w:r w:rsidRPr="00186A1B">
                        <w:rPr>
                          <w:rFonts w:ascii="Source Sans Pro" w:eastAsia="Source Sans Pro" w:hAnsi="Source Sans Pro" w:cs="Source Sans Pro"/>
                          <w:b/>
                          <w:bCs/>
                          <w:i/>
                          <w:iCs/>
                          <w:sz w:val="20"/>
                          <w:szCs w:val="20"/>
                          <w:lang w:val="fr-FR"/>
                        </w:rPr>
                        <w:t>ccompagnons</w:t>
                      </w:r>
                      <w:r w:rsidRPr="00186A1B">
                        <w:rPr>
                          <w:rFonts w:ascii="Source Sans Pro" w:eastAsia="Source Sans Pro" w:hAnsi="Source Sans Pro" w:cs="Source Sans Pro"/>
                          <w:i/>
                          <w:iCs/>
                          <w:sz w:val="20"/>
                          <w:szCs w:val="20"/>
                          <w:lang w:val="fr-FR"/>
                        </w:rPr>
                        <w:t> dans la réalisation de leurs projets tout au long de la vie.</w:t>
                      </w:r>
                    </w:p>
                    <w:p w14:paraId="52B28E69" w14:textId="77777777" w:rsidR="00186A1B" w:rsidRPr="00186A1B" w:rsidRDefault="00186A1B" w:rsidP="00186A1B">
                      <w:pPr>
                        <w:jc w:val="center"/>
                        <w:rPr>
                          <w:rFonts w:ascii="Source Sans Pro" w:eastAsia="Source Sans Pro" w:hAnsi="Source Sans Pro" w:cs="Source Sans Pro"/>
                          <w:i/>
                          <w:iCs/>
                          <w:sz w:val="20"/>
                          <w:szCs w:val="20"/>
                          <w:lang w:val="fr-FR"/>
                        </w:rPr>
                      </w:pPr>
                      <w:r w:rsidRPr="00186A1B">
                        <w:rPr>
                          <w:rFonts w:ascii="Source Sans Pro" w:eastAsia="Source Sans Pro" w:hAnsi="Source Sans Pro" w:cs="Source Sans Pro"/>
                          <w:b/>
                          <w:bCs/>
                          <w:i/>
                          <w:iCs/>
                          <w:sz w:val="20"/>
                          <w:szCs w:val="20"/>
                          <w:lang w:val="fr-FR"/>
                        </w:rPr>
                        <w:t>Investisseur</w:t>
                      </w:r>
                      <w:r w:rsidRPr="00186A1B">
                        <w:rPr>
                          <w:rFonts w:ascii="Source Sans Pro" w:eastAsia="Source Sans Pro" w:hAnsi="Source Sans Pro" w:cs="Source Sans Pro"/>
                          <w:i/>
                          <w:iCs/>
                          <w:sz w:val="20"/>
                          <w:szCs w:val="20"/>
                          <w:lang w:val="fr-FR"/>
                        </w:rPr>
                        <w:t>, avec l’épargne qui nous est confiée, nous </w:t>
                      </w:r>
                      <w:r w:rsidRPr="00186A1B">
                        <w:rPr>
                          <w:rFonts w:ascii="Source Sans Pro" w:eastAsia="Source Sans Pro" w:hAnsi="Source Sans Pro" w:cs="Source Sans Pro"/>
                          <w:b/>
                          <w:bCs/>
                          <w:i/>
                          <w:iCs/>
                          <w:sz w:val="20"/>
                          <w:szCs w:val="20"/>
                          <w:lang w:val="fr-FR"/>
                        </w:rPr>
                        <w:t>contribuons</w:t>
                      </w:r>
                      <w:r w:rsidRPr="00186A1B">
                        <w:rPr>
                          <w:rFonts w:ascii="Source Sans Pro" w:eastAsia="Source Sans Pro" w:hAnsi="Source Sans Pro" w:cs="Source Sans Pro"/>
                          <w:i/>
                          <w:iCs/>
                          <w:sz w:val="20"/>
                          <w:szCs w:val="20"/>
                          <w:lang w:val="fr-FR"/>
                        </w:rPr>
                        <w:t> au développement économique et social dans les territoires et nous </w:t>
                      </w:r>
                      <w:r w:rsidRPr="00186A1B">
                        <w:rPr>
                          <w:rFonts w:ascii="Source Sans Pro" w:eastAsia="Source Sans Pro" w:hAnsi="Source Sans Pro" w:cs="Source Sans Pro"/>
                          <w:b/>
                          <w:bCs/>
                          <w:i/>
                          <w:iCs/>
                          <w:sz w:val="20"/>
                          <w:szCs w:val="20"/>
                          <w:lang w:val="fr-FR"/>
                        </w:rPr>
                        <w:t>agissons</w:t>
                      </w:r>
                      <w:r w:rsidRPr="00186A1B">
                        <w:rPr>
                          <w:rFonts w:ascii="Source Sans Pro" w:eastAsia="Source Sans Pro" w:hAnsi="Source Sans Pro" w:cs="Source Sans Pro"/>
                          <w:i/>
                          <w:iCs/>
                          <w:sz w:val="20"/>
                          <w:szCs w:val="20"/>
                          <w:lang w:val="fr-FR"/>
                        </w:rPr>
                        <w:t> pour construire ensemble une société responsable et durable.</w:t>
                      </w:r>
                    </w:p>
                    <w:p w14:paraId="270E465C" w14:textId="77777777" w:rsidR="00186A1B" w:rsidRPr="00186A1B" w:rsidRDefault="00186A1B" w:rsidP="00186A1B">
                      <w:pPr>
                        <w:jc w:val="center"/>
                        <w:rPr>
                          <w:lang w:val="fr-FR"/>
                        </w:rPr>
                      </w:pPr>
                    </w:p>
                  </w:txbxContent>
                </v:textbox>
                <w10:wrap anchorx="margin"/>
              </v:shape>
            </w:pict>
          </mc:Fallback>
        </mc:AlternateContent>
      </w:r>
      <w:r w:rsidRPr="00A74D23">
        <w:rPr>
          <w:noProof/>
          <w:color w:val="auto"/>
        </w:rPr>
        <mc:AlternateContent>
          <mc:Choice Requires="wps">
            <w:drawing>
              <wp:inline distT="0" distB="0" distL="0" distR="0" wp14:anchorId="65802D65" wp14:editId="32989531">
                <wp:extent cx="6342279" cy="972769"/>
                <wp:effectExtent l="0" t="0" r="20955" b="18415"/>
                <wp:docPr id="127000597" name="Rectangle : coins arrondis 127000597"/>
                <wp:cNvGraphicFramePr/>
                <a:graphic xmlns:a="http://schemas.openxmlformats.org/drawingml/2006/main">
                  <a:graphicData uri="http://schemas.microsoft.com/office/word/2010/wordprocessingShape">
                    <wps:wsp>
                      <wps:cNvSpPr/>
                      <wps:spPr>
                        <a:xfrm>
                          <a:off x="0" y="0"/>
                          <a:ext cx="6342279" cy="972769"/>
                        </a:xfrm>
                        <a:prstGeom prst="roundRect">
                          <a:avLst>
                            <a:gd name="adj" fmla="val 889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43BB3F" w14:textId="77777777" w:rsidR="00186A1B" w:rsidRPr="006209BA" w:rsidRDefault="00186A1B" w:rsidP="00186A1B">
                            <w:pPr>
                              <w:pStyle w:val="Citation0"/>
                              <w:rPr>
                                <w:color w:val="auto"/>
                              </w:rPr>
                            </w:pPr>
                          </w:p>
                        </w:txbxContent>
                      </wps:txbx>
                      <wps:bodyPr rot="0" spcFirstLastPara="0" vertOverflow="overflow" horzOverflow="overflow" vert="horz" wrap="square" lIns="180000" tIns="108000" rIns="180000" bIns="108000" numCol="1" spcCol="0" rtlCol="0" fromWordArt="0" anchor="ctr" anchorCtr="0" forceAA="0" compatLnSpc="1">
                        <a:prstTxWarp prst="textNoShape">
                          <a:avLst/>
                        </a:prstTxWarp>
                        <a:noAutofit/>
                      </wps:bodyPr>
                    </wps:wsp>
                  </a:graphicData>
                </a:graphic>
              </wp:inline>
            </w:drawing>
          </mc:Choice>
          <mc:Fallback>
            <w:pict>
              <v:roundrect w14:anchorId="65802D65" id="Rectangle : coins arrondis 127000597" o:spid="_x0000_s1027" style="width:499.4pt;height:76.6pt;visibility:visible;mso-wrap-style:square;mso-left-percent:-10001;mso-top-percent:-10001;mso-position-horizontal:absolute;mso-position-horizontal-relative:char;mso-position-vertical:absolute;mso-position-vertical-relative:line;mso-left-percent:-10001;mso-top-percent:-10001;v-text-anchor:middle" arcsize="58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" fillcolor="white [3212]" strokecolor="black [3213]" strokeweight="1pt">
                <v:stroke joinstyle="miter"/>
                <v:textbox inset="5mm,3mm,5mm,3mm">
                  <w:txbxContent>
                    <w:p w14:paraId="5443BB3F" w14:textId="77777777" w:rsidR="00186A1B" w:rsidRPr="006209BA" w:rsidRDefault="00186A1B" w:rsidP="00186A1B">
                      <w:pPr>
                        <w:pStyle w:val="Citation0"/>
                        <w:rPr>
                          <w:color w:val="auto"/>
                        </w:rPr>
                      </w:pPr>
                    </w:p>
                  </w:txbxContent>
                </v:textbox>
                <w10:anchorlock/>
              </v:roundrect>
            </w:pict>
          </mc:Fallback>
        </mc:AlternateContent>
      </w:r>
    </w:p>
    <w:p w14:paraId="6CB7D2B7" w14:textId="07A60069" w:rsidR="00186A1B" w:rsidRDefault="00186A1B" w:rsidP="42DB02BF">
      <w:pPr>
        <w:jc w:val="center"/>
        <w:rPr>
          <w:rFonts w:asciiTheme="minorHAnsi" w:hAnsiTheme="minorHAnsi"/>
          <w:sz w:val="20"/>
        </w:rPr>
      </w:pPr>
    </w:p>
    <w:p w14:paraId="4FBD37A7" w14:textId="7EED03AC" w:rsidR="000B03D0" w:rsidRPr="00A74D23" w:rsidRDefault="001E5D9A" w:rsidP="42DB02BF">
      <w:pPr>
        <w:jc w:val="center"/>
        <w:rPr>
          <w:rFonts w:asciiTheme="minorHAnsi" w:hAnsiTheme="minorHAnsi"/>
          <w:sz w:val="20"/>
        </w:rPr>
      </w:pPr>
      <w:r>
        <w:rPr>
          <w:rFonts w:asciiTheme="minorHAnsi" w:hAnsiTheme="minorHAnsi"/>
          <w:noProof/>
          <w:sz w:val="20"/>
        </w:rPr>
        <w:drawing>
          <wp:inline distT="0" distB="0" distL="0" distR="0" wp14:anchorId="6501B61F" wp14:editId="17DFC749">
            <wp:extent cx="5951855" cy="3860800"/>
            <wp:effectExtent l="0" t="0" r="0" b="6350"/>
            <wp:docPr id="911300423"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51855" cy="3860800"/>
                    </a:xfrm>
                    <a:prstGeom prst="rect">
                      <a:avLst/>
                    </a:prstGeom>
                    <a:noFill/>
                    <a:ln>
                      <a:noFill/>
                    </a:ln>
                  </pic:spPr>
                </pic:pic>
              </a:graphicData>
            </a:graphic>
          </wp:inline>
        </w:drawing>
      </w:r>
    </w:p>
    <w:p w14:paraId="69EEC4B4" w14:textId="77777777" w:rsidR="00186A1B" w:rsidRPr="00A74D23" w:rsidRDefault="00186A1B" w:rsidP="00186A1B">
      <w:pPr>
        <w:jc w:val="both"/>
        <w:rPr>
          <w:rFonts w:asciiTheme="minorHAnsi" w:hAnsiTheme="minorHAnsi"/>
          <w:b/>
          <w:bCs/>
          <w:sz w:val="16"/>
          <w:szCs w:val="18"/>
        </w:rPr>
      </w:pPr>
    </w:p>
    <w:p w14:paraId="07FD15C5" w14:textId="77777777" w:rsidR="00186A1B" w:rsidRPr="00A74D23" w:rsidRDefault="00186A1B" w:rsidP="00186A1B">
      <w:pPr>
        <w:jc w:val="both"/>
        <w:rPr>
          <w:rFonts w:asciiTheme="minorHAnsi" w:hAnsiTheme="minorHAnsi"/>
          <w:b/>
          <w:bCs/>
          <w:sz w:val="20"/>
        </w:rPr>
      </w:pPr>
    </w:p>
    <w:p w14:paraId="1338DB05" w14:textId="77777777" w:rsidR="00186A1B" w:rsidRPr="00A74D23" w:rsidRDefault="00186A1B" w:rsidP="00186A1B">
      <w:pPr>
        <w:jc w:val="both"/>
        <w:rPr>
          <w:rFonts w:asciiTheme="minorHAnsi" w:hAnsiTheme="minorHAnsi"/>
          <w:sz w:val="20"/>
          <w:lang w:val="fr-FR"/>
        </w:rPr>
      </w:pPr>
      <w:r w:rsidRPr="00A74D23">
        <w:rPr>
          <w:rFonts w:asciiTheme="minorHAnsi" w:hAnsiTheme="minorHAnsi"/>
          <w:b/>
          <w:bCs/>
          <w:sz w:val="20"/>
          <w:lang w:val="fr-FR"/>
        </w:rPr>
        <w:t xml:space="preserve">Acteur généraliste, multicanal et de proximité </w:t>
      </w:r>
    </w:p>
    <w:p w14:paraId="073707FE" w14:textId="77777777" w:rsidR="00186A1B" w:rsidRPr="00A74D23" w:rsidRDefault="00186A1B" w:rsidP="00186A1B">
      <w:pPr>
        <w:jc w:val="both"/>
        <w:rPr>
          <w:rFonts w:asciiTheme="minorHAnsi" w:hAnsiTheme="minorHAnsi"/>
          <w:sz w:val="20"/>
          <w:lang w:val="fr-FR"/>
        </w:rPr>
      </w:pPr>
      <w:r w:rsidRPr="00A74D23">
        <w:rPr>
          <w:rFonts w:asciiTheme="minorHAnsi" w:hAnsiTheme="minorHAnsi"/>
          <w:b/>
          <w:bCs/>
          <w:noProof/>
          <w:sz w:val="20"/>
        </w:rPr>
        <mc:AlternateContent>
          <mc:Choice Requires="wps">
            <w:drawing>
              <wp:anchor distT="0" distB="0" distL="114300" distR="114300" simplePos="0" relativeHeight="251846656" behindDoc="0" locked="0" layoutInCell="1" allowOverlap="1" wp14:anchorId="4F7B6AAA" wp14:editId="4CB7CF4D">
                <wp:simplePos x="0" y="0"/>
                <wp:positionH relativeFrom="margin">
                  <wp:align>left</wp:align>
                </wp:positionH>
                <wp:positionV relativeFrom="paragraph">
                  <wp:posOffset>30480</wp:posOffset>
                </wp:positionV>
                <wp:extent cx="1219200" cy="0"/>
                <wp:effectExtent l="0" t="0" r="0" b="0"/>
                <wp:wrapNone/>
                <wp:docPr id="1354485922" name="Connecteur droit 2"/>
                <wp:cNvGraphicFramePr/>
                <a:graphic xmlns:a="http://schemas.openxmlformats.org/drawingml/2006/main">
                  <a:graphicData uri="http://schemas.microsoft.com/office/word/2010/wordprocessingShape">
                    <wps:wsp>
                      <wps:cNvCnPr/>
                      <wps:spPr>
                        <a:xfrm>
                          <a:off x="0" y="0"/>
                          <a:ext cx="121920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D791B1" id="Connecteur droit 2" o:spid="_x0000_s1026" style="position:absolute;z-index:251846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4pt" to="96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" strokecolor="#ffd400 [3204]" strokeweight="1.5pt">
                <v:stroke joinstyle="miter"/>
                <w10:wrap anchorx="margin"/>
              </v:line>
            </w:pict>
          </mc:Fallback>
        </mc:AlternateContent>
      </w:r>
    </w:p>
    <w:p w14:paraId="653A3F16" w14:textId="77777777" w:rsidR="00186A1B" w:rsidRPr="00A74D23" w:rsidRDefault="00186A1B" w:rsidP="00186A1B">
      <w:pPr>
        <w:spacing w:after="120"/>
        <w:jc w:val="both"/>
        <w:rPr>
          <w:rFonts w:asciiTheme="minorHAnsi" w:hAnsiTheme="minorHAnsi"/>
          <w:sz w:val="20"/>
          <w:lang w:val="fr-FR"/>
        </w:rPr>
      </w:pPr>
      <w:r w:rsidRPr="00A74D23">
        <w:rPr>
          <w:rFonts w:asciiTheme="minorHAnsi" w:hAnsiTheme="minorHAnsi"/>
          <w:sz w:val="20"/>
          <w:lang w:val="fr-FR"/>
        </w:rPr>
        <w:t>Assureur généraliste de premier plan, Abeille Assurances dispose d’une gamme étendue de produits et services.</w:t>
      </w:r>
    </w:p>
    <w:p w14:paraId="06932874" w14:textId="6DD2F4CC" w:rsidR="00186A1B" w:rsidRPr="00A74D23" w:rsidRDefault="7B9777C0" w:rsidP="4BDFF9BE">
      <w:pPr>
        <w:spacing w:after="120"/>
        <w:jc w:val="both"/>
        <w:rPr>
          <w:rFonts w:asciiTheme="minorHAnsi" w:hAnsiTheme="minorHAnsi"/>
          <w:sz w:val="20"/>
          <w:szCs w:val="20"/>
          <w:lang w:val="fr-FR"/>
        </w:rPr>
      </w:pPr>
      <w:r w:rsidRPr="00A74D23">
        <w:rPr>
          <w:rFonts w:asciiTheme="minorHAnsi" w:hAnsiTheme="minorHAnsi"/>
          <w:sz w:val="20"/>
          <w:szCs w:val="20"/>
          <w:lang w:val="fr-FR"/>
        </w:rPr>
        <w:t>Elle comprend des produits et services d’assurance</w:t>
      </w:r>
      <w:r w:rsidR="51A3F4D5" w:rsidRPr="00A74D23">
        <w:rPr>
          <w:rFonts w:asciiTheme="minorHAnsi" w:hAnsiTheme="minorHAnsi"/>
          <w:sz w:val="20"/>
          <w:szCs w:val="20"/>
          <w:lang w:val="fr-FR"/>
        </w:rPr>
        <w:t>s</w:t>
      </w:r>
      <w:r w:rsidRPr="00A74D23">
        <w:rPr>
          <w:rFonts w:asciiTheme="minorHAnsi" w:hAnsiTheme="minorHAnsi"/>
          <w:sz w:val="20"/>
          <w:szCs w:val="20"/>
          <w:lang w:val="fr-FR"/>
        </w:rPr>
        <w:t xml:space="preserve"> (auto, habitation, scolaire, multirisque professionnelle, agricole), de protection </w:t>
      </w:r>
      <w:r w:rsidR="17389D89" w:rsidRPr="00A74D23">
        <w:rPr>
          <w:rFonts w:asciiTheme="minorHAnsi" w:hAnsiTheme="minorHAnsi"/>
          <w:sz w:val="20"/>
          <w:szCs w:val="20"/>
          <w:lang w:val="fr-FR"/>
        </w:rPr>
        <w:t xml:space="preserve">des personnes </w:t>
      </w:r>
      <w:r w:rsidRPr="00A74D23">
        <w:rPr>
          <w:rFonts w:asciiTheme="minorHAnsi" w:hAnsiTheme="minorHAnsi"/>
          <w:sz w:val="20"/>
          <w:szCs w:val="20"/>
          <w:lang w:val="fr-FR"/>
        </w:rPr>
        <w:t>(garantie accident de la vie, assurance emprunteur, assurance obsèques et décès, assurance prévoyance, assurance santé, protection juridique), d’épargne et de retraite individuelle ou collective, à destination de ses clients particuliers et professionnels.</w:t>
      </w:r>
    </w:p>
    <w:p w14:paraId="5683AE79" w14:textId="7E28E29D" w:rsidR="00186A1B" w:rsidRPr="00A74D23" w:rsidRDefault="7B9777C0" w:rsidP="4BDFF9BE">
      <w:pPr>
        <w:jc w:val="both"/>
        <w:rPr>
          <w:rFonts w:asciiTheme="minorHAnsi" w:hAnsiTheme="minorHAnsi"/>
          <w:sz w:val="20"/>
          <w:lang w:val="fr-FR"/>
        </w:rPr>
      </w:pPr>
      <w:r w:rsidRPr="00A74D23">
        <w:rPr>
          <w:rFonts w:asciiTheme="minorHAnsi" w:hAnsiTheme="minorHAnsi"/>
          <w:sz w:val="20"/>
          <w:lang w:val="fr-FR"/>
        </w:rPr>
        <w:t>Elle propose ses produits à travers une approche multicanale principalement via un réseau intermédié. En accompagnant et en conseillant leurs clients, les apporteurs créent avec eux une relation de confiance sur le long terme.</w:t>
      </w:r>
    </w:p>
    <w:p w14:paraId="14C94AFA" w14:textId="77777777" w:rsidR="00186A1B" w:rsidRPr="00A74D23" w:rsidRDefault="00186A1B" w:rsidP="00186A1B">
      <w:pPr>
        <w:jc w:val="both"/>
        <w:rPr>
          <w:rFonts w:asciiTheme="minorHAnsi" w:hAnsiTheme="minorHAnsi"/>
          <w:sz w:val="20"/>
          <w:lang w:val="fr-FR"/>
        </w:rPr>
      </w:pPr>
    </w:p>
    <w:p w14:paraId="094E0555" w14:textId="77777777" w:rsidR="00186A1B" w:rsidRPr="00A74D23" w:rsidRDefault="00186A1B" w:rsidP="00186A1B">
      <w:pPr>
        <w:jc w:val="both"/>
        <w:rPr>
          <w:rFonts w:asciiTheme="minorHAnsi" w:hAnsiTheme="minorHAnsi"/>
          <w:b/>
          <w:bCs/>
          <w:sz w:val="20"/>
          <w:lang w:val="fr-FR"/>
        </w:rPr>
      </w:pPr>
      <w:r w:rsidRPr="00A74D23">
        <w:rPr>
          <w:rFonts w:asciiTheme="minorHAnsi" w:hAnsiTheme="minorHAnsi"/>
          <w:b/>
          <w:bCs/>
          <w:sz w:val="20"/>
          <w:lang w:val="fr-FR"/>
        </w:rPr>
        <w:t>4e réseau d’agents généraux en France</w:t>
      </w:r>
    </w:p>
    <w:p w14:paraId="112F3D50" w14:textId="77777777" w:rsidR="00186A1B" w:rsidRPr="00A74D23" w:rsidRDefault="00186A1B" w:rsidP="00186A1B">
      <w:pPr>
        <w:jc w:val="both"/>
        <w:rPr>
          <w:rFonts w:asciiTheme="minorHAnsi" w:hAnsiTheme="minorHAnsi"/>
          <w:b/>
          <w:bCs/>
          <w:sz w:val="20"/>
          <w:lang w:val="fr-FR"/>
        </w:rPr>
      </w:pPr>
      <w:r w:rsidRPr="00A74D23">
        <w:rPr>
          <w:rFonts w:asciiTheme="minorHAnsi" w:hAnsiTheme="minorHAnsi"/>
          <w:b/>
          <w:bCs/>
          <w:noProof/>
          <w:sz w:val="20"/>
        </w:rPr>
        <mc:AlternateContent>
          <mc:Choice Requires="wps">
            <w:drawing>
              <wp:anchor distT="0" distB="0" distL="114300" distR="114300" simplePos="0" relativeHeight="251873280" behindDoc="0" locked="0" layoutInCell="1" allowOverlap="1" wp14:anchorId="4298AB1E" wp14:editId="75E9782F">
                <wp:simplePos x="0" y="0"/>
                <wp:positionH relativeFrom="column">
                  <wp:posOffset>0</wp:posOffset>
                </wp:positionH>
                <wp:positionV relativeFrom="paragraph">
                  <wp:posOffset>59681</wp:posOffset>
                </wp:positionV>
                <wp:extent cx="1219200" cy="0"/>
                <wp:effectExtent l="0" t="0" r="0" b="0"/>
                <wp:wrapNone/>
                <wp:docPr id="242874141" name="Connecteur droit 2"/>
                <wp:cNvGraphicFramePr/>
                <a:graphic xmlns:a="http://schemas.openxmlformats.org/drawingml/2006/main">
                  <a:graphicData uri="http://schemas.microsoft.com/office/word/2010/wordprocessingShape">
                    <wps:wsp>
                      <wps:cNvCnPr/>
                      <wps:spPr>
                        <a:xfrm>
                          <a:off x="0" y="0"/>
                          <a:ext cx="121920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C1C8D5" id="Connecteur droit 2" o:spid="_x0000_s1026" style="position:absolute;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4.7pt" to="96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" strokecolor="#ffd400 [3204]" strokeweight="1.5pt">
                <v:stroke joinstyle="miter"/>
              </v:line>
            </w:pict>
          </mc:Fallback>
        </mc:AlternateContent>
      </w:r>
    </w:p>
    <w:p w14:paraId="5C4FD8B6" w14:textId="7FF4BB6D" w:rsidR="00186A1B" w:rsidRPr="00A74D23" w:rsidRDefault="00186A1B" w:rsidP="0E4CD819">
      <w:pPr>
        <w:spacing w:after="160"/>
        <w:jc w:val="both"/>
        <w:rPr>
          <w:rFonts w:asciiTheme="minorHAnsi" w:hAnsiTheme="minorHAnsi"/>
          <w:sz w:val="20"/>
          <w:szCs w:val="20"/>
          <w:lang w:val="fr-FR"/>
        </w:rPr>
      </w:pPr>
      <w:r w:rsidRPr="00A74D23">
        <w:rPr>
          <w:rFonts w:asciiTheme="minorHAnsi" w:hAnsiTheme="minorHAnsi"/>
          <w:noProof/>
          <w:sz w:val="20"/>
        </w:rPr>
        <mc:AlternateContent>
          <mc:Choice Requires="wps">
            <w:drawing>
              <wp:anchor distT="45720" distB="45720" distL="114300" distR="114300" simplePos="0" relativeHeight="251848704" behindDoc="0" locked="0" layoutInCell="1" allowOverlap="1" wp14:anchorId="18B49E8F" wp14:editId="6433949C">
                <wp:simplePos x="0" y="0"/>
                <wp:positionH relativeFrom="margin">
                  <wp:align>left</wp:align>
                </wp:positionH>
                <wp:positionV relativeFrom="paragraph">
                  <wp:posOffset>45085</wp:posOffset>
                </wp:positionV>
                <wp:extent cx="1663700" cy="679450"/>
                <wp:effectExtent l="0" t="0" r="0" b="6350"/>
                <wp:wrapSquare wrapText="bothSides"/>
                <wp:docPr id="69478334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0" cy="679450"/>
                        </a:xfrm>
                        <a:prstGeom prst="rect">
                          <a:avLst/>
                        </a:prstGeom>
                        <a:solidFill>
                          <a:srgbClr val="FFFFFF"/>
                        </a:solidFill>
                        <a:ln w="6350">
                          <a:noFill/>
                          <a:miter lim="800000"/>
                          <a:headEnd/>
                          <a:tailEnd/>
                        </a:ln>
                      </wps:spPr>
                      <wps:txbx>
                        <w:txbxContent>
                          <w:p w14:paraId="7140BD51" w14:textId="77777777" w:rsidR="00186A1B" w:rsidRDefault="00186A1B" w:rsidP="00186A1B">
                            <w:r>
                              <w:rPr>
                                <w:noProof/>
                              </w:rPr>
                              <w:drawing>
                                <wp:inline distT="0" distB="0" distL="0" distR="0" wp14:anchorId="66664A5F" wp14:editId="7D4011BF">
                                  <wp:extent cx="1454150" cy="509645"/>
                                  <wp:effectExtent l="0" t="0" r="0" b="5080"/>
                                  <wp:docPr id="1081740053" name="Image 1081740053" descr="PER Abeille Assurances : Avis, Frais, Rendement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R Abeille Assurances : Avis, Frais, Rendement 202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60543" cy="51188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B49E8F" id="Zone de texte 2" o:spid="_x0000_s1028" type="#_x0000_t202" style="position:absolute;left:0;text-align:left;margin-left:0;margin-top:3.55pt;width:131pt;height:53.5pt;z-index:2518487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" stroked="f" strokeweight=".5pt">
                <v:textbox>
                  <w:txbxContent>
                    <w:p w14:paraId="7140BD51" w14:textId="77777777" w:rsidR="00186A1B" w:rsidRDefault="00186A1B" w:rsidP="00186A1B">
                      <w:r>
                        <w:rPr>
                          <w:noProof/>
                        </w:rPr>
                        <w:drawing>
                          <wp:inline distT="0" distB="0" distL="0" distR="0" wp14:anchorId="66664A5F" wp14:editId="7D4011BF">
                            <wp:extent cx="1454150" cy="509645"/>
                            <wp:effectExtent l="0" t="0" r="0" b="5080"/>
                            <wp:docPr id="1081740053" name="Image 1081740053" descr="PER Abeille Assurances : Avis, Frais, Rendement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R Abeille Assurances : Avis, Frais, Rendement 20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60543" cy="511886"/>
                                    </a:xfrm>
                                    <a:prstGeom prst="rect">
                                      <a:avLst/>
                                    </a:prstGeom>
                                    <a:noFill/>
                                    <a:ln>
                                      <a:noFill/>
                                    </a:ln>
                                  </pic:spPr>
                                </pic:pic>
                              </a:graphicData>
                            </a:graphic>
                          </wp:inline>
                        </w:drawing>
                      </w:r>
                    </w:p>
                  </w:txbxContent>
                </v:textbox>
                <w10:wrap type="square" anchorx="margin"/>
              </v:shape>
            </w:pict>
          </mc:Fallback>
        </mc:AlternateContent>
      </w:r>
      <w:r w:rsidRPr="00A74D23">
        <w:rPr>
          <w:rFonts w:asciiTheme="minorHAnsi" w:hAnsiTheme="minorHAnsi"/>
          <w:sz w:val="20"/>
          <w:szCs w:val="20"/>
          <w:lang w:val="fr-FR"/>
        </w:rPr>
        <w:t xml:space="preserve">Avec 965 agents généraux, </w:t>
      </w:r>
      <w:r w:rsidR="1F57403E" w:rsidRPr="00A74D23">
        <w:rPr>
          <w:rFonts w:asciiTheme="minorHAnsi" w:hAnsiTheme="minorHAnsi"/>
          <w:sz w:val="20"/>
          <w:szCs w:val="20"/>
          <w:lang w:val="fr-FR"/>
        </w:rPr>
        <w:t xml:space="preserve">1 777 </w:t>
      </w:r>
      <w:r w:rsidR="7B9777C0" w:rsidRPr="00A74D23">
        <w:rPr>
          <w:rFonts w:asciiTheme="minorHAnsi" w:hAnsiTheme="minorHAnsi"/>
          <w:sz w:val="20"/>
          <w:szCs w:val="20"/>
          <w:lang w:val="fr-FR"/>
        </w:rPr>
        <w:t xml:space="preserve">collaborateurs et </w:t>
      </w:r>
      <w:r w:rsidR="518C6E1E" w:rsidRPr="00A74D23">
        <w:rPr>
          <w:rFonts w:asciiTheme="minorHAnsi" w:hAnsiTheme="minorHAnsi"/>
          <w:sz w:val="20"/>
          <w:szCs w:val="20"/>
          <w:lang w:val="fr-FR"/>
        </w:rPr>
        <w:t>873</w:t>
      </w:r>
      <w:r w:rsidRPr="00A74D23">
        <w:rPr>
          <w:rFonts w:asciiTheme="minorHAnsi" w:hAnsiTheme="minorHAnsi"/>
          <w:sz w:val="20"/>
          <w:szCs w:val="20"/>
          <w:lang w:val="fr-FR"/>
        </w:rPr>
        <w:t xml:space="preserve"> points de vente, le réseau d'agents généraux Abeille Assurances privilégie la proximité. Les agences sont principalement situées en zones rurales et dans les centres-villes de moyenne importance. 64% des agents généraux Abeille Assurances exercent en association sur une ou plusieurs agences. Ce modèle, qui mise sur la complémentarité et la diversité des compétences au sein de l'agence, permet de délivrer à nos clients des conseils et des solutions en assurance dommage comme en assurance vie. 174 agents recrutés sur les trois dernières années.</w:t>
      </w:r>
    </w:p>
    <w:p w14:paraId="7E39B639" w14:textId="77777777" w:rsidR="00186A1B" w:rsidRPr="00A74D23" w:rsidRDefault="00186A1B" w:rsidP="00186A1B">
      <w:pPr>
        <w:jc w:val="both"/>
        <w:rPr>
          <w:rFonts w:asciiTheme="minorHAnsi" w:hAnsiTheme="minorHAnsi"/>
          <w:sz w:val="20"/>
          <w:lang w:val="fr-FR"/>
        </w:rPr>
      </w:pPr>
    </w:p>
    <w:p w14:paraId="0710AF6F" w14:textId="77777777" w:rsidR="00186A1B" w:rsidRPr="00A74D23" w:rsidRDefault="00186A1B" w:rsidP="00186A1B">
      <w:pPr>
        <w:jc w:val="both"/>
        <w:rPr>
          <w:rFonts w:asciiTheme="minorHAnsi" w:hAnsiTheme="minorHAnsi"/>
          <w:b/>
          <w:bCs/>
          <w:sz w:val="20"/>
          <w:lang w:val="fr-FR"/>
        </w:rPr>
      </w:pPr>
      <w:r w:rsidRPr="00A74D23">
        <w:rPr>
          <w:rFonts w:asciiTheme="minorHAnsi" w:hAnsiTheme="minorHAnsi"/>
          <w:b/>
          <w:bCs/>
          <w:sz w:val="20"/>
          <w:lang w:val="fr-FR"/>
        </w:rPr>
        <w:t>Eurofil, l’assurance en ligne</w:t>
      </w:r>
    </w:p>
    <w:p w14:paraId="2626D937" w14:textId="77777777" w:rsidR="00186A1B" w:rsidRPr="00A74D23" w:rsidRDefault="00186A1B" w:rsidP="00186A1B">
      <w:pPr>
        <w:jc w:val="both"/>
        <w:rPr>
          <w:rFonts w:asciiTheme="minorHAnsi" w:hAnsiTheme="minorHAnsi"/>
          <w:b/>
          <w:bCs/>
          <w:sz w:val="20"/>
          <w:lang w:val="fr-FR"/>
        </w:rPr>
      </w:pPr>
      <w:r w:rsidRPr="00A74D23">
        <w:rPr>
          <w:rFonts w:asciiTheme="minorHAnsi" w:hAnsiTheme="minorHAnsi"/>
          <w:noProof/>
          <w:sz w:val="20"/>
        </w:rPr>
        <mc:AlternateContent>
          <mc:Choice Requires="wps">
            <w:drawing>
              <wp:anchor distT="45720" distB="45720" distL="114300" distR="114300" simplePos="0" relativeHeight="251850752" behindDoc="0" locked="0" layoutInCell="1" allowOverlap="1" wp14:anchorId="29D91B83" wp14:editId="09012737">
                <wp:simplePos x="0" y="0"/>
                <wp:positionH relativeFrom="margin">
                  <wp:align>left</wp:align>
                </wp:positionH>
                <wp:positionV relativeFrom="paragraph">
                  <wp:posOffset>148590</wp:posOffset>
                </wp:positionV>
                <wp:extent cx="1701800" cy="679450"/>
                <wp:effectExtent l="0" t="0" r="0" b="6350"/>
                <wp:wrapSquare wrapText="bothSides"/>
                <wp:docPr id="5587714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0" cy="679450"/>
                        </a:xfrm>
                        <a:prstGeom prst="rect">
                          <a:avLst/>
                        </a:prstGeom>
                        <a:solidFill>
                          <a:srgbClr val="FFFFFF"/>
                        </a:solidFill>
                        <a:ln w="6350">
                          <a:noFill/>
                          <a:miter lim="800000"/>
                          <a:headEnd/>
                          <a:tailEnd/>
                        </a:ln>
                      </wps:spPr>
                      <wps:txbx>
                        <w:txbxContent>
                          <w:p w14:paraId="1DF5DA87" w14:textId="77777777" w:rsidR="00186A1B" w:rsidRDefault="00186A1B" w:rsidP="00186A1B">
                            <w:r w:rsidRPr="009901E0">
                              <w:rPr>
                                <w:noProof/>
                              </w:rPr>
                              <w:drawing>
                                <wp:inline distT="0" distB="0" distL="0" distR="0" wp14:anchorId="0AB279F8" wp14:editId="7BFDE227">
                                  <wp:extent cx="1127125" cy="581660"/>
                                  <wp:effectExtent l="0" t="0" r="0" b="8890"/>
                                  <wp:docPr id="1355457812" name="Image 1" descr="Une image contenant texte, Police, Graphique, logo&#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471833" name="Image 1" descr="Une image contenant texte, Police, Graphique, logo&#10;&#10;Le contenu généré par l’IA peut être incorrect."/>
                                          <pic:cNvPicPr/>
                                        </pic:nvPicPr>
                                        <pic:blipFill>
                                          <a:blip r:embed="rId27"/>
                                          <a:stretch>
                                            <a:fillRect/>
                                          </a:stretch>
                                        </pic:blipFill>
                                        <pic:spPr>
                                          <a:xfrm>
                                            <a:off x="0" y="0"/>
                                            <a:ext cx="1127125" cy="58166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D91B83" id="_x0000_s1029" type="#_x0000_t202" style="position:absolute;left:0;text-align:left;margin-left:0;margin-top:11.7pt;width:134pt;height:53.5pt;z-index:2518507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" stroked="f" strokeweight=".5pt">
                <v:textbox>
                  <w:txbxContent>
                    <w:p w14:paraId="1DF5DA87" w14:textId="77777777" w:rsidR="00186A1B" w:rsidRDefault="00186A1B" w:rsidP="00186A1B">
                      <w:r w:rsidRPr="009901E0">
                        <w:rPr>
                          <w:noProof/>
                        </w:rPr>
                        <w:drawing>
                          <wp:inline distT="0" distB="0" distL="0" distR="0" wp14:anchorId="0AB279F8" wp14:editId="7BFDE227">
                            <wp:extent cx="1127125" cy="581660"/>
                            <wp:effectExtent l="0" t="0" r="0" b="8890"/>
                            <wp:docPr id="1355457812" name="Image 1" descr="Une image contenant texte, Police, Graphique, logo&#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471833" name="Image 1" descr="Une image contenant texte, Police, Graphique, logo&#10;&#10;Le contenu généré par l’IA peut être incorrect."/>
                                    <pic:cNvPicPr/>
                                  </pic:nvPicPr>
                                  <pic:blipFill>
                                    <a:blip r:embed="rId28"/>
                                    <a:stretch>
                                      <a:fillRect/>
                                    </a:stretch>
                                  </pic:blipFill>
                                  <pic:spPr>
                                    <a:xfrm>
                                      <a:off x="0" y="0"/>
                                      <a:ext cx="1127125" cy="581660"/>
                                    </a:xfrm>
                                    <a:prstGeom prst="rect">
                                      <a:avLst/>
                                    </a:prstGeom>
                                  </pic:spPr>
                                </pic:pic>
                              </a:graphicData>
                            </a:graphic>
                          </wp:inline>
                        </w:drawing>
                      </w:r>
                    </w:p>
                  </w:txbxContent>
                </v:textbox>
                <w10:wrap type="square" anchorx="margin"/>
              </v:shape>
            </w:pict>
          </mc:Fallback>
        </mc:AlternateContent>
      </w:r>
    </w:p>
    <w:p w14:paraId="3B67ED0B" w14:textId="77777777" w:rsidR="00186A1B" w:rsidRPr="00A74D23" w:rsidRDefault="00186A1B" w:rsidP="00186A1B">
      <w:pPr>
        <w:jc w:val="both"/>
        <w:rPr>
          <w:rFonts w:asciiTheme="minorHAnsi" w:hAnsiTheme="minorHAnsi"/>
          <w:sz w:val="20"/>
          <w:lang w:val="fr-FR"/>
        </w:rPr>
      </w:pPr>
      <w:r w:rsidRPr="00A74D23">
        <w:rPr>
          <w:rFonts w:asciiTheme="minorHAnsi" w:hAnsiTheme="minorHAnsi"/>
          <w:sz w:val="20"/>
          <w:lang w:val="fr-FR"/>
        </w:rPr>
        <w:t>Abeille Assurances s'appuie également sur sa marque Eurofil, acteur reconnu du direct et de l'assurance en ligne pour commercialiser ses produits d'assurance aux particuliers, principalement en auto et habitation. L’activité repose sur deux plateformes téléphoniques situées au Mans et à Mont Saint Aignan regroupant plus de 185 conseillers dédiés à la gestion et de souscription. L’année 2025 a été marquée par la décision de cession de l’activité Eurofil à Allianz Direct. Cette cession, effective au 1er janvier 2026, permet de recentrer les activités d’Abeille Assurances sur ses réseaux de distribution de proximité et participe à la restauration des équilibres techniques d’Abeille Iard &amp; Santé.</w:t>
      </w:r>
    </w:p>
    <w:p w14:paraId="1CFDA593" w14:textId="77777777" w:rsidR="00186A1B" w:rsidRPr="00A74D23" w:rsidRDefault="00186A1B" w:rsidP="00186A1B">
      <w:pPr>
        <w:jc w:val="both"/>
        <w:rPr>
          <w:rFonts w:asciiTheme="minorHAnsi" w:hAnsiTheme="minorHAnsi"/>
          <w:sz w:val="20"/>
          <w:lang w:val="fr-FR"/>
        </w:rPr>
      </w:pPr>
    </w:p>
    <w:p w14:paraId="49C5C56E" w14:textId="77777777" w:rsidR="00186A1B" w:rsidRPr="00A74D23" w:rsidRDefault="00186A1B" w:rsidP="00186A1B">
      <w:pPr>
        <w:jc w:val="both"/>
        <w:rPr>
          <w:rFonts w:asciiTheme="minorHAnsi" w:hAnsiTheme="minorHAnsi"/>
          <w:b/>
          <w:bCs/>
          <w:sz w:val="20"/>
          <w:lang w:val="fr-FR"/>
        </w:rPr>
      </w:pPr>
      <w:r w:rsidRPr="00A74D23">
        <w:rPr>
          <w:rFonts w:asciiTheme="minorHAnsi" w:hAnsiTheme="minorHAnsi"/>
          <w:b/>
          <w:bCs/>
          <w:sz w:val="20"/>
          <w:lang w:val="fr-FR"/>
        </w:rPr>
        <w:t>Le réseau courtage</w:t>
      </w:r>
    </w:p>
    <w:p w14:paraId="4333DC4F" w14:textId="77777777" w:rsidR="00186A1B" w:rsidRPr="00A74D23" w:rsidRDefault="00186A1B" w:rsidP="00186A1B">
      <w:pPr>
        <w:jc w:val="both"/>
        <w:rPr>
          <w:rFonts w:asciiTheme="minorHAnsi" w:hAnsiTheme="minorHAnsi"/>
          <w:b/>
          <w:bCs/>
          <w:sz w:val="8"/>
          <w:szCs w:val="10"/>
          <w:lang w:val="fr-FR"/>
        </w:rPr>
      </w:pPr>
    </w:p>
    <w:p w14:paraId="3797AA40" w14:textId="41611D45" w:rsidR="00186A1B" w:rsidRPr="00A74D23" w:rsidRDefault="00186A1B" w:rsidP="182E7C3C">
      <w:pPr>
        <w:jc w:val="both"/>
        <w:rPr>
          <w:rFonts w:asciiTheme="minorHAnsi" w:hAnsiTheme="minorHAnsi"/>
          <w:sz w:val="20"/>
          <w:lang w:val="fr-FR"/>
        </w:rPr>
      </w:pPr>
      <w:r w:rsidRPr="00A74D23">
        <w:rPr>
          <w:rFonts w:asciiTheme="minorHAnsi" w:hAnsiTheme="minorHAnsi"/>
          <w:sz w:val="20"/>
          <w:lang w:val="fr-FR"/>
        </w:rPr>
        <w:t xml:space="preserve">Ce réseau se répartit entre environ 130 courtiers Dommages, spécialisés dans les risques industriels, techniques et construction, ou responsabilité civile et 1 </w:t>
      </w:r>
      <w:r w:rsidR="67CF5E73" w:rsidRPr="00A74D23">
        <w:rPr>
          <w:rFonts w:asciiTheme="minorHAnsi" w:hAnsiTheme="minorHAnsi"/>
          <w:sz w:val="20"/>
          <w:szCs w:val="20"/>
          <w:lang w:val="fr-FR"/>
        </w:rPr>
        <w:t xml:space="preserve">727 </w:t>
      </w:r>
      <w:r w:rsidRPr="00A74D23">
        <w:rPr>
          <w:rFonts w:asciiTheme="minorHAnsi" w:hAnsiTheme="minorHAnsi"/>
          <w:sz w:val="20"/>
          <w:lang w:val="fr-FR"/>
        </w:rPr>
        <w:t>courtiers Vie proposant des solutions d’épargne, de retraite et de prévoyance individuelle, ainsi que des offres en retraite collective et épargne salariale.</w:t>
      </w:r>
    </w:p>
    <w:p w14:paraId="506B3423" w14:textId="77777777" w:rsidR="00186A1B" w:rsidRPr="00A74D23" w:rsidRDefault="00186A1B" w:rsidP="00186A1B">
      <w:pPr>
        <w:jc w:val="both"/>
        <w:rPr>
          <w:rFonts w:asciiTheme="minorHAnsi" w:hAnsiTheme="minorHAnsi"/>
          <w:sz w:val="20"/>
          <w:lang w:val="fr-FR"/>
        </w:rPr>
      </w:pPr>
    </w:p>
    <w:p w14:paraId="33B888A6" w14:textId="59BF4BEB" w:rsidR="5CB71580" w:rsidRPr="00A74D23" w:rsidRDefault="00186A1B" w:rsidP="002B6D56">
      <w:pPr>
        <w:jc w:val="both"/>
        <w:rPr>
          <w:rFonts w:asciiTheme="minorHAnsi" w:eastAsia="Source Sans Pro" w:hAnsiTheme="minorHAnsi" w:cs="Source Sans Pro"/>
          <w:b/>
          <w:bCs/>
          <w:color w:val="000000" w:themeColor="text1"/>
          <w:sz w:val="18"/>
          <w:szCs w:val="18"/>
          <w:lang w:val="fr-FR"/>
        </w:rPr>
      </w:pPr>
      <w:r w:rsidRPr="00A74D23">
        <w:rPr>
          <w:rFonts w:asciiTheme="minorHAnsi" w:hAnsiTheme="minorHAnsi"/>
          <w:noProof/>
          <w:sz w:val="20"/>
        </w:rPr>
        <mc:AlternateContent>
          <mc:Choice Requires="wps">
            <w:drawing>
              <wp:anchor distT="45720" distB="45720" distL="114300" distR="114300" simplePos="0" relativeHeight="251852800" behindDoc="0" locked="0" layoutInCell="1" allowOverlap="1" wp14:anchorId="0C4A2C6B" wp14:editId="1496CAA2">
                <wp:simplePos x="0" y="0"/>
                <wp:positionH relativeFrom="margin">
                  <wp:align>left</wp:align>
                </wp:positionH>
                <wp:positionV relativeFrom="paragraph">
                  <wp:posOffset>4445</wp:posOffset>
                </wp:positionV>
                <wp:extent cx="901700" cy="819150"/>
                <wp:effectExtent l="0" t="0" r="0" b="0"/>
                <wp:wrapSquare wrapText="bothSides"/>
                <wp:docPr id="6496782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700" cy="819150"/>
                        </a:xfrm>
                        <a:prstGeom prst="rect">
                          <a:avLst/>
                        </a:prstGeom>
                        <a:solidFill>
                          <a:srgbClr val="FFFFFF"/>
                        </a:solidFill>
                        <a:ln w="6350">
                          <a:noFill/>
                          <a:miter lim="800000"/>
                          <a:headEnd/>
                          <a:tailEnd/>
                        </a:ln>
                      </wps:spPr>
                      <wps:txbx>
                        <w:txbxContent>
                          <w:p w14:paraId="55D9E1CF" w14:textId="77777777" w:rsidR="00186A1B" w:rsidRDefault="00186A1B" w:rsidP="00186A1B">
                            <w:r>
                              <w:rPr>
                                <w:noProof/>
                              </w:rPr>
                              <w:drawing>
                                <wp:inline distT="0" distB="0" distL="0" distR="0" wp14:anchorId="2301525F" wp14:editId="04C1C66E">
                                  <wp:extent cx="679450" cy="679450"/>
                                  <wp:effectExtent l="0" t="0" r="0" b="0"/>
                                  <wp:docPr id="723658920" name="Image 2" descr="Nos autres marques - Aéma Gro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s autres marques - Aéma Group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79450" cy="6794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4A2C6B" id="_x0000_s1030" type="#_x0000_t202" style="position:absolute;left:0;text-align:left;margin-left:0;margin-top:.35pt;width:71pt;height:64.5pt;z-index:2518528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" stroked="f" strokeweight=".5pt">
                <v:textbox>
                  <w:txbxContent>
                    <w:p w14:paraId="55D9E1CF" w14:textId="77777777" w:rsidR="00186A1B" w:rsidRDefault="00186A1B" w:rsidP="00186A1B">
                      <w:r>
                        <w:rPr>
                          <w:noProof/>
                        </w:rPr>
                        <w:drawing>
                          <wp:inline distT="0" distB="0" distL="0" distR="0" wp14:anchorId="2301525F" wp14:editId="04C1C66E">
                            <wp:extent cx="679450" cy="679450"/>
                            <wp:effectExtent l="0" t="0" r="0" b="0"/>
                            <wp:docPr id="723658920" name="Image 2" descr="Nos autres marques - Aéma Grou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s autres marques - Aéma Group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9450" cy="679450"/>
                                    </a:xfrm>
                                    <a:prstGeom prst="rect">
                                      <a:avLst/>
                                    </a:prstGeom>
                                    <a:noFill/>
                                    <a:ln>
                                      <a:noFill/>
                                    </a:ln>
                                  </pic:spPr>
                                </pic:pic>
                              </a:graphicData>
                            </a:graphic>
                          </wp:inline>
                        </w:drawing>
                      </w:r>
                    </w:p>
                  </w:txbxContent>
                </v:textbox>
                <w10:wrap type="square" anchorx="margin"/>
              </v:shape>
            </w:pict>
          </mc:Fallback>
        </mc:AlternateContent>
      </w:r>
      <w:r w:rsidRPr="00A74D23">
        <w:rPr>
          <w:rFonts w:asciiTheme="minorHAnsi" w:hAnsiTheme="minorHAnsi"/>
          <w:b/>
          <w:bCs/>
          <w:sz w:val="20"/>
          <w:lang w:val="fr-FR"/>
        </w:rPr>
        <w:t>Albéa Patrimoine</w:t>
      </w:r>
    </w:p>
    <w:p w14:paraId="43A949F4" w14:textId="1F8E368A" w:rsidR="5CB71580" w:rsidRPr="00524543" w:rsidRDefault="5CB71580" w:rsidP="002B6D56">
      <w:pPr>
        <w:jc w:val="both"/>
        <w:rPr>
          <w:rFonts w:asciiTheme="minorHAnsi" w:eastAsia="Source Sans Pro" w:hAnsiTheme="minorHAnsi" w:cs="Source Sans Pro"/>
          <w:color w:val="000000" w:themeColor="text1"/>
          <w:sz w:val="20"/>
          <w:szCs w:val="20"/>
          <w:lang w:val="fr-FR"/>
        </w:rPr>
      </w:pPr>
      <w:r w:rsidRPr="00524543">
        <w:rPr>
          <w:rFonts w:asciiTheme="minorHAnsi" w:eastAsia="Source Sans Pro" w:hAnsiTheme="minorHAnsi" w:cs="Source Sans Pro"/>
          <w:color w:val="000000" w:themeColor="text1"/>
          <w:sz w:val="20"/>
          <w:szCs w:val="20"/>
          <w:lang w:val="fr-FR"/>
        </w:rPr>
        <w:t>Créé en 1987, Albéa Patrimoine se distingue comme le premier courtier de l’AFER en France, leader sur le marché de l’assurance vie et de la retraite. Filiale de l’assureur Abeille Assurances Holding – marque d’Aéma Groupe - Albéa Patrimoine exerce une activité reconnue de Conseil en Investissements Financiers (agrément CIF) et d’Intermédiation en Assurance (IAS).</w:t>
      </w:r>
    </w:p>
    <w:p w14:paraId="26C18A97" w14:textId="5BA1E95C" w:rsidR="5CB71580" w:rsidRPr="00524543" w:rsidRDefault="5CB71580" w:rsidP="002B6D56">
      <w:pPr>
        <w:jc w:val="both"/>
        <w:rPr>
          <w:rFonts w:asciiTheme="minorHAnsi" w:eastAsia="Source Sans Pro" w:hAnsiTheme="minorHAnsi" w:cs="Source Sans Pro"/>
          <w:color w:val="000000" w:themeColor="text1"/>
          <w:sz w:val="20"/>
          <w:szCs w:val="20"/>
          <w:lang w:val="fr-FR"/>
        </w:rPr>
      </w:pPr>
      <w:r w:rsidRPr="00524543">
        <w:rPr>
          <w:rFonts w:asciiTheme="minorHAnsi" w:eastAsia="Source Sans Pro" w:hAnsiTheme="minorHAnsi" w:cs="Source Sans Pro"/>
          <w:color w:val="000000" w:themeColor="text1"/>
          <w:sz w:val="20"/>
          <w:szCs w:val="20"/>
          <w:lang w:val="fr-FR"/>
        </w:rPr>
        <w:t>Avec près de 40 ans d’expertise, Albéa Patrimoine propose une offre AFER complète et lisible, composée d’une gamme de supports financiers diversifiés conçue pour répondre aux divers enjeux financiers de ses clients, tout au long de leur vie : construction et valorisation d’une épargne, préparation à la retraite, organisation de la transmission. Albéa Patrimoine s’appuie sur un solide réseau de 40 agences en France, avec 120 conseillers engagés auprès des 230 000 clients fidèles sur plus de 4 générations et représentant près de 20,5 milliards d’euros d’encours gérés.</w:t>
      </w:r>
    </w:p>
    <w:p w14:paraId="065095E4" w14:textId="77777777" w:rsidR="00186A1B" w:rsidRPr="00A74D23" w:rsidRDefault="00186A1B" w:rsidP="00186A1B">
      <w:pPr>
        <w:ind w:left="1560"/>
        <w:jc w:val="both"/>
        <w:rPr>
          <w:rFonts w:asciiTheme="minorHAnsi" w:hAnsiTheme="minorHAnsi"/>
          <w:sz w:val="20"/>
          <w:lang w:val="fr-FR"/>
        </w:rPr>
      </w:pPr>
    </w:p>
    <w:p w14:paraId="5C930CA4" w14:textId="77777777" w:rsidR="00186A1B" w:rsidRPr="00A74D23" w:rsidRDefault="00186A1B" w:rsidP="00186A1B">
      <w:pPr>
        <w:jc w:val="both"/>
        <w:rPr>
          <w:rFonts w:asciiTheme="minorHAnsi" w:hAnsiTheme="minorHAnsi"/>
          <w:sz w:val="20"/>
          <w:lang w:val="fr-FR"/>
        </w:rPr>
      </w:pPr>
    </w:p>
    <w:p w14:paraId="1058CDFE" w14:textId="77777777" w:rsidR="00186A1B" w:rsidRPr="00A74D23" w:rsidRDefault="00186A1B" w:rsidP="00186A1B">
      <w:pPr>
        <w:jc w:val="both"/>
        <w:rPr>
          <w:rFonts w:asciiTheme="minorHAnsi" w:hAnsiTheme="minorHAnsi"/>
          <w:b/>
          <w:bCs/>
          <w:sz w:val="20"/>
          <w:lang w:val="fr-FR"/>
        </w:rPr>
      </w:pPr>
      <w:r w:rsidRPr="00A74D23">
        <w:rPr>
          <w:rFonts w:asciiTheme="minorHAnsi" w:hAnsiTheme="minorHAnsi"/>
          <w:noProof/>
          <w:sz w:val="20"/>
        </w:rPr>
        <mc:AlternateContent>
          <mc:Choice Requires="wps">
            <w:drawing>
              <wp:anchor distT="45720" distB="45720" distL="114300" distR="114300" simplePos="0" relativeHeight="251854848" behindDoc="0" locked="0" layoutInCell="1" allowOverlap="1" wp14:anchorId="77E86072" wp14:editId="28C8ED14">
                <wp:simplePos x="0" y="0"/>
                <wp:positionH relativeFrom="margin">
                  <wp:align>left</wp:align>
                </wp:positionH>
                <wp:positionV relativeFrom="paragraph">
                  <wp:posOffset>-635</wp:posOffset>
                </wp:positionV>
                <wp:extent cx="901700" cy="895350"/>
                <wp:effectExtent l="0" t="0" r="0" b="0"/>
                <wp:wrapSquare wrapText="bothSides"/>
                <wp:docPr id="80797570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700" cy="895350"/>
                        </a:xfrm>
                        <a:prstGeom prst="rect">
                          <a:avLst/>
                        </a:prstGeom>
                        <a:solidFill>
                          <a:srgbClr val="FFFFFF"/>
                        </a:solidFill>
                        <a:ln w="6350">
                          <a:noFill/>
                          <a:miter lim="800000"/>
                          <a:headEnd/>
                          <a:tailEnd/>
                        </a:ln>
                      </wps:spPr>
                      <wps:txbx>
                        <w:txbxContent>
                          <w:p w14:paraId="18E61B1E" w14:textId="77777777" w:rsidR="00186A1B" w:rsidRDefault="00186A1B" w:rsidP="00186A1B">
                            <w:r>
                              <w:rPr>
                                <w:rFonts w:ascii="Source Sans Pro" w:hAnsi="Source Sans Pro"/>
                                <w:noProof/>
                                <w:sz w:val="20"/>
                              </w:rPr>
                              <w:drawing>
                                <wp:inline distT="0" distB="0" distL="0" distR="0" wp14:anchorId="12468734" wp14:editId="36BD9881">
                                  <wp:extent cx="773798" cy="622300"/>
                                  <wp:effectExtent l="0" t="0" r="7620" b="6350"/>
                                  <wp:docPr id="680780332" name="Image 6" descr="Une image contenant texte, Police, typographie, Graph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158927" name="Image 6" descr="Une image contenant texte, Police, typographie, Graphique&#10;&#10;Le contenu généré par l’IA peut êtr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76346" cy="624349"/>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E86072" id="_x0000_s1031" type="#_x0000_t202" style="position:absolute;left:0;text-align:left;margin-left:0;margin-top:-.05pt;width:71pt;height:70.5pt;z-index:25185484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" stroked="f" strokeweight=".5pt">
                <v:textbox>
                  <w:txbxContent>
                    <w:p w14:paraId="18E61B1E" w14:textId="77777777" w:rsidR="00186A1B" w:rsidRDefault="00186A1B" w:rsidP="00186A1B">
                      <w:r>
                        <w:rPr>
                          <w:rFonts w:ascii="Source Sans Pro" w:hAnsi="Source Sans Pro"/>
                          <w:noProof/>
                          <w:sz w:val="20"/>
                        </w:rPr>
                        <w:drawing>
                          <wp:inline distT="0" distB="0" distL="0" distR="0" wp14:anchorId="12468734" wp14:editId="36BD9881">
                            <wp:extent cx="773798" cy="622300"/>
                            <wp:effectExtent l="0" t="0" r="7620" b="6350"/>
                            <wp:docPr id="680780332" name="Image 6" descr="Une image contenant texte, Police, typographie, Graph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158927" name="Image 6" descr="Une image contenant texte, Police, typographie, Graphique&#10;&#10;Le contenu généré par l’IA peut êtr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76346" cy="624349"/>
                                    </a:xfrm>
                                    <a:prstGeom prst="rect">
                                      <a:avLst/>
                                    </a:prstGeom>
                                    <a:noFill/>
                                  </pic:spPr>
                                </pic:pic>
                              </a:graphicData>
                            </a:graphic>
                          </wp:inline>
                        </w:drawing>
                      </w:r>
                    </w:p>
                  </w:txbxContent>
                </v:textbox>
                <w10:wrap type="square" anchorx="margin"/>
              </v:shape>
            </w:pict>
          </mc:Fallback>
        </mc:AlternateContent>
      </w:r>
      <w:r w:rsidRPr="00A74D23">
        <w:rPr>
          <w:rFonts w:asciiTheme="minorHAnsi" w:hAnsiTheme="minorHAnsi"/>
          <w:b/>
          <w:bCs/>
          <w:sz w:val="20"/>
          <w:lang w:val="fr-FR"/>
        </w:rPr>
        <w:t>L’Union Financière de France (UFF)</w:t>
      </w:r>
    </w:p>
    <w:p w14:paraId="39E337A8" w14:textId="77777777" w:rsidR="00186A1B" w:rsidRPr="00A74D23" w:rsidRDefault="00186A1B" w:rsidP="00186A1B">
      <w:pPr>
        <w:jc w:val="both"/>
        <w:rPr>
          <w:rFonts w:asciiTheme="minorHAnsi" w:hAnsiTheme="minorHAnsi"/>
          <w:sz w:val="20"/>
          <w:lang w:val="fr-FR"/>
        </w:rPr>
      </w:pPr>
      <w:r w:rsidRPr="00A74D23">
        <w:rPr>
          <w:rFonts w:asciiTheme="minorHAnsi" w:hAnsiTheme="minorHAnsi"/>
          <w:sz w:val="20"/>
          <w:lang w:val="fr-FR"/>
        </w:rPr>
        <w:t xml:space="preserve">Créateur du métier de conseiller en gestion de patrimoine en France, l’Union Financière de France (UFF) accompagne, depuis 1968, ses clients au fil des générations. L’UFF propose aux particuliers, chefs d'entreprise ou personnes morales des produits et services adaptés à la gestion de leur patrimoine. Au 31 décembre 2025, près de 170 000 clients font confiance à l’UFF pour construire leur avenir fi nancier. Avec près de 1 000 collaborateurs, dont 700 dédiés au conseil, l'UFF assure une présence sur tout le territoire national. </w:t>
      </w:r>
    </w:p>
    <w:p w14:paraId="5CDAEC37" w14:textId="77777777" w:rsidR="00186A1B" w:rsidRPr="00A74D23" w:rsidRDefault="00186A1B" w:rsidP="00186A1B">
      <w:pPr>
        <w:jc w:val="both"/>
        <w:rPr>
          <w:rFonts w:asciiTheme="minorHAnsi" w:hAnsiTheme="minorHAnsi"/>
          <w:sz w:val="20"/>
          <w:lang w:val="fr-FR"/>
        </w:rPr>
      </w:pPr>
    </w:p>
    <w:p w14:paraId="55A4DF0F" w14:textId="77777777" w:rsidR="00186A1B" w:rsidRPr="00A74D23" w:rsidRDefault="00186A1B" w:rsidP="00186A1B">
      <w:pPr>
        <w:jc w:val="both"/>
        <w:rPr>
          <w:rFonts w:asciiTheme="minorHAnsi" w:hAnsiTheme="minorHAnsi"/>
          <w:sz w:val="20"/>
          <w:lang w:val="fr-FR"/>
        </w:rPr>
      </w:pPr>
      <w:r w:rsidRPr="00A74D23">
        <w:rPr>
          <w:rFonts w:asciiTheme="minorHAnsi" w:hAnsiTheme="minorHAnsi"/>
          <w:noProof/>
          <w:sz w:val="20"/>
        </w:rPr>
        <mc:AlternateContent>
          <mc:Choice Requires="wps">
            <w:drawing>
              <wp:anchor distT="45720" distB="45720" distL="114300" distR="114300" simplePos="0" relativeHeight="251856896" behindDoc="0" locked="0" layoutInCell="1" allowOverlap="1" wp14:anchorId="3F3BCEE4" wp14:editId="747CC443">
                <wp:simplePos x="0" y="0"/>
                <wp:positionH relativeFrom="margin">
                  <wp:align>left</wp:align>
                </wp:positionH>
                <wp:positionV relativeFrom="paragraph">
                  <wp:posOffset>158115</wp:posOffset>
                </wp:positionV>
                <wp:extent cx="901700" cy="869950"/>
                <wp:effectExtent l="0" t="0" r="0" b="6350"/>
                <wp:wrapSquare wrapText="bothSides"/>
                <wp:docPr id="8368694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700" cy="869950"/>
                        </a:xfrm>
                        <a:prstGeom prst="rect">
                          <a:avLst/>
                        </a:prstGeom>
                        <a:solidFill>
                          <a:srgbClr val="FFFFFF"/>
                        </a:solidFill>
                        <a:ln w="6350">
                          <a:noFill/>
                          <a:miter lim="800000"/>
                          <a:headEnd/>
                          <a:tailEnd/>
                        </a:ln>
                      </wps:spPr>
                      <wps:txbx>
                        <w:txbxContent>
                          <w:p w14:paraId="229052B3" w14:textId="77777777" w:rsidR="00186A1B" w:rsidRDefault="00186A1B" w:rsidP="00186A1B">
                            <w:r w:rsidRPr="00267CA4">
                              <w:rPr>
                                <w:noProof/>
                              </w:rPr>
                              <w:drawing>
                                <wp:inline distT="0" distB="0" distL="0" distR="0" wp14:anchorId="35E3A365" wp14:editId="790036F9">
                                  <wp:extent cx="712470" cy="712470"/>
                                  <wp:effectExtent l="0" t="0" r="0" b="0"/>
                                  <wp:docPr id="1551194370" name="Image 1" descr="Une image contenant Police, texte, logo, Graph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924" name="Image 1" descr="Une image contenant Police, texte, logo, Graphique&#10;&#10;Le contenu généré par l’IA peut être incorrect."/>
                                          <pic:cNvPicPr/>
                                        </pic:nvPicPr>
                                        <pic:blipFill>
                                          <a:blip r:embed="rId33"/>
                                          <a:stretch>
                                            <a:fillRect/>
                                          </a:stretch>
                                        </pic:blipFill>
                                        <pic:spPr>
                                          <a:xfrm>
                                            <a:off x="0" y="0"/>
                                            <a:ext cx="712470" cy="71247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3BCEE4" id="_x0000_s1032" type="#_x0000_t202" style="position:absolute;left:0;text-align:left;margin-left:0;margin-top:12.45pt;width:71pt;height:68.5pt;z-index:2518568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" stroked="f" strokeweight=".5pt">
                <v:textbox>
                  <w:txbxContent>
                    <w:p w14:paraId="229052B3" w14:textId="77777777" w:rsidR="00186A1B" w:rsidRDefault="00186A1B" w:rsidP="00186A1B">
                      <w:r w:rsidRPr="00267CA4">
                        <w:rPr>
                          <w:noProof/>
                        </w:rPr>
                        <w:drawing>
                          <wp:inline distT="0" distB="0" distL="0" distR="0" wp14:anchorId="35E3A365" wp14:editId="790036F9">
                            <wp:extent cx="712470" cy="712470"/>
                            <wp:effectExtent l="0" t="0" r="0" b="0"/>
                            <wp:docPr id="1551194370" name="Image 1" descr="Une image contenant Police, texte, logo, Graph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924" name="Image 1" descr="Une image contenant Police, texte, logo, Graphique&#10;&#10;Le contenu généré par l’IA peut être incorrect."/>
                                    <pic:cNvPicPr/>
                                  </pic:nvPicPr>
                                  <pic:blipFill>
                                    <a:blip r:embed="rId34"/>
                                    <a:stretch>
                                      <a:fillRect/>
                                    </a:stretch>
                                  </pic:blipFill>
                                  <pic:spPr>
                                    <a:xfrm>
                                      <a:off x="0" y="0"/>
                                      <a:ext cx="712470" cy="712470"/>
                                    </a:xfrm>
                                    <a:prstGeom prst="rect">
                                      <a:avLst/>
                                    </a:prstGeom>
                                  </pic:spPr>
                                </pic:pic>
                              </a:graphicData>
                            </a:graphic>
                          </wp:inline>
                        </w:drawing>
                      </w:r>
                    </w:p>
                  </w:txbxContent>
                </v:textbox>
                <w10:wrap type="square" anchorx="margin"/>
              </v:shape>
            </w:pict>
          </mc:Fallback>
        </mc:AlternateContent>
      </w:r>
    </w:p>
    <w:p w14:paraId="310E1D90" w14:textId="77777777" w:rsidR="00186A1B" w:rsidRPr="00A74D23" w:rsidRDefault="00186A1B" w:rsidP="00186A1B">
      <w:pPr>
        <w:jc w:val="both"/>
        <w:rPr>
          <w:rFonts w:asciiTheme="minorHAnsi" w:hAnsiTheme="minorHAnsi"/>
          <w:b/>
          <w:bCs/>
          <w:sz w:val="20"/>
          <w:lang w:val="fr-FR"/>
        </w:rPr>
      </w:pPr>
      <w:r w:rsidRPr="00A74D23">
        <w:rPr>
          <w:rFonts w:asciiTheme="minorHAnsi" w:hAnsiTheme="minorHAnsi"/>
          <w:b/>
          <w:bCs/>
          <w:sz w:val="20"/>
          <w:lang w:val="fr-FR"/>
        </w:rPr>
        <w:t>VIP Conseils</w:t>
      </w:r>
    </w:p>
    <w:p w14:paraId="0590F25C" w14:textId="740FB667" w:rsidR="00186A1B" w:rsidRPr="00A74D23" w:rsidRDefault="00186A1B" w:rsidP="571C951D">
      <w:pPr>
        <w:jc w:val="both"/>
        <w:rPr>
          <w:rFonts w:asciiTheme="minorHAnsi" w:hAnsiTheme="minorHAnsi"/>
          <w:sz w:val="20"/>
          <w:szCs w:val="20"/>
        </w:rPr>
      </w:pPr>
      <w:r w:rsidRPr="00A74D23">
        <w:rPr>
          <w:rFonts w:asciiTheme="minorHAnsi" w:hAnsiTheme="minorHAnsi"/>
          <w:sz w:val="20"/>
          <w:szCs w:val="20"/>
          <w:lang w:val="fr-FR"/>
        </w:rPr>
        <w:t xml:space="preserve">Créer il y a plus de 35 ans, VIP Conseils met à disposition de ses clients particuliers et entreprises son expertise en gestion de patrimoine, transmission, investissements financiers et retraite complémentaire. </w:t>
      </w:r>
      <w:r w:rsidRPr="00A74D23">
        <w:rPr>
          <w:rFonts w:asciiTheme="minorHAnsi" w:hAnsiTheme="minorHAnsi"/>
          <w:sz w:val="20"/>
          <w:szCs w:val="20"/>
        </w:rPr>
        <w:t>VIP compte 2</w:t>
      </w:r>
      <w:r w:rsidR="1FA26218" w:rsidRPr="00A74D23">
        <w:rPr>
          <w:rFonts w:asciiTheme="minorHAnsi" w:hAnsiTheme="minorHAnsi"/>
          <w:sz w:val="20"/>
          <w:szCs w:val="20"/>
        </w:rPr>
        <w:t>6</w:t>
      </w:r>
      <w:r w:rsidRPr="00A74D23">
        <w:rPr>
          <w:rFonts w:asciiTheme="minorHAnsi" w:hAnsiTheme="minorHAnsi"/>
          <w:sz w:val="20"/>
          <w:szCs w:val="20"/>
        </w:rPr>
        <w:t xml:space="preserve"> conseillers, installés à Paris.</w:t>
      </w:r>
    </w:p>
    <w:p w14:paraId="24AE6D1E" w14:textId="77777777" w:rsidR="00186A1B" w:rsidRPr="00A74D23" w:rsidRDefault="00186A1B" w:rsidP="00186A1B">
      <w:pPr>
        <w:jc w:val="both"/>
        <w:rPr>
          <w:rFonts w:asciiTheme="minorHAnsi" w:hAnsiTheme="minorHAnsi"/>
          <w:sz w:val="20"/>
        </w:rPr>
      </w:pPr>
    </w:p>
    <w:p w14:paraId="529CEC7E" w14:textId="127E451D" w:rsidR="00186A1B" w:rsidRPr="00A74D23" w:rsidRDefault="00186A1B" w:rsidP="00186A1B">
      <w:pPr>
        <w:jc w:val="both"/>
        <w:textAlignment w:val="center"/>
        <w:rPr>
          <w:rFonts w:asciiTheme="minorHAnsi" w:hAnsiTheme="minorHAnsi" w:cs="Calibri"/>
          <w:sz w:val="20"/>
          <w:szCs w:val="20"/>
          <w:lang w:eastAsia="fr-FR"/>
        </w:rPr>
      </w:pPr>
    </w:p>
    <w:p w14:paraId="22460310" w14:textId="77777777" w:rsidR="009030C5" w:rsidRPr="00A74D23" w:rsidRDefault="009030C5" w:rsidP="00186A1B">
      <w:pPr>
        <w:jc w:val="both"/>
        <w:textAlignment w:val="center"/>
        <w:rPr>
          <w:rFonts w:asciiTheme="minorHAnsi" w:hAnsiTheme="minorHAnsi" w:cs="Calibri"/>
          <w:sz w:val="20"/>
          <w:szCs w:val="20"/>
          <w:lang w:eastAsia="fr-FR"/>
        </w:rPr>
      </w:pPr>
    </w:p>
    <w:p w14:paraId="69297A62" w14:textId="0DCF3D22" w:rsidR="00186A1B" w:rsidRPr="00A74D23" w:rsidRDefault="00BD18DA" w:rsidP="00186A1B">
      <w:pPr>
        <w:pStyle w:val="Style1"/>
        <w:numPr>
          <w:ilvl w:val="0"/>
          <w:numId w:val="0"/>
        </w:numPr>
        <w:tabs>
          <w:tab w:val="clear" w:pos="2010"/>
          <w:tab w:val="left" w:pos="1134"/>
        </w:tabs>
        <w:jc w:val="both"/>
        <w:rPr>
          <w:i w:val="0"/>
          <w:color w:val="auto"/>
          <w:sz w:val="20"/>
          <w:szCs w:val="20"/>
        </w:rPr>
      </w:pPr>
      <w:r w:rsidRPr="00A74D23">
        <w:rPr>
          <w:rFonts w:eastAsia="Calibri" w:cs="Source Sans Pro"/>
          <w:i w:val="0"/>
          <w:iCs w:val="0"/>
          <w:noProof/>
          <w:color w:val="auto"/>
          <w:sz w:val="20"/>
          <w:szCs w:val="20"/>
          <w:lang w:eastAsia="fr-FR"/>
        </w:rPr>
        <mc:AlternateContent>
          <mc:Choice Requires="wpg">
            <w:drawing>
              <wp:anchor distT="0" distB="0" distL="114300" distR="114300" simplePos="0" relativeHeight="251871232" behindDoc="0" locked="0" layoutInCell="1" allowOverlap="1" wp14:anchorId="71822A75" wp14:editId="1CA138FE">
                <wp:simplePos x="0" y="0"/>
                <wp:positionH relativeFrom="margin">
                  <wp:posOffset>-233155</wp:posOffset>
                </wp:positionH>
                <wp:positionV relativeFrom="paragraph">
                  <wp:posOffset>131775</wp:posOffset>
                </wp:positionV>
                <wp:extent cx="390025" cy="281534"/>
                <wp:effectExtent l="0" t="0" r="10160" b="23495"/>
                <wp:wrapNone/>
                <wp:docPr id="1088610671" name="Groupe 132"/>
                <wp:cNvGraphicFramePr/>
                <a:graphic xmlns:a="http://schemas.openxmlformats.org/drawingml/2006/main">
                  <a:graphicData uri="http://schemas.microsoft.com/office/word/2010/wordprocessingGroup">
                    <wpg:wgp>
                      <wpg:cNvGrpSpPr/>
                      <wpg:grpSpPr>
                        <a:xfrm>
                          <a:off x="0" y="0"/>
                          <a:ext cx="390025" cy="281534"/>
                          <a:chOff x="0" y="0"/>
                          <a:chExt cx="480287" cy="346688"/>
                        </a:xfrm>
                      </wpg:grpSpPr>
                      <wps:wsp>
                        <wps:cNvPr id="1214197977"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1197537619"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4FCC300F" id="Groupe 132" o:spid="_x0000_s1026" style="position:absolute;margin-left:-18.35pt;margin-top:10.4pt;width:30.7pt;height:22.15pt;z-index:251871232;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r w:rsidRPr="00A74D23">
        <w:rPr>
          <w:rFonts w:eastAsia="Calibri" w:cs="Source Sans Pro"/>
          <w:i w:val="0"/>
          <w:iCs w:val="0"/>
          <w:noProof/>
          <w:color w:val="auto"/>
          <w:sz w:val="20"/>
          <w:szCs w:val="20"/>
          <w:lang w:eastAsia="fr-FR"/>
        </w:rPr>
        <mc:AlternateContent>
          <mc:Choice Requires="wpg">
            <w:drawing>
              <wp:anchor distT="0" distB="0" distL="114300" distR="114300" simplePos="0" relativeHeight="251881472" behindDoc="0" locked="0" layoutInCell="1" allowOverlap="1" wp14:anchorId="52E48E61" wp14:editId="7D91762B">
                <wp:simplePos x="0" y="0"/>
                <wp:positionH relativeFrom="margin">
                  <wp:posOffset>5325846</wp:posOffset>
                </wp:positionH>
                <wp:positionV relativeFrom="paragraph">
                  <wp:posOffset>1398981</wp:posOffset>
                </wp:positionV>
                <wp:extent cx="389890" cy="281305"/>
                <wp:effectExtent l="0" t="0" r="10160" b="23495"/>
                <wp:wrapNone/>
                <wp:docPr id="545432223" name="Groupe 132"/>
                <wp:cNvGraphicFramePr/>
                <a:graphic xmlns:a="http://schemas.openxmlformats.org/drawingml/2006/main">
                  <a:graphicData uri="http://schemas.microsoft.com/office/word/2010/wordprocessingGroup">
                    <wpg:wgp>
                      <wpg:cNvGrpSpPr/>
                      <wpg:grpSpPr>
                        <a:xfrm flipH="1">
                          <a:off x="0" y="0"/>
                          <a:ext cx="389890" cy="281305"/>
                          <a:chOff x="0" y="0"/>
                          <a:chExt cx="480287" cy="346688"/>
                        </a:xfrm>
                      </wpg:grpSpPr>
                      <wps:wsp>
                        <wps:cNvPr id="733057983"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742152666"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6FFA9F6B" id="Groupe 132" o:spid="_x0000_s1026" style="position:absolute;margin-left:419.35pt;margin-top:110.15pt;width:30.7pt;height:22.15pt;flip:x;z-index:251881472;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r w:rsidR="002B6D56" w:rsidRPr="00A74D23">
        <w:rPr>
          <w:noProof/>
          <w:color w:val="auto"/>
        </w:rPr>
        <mc:AlternateContent>
          <mc:Choice Requires="wps">
            <w:drawing>
              <wp:anchor distT="0" distB="0" distL="114300" distR="114300" simplePos="0" relativeHeight="251865088" behindDoc="0" locked="0" layoutInCell="1" allowOverlap="1" wp14:anchorId="0C454C43" wp14:editId="5057B9B6">
                <wp:simplePos x="0" y="0"/>
                <wp:positionH relativeFrom="column">
                  <wp:posOffset>164270</wp:posOffset>
                </wp:positionH>
                <wp:positionV relativeFrom="paragraph">
                  <wp:posOffset>115376</wp:posOffset>
                </wp:positionV>
                <wp:extent cx="5172075" cy="1638886"/>
                <wp:effectExtent l="0" t="0" r="9525" b="0"/>
                <wp:wrapNone/>
                <wp:docPr id="1873502145" name="Zone de texte 1873502145"/>
                <wp:cNvGraphicFramePr/>
                <a:graphic xmlns:a="http://schemas.openxmlformats.org/drawingml/2006/main">
                  <a:graphicData uri="http://schemas.microsoft.com/office/word/2010/wordprocessingShape">
                    <wps:wsp>
                      <wps:cNvSpPr txBox="1"/>
                      <wps:spPr>
                        <a:xfrm>
                          <a:off x="0" y="0"/>
                          <a:ext cx="5172075" cy="1638886"/>
                        </a:xfrm>
                        <a:prstGeom prst="rect">
                          <a:avLst/>
                        </a:prstGeom>
                        <a:solidFill>
                          <a:schemeClr val="lt1"/>
                        </a:solidFill>
                        <a:ln w="6350">
                          <a:noFill/>
                        </a:ln>
                      </wps:spPr>
                      <wps:txbx>
                        <w:txbxContent>
                          <w:p w14:paraId="6296C5B6" w14:textId="3888D3CF" w:rsidR="002B6D56" w:rsidRDefault="002B6D56" w:rsidP="00186A1B">
                            <w:pPr>
                              <w:rPr>
                                <w:rFonts w:ascii="Source Sans Pro" w:eastAsia="Source Sans Pro" w:hAnsi="Source Sans Pro" w:cs="Source Sans Pro"/>
                                <w:sz w:val="20"/>
                                <w:szCs w:val="20"/>
                                <w:lang w:val="fr-FR"/>
                              </w:rPr>
                            </w:pPr>
                            <w:r>
                              <w:rPr>
                                <w:rFonts w:ascii="Source Sans Pro" w:eastAsia="Source Sans Pro" w:hAnsi="Source Sans Pro" w:cs="Source Sans Pro"/>
                                <w:sz w:val="20"/>
                                <w:szCs w:val="20"/>
                                <w:lang w:val="fr-FR"/>
                              </w:rPr>
                              <w:t>N</w:t>
                            </w:r>
                            <w:r w:rsidRPr="002B6D56">
                              <w:rPr>
                                <w:rFonts w:ascii="Source Sans Pro" w:eastAsia="Source Sans Pro" w:hAnsi="Source Sans Pro" w:cs="Source Sans Pro"/>
                                <w:sz w:val="20"/>
                                <w:szCs w:val="20"/>
                                <w:lang w:val="fr-FR"/>
                              </w:rPr>
                              <w:t>otre réseau de distribution se distingue par sa connaissance fine des enjeux locaux et sa proximité avec les clients. Grâce à leur expertise terrain, nos distributeurs identifient les besoins, proposent des solutions adaptées et contribuent durablement à la fidélisation de notre clientèle. Leur engagement quotidien est un pilier essentiel de la relation de confiance que nous construisons avec nos clients.</w:t>
                            </w:r>
                          </w:p>
                          <w:p w14:paraId="682771A0" w14:textId="3FA2C61B" w:rsidR="00186A1B" w:rsidRPr="00186A1B" w:rsidRDefault="00186A1B" w:rsidP="00186A1B">
                            <w:pPr>
                              <w:rPr>
                                <w:rFonts w:ascii="Source Sans Pro" w:hAnsi="Source Sans Pro"/>
                                <w:b/>
                                <w:bCs/>
                                <w:sz w:val="20"/>
                                <w:szCs w:val="20"/>
                                <w:lang w:val="fr-FR"/>
                              </w:rPr>
                            </w:pPr>
                            <w:r w:rsidRPr="00186A1B">
                              <w:rPr>
                                <w:rFonts w:ascii="Source Sans Pro" w:eastAsia="Source Sans Pro" w:hAnsi="Source Sans Pro" w:cs="Source Sans Pro"/>
                                <w:i/>
                                <w:iCs/>
                                <w:sz w:val="20"/>
                                <w:szCs w:val="20"/>
                                <w:lang w:val="fr-FR"/>
                              </w:rPr>
                              <w:t>.</w:t>
                            </w:r>
                            <w:r w:rsidRPr="00186A1B">
                              <w:rPr>
                                <w:rFonts w:ascii="Source Sans Pro" w:hAnsi="Source Sans Pro"/>
                                <w:sz w:val="20"/>
                                <w:szCs w:val="20"/>
                                <w:lang w:val="fr-FR"/>
                              </w:rPr>
                              <w:t xml:space="preserve"> </w:t>
                            </w:r>
                            <w:r w:rsidRPr="00393669">
                              <w:rPr>
                                <w:rFonts w:ascii="Source Sans Pro" w:hAnsi="Source Sans Pro"/>
                                <w:noProof/>
                                <w:sz w:val="20"/>
                                <w:szCs w:val="20"/>
                              </w:rPr>
                              <w:drawing>
                                <wp:inline distT="0" distB="0" distL="0" distR="0" wp14:anchorId="759F37A7" wp14:editId="7826FBF3">
                                  <wp:extent cx="502208" cy="535682"/>
                                  <wp:effectExtent l="0" t="0" r="0" b="0"/>
                                  <wp:docPr id="1578101735" name="Image 1" descr="Une image contenant Visage humain, personne, Front, Ment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758280" name="Image 1" descr="Une image contenant Visage humain, personne, Front, Menton&#10;&#10;Le contenu généré par l’IA peut être incorrect."/>
                                          <pic:cNvPicPr/>
                                        </pic:nvPicPr>
                                        <pic:blipFill>
                                          <a:blip r:embed="rId35"/>
                                          <a:stretch>
                                            <a:fillRect/>
                                          </a:stretch>
                                        </pic:blipFill>
                                        <pic:spPr>
                                          <a:xfrm>
                                            <a:off x="0" y="0"/>
                                            <a:ext cx="523424" cy="558312"/>
                                          </a:xfrm>
                                          <a:prstGeom prst="rect">
                                            <a:avLst/>
                                          </a:prstGeom>
                                        </pic:spPr>
                                      </pic:pic>
                                    </a:graphicData>
                                  </a:graphic>
                                </wp:inline>
                              </w:drawing>
                            </w:r>
                            <w:r w:rsidRPr="00186A1B">
                              <w:rPr>
                                <w:rFonts w:ascii="Source Sans Pro" w:hAnsi="Source Sans Pro"/>
                                <w:sz w:val="20"/>
                                <w:szCs w:val="20"/>
                                <w:lang w:val="fr-FR"/>
                              </w:rPr>
                              <w:t xml:space="preserve"> </w:t>
                            </w:r>
                            <w:r w:rsidRPr="00186A1B">
                              <w:rPr>
                                <w:rFonts w:ascii="Source Sans Pro" w:hAnsi="Source Sans Pro"/>
                                <w:b/>
                                <w:bCs/>
                                <w:sz w:val="20"/>
                                <w:szCs w:val="20"/>
                                <w:lang w:val="fr-FR"/>
                              </w:rPr>
                              <w:t>Renaud Célié, en charge du Développement, de la Direction Digitale &amp; IT et des Services clients</w:t>
                            </w:r>
                          </w:p>
                          <w:p w14:paraId="4C3EE695" w14:textId="77777777" w:rsidR="00186A1B" w:rsidRPr="00186A1B" w:rsidRDefault="00186A1B" w:rsidP="00186A1B">
                            <w:pPr>
                              <w:rPr>
                                <w:rFonts w:ascii="Source Sans Pro" w:hAnsi="Source Sans Pro"/>
                                <w:b/>
                                <w:bCs/>
                                <w:sz w:val="20"/>
                                <w:szCs w:val="20"/>
                                <w:lang w:val="fr-FR"/>
                              </w:rPr>
                            </w:pPr>
                          </w:p>
                          <w:p w14:paraId="2420CBB4" w14:textId="77777777" w:rsidR="00186A1B" w:rsidRPr="00186A1B" w:rsidRDefault="00186A1B" w:rsidP="00186A1B">
                            <w:pPr>
                              <w:rPr>
                                <w:rFonts w:ascii="Source Sans Pro" w:eastAsia="Source Sans Pro" w:hAnsi="Source Sans Pro" w:cs="Source Sans Pro"/>
                                <w:sz w:val="20"/>
                                <w:szCs w:val="20"/>
                                <w:lang w:val="fr-FR"/>
                              </w:rPr>
                            </w:pPr>
                          </w:p>
                          <w:p w14:paraId="19338F9C" w14:textId="77777777" w:rsidR="00186A1B" w:rsidRDefault="00186A1B" w:rsidP="00186A1B">
                            <w:pPr>
                              <w:ind w:left="708" w:firstLine="708"/>
                              <w:rPr>
                                <w:rFonts w:ascii="Arial" w:eastAsia="Source Sans Pro" w:hAnsi="Arial" w:cs="Arial"/>
                                <w:b/>
                                <w:bCs/>
                                <w:i/>
                                <w:iCs/>
                                <w:sz w:val="20"/>
                                <w:szCs w:val="20"/>
                              </w:rPr>
                            </w:pPr>
                            <w:r w:rsidRPr="000A6769">
                              <w:rPr>
                                <w:rFonts w:ascii="Arial" w:eastAsia="Source Sans Pro" w:hAnsi="Arial" w:cs="Arial"/>
                                <w:b/>
                                <w:bCs/>
                                <w:i/>
                                <w:iCs/>
                                <w:sz w:val="20"/>
                                <w:szCs w:val="20"/>
                              </w:rPr>
                              <w:t>​</w:t>
                            </w:r>
                          </w:p>
                          <w:p w14:paraId="6A1917A1" w14:textId="77777777" w:rsidR="00186A1B" w:rsidRDefault="00186A1B" w:rsidP="00186A1B">
                            <w:pPr>
                              <w:ind w:left="708" w:firstLine="708"/>
                            </w:pPr>
                            <w:r w:rsidRPr="000A6769">
                              <w:rPr>
                                <w:rFonts w:ascii="Source Sans Pro" w:eastAsia="Source Sans Pro" w:hAnsi="Source Sans Pro" w:cs="Source Sans Pro"/>
                                <w:b/>
                                <w:bCs/>
                                <w:sz w:val="20"/>
                                <w:szCs w:val="20"/>
                              </w:rPr>
                              <w:t xml:space="preserve">Renaud Célié </w:t>
                            </w:r>
                            <w:r w:rsidRPr="000A6769">
                              <w:rPr>
                                <w:rFonts w:ascii="Source Sans Pro" w:eastAsia="Source Sans Pro" w:hAnsi="Source Sans Pro" w:cs="Source Sans Pro"/>
                                <w:sz w:val="20"/>
                                <w:szCs w:val="20"/>
                              </w:rPr>
                              <w:t xml:space="preserve">- Directeur de Développement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54C43" id="Zone de texte 1873502145" o:spid="_x0000_s1033" type="#_x0000_t202" style="position:absolute;left:0;text-align:left;margin-left:12.95pt;margin-top:9.1pt;width:407.25pt;height:129.0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" fillcolor="white [3201]" stroked="f" strokeweight=".5pt">
                <v:textbox>
                  <w:txbxContent>
                    <w:p w14:paraId="6296C5B6" w14:textId="3888D3CF" w:rsidR="002B6D56" w:rsidRDefault="002B6D56" w:rsidP="00186A1B">
                      <w:pPr>
                        <w:rPr>
                          <w:rFonts w:ascii="Source Sans Pro" w:eastAsia="Source Sans Pro" w:hAnsi="Source Sans Pro" w:cs="Source Sans Pro"/>
                          <w:sz w:val="20"/>
                          <w:szCs w:val="20"/>
                          <w:lang w:val="fr-FR"/>
                        </w:rPr>
                      </w:pPr>
                      <w:r>
                        <w:rPr>
                          <w:rFonts w:ascii="Source Sans Pro" w:eastAsia="Source Sans Pro" w:hAnsi="Source Sans Pro" w:cs="Source Sans Pro"/>
                          <w:sz w:val="20"/>
                          <w:szCs w:val="20"/>
                          <w:lang w:val="fr-FR"/>
                        </w:rPr>
                        <w:t>N</w:t>
                      </w:r>
                      <w:r w:rsidRPr="002B6D56">
                        <w:rPr>
                          <w:rFonts w:ascii="Source Sans Pro" w:eastAsia="Source Sans Pro" w:hAnsi="Source Sans Pro" w:cs="Source Sans Pro"/>
                          <w:sz w:val="20"/>
                          <w:szCs w:val="20"/>
                          <w:lang w:val="fr-FR"/>
                        </w:rPr>
                        <w:t>otre réseau de distribution se distingue par sa connaissance fine des enjeux locaux et sa proximité avec les clients. Grâce à leur expertise terrain, nos distributeurs identifient les besoins, proposent des solutions adaptées et contribuent durablement à la fidélisation de notre clientèle. Leur engagement quotidien est un pilier essentiel de la relation de confiance que nous construisons avec nos clients.</w:t>
                      </w:r>
                    </w:p>
                    <w:p w14:paraId="682771A0" w14:textId="3FA2C61B" w:rsidR="00186A1B" w:rsidRPr="00186A1B" w:rsidRDefault="00186A1B" w:rsidP="00186A1B">
                      <w:pPr>
                        <w:rPr>
                          <w:rFonts w:ascii="Source Sans Pro" w:hAnsi="Source Sans Pro"/>
                          <w:b/>
                          <w:bCs/>
                          <w:sz w:val="20"/>
                          <w:szCs w:val="20"/>
                          <w:lang w:val="fr-FR"/>
                        </w:rPr>
                      </w:pPr>
                      <w:r w:rsidRPr="00186A1B">
                        <w:rPr>
                          <w:rFonts w:ascii="Source Sans Pro" w:eastAsia="Source Sans Pro" w:hAnsi="Source Sans Pro" w:cs="Source Sans Pro"/>
                          <w:i/>
                          <w:iCs/>
                          <w:sz w:val="20"/>
                          <w:szCs w:val="20"/>
                          <w:lang w:val="fr-FR"/>
                        </w:rPr>
                        <w:t>.</w:t>
                      </w:r>
                      <w:r w:rsidRPr="00186A1B">
                        <w:rPr>
                          <w:rFonts w:ascii="Source Sans Pro" w:hAnsi="Source Sans Pro"/>
                          <w:sz w:val="20"/>
                          <w:szCs w:val="20"/>
                          <w:lang w:val="fr-FR"/>
                        </w:rPr>
                        <w:t xml:space="preserve"> </w:t>
                      </w:r>
                      <w:r w:rsidRPr="00393669">
                        <w:rPr>
                          <w:rFonts w:ascii="Source Sans Pro" w:hAnsi="Source Sans Pro"/>
                          <w:noProof/>
                          <w:sz w:val="20"/>
                          <w:szCs w:val="20"/>
                        </w:rPr>
                        <w:drawing>
                          <wp:inline distT="0" distB="0" distL="0" distR="0" wp14:anchorId="759F37A7" wp14:editId="7826FBF3">
                            <wp:extent cx="502208" cy="535682"/>
                            <wp:effectExtent l="0" t="0" r="0" b="0"/>
                            <wp:docPr id="1578101735" name="Image 1" descr="Une image contenant Visage humain, personne, Front, Ment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758280" name="Image 1" descr="Une image contenant Visage humain, personne, Front, Menton&#10;&#10;Le contenu généré par l’IA peut être incorrect."/>
                                    <pic:cNvPicPr/>
                                  </pic:nvPicPr>
                                  <pic:blipFill>
                                    <a:blip r:embed="rId36"/>
                                    <a:stretch>
                                      <a:fillRect/>
                                    </a:stretch>
                                  </pic:blipFill>
                                  <pic:spPr>
                                    <a:xfrm>
                                      <a:off x="0" y="0"/>
                                      <a:ext cx="523424" cy="558312"/>
                                    </a:xfrm>
                                    <a:prstGeom prst="rect">
                                      <a:avLst/>
                                    </a:prstGeom>
                                  </pic:spPr>
                                </pic:pic>
                              </a:graphicData>
                            </a:graphic>
                          </wp:inline>
                        </w:drawing>
                      </w:r>
                      <w:r w:rsidRPr="00186A1B">
                        <w:rPr>
                          <w:rFonts w:ascii="Source Sans Pro" w:hAnsi="Source Sans Pro"/>
                          <w:sz w:val="20"/>
                          <w:szCs w:val="20"/>
                          <w:lang w:val="fr-FR"/>
                        </w:rPr>
                        <w:t xml:space="preserve"> </w:t>
                      </w:r>
                      <w:r w:rsidRPr="00186A1B">
                        <w:rPr>
                          <w:rFonts w:ascii="Source Sans Pro" w:hAnsi="Source Sans Pro"/>
                          <w:b/>
                          <w:bCs/>
                          <w:sz w:val="20"/>
                          <w:szCs w:val="20"/>
                          <w:lang w:val="fr-FR"/>
                        </w:rPr>
                        <w:t>Renaud Célié, en charge du Développement, de la Direction Digitale &amp; IT et des Services clients</w:t>
                      </w:r>
                    </w:p>
                    <w:p w14:paraId="4C3EE695" w14:textId="77777777" w:rsidR="00186A1B" w:rsidRPr="00186A1B" w:rsidRDefault="00186A1B" w:rsidP="00186A1B">
                      <w:pPr>
                        <w:rPr>
                          <w:rFonts w:ascii="Source Sans Pro" w:hAnsi="Source Sans Pro"/>
                          <w:b/>
                          <w:bCs/>
                          <w:sz w:val="20"/>
                          <w:szCs w:val="20"/>
                          <w:lang w:val="fr-FR"/>
                        </w:rPr>
                      </w:pPr>
                    </w:p>
                    <w:p w14:paraId="2420CBB4" w14:textId="77777777" w:rsidR="00186A1B" w:rsidRPr="00186A1B" w:rsidRDefault="00186A1B" w:rsidP="00186A1B">
                      <w:pPr>
                        <w:rPr>
                          <w:rFonts w:ascii="Source Sans Pro" w:eastAsia="Source Sans Pro" w:hAnsi="Source Sans Pro" w:cs="Source Sans Pro"/>
                          <w:sz w:val="20"/>
                          <w:szCs w:val="20"/>
                          <w:lang w:val="fr-FR"/>
                        </w:rPr>
                      </w:pPr>
                    </w:p>
                    <w:p w14:paraId="19338F9C" w14:textId="77777777" w:rsidR="00186A1B" w:rsidRDefault="00186A1B" w:rsidP="00186A1B">
                      <w:pPr>
                        <w:ind w:left="708" w:firstLine="708"/>
                        <w:rPr>
                          <w:rFonts w:ascii="Arial" w:eastAsia="Source Sans Pro" w:hAnsi="Arial" w:cs="Arial"/>
                          <w:b/>
                          <w:bCs/>
                          <w:i/>
                          <w:iCs/>
                          <w:sz w:val="20"/>
                          <w:szCs w:val="20"/>
                        </w:rPr>
                      </w:pPr>
                      <w:r w:rsidRPr="000A6769">
                        <w:rPr>
                          <w:rFonts w:ascii="Arial" w:eastAsia="Source Sans Pro" w:hAnsi="Arial" w:cs="Arial"/>
                          <w:b/>
                          <w:bCs/>
                          <w:i/>
                          <w:iCs/>
                          <w:sz w:val="20"/>
                          <w:szCs w:val="20"/>
                        </w:rPr>
                        <w:t>​</w:t>
                      </w:r>
                    </w:p>
                    <w:p w14:paraId="6A1917A1" w14:textId="77777777" w:rsidR="00186A1B" w:rsidRDefault="00186A1B" w:rsidP="00186A1B">
                      <w:pPr>
                        <w:ind w:left="708" w:firstLine="708"/>
                      </w:pPr>
                      <w:r w:rsidRPr="000A6769">
                        <w:rPr>
                          <w:rFonts w:ascii="Source Sans Pro" w:eastAsia="Source Sans Pro" w:hAnsi="Source Sans Pro" w:cs="Source Sans Pro"/>
                          <w:b/>
                          <w:bCs/>
                          <w:sz w:val="20"/>
                          <w:szCs w:val="20"/>
                        </w:rPr>
                        <w:t xml:space="preserve">Renaud Célié </w:t>
                      </w:r>
                      <w:r w:rsidRPr="000A6769">
                        <w:rPr>
                          <w:rFonts w:ascii="Source Sans Pro" w:eastAsia="Source Sans Pro" w:hAnsi="Source Sans Pro" w:cs="Source Sans Pro"/>
                          <w:sz w:val="20"/>
                          <w:szCs w:val="20"/>
                        </w:rPr>
                        <w:t xml:space="preserve">- Directeur de Développement </w:t>
                      </w:r>
                    </w:p>
                  </w:txbxContent>
                </v:textbox>
              </v:shape>
            </w:pict>
          </mc:Fallback>
        </mc:AlternateContent>
      </w:r>
      <w:r w:rsidR="00186A1B" w:rsidRPr="00A74D23">
        <w:rPr>
          <w:noProof/>
          <w:color w:val="auto"/>
        </w:rPr>
        <mc:AlternateContent>
          <mc:Choice Requires="wps">
            <w:drawing>
              <wp:inline distT="0" distB="0" distL="0" distR="0" wp14:anchorId="4BE104B3" wp14:editId="0CC37E06">
                <wp:extent cx="5476114" cy="1800665"/>
                <wp:effectExtent l="0" t="0" r="10795" b="28575"/>
                <wp:docPr id="201296035" name="Rectangle : coins arrondis 201296035"/>
                <wp:cNvGraphicFramePr/>
                <a:graphic xmlns:a="http://schemas.openxmlformats.org/drawingml/2006/main">
                  <a:graphicData uri="http://schemas.microsoft.com/office/word/2010/wordprocessingShape">
                    <wps:wsp>
                      <wps:cNvSpPr/>
                      <wps:spPr>
                        <a:xfrm>
                          <a:off x="0" y="0"/>
                          <a:ext cx="5476114" cy="1800665"/>
                        </a:xfrm>
                        <a:prstGeom prst="roundRect">
                          <a:avLst>
                            <a:gd name="adj" fmla="val 889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9C83E7" w14:textId="77777777" w:rsidR="00186A1B" w:rsidRPr="006209BA" w:rsidRDefault="00186A1B" w:rsidP="00186A1B">
                            <w:pPr>
                              <w:pStyle w:val="Citation0"/>
                              <w:rPr>
                                <w:color w:val="auto"/>
                              </w:rPr>
                            </w:pPr>
                          </w:p>
                        </w:txbxContent>
                      </wps:txbx>
                      <wps:bodyPr rot="0" spcFirstLastPara="0" vertOverflow="overflow" horzOverflow="overflow" vert="horz" wrap="square" lIns="180000" tIns="108000" rIns="180000" bIns="108000" numCol="1" spcCol="0" rtlCol="0" fromWordArt="0" anchor="ctr" anchorCtr="0" forceAA="0" compatLnSpc="1">
                        <a:prstTxWarp prst="textNoShape">
                          <a:avLst/>
                        </a:prstTxWarp>
                        <a:noAutofit/>
                      </wps:bodyPr>
                    </wps:wsp>
                  </a:graphicData>
                </a:graphic>
              </wp:inline>
            </w:drawing>
          </mc:Choice>
          <mc:Fallback>
            <w:pict>
              <v:roundrect w14:anchorId="4BE104B3" id="Rectangle : coins arrondis 201296035" o:spid="_x0000_s1034" style="width:431.2pt;height:141.8pt;visibility:visible;mso-wrap-style:square;mso-left-percent:-10001;mso-top-percent:-10001;mso-position-horizontal:absolute;mso-position-horizontal-relative:char;mso-position-vertical:absolute;mso-position-vertical-relative:line;mso-left-percent:-10001;mso-top-percent:-10001;v-text-anchor:middle" arcsize="58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" fillcolor="white [3212]" strokecolor="black [3213]" strokeweight="1pt">
                <v:stroke joinstyle="miter"/>
                <v:textbox inset="5mm,3mm,5mm,3mm">
                  <w:txbxContent>
                    <w:p w14:paraId="0A9C83E7" w14:textId="77777777" w:rsidR="00186A1B" w:rsidRPr="006209BA" w:rsidRDefault="00186A1B" w:rsidP="00186A1B">
                      <w:pPr>
                        <w:pStyle w:val="Citation0"/>
                        <w:rPr>
                          <w:color w:val="auto"/>
                        </w:rPr>
                      </w:pPr>
                    </w:p>
                  </w:txbxContent>
                </v:textbox>
                <w10:anchorlock/>
              </v:roundrect>
            </w:pict>
          </mc:Fallback>
        </mc:AlternateContent>
      </w:r>
    </w:p>
    <w:p w14:paraId="75754B26" w14:textId="77777777" w:rsidR="002B6D56" w:rsidRPr="00A74D23" w:rsidRDefault="002B6D56" w:rsidP="00186A1B">
      <w:pPr>
        <w:jc w:val="both"/>
        <w:rPr>
          <w:rFonts w:asciiTheme="minorHAnsi" w:hAnsiTheme="minorHAnsi"/>
          <w:b/>
          <w:bCs/>
          <w:sz w:val="20"/>
          <w:lang w:val="fr-FR"/>
        </w:rPr>
      </w:pPr>
    </w:p>
    <w:p w14:paraId="7748EEEB" w14:textId="48155546" w:rsidR="00186A1B" w:rsidRPr="00A74D23" w:rsidRDefault="00186A1B" w:rsidP="00186A1B">
      <w:pPr>
        <w:jc w:val="both"/>
        <w:rPr>
          <w:rFonts w:asciiTheme="minorHAnsi" w:hAnsiTheme="minorHAnsi"/>
          <w:b/>
          <w:bCs/>
          <w:sz w:val="20"/>
          <w:lang w:val="fr-FR"/>
        </w:rPr>
      </w:pPr>
      <w:r w:rsidRPr="00A74D23">
        <w:rPr>
          <w:rFonts w:asciiTheme="minorHAnsi" w:hAnsiTheme="minorHAnsi"/>
          <w:b/>
          <w:bCs/>
          <w:sz w:val="20"/>
          <w:lang w:val="fr-FR"/>
        </w:rPr>
        <w:t>Partenariat Afer</w:t>
      </w:r>
    </w:p>
    <w:p w14:paraId="4B50F373" w14:textId="1B9BADC0" w:rsidR="002B6D56" w:rsidRPr="00A74D23" w:rsidRDefault="002B6D56" w:rsidP="002B6D56">
      <w:pPr>
        <w:spacing w:after="120"/>
        <w:jc w:val="both"/>
        <w:rPr>
          <w:rFonts w:asciiTheme="minorHAnsi" w:hAnsiTheme="minorHAnsi"/>
          <w:sz w:val="20"/>
          <w:szCs w:val="20"/>
          <w:lang w:val="fr-FR"/>
        </w:rPr>
      </w:pPr>
      <w:r w:rsidRPr="00A74D23">
        <w:rPr>
          <w:rFonts w:asciiTheme="minorHAnsi" w:hAnsiTheme="minorHAnsi"/>
          <w:sz w:val="20"/>
          <w:szCs w:val="20"/>
          <w:lang w:val="fr-FR"/>
        </w:rPr>
        <w:t xml:space="preserve">Abeille Assurances </w:t>
      </w:r>
      <w:r w:rsidR="00BD18DA" w:rsidRPr="00A74D23">
        <w:rPr>
          <w:rFonts w:asciiTheme="minorHAnsi" w:hAnsiTheme="minorHAnsi"/>
          <w:sz w:val="20"/>
          <w:szCs w:val="20"/>
          <w:lang w:val="fr-FR"/>
        </w:rPr>
        <w:t>est partenaire</w:t>
      </w:r>
      <w:r w:rsidRPr="00A74D23">
        <w:rPr>
          <w:rFonts w:asciiTheme="minorHAnsi" w:hAnsiTheme="minorHAnsi"/>
          <w:sz w:val="20"/>
          <w:szCs w:val="20"/>
          <w:lang w:val="fr-FR"/>
        </w:rPr>
        <w:t xml:space="preserve"> de l’AFER (Association Française d’Epargne et de Retraite) depuis 1977, première association d’épargnants libre et indépendantes de France. Son objectif est de permettre à ses adhérents de se constituer une épargne dans le meilleur cadre fiscal, juridique et financier possible.</w:t>
      </w:r>
    </w:p>
    <w:p w14:paraId="16A9C8F3" w14:textId="7B98660E" w:rsidR="00186A1B" w:rsidRPr="00A74D23" w:rsidRDefault="002B6D56" w:rsidP="002B6D56">
      <w:pPr>
        <w:spacing w:after="120"/>
        <w:jc w:val="both"/>
        <w:rPr>
          <w:rFonts w:asciiTheme="minorHAnsi" w:hAnsiTheme="minorHAnsi"/>
          <w:sz w:val="20"/>
          <w:szCs w:val="20"/>
          <w:lang w:val="fr-FR"/>
        </w:rPr>
      </w:pPr>
      <w:r w:rsidRPr="00A74D23">
        <w:rPr>
          <w:rFonts w:asciiTheme="minorHAnsi" w:hAnsiTheme="minorHAnsi"/>
          <w:sz w:val="20"/>
          <w:szCs w:val="20"/>
          <w:lang w:val="fr-FR"/>
        </w:rPr>
        <w:t>En 2025, la 40ème édition des Oscars de l’assurance vie, de la retraite et de la prévoyance a récompensé les contrats Afer par deux oscars (un pour le contrat collectif d’assurance vie Multisupport Afer, le second pour la meilleure performance régulière). Abeille Assurances a également été récompensée par un oscar pour le nouveau contrat d’assurance vie Afer Génération.</w:t>
      </w:r>
    </w:p>
    <w:p w14:paraId="61FF80BC" w14:textId="77777777" w:rsidR="00FC6CFF" w:rsidRPr="00A74D23" w:rsidRDefault="00FC6CFF" w:rsidP="00186A1B">
      <w:pPr>
        <w:spacing w:after="120"/>
        <w:jc w:val="both"/>
        <w:rPr>
          <w:rFonts w:asciiTheme="minorHAnsi" w:hAnsiTheme="minorHAnsi"/>
          <w:sz w:val="20"/>
          <w:lang w:val="fr-FR"/>
        </w:rPr>
      </w:pPr>
    </w:p>
    <w:p w14:paraId="67F46996" w14:textId="77777777" w:rsidR="00186A1B" w:rsidRPr="00A74D23" w:rsidRDefault="00186A1B" w:rsidP="19C58AAB">
      <w:pPr>
        <w:spacing w:after="120"/>
        <w:jc w:val="both"/>
        <w:rPr>
          <w:rFonts w:asciiTheme="minorHAnsi" w:hAnsiTheme="minorHAnsi"/>
          <w:sz w:val="20"/>
          <w:szCs w:val="20"/>
          <w:lang w:val="fr-FR"/>
        </w:rPr>
      </w:pPr>
    </w:p>
    <w:p w14:paraId="35DDD152" w14:textId="77777777" w:rsidR="00186A1B" w:rsidRPr="00A74D23" w:rsidRDefault="00186A1B" w:rsidP="00186A1B">
      <w:pPr>
        <w:spacing w:after="240"/>
        <w:jc w:val="both"/>
        <w:rPr>
          <w:rFonts w:asciiTheme="minorHAnsi" w:hAnsiTheme="minorHAnsi"/>
          <w:sz w:val="20"/>
          <w:lang w:val="fr-FR"/>
        </w:rPr>
      </w:pPr>
      <w:r w:rsidRPr="00A74D23">
        <w:rPr>
          <w:rFonts w:asciiTheme="minorHAnsi" w:hAnsiTheme="minorHAnsi"/>
          <w:noProof/>
        </w:rPr>
        <mc:AlternateContent>
          <mc:Choice Requires="wps">
            <w:drawing>
              <wp:anchor distT="0" distB="0" distL="114300" distR="114300" simplePos="0" relativeHeight="251844608" behindDoc="0" locked="0" layoutInCell="1" allowOverlap="1" wp14:anchorId="0DF03D1B" wp14:editId="5464E9DB">
                <wp:simplePos x="0" y="0"/>
                <wp:positionH relativeFrom="column">
                  <wp:posOffset>1499235</wp:posOffset>
                </wp:positionH>
                <wp:positionV relativeFrom="paragraph">
                  <wp:posOffset>44450</wp:posOffset>
                </wp:positionV>
                <wp:extent cx="2640330" cy="260350"/>
                <wp:effectExtent l="0" t="0" r="7620" b="0"/>
                <wp:wrapNone/>
                <wp:docPr id="1741896238" name="Rectangle : coins arrondis 1741896238"/>
                <wp:cNvGraphicFramePr/>
                <a:graphic xmlns:a="http://schemas.openxmlformats.org/drawingml/2006/main">
                  <a:graphicData uri="http://schemas.microsoft.com/office/word/2010/wordprocessingShape">
                    <wps:wsp>
                      <wps:cNvSpPr/>
                      <wps:spPr>
                        <a:xfrm>
                          <a:off x="0" y="0"/>
                          <a:ext cx="2640330" cy="260350"/>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A99CCF" w14:textId="73C2426B" w:rsidR="00186A1B" w:rsidRPr="00186A1B" w:rsidRDefault="00186A1B" w:rsidP="00186A1B">
                            <w:pPr>
                              <w:jc w:val="center"/>
                              <w:rPr>
                                <w:rFonts w:asciiTheme="minorHAnsi" w:hAnsiTheme="minorHAnsi"/>
                                <w:b/>
                                <w:bCs/>
                                <w:color w:val="000000" w:themeColor="text1"/>
                              </w:rPr>
                            </w:pPr>
                            <w:r w:rsidRPr="00186A1B">
                              <w:rPr>
                                <w:rFonts w:asciiTheme="minorHAnsi" w:hAnsiTheme="minorHAnsi"/>
                                <w:b/>
                                <w:bCs/>
                                <w:color w:val="000000" w:themeColor="text1"/>
                              </w:rPr>
                              <w:t xml:space="preserve">Abeille Assurances en </w:t>
                            </w:r>
                            <w:r w:rsidR="00FF011F">
                              <w:rPr>
                                <w:rFonts w:asciiTheme="minorHAnsi" w:hAnsiTheme="minorHAnsi"/>
                                <w:b/>
                                <w:bCs/>
                                <w:color w:val="000000" w:themeColor="text1"/>
                              </w:rPr>
                              <w:t>2025</w:t>
                            </w:r>
                            <w:r w:rsidRPr="00186A1B">
                              <w:rPr>
                                <w:rFonts w:asciiTheme="minorHAnsi" w:hAnsiTheme="minorHAnsi"/>
                                <w:b/>
                                <w:bCs/>
                                <w:color w:val="000000" w:themeColor="text1"/>
                              </w:rPr>
                              <w:t xml:space="preserve">   </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roundrect w14:anchorId="0DF03D1B" id="Rectangle : coins arrondis 1741896238" o:spid="_x0000_s1035" style="position:absolute;left:0;text-align:left;margin-left:118.05pt;margin-top:3.5pt;width:207.9pt;height:20.5pt;z-index:25184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" fillcolor="#ffc000" stroked="f" strokeweight="1pt">
                <v:stroke joinstyle="miter"/>
                <v:textbox style="mso-fit-shape-to-text:t" inset="2.5mm,1mm,2.5mm,1mm">
                  <w:txbxContent>
                    <w:p w14:paraId="22A99CCF" w14:textId="73C2426B" w:rsidR="00186A1B" w:rsidRPr="00186A1B" w:rsidRDefault="00186A1B" w:rsidP="00186A1B">
                      <w:pPr>
                        <w:jc w:val="center"/>
                        <w:rPr>
                          <w:rFonts w:asciiTheme="minorHAnsi" w:hAnsiTheme="minorHAnsi"/>
                          <w:b/>
                          <w:bCs/>
                          <w:color w:val="000000" w:themeColor="text1"/>
                        </w:rPr>
                      </w:pPr>
                      <w:r w:rsidRPr="00186A1B">
                        <w:rPr>
                          <w:rFonts w:asciiTheme="minorHAnsi" w:hAnsiTheme="minorHAnsi"/>
                          <w:b/>
                          <w:bCs/>
                          <w:color w:val="000000" w:themeColor="text1"/>
                        </w:rPr>
                        <w:t xml:space="preserve">Abeille Assurances en </w:t>
                      </w:r>
                      <w:r w:rsidR="00FF011F">
                        <w:rPr>
                          <w:rFonts w:asciiTheme="minorHAnsi" w:hAnsiTheme="minorHAnsi"/>
                          <w:b/>
                          <w:bCs/>
                          <w:color w:val="000000" w:themeColor="text1"/>
                        </w:rPr>
                        <w:t>2025</w:t>
                      </w:r>
                      <w:r w:rsidRPr="00186A1B">
                        <w:rPr>
                          <w:rFonts w:asciiTheme="minorHAnsi" w:hAnsiTheme="minorHAnsi"/>
                          <w:b/>
                          <w:bCs/>
                          <w:color w:val="000000" w:themeColor="text1"/>
                        </w:rPr>
                        <w:t xml:space="preserve">   </w:t>
                      </w:r>
                    </w:p>
                  </w:txbxContent>
                </v:textbox>
              </v:roundrect>
            </w:pict>
          </mc:Fallback>
        </mc:AlternateContent>
      </w:r>
      <w:r w:rsidRPr="00A74D23">
        <w:rPr>
          <w:rFonts w:asciiTheme="minorHAnsi" w:hAnsiTheme="minorHAnsi"/>
          <w:noProof/>
        </w:rPr>
        <mc:AlternateContent>
          <mc:Choice Requires="wps">
            <w:drawing>
              <wp:anchor distT="0" distB="0" distL="114300" distR="114300" simplePos="0" relativeHeight="251842560" behindDoc="1" locked="0" layoutInCell="1" allowOverlap="1" wp14:anchorId="3E6C677A" wp14:editId="5FCA82E4">
                <wp:simplePos x="0" y="0"/>
                <wp:positionH relativeFrom="margin">
                  <wp:posOffset>-10795</wp:posOffset>
                </wp:positionH>
                <wp:positionV relativeFrom="paragraph">
                  <wp:posOffset>220345</wp:posOffset>
                </wp:positionV>
                <wp:extent cx="5934075" cy="3152775"/>
                <wp:effectExtent l="0" t="0" r="9525" b="9525"/>
                <wp:wrapNone/>
                <wp:docPr id="43" name="Rectangle : coins arrondis 43"/>
                <wp:cNvGraphicFramePr/>
                <a:graphic xmlns:a="http://schemas.openxmlformats.org/drawingml/2006/main">
                  <a:graphicData uri="http://schemas.microsoft.com/office/word/2010/wordprocessingShape">
                    <wps:wsp>
                      <wps:cNvSpPr/>
                      <wps:spPr>
                        <a:xfrm>
                          <a:off x="0" y="0"/>
                          <a:ext cx="5934075" cy="3152775"/>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281F0C" w14:textId="77777777" w:rsidR="00186A1B" w:rsidRPr="00872521" w:rsidRDefault="00186A1B" w:rsidP="00186A1B">
                            <w:pPr>
                              <w:jc w:val="both"/>
                              <w:rPr>
                                <w:rFonts w:ascii="Source Sans Pro" w:hAnsi="Source Sans Pro"/>
                                <w:b/>
                                <w:bCs/>
                                <w:color w:val="000000" w:themeColor="text1"/>
                                <w:sz w:val="20"/>
                              </w:rPr>
                            </w:pPr>
                            <w:r w:rsidRPr="00872521">
                              <w:rPr>
                                <w:rFonts w:ascii="Source Sans Pro" w:hAnsi="Source Sans Pro"/>
                                <w:b/>
                                <w:bCs/>
                                <w:color w:val="000000" w:themeColor="text1"/>
                                <w:sz w:val="20"/>
                              </w:rPr>
                              <w:t>Abeille Assurances, l’assureur :</w:t>
                            </w:r>
                          </w:p>
                          <w:p w14:paraId="513BF230" w14:textId="77777777" w:rsidR="00186A1B" w:rsidRPr="00872521" w:rsidRDefault="00186A1B" w:rsidP="00590DD1">
                            <w:pPr>
                              <w:pStyle w:val="Texteencadr"/>
                              <w:numPr>
                                <w:ilvl w:val="1"/>
                                <w:numId w:val="46"/>
                              </w:numPr>
                              <w:spacing w:after="0" w:line="240" w:lineRule="auto"/>
                              <w:ind w:left="709" w:hanging="283"/>
                              <w:jc w:val="both"/>
                              <w:rPr>
                                <w:rFonts w:ascii="Source Sans Pro" w:hAnsi="Source Sans Pro"/>
                                <w:color w:val="000000" w:themeColor="text1"/>
                                <w:sz w:val="20"/>
                                <w:szCs w:val="20"/>
                              </w:rPr>
                            </w:pPr>
                            <w:r w:rsidRPr="00872521">
                              <w:rPr>
                                <w:rFonts w:ascii="Source Sans Pro" w:hAnsi="Source Sans Pro"/>
                                <w:color w:val="000000" w:themeColor="text1"/>
                                <w:sz w:val="20"/>
                                <w:szCs w:val="20"/>
                              </w:rPr>
                              <w:t>Plus de 3,1 M clients particuliers et professionnels protégés par nos produits et services (+11,5k vs 2024)</w:t>
                            </w:r>
                          </w:p>
                          <w:p w14:paraId="03C70BAF" w14:textId="05995A74" w:rsidR="00186A1B" w:rsidRPr="00872521" w:rsidRDefault="00186A1B" w:rsidP="00590DD1">
                            <w:pPr>
                              <w:pStyle w:val="Texteencadr"/>
                              <w:numPr>
                                <w:ilvl w:val="1"/>
                                <w:numId w:val="46"/>
                              </w:numPr>
                              <w:spacing w:after="0" w:line="240" w:lineRule="auto"/>
                              <w:ind w:left="709" w:hanging="283"/>
                              <w:jc w:val="both"/>
                              <w:rPr>
                                <w:rFonts w:ascii="Source Sans Pro" w:hAnsi="Source Sans Pro"/>
                                <w:color w:val="000000" w:themeColor="text1"/>
                                <w:sz w:val="20"/>
                                <w:szCs w:val="20"/>
                              </w:rPr>
                            </w:pPr>
                            <w:r w:rsidRPr="00872521">
                              <w:rPr>
                                <w:rFonts w:ascii="Source Sans Pro" w:hAnsi="Source Sans Pro"/>
                                <w:color w:val="000000" w:themeColor="text1"/>
                                <w:sz w:val="20"/>
                                <w:szCs w:val="20"/>
                              </w:rPr>
                              <w:t xml:space="preserve"> 1,</w:t>
                            </w:r>
                            <w:r w:rsidR="002B6D56">
                              <w:rPr>
                                <w:rFonts w:ascii="Source Sans Pro" w:hAnsi="Source Sans Pro"/>
                                <w:color w:val="000000" w:themeColor="text1"/>
                                <w:sz w:val="20"/>
                                <w:szCs w:val="20"/>
                              </w:rPr>
                              <w:t>6</w:t>
                            </w:r>
                            <w:r w:rsidRPr="00872521">
                              <w:rPr>
                                <w:rFonts w:ascii="Source Sans Pro" w:hAnsi="Source Sans Pro"/>
                                <w:color w:val="000000" w:themeColor="text1"/>
                                <w:sz w:val="20"/>
                                <w:szCs w:val="20"/>
                              </w:rPr>
                              <w:t xml:space="preserve"> MDS€ (hors santé) réglés à nos clients dont 1</w:t>
                            </w:r>
                            <w:r w:rsidR="002B6D56">
                              <w:rPr>
                                <w:rFonts w:ascii="Source Sans Pro" w:hAnsi="Source Sans Pro"/>
                                <w:color w:val="000000" w:themeColor="text1"/>
                                <w:sz w:val="20"/>
                                <w:szCs w:val="20"/>
                              </w:rPr>
                              <w:t>95</w:t>
                            </w:r>
                            <w:r w:rsidRPr="00872521">
                              <w:rPr>
                                <w:rFonts w:ascii="Source Sans Pro" w:hAnsi="Source Sans Pro"/>
                                <w:color w:val="000000" w:themeColor="text1"/>
                                <w:sz w:val="20"/>
                                <w:szCs w:val="20"/>
                              </w:rPr>
                              <w:t xml:space="preserve">M€ réglés à nos clients ayant subi un sinistre climatique (vs 136 M€ en 2024) </w:t>
                            </w:r>
                          </w:p>
                          <w:p w14:paraId="0617EFCD" w14:textId="77777777" w:rsidR="00186A1B" w:rsidRPr="00872521" w:rsidRDefault="00186A1B" w:rsidP="00590DD1">
                            <w:pPr>
                              <w:pStyle w:val="Texteencadr"/>
                              <w:numPr>
                                <w:ilvl w:val="1"/>
                                <w:numId w:val="46"/>
                              </w:numPr>
                              <w:spacing w:after="0" w:line="240" w:lineRule="auto"/>
                              <w:ind w:left="709" w:hanging="283"/>
                              <w:jc w:val="both"/>
                              <w:rPr>
                                <w:rFonts w:ascii="Source Sans Pro" w:hAnsi="Source Sans Pro"/>
                                <w:color w:val="000000" w:themeColor="text1"/>
                                <w:sz w:val="20"/>
                              </w:rPr>
                            </w:pPr>
                            <w:r w:rsidRPr="00872521">
                              <w:rPr>
                                <w:rFonts w:ascii="Source Sans Pro" w:hAnsi="Source Sans Pro"/>
                                <w:color w:val="000000" w:themeColor="text1"/>
                                <w:sz w:val="20"/>
                                <w:szCs w:val="20"/>
                              </w:rPr>
                              <w:t>495 agents généraux for</w:t>
                            </w:r>
                            <w:r w:rsidRPr="00872521">
                              <w:rPr>
                                <w:rFonts w:ascii="Source Sans Pro" w:hAnsi="Source Sans Pro"/>
                                <w:color w:val="000000" w:themeColor="text1"/>
                                <w:sz w:val="20"/>
                              </w:rPr>
                              <w:t xml:space="preserve">més aux risques climatiques. </w:t>
                            </w:r>
                          </w:p>
                          <w:p w14:paraId="5F5739ED" w14:textId="77777777" w:rsidR="00186A1B" w:rsidRPr="00872521" w:rsidRDefault="00186A1B" w:rsidP="00186A1B">
                            <w:pPr>
                              <w:jc w:val="both"/>
                              <w:rPr>
                                <w:rFonts w:ascii="Source Sans Pro" w:hAnsi="Source Sans Pro"/>
                                <w:b/>
                                <w:bCs/>
                                <w:color w:val="000000" w:themeColor="text1"/>
                                <w:sz w:val="20"/>
                              </w:rPr>
                            </w:pPr>
                            <w:r w:rsidRPr="00872521">
                              <w:rPr>
                                <w:rFonts w:ascii="Source Sans Pro" w:hAnsi="Source Sans Pro"/>
                                <w:b/>
                                <w:bCs/>
                                <w:color w:val="000000" w:themeColor="text1"/>
                                <w:sz w:val="20"/>
                              </w:rPr>
                              <w:t>Abeille Assurances, l’investisseur :</w:t>
                            </w:r>
                          </w:p>
                          <w:p w14:paraId="7BDAD8C2" w14:textId="77777777" w:rsidR="00933E48" w:rsidRPr="001F2220" w:rsidRDefault="00933E48" w:rsidP="00933E48">
                            <w:pPr>
                              <w:pStyle w:val="Texteencadr"/>
                              <w:numPr>
                                <w:ilvl w:val="1"/>
                                <w:numId w:val="46"/>
                              </w:numPr>
                              <w:spacing w:after="0" w:line="240" w:lineRule="auto"/>
                              <w:ind w:left="709" w:hanging="283"/>
                              <w:jc w:val="both"/>
                              <w:rPr>
                                <w:rFonts w:ascii="Source Sans Pro" w:hAnsi="Source Sans Pro"/>
                                <w:color w:val="000000" w:themeColor="text1"/>
                                <w:sz w:val="20"/>
                                <w:szCs w:val="20"/>
                              </w:rPr>
                            </w:pPr>
                            <w:r>
                              <w:rPr>
                                <w:rFonts w:ascii="Source Sans Pro" w:hAnsi="Source Sans Pro"/>
                                <w:color w:val="000000" w:themeColor="text1"/>
                                <w:sz w:val="20"/>
                                <w:szCs w:val="20"/>
                              </w:rPr>
                              <w:t>11,9</w:t>
                            </w:r>
                            <w:r w:rsidRPr="00872521">
                              <w:rPr>
                                <w:rFonts w:ascii="Source Sans Pro" w:hAnsi="Source Sans Pro"/>
                                <w:color w:val="000000" w:themeColor="text1"/>
                                <w:sz w:val="20"/>
                                <w:szCs w:val="20"/>
                              </w:rPr>
                              <w:t>% d’actifs durables à fin 2025 (hors UC)</w:t>
                            </w:r>
                            <w:r>
                              <w:rPr>
                                <w:rFonts w:ascii="Source Sans Pro" w:hAnsi="Source Sans Pro"/>
                                <w:color w:val="000000" w:themeColor="text1"/>
                                <w:sz w:val="20"/>
                                <w:szCs w:val="20"/>
                              </w:rPr>
                              <w:t xml:space="preserve"> et </w:t>
                            </w:r>
                            <w:r w:rsidRPr="001F2220">
                              <w:rPr>
                                <w:rFonts w:ascii="Source Sans Pro" w:hAnsi="Source Sans Pro"/>
                                <w:color w:val="000000" w:themeColor="text1"/>
                                <w:sz w:val="20"/>
                                <w:szCs w:val="20"/>
                              </w:rPr>
                              <w:t>787 M€ d’investissements durables sur l’année 2025</w:t>
                            </w:r>
                            <w:r>
                              <w:rPr>
                                <w:rFonts w:ascii="Source Sans Pro" w:hAnsi="Source Sans Pro"/>
                                <w:color w:val="000000" w:themeColor="text1"/>
                                <w:sz w:val="20"/>
                                <w:szCs w:val="20"/>
                              </w:rPr>
                              <w:t>, avec la nouvelle définition d’investissement durable publiée cette année (904M€ selon l’ancienne)</w:t>
                            </w:r>
                          </w:p>
                          <w:p w14:paraId="6DF7A1FF" w14:textId="51F1E035" w:rsidR="009B57EC" w:rsidRDefault="009B57EC" w:rsidP="00590DD1">
                            <w:pPr>
                              <w:pStyle w:val="Texteencadr"/>
                              <w:numPr>
                                <w:ilvl w:val="1"/>
                                <w:numId w:val="46"/>
                              </w:numPr>
                              <w:spacing w:after="0" w:line="240" w:lineRule="auto"/>
                              <w:ind w:left="709" w:hanging="283"/>
                              <w:jc w:val="both"/>
                              <w:rPr>
                                <w:rFonts w:ascii="Source Sans Pro" w:hAnsi="Source Sans Pro"/>
                                <w:color w:val="000000" w:themeColor="text1"/>
                                <w:sz w:val="20"/>
                                <w:szCs w:val="20"/>
                              </w:rPr>
                            </w:pPr>
                            <w:r>
                              <w:rPr>
                                <w:rFonts w:ascii="Source Sans Pro" w:hAnsi="Source Sans Pro"/>
                                <w:color w:val="000000" w:themeColor="text1"/>
                                <w:sz w:val="20"/>
                                <w:szCs w:val="20"/>
                              </w:rPr>
                              <w:t>-</w:t>
                            </w:r>
                            <w:r w:rsidR="00186A1B" w:rsidRPr="00872521">
                              <w:rPr>
                                <w:rFonts w:ascii="Source Sans Pro" w:hAnsi="Source Sans Pro"/>
                                <w:color w:val="000000" w:themeColor="text1"/>
                                <w:sz w:val="20"/>
                                <w:szCs w:val="20"/>
                              </w:rPr>
                              <w:t xml:space="preserve">56 % </w:t>
                            </w:r>
                            <w:r>
                              <w:rPr>
                                <w:rFonts w:ascii="Source Sans Pro" w:hAnsi="Source Sans Pro"/>
                                <w:color w:val="000000" w:themeColor="text1"/>
                                <w:sz w:val="20"/>
                                <w:szCs w:val="20"/>
                              </w:rPr>
                              <w:t>d’i</w:t>
                            </w:r>
                            <w:r w:rsidR="00186A1B" w:rsidRPr="00872521">
                              <w:rPr>
                                <w:rFonts w:ascii="Source Sans Pro" w:hAnsi="Source Sans Pro"/>
                                <w:color w:val="000000" w:themeColor="text1"/>
                                <w:sz w:val="20"/>
                                <w:szCs w:val="20"/>
                              </w:rPr>
                              <w:t>ntensité carbone des obligations d’entreprise depuis 2019</w:t>
                            </w:r>
                            <w:r>
                              <w:rPr>
                                <w:rFonts w:ascii="Source Sans Pro" w:hAnsi="Source Sans Pro"/>
                                <w:color w:val="000000" w:themeColor="text1"/>
                                <w:sz w:val="20"/>
                                <w:szCs w:val="20"/>
                              </w:rPr>
                              <w:t xml:space="preserve"> à 2024</w:t>
                            </w:r>
                            <w:r w:rsidR="00186A1B" w:rsidRPr="00872521">
                              <w:rPr>
                                <w:rFonts w:ascii="Source Sans Pro" w:hAnsi="Source Sans Pro"/>
                                <w:color w:val="000000" w:themeColor="text1"/>
                                <w:sz w:val="20"/>
                                <w:szCs w:val="20"/>
                              </w:rPr>
                              <w:t xml:space="preserve"> (Scope 1 et 2)</w:t>
                            </w:r>
                          </w:p>
                          <w:p w14:paraId="455F50C3" w14:textId="09D5E67B" w:rsidR="00186A1B" w:rsidRPr="00872521" w:rsidRDefault="00186A1B" w:rsidP="009B57EC">
                            <w:pPr>
                              <w:pStyle w:val="Texteencadr"/>
                              <w:numPr>
                                <w:ilvl w:val="0"/>
                                <w:numId w:val="0"/>
                              </w:numPr>
                              <w:spacing w:after="0" w:line="240" w:lineRule="auto"/>
                              <w:ind w:left="709"/>
                              <w:jc w:val="both"/>
                              <w:rPr>
                                <w:rFonts w:ascii="Source Sans Pro" w:hAnsi="Source Sans Pro"/>
                                <w:color w:val="000000" w:themeColor="text1"/>
                                <w:sz w:val="20"/>
                                <w:szCs w:val="20"/>
                              </w:rPr>
                            </w:pPr>
                            <w:r w:rsidRPr="00872521">
                              <w:rPr>
                                <w:rFonts w:ascii="Source Sans Pro" w:hAnsi="Source Sans Pro"/>
                                <w:color w:val="000000" w:themeColor="text1"/>
                                <w:sz w:val="20"/>
                                <w:szCs w:val="20"/>
                              </w:rPr>
                              <w:t xml:space="preserve"> </w:t>
                            </w:r>
                          </w:p>
                          <w:p w14:paraId="74AA1A6F" w14:textId="77777777" w:rsidR="00186A1B" w:rsidRPr="00872521" w:rsidRDefault="00186A1B" w:rsidP="00186A1B">
                            <w:pPr>
                              <w:jc w:val="both"/>
                              <w:rPr>
                                <w:rFonts w:ascii="Source Sans Pro" w:hAnsi="Source Sans Pro"/>
                                <w:b/>
                                <w:bCs/>
                                <w:color w:val="000000" w:themeColor="text1"/>
                                <w:sz w:val="20"/>
                              </w:rPr>
                            </w:pPr>
                            <w:r w:rsidRPr="00872521">
                              <w:rPr>
                                <w:rFonts w:ascii="Source Sans Pro" w:hAnsi="Source Sans Pro"/>
                                <w:b/>
                                <w:bCs/>
                                <w:color w:val="000000" w:themeColor="text1"/>
                                <w:sz w:val="20"/>
                              </w:rPr>
                              <w:t>Abeille Assurances, l’entreprise :</w:t>
                            </w:r>
                          </w:p>
                          <w:p w14:paraId="3CC50D1C" w14:textId="77777777" w:rsidR="00186A1B" w:rsidRPr="00872521" w:rsidRDefault="00186A1B" w:rsidP="00590DD1">
                            <w:pPr>
                              <w:pStyle w:val="Texteencadr"/>
                              <w:numPr>
                                <w:ilvl w:val="1"/>
                                <w:numId w:val="46"/>
                              </w:numPr>
                              <w:spacing w:after="0" w:line="240" w:lineRule="auto"/>
                              <w:ind w:left="709" w:hanging="283"/>
                              <w:jc w:val="both"/>
                              <w:rPr>
                                <w:rFonts w:ascii="Source Sans Pro" w:hAnsi="Source Sans Pro"/>
                                <w:color w:val="000000" w:themeColor="text1"/>
                                <w:sz w:val="20"/>
                              </w:rPr>
                            </w:pPr>
                            <w:r w:rsidRPr="00872521">
                              <w:rPr>
                                <w:rFonts w:ascii="Source Sans Pro" w:hAnsi="Source Sans Pro"/>
                                <w:color w:val="000000" w:themeColor="text1"/>
                                <w:sz w:val="20"/>
                              </w:rPr>
                              <w:t>Plus de 4 050 collaborateurs</w:t>
                            </w:r>
                          </w:p>
                          <w:p w14:paraId="6E94BD84" w14:textId="77777777" w:rsidR="00186A1B" w:rsidRPr="00872521" w:rsidRDefault="00186A1B" w:rsidP="00590DD1">
                            <w:pPr>
                              <w:pStyle w:val="Texteencadr"/>
                              <w:numPr>
                                <w:ilvl w:val="1"/>
                                <w:numId w:val="46"/>
                              </w:numPr>
                              <w:spacing w:after="0" w:line="240" w:lineRule="auto"/>
                              <w:ind w:left="709" w:hanging="283"/>
                              <w:jc w:val="both"/>
                              <w:rPr>
                                <w:rFonts w:ascii="Source Sans Pro" w:hAnsi="Source Sans Pro"/>
                                <w:color w:val="000000" w:themeColor="text1"/>
                                <w:sz w:val="20"/>
                              </w:rPr>
                            </w:pPr>
                            <w:r w:rsidRPr="00872521">
                              <w:rPr>
                                <w:rFonts w:ascii="Source Sans Pro" w:hAnsi="Source Sans Pro"/>
                                <w:color w:val="000000" w:themeColor="text1"/>
                                <w:sz w:val="20"/>
                              </w:rPr>
                              <w:t>Index Pénicaud* : 93/100</w:t>
                            </w:r>
                          </w:p>
                          <w:p w14:paraId="5B3762B1" w14:textId="77777777" w:rsidR="00186A1B" w:rsidRPr="00872521" w:rsidRDefault="00186A1B" w:rsidP="00590DD1">
                            <w:pPr>
                              <w:pStyle w:val="Texteencadr"/>
                              <w:numPr>
                                <w:ilvl w:val="1"/>
                                <w:numId w:val="46"/>
                              </w:numPr>
                              <w:spacing w:after="0" w:line="240" w:lineRule="auto"/>
                              <w:ind w:left="709" w:hanging="283"/>
                              <w:jc w:val="both"/>
                              <w:rPr>
                                <w:rFonts w:ascii="Source Sans Pro" w:hAnsi="Source Sans Pro"/>
                                <w:color w:val="000000" w:themeColor="text1"/>
                                <w:sz w:val="20"/>
                              </w:rPr>
                            </w:pPr>
                            <w:r w:rsidRPr="00872521">
                              <w:rPr>
                                <w:rFonts w:ascii="Source Sans Pro" w:hAnsi="Source Sans Pro"/>
                                <w:color w:val="000000" w:themeColor="text1"/>
                                <w:sz w:val="20"/>
                              </w:rPr>
                              <w:t>Taux de salariés en situation de handicap* : 9,19 % (vs 8,86% en 2024)</w:t>
                            </w:r>
                          </w:p>
                          <w:p w14:paraId="76D2164F" w14:textId="573D202B" w:rsidR="00186A1B" w:rsidRPr="00872521" w:rsidRDefault="002B6D56" w:rsidP="00590DD1">
                            <w:pPr>
                              <w:pStyle w:val="Texteencadr"/>
                              <w:numPr>
                                <w:ilvl w:val="1"/>
                                <w:numId w:val="46"/>
                              </w:numPr>
                              <w:spacing w:after="0" w:line="240" w:lineRule="auto"/>
                              <w:ind w:left="709" w:hanging="283"/>
                              <w:jc w:val="both"/>
                              <w:rPr>
                                <w:rFonts w:ascii="Source Sans Pro" w:hAnsi="Source Sans Pro"/>
                                <w:color w:val="000000" w:themeColor="text1"/>
                                <w:sz w:val="20"/>
                              </w:rPr>
                            </w:pPr>
                            <w:r>
                              <w:rPr>
                                <w:rFonts w:ascii="Source Sans Pro" w:hAnsi="Source Sans Pro"/>
                                <w:color w:val="000000" w:themeColor="text1"/>
                                <w:sz w:val="20"/>
                              </w:rPr>
                              <w:t>8</w:t>
                            </w:r>
                            <w:r w:rsidR="00186A1B" w:rsidRPr="00872521">
                              <w:rPr>
                                <w:rFonts w:ascii="Source Sans Pro" w:hAnsi="Source Sans Pro"/>
                                <w:color w:val="000000" w:themeColor="text1"/>
                                <w:sz w:val="20"/>
                              </w:rPr>
                              <w:t xml:space="preserve"> </w:t>
                            </w:r>
                            <w:r>
                              <w:rPr>
                                <w:rFonts w:ascii="Source Sans Pro" w:hAnsi="Source Sans Pro"/>
                                <w:color w:val="000000" w:themeColor="text1"/>
                                <w:sz w:val="20"/>
                              </w:rPr>
                              <w:t>ans d</w:t>
                            </w:r>
                            <w:r w:rsidR="00186A1B" w:rsidRPr="00872521">
                              <w:rPr>
                                <w:rFonts w:ascii="Source Sans Pro" w:hAnsi="Source Sans Pro"/>
                                <w:color w:val="000000" w:themeColor="text1"/>
                                <w:sz w:val="20"/>
                              </w:rPr>
                              <w:t>’engagement en faveur de la cause LGBT+ avec l’Autre Cercle</w:t>
                            </w:r>
                          </w:p>
                          <w:p w14:paraId="74AED81F" w14:textId="77777777" w:rsidR="00186A1B" w:rsidRPr="00872521" w:rsidRDefault="00186A1B" w:rsidP="00186A1B">
                            <w:pPr>
                              <w:pStyle w:val="Paragraphedeliste"/>
                              <w:spacing w:after="0" w:line="240" w:lineRule="auto"/>
                              <w:ind w:left="1440"/>
                              <w:jc w:val="both"/>
                              <w:rPr>
                                <w:rFonts w:ascii="Source Sans Pro" w:hAnsi="Source Sans Pro"/>
                                <w:color w:val="000000" w:themeColor="text1"/>
                                <w:sz w:val="16"/>
                                <w:szCs w:val="18"/>
                              </w:rPr>
                            </w:pPr>
                            <w:r w:rsidRPr="00872521">
                              <w:rPr>
                                <w:rFonts w:ascii="Source Sans Pro" w:hAnsi="Source Sans Pro"/>
                                <w:i/>
                                <w:iCs/>
                                <w:color w:val="000000" w:themeColor="text1"/>
                                <w:sz w:val="16"/>
                                <w:szCs w:val="18"/>
                              </w:rPr>
                              <w:t>*hors UFF, Albéa Patrimoine et VIP Conseils</w:t>
                            </w:r>
                          </w:p>
                          <w:p w14:paraId="72A60E2D" w14:textId="77777777" w:rsidR="00186A1B" w:rsidRPr="00186A1B" w:rsidRDefault="00186A1B" w:rsidP="00186A1B">
                            <w:pPr>
                              <w:rPr>
                                <w:lang w:val="fr-FR"/>
                              </w:rPr>
                            </w:pPr>
                          </w:p>
                        </w:txbxContent>
                      </wps:txbx>
                      <wps:bodyPr rot="0" spcFirstLastPara="0" vertOverflow="overflow" horzOverflow="overflow" vert="horz" wrap="square" lIns="180000" tIns="72000" rIns="180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6C677A" id="Rectangle : coins arrondis 43" o:spid="_x0000_s1036" style="position:absolute;left:0;text-align:left;margin-left:-.85pt;margin-top:17.35pt;width:467.25pt;height:248.25pt;z-index:-25147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" fillcolor="#d8d8d8 [2732]" stroked="f" strokeweight="1pt">
                <v:stroke joinstyle="miter"/>
                <v:textbox inset="5mm,2mm,5mm,3mm">
                  <w:txbxContent>
                    <w:p w14:paraId="4F281F0C" w14:textId="77777777" w:rsidR="00186A1B" w:rsidRPr="00872521" w:rsidRDefault="00186A1B" w:rsidP="00186A1B">
                      <w:pPr>
                        <w:jc w:val="both"/>
                        <w:rPr>
                          <w:rFonts w:ascii="Source Sans Pro" w:hAnsi="Source Sans Pro"/>
                          <w:b/>
                          <w:bCs/>
                          <w:color w:val="000000" w:themeColor="text1"/>
                          <w:sz w:val="20"/>
                        </w:rPr>
                      </w:pPr>
                      <w:r w:rsidRPr="00872521">
                        <w:rPr>
                          <w:rFonts w:ascii="Source Sans Pro" w:hAnsi="Source Sans Pro"/>
                          <w:b/>
                          <w:bCs/>
                          <w:color w:val="000000" w:themeColor="text1"/>
                          <w:sz w:val="20"/>
                        </w:rPr>
                        <w:t>Abeille Assurances, l’assureur :</w:t>
                      </w:r>
                    </w:p>
                    <w:p w14:paraId="513BF230" w14:textId="77777777" w:rsidR="00186A1B" w:rsidRPr="00872521" w:rsidRDefault="00186A1B" w:rsidP="00590DD1">
                      <w:pPr>
                        <w:pStyle w:val="Texteencadr"/>
                        <w:numPr>
                          <w:ilvl w:val="1"/>
                          <w:numId w:val="46"/>
                        </w:numPr>
                        <w:spacing w:after="0" w:line="240" w:lineRule="auto"/>
                        <w:ind w:left="709" w:hanging="283"/>
                        <w:jc w:val="both"/>
                        <w:rPr>
                          <w:rFonts w:ascii="Source Sans Pro" w:hAnsi="Source Sans Pro"/>
                          <w:color w:val="000000" w:themeColor="text1"/>
                          <w:sz w:val="20"/>
                          <w:szCs w:val="20"/>
                        </w:rPr>
                      </w:pPr>
                      <w:r w:rsidRPr="00872521">
                        <w:rPr>
                          <w:rFonts w:ascii="Source Sans Pro" w:hAnsi="Source Sans Pro"/>
                          <w:color w:val="000000" w:themeColor="text1"/>
                          <w:sz w:val="20"/>
                          <w:szCs w:val="20"/>
                        </w:rPr>
                        <w:t>Plus de 3,1 M clients particuliers et professionnels protégés par nos produits et services (+11,5k vs 2024)</w:t>
                      </w:r>
                    </w:p>
                    <w:p w14:paraId="03C70BAF" w14:textId="05995A74" w:rsidR="00186A1B" w:rsidRPr="00872521" w:rsidRDefault="00186A1B" w:rsidP="00590DD1">
                      <w:pPr>
                        <w:pStyle w:val="Texteencadr"/>
                        <w:numPr>
                          <w:ilvl w:val="1"/>
                          <w:numId w:val="46"/>
                        </w:numPr>
                        <w:spacing w:after="0" w:line="240" w:lineRule="auto"/>
                        <w:ind w:left="709" w:hanging="283"/>
                        <w:jc w:val="both"/>
                        <w:rPr>
                          <w:rFonts w:ascii="Source Sans Pro" w:hAnsi="Source Sans Pro"/>
                          <w:color w:val="000000" w:themeColor="text1"/>
                          <w:sz w:val="20"/>
                          <w:szCs w:val="20"/>
                        </w:rPr>
                      </w:pPr>
                      <w:r w:rsidRPr="00872521">
                        <w:rPr>
                          <w:rFonts w:ascii="Source Sans Pro" w:hAnsi="Source Sans Pro"/>
                          <w:color w:val="000000" w:themeColor="text1"/>
                          <w:sz w:val="20"/>
                          <w:szCs w:val="20"/>
                        </w:rPr>
                        <w:t xml:space="preserve"> 1,</w:t>
                      </w:r>
                      <w:r w:rsidR="002B6D56">
                        <w:rPr>
                          <w:rFonts w:ascii="Source Sans Pro" w:hAnsi="Source Sans Pro"/>
                          <w:color w:val="000000" w:themeColor="text1"/>
                          <w:sz w:val="20"/>
                          <w:szCs w:val="20"/>
                        </w:rPr>
                        <w:t>6</w:t>
                      </w:r>
                      <w:r w:rsidRPr="00872521">
                        <w:rPr>
                          <w:rFonts w:ascii="Source Sans Pro" w:hAnsi="Source Sans Pro"/>
                          <w:color w:val="000000" w:themeColor="text1"/>
                          <w:sz w:val="20"/>
                          <w:szCs w:val="20"/>
                        </w:rPr>
                        <w:t xml:space="preserve"> MDS€ (hors santé) réglés à nos clients dont 1</w:t>
                      </w:r>
                      <w:r w:rsidR="002B6D56">
                        <w:rPr>
                          <w:rFonts w:ascii="Source Sans Pro" w:hAnsi="Source Sans Pro"/>
                          <w:color w:val="000000" w:themeColor="text1"/>
                          <w:sz w:val="20"/>
                          <w:szCs w:val="20"/>
                        </w:rPr>
                        <w:t>95</w:t>
                      </w:r>
                      <w:r w:rsidRPr="00872521">
                        <w:rPr>
                          <w:rFonts w:ascii="Source Sans Pro" w:hAnsi="Source Sans Pro"/>
                          <w:color w:val="000000" w:themeColor="text1"/>
                          <w:sz w:val="20"/>
                          <w:szCs w:val="20"/>
                        </w:rPr>
                        <w:t xml:space="preserve">M€ réglés à nos clients ayant subi un sinistre climatique (vs 136 M€ en 2024) </w:t>
                      </w:r>
                    </w:p>
                    <w:p w14:paraId="0617EFCD" w14:textId="77777777" w:rsidR="00186A1B" w:rsidRPr="00872521" w:rsidRDefault="00186A1B" w:rsidP="00590DD1">
                      <w:pPr>
                        <w:pStyle w:val="Texteencadr"/>
                        <w:numPr>
                          <w:ilvl w:val="1"/>
                          <w:numId w:val="46"/>
                        </w:numPr>
                        <w:spacing w:after="0" w:line="240" w:lineRule="auto"/>
                        <w:ind w:left="709" w:hanging="283"/>
                        <w:jc w:val="both"/>
                        <w:rPr>
                          <w:rFonts w:ascii="Source Sans Pro" w:hAnsi="Source Sans Pro"/>
                          <w:color w:val="000000" w:themeColor="text1"/>
                          <w:sz w:val="20"/>
                        </w:rPr>
                      </w:pPr>
                      <w:r w:rsidRPr="00872521">
                        <w:rPr>
                          <w:rFonts w:ascii="Source Sans Pro" w:hAnsi="Source Sans Pro"/>
                          <w:color w:val="000000" w:themeColor="text1"/>
                          <w:sz w:val="20"/>
                          <w:szCs w:val="20"/>
                        </w:rPr>
                        <w:t>495 agents généraux for</w:t>
                      </w:r>
                      <w:r w:rsidRPr="00872521">
                        <w:rPr>
                          <w:rFonts w:ascii="Source Sans Pro" w:hAnsi="Source Sans Pro"/>
                          <w:color w:val="000000" w:themeColor="text1"/>
                          <w:sz w:val="20"/>
                        </w:rPr>
                        <w:t xml:space="preserve">més aux risques climatiques. </w:t>
                      </w:r>
                    </w:p>
                    <w:p w14:paraId="5F5739ED" w14:textId="77777777" w:rsidR="00186A1B" w:rsidRPr="00872521" w:rsidRDefault="00186A1B" w:rsidP="00186A1B">
                      <w:pPr>
                        <w:jc w:val="both"/>
                        <w:rPr>
                          <w:rFonts w:ascii="Source Sans Pro" w:hAnsi="Source Sans Pro"/>
                          <w:b/>
                          <w:bCs/>
                          <w:color w:val="000000" w:themeColor="text1"/>
                          <w:sz w:val="20"/>
                        </w:rPr>
                      </w:pPr>
                      <w:r w:rsidRPr="00872521">
                        <w:rPr>
                          <w:rFonts w:ascii="Source Sans Pro" w:hAnsi="Source Sans Pro"/>
                          <w:b/>
                          <w:bCs/>
                          <w:color w:val="000000" w:themeColor="text1"/>
                          <w:sz w:val="20"/>
                        </w:rPr>
                        <w:t>Abeille Assurances, l’investisseur :</w:t>
                      </w:r>
                    </w:p>
                    <w:p w14:paraId="7BDAD8C2" w14:textId="77777777" w:rsidR="00933E48" w:rsidRPr="001F2220" w:rsidRDefault="00933E48" w:rsidP="00933E48">
                      <w:pPr>
                        <w:pStyle w:val="Texteencadr"/>
                        <w:numPr>
                          <w:ilvl w:val="1"/>
                          <w:numId w:val="46"/>
                        </w:numPr>
                        <w:spacing w:after="0" w:line="240" w:lineRule="auto"/>
                        <w:ind w:left="709" w:hanging="283"/>
                        <w:jc w:val="both"/>
                        <w:rPr>
                          <w:rFonts w:ascii="Source Sans Pro" w:hAnsi="Source Sans Pro"/>
                          <w:color w:val="000000" w:themeColor="text1"/>
                          <w:sz w:val="20"/>
                          <w:szCs w:val="20"/>
                        </w:rPr>
                      </w:pPr>
                      <w:r>
                        <w:rPr>
                          <w:rFonts w:ascii="Source Sans Pro" w:hAnsi="Source Sans Pro"/>
                          <w:color w:val="000000" w:themeColor="text1"/>
                          <w:sz w:val="20"/>
                          <w:szCs w:val="20"/>
                        </w:rPr>
                        <w:t>11,9</w:t>
                      </w:r>
                      <w:r w:rsidRPr="00872521">
                        <w:rPr>
                          <w:rFonts w:ascii="Source Sans Pro" w:hAnsi="Source Sans Pro"/>
                          <w:color w:val="000000" w:themeColor="text1"/>
                          <w:sz w:val="20"/>
                          <w:szCs w:val="20"/>
                        </w:rPr>
                        <w:t>% d’actifs durables à fin 2025 (hors UC)</w:t>
                      </w:r>
                      <w:r>
                        <w:rPr>
                          <w:rFonts w:ascii="Source Sans Pro" w:hAnsi="Source Sans Pro"/>
                          <w:color w:val="000000" w:themeColor="text1"/>
                          <w:sz w:val="20"/>
                          <w:szCs w:val="20"/>
                        </w:rPr>
                        <w:t xml:space="preserve"> et </w:t>
                      </w:r>
                      <w:r w:rsidRPr="001F2220">
                        <w:rPr>
                          <w:rFonts w:ascii="Source Sans Pro" w:hAnsi="Source Sans Pro"/>
                          <w:color w:val="000000" w:themeColor="text1"/>
                          <w:sz w:val="20"/>
                          <w:szCs w:val="20"/>
                        </w:rPr>
                        <w:t>787 M€ d’investissements durables sur l’année 2025</w:t>
                      </w:r>
                      <w:r>
                        <w:rPr>
                          <w:rFonts w:ascii="Source Sans Pro" w:hAnsi="Source Sans Pro"/>
                          <w:color w:val="000000" w:themeColor="text1"/>
                          <w:sz w:val="20"/>
                          <w:szCs w:val="20"/>
                        </w:rPr>
                        <w:t>, avec la nouvelle définition d’investissement durable publiée cette année (904M€ selon l’ancienne)</w:t>
                      </w:r>
                    </w:p>
                    <w:p w14:paraId="6DF7A1FF" w14:textId="51F1E035" w:rsidR="009B57EC" w:rsidRDefault="009B57EC" w:rsidP="00590DD1">
                      <w:pPr>
                        <w:pStyle w:val="Texteencadr"/>
                        <w:numPr>
                          <w:ilvl w:val="1"/>
                          <w:numId w:val="46"/>
                        </w:numPr>
                        <w:spacing w:after="0" w:line="240" w:lineRule="auto"/>
                        <w:ind w:left="709" w:hanging="283"/>
                        <w:jc w:val="both"/>
                        <w:rPr>
                          <w:rFonts w:ascii="Source Sans Pro" w:hAnsi="Source Sans Pro"/>
                          <w:color w:val="000000" w:themeColor="text1"/>
                          <w:sz w:val="20"/>
                          <w:szCs w:val="20"/>
                        </w:rPr>
                      </w:pPr>
                      <w:r>
                        <w:rPr>
                          <w:rFonts w:ascii="Source Sans Pro" w:hAnsi="Source Sans Pro"/>
                          <w:color w:val="000000" w:themeColor="text1"/>
                          <w:sz w:val="20"/>
                          <w:szCs w:val="20"/>
                        </w:rPr>
                        <w:t>-</w:t>
                      </w:r>
                      <w:r w:rsidR="00186A1B" w:rsidRPr="00872521">
                        <w:rPr>
                          <w:rFonts w:ascii="Source Sans Pro" w:hAnsi="Source Sans Pro"/>
                          <w:color w:val="000000" w:themeColor="text1"/>
                          <w:sz w:val="20"/>
                          <w:szCs w:val="20"/>
                        </w:rPr>
                        <w:t xml:space="preserve">56 % </w:t>
                      </w:r>
                      <w:r>
                        <w:rPr>
                          <w:rFonts w:ascii="Source Sans Pro" w:hAnsi="Source Sans Pro"/>
                          <w:color w:val="000000" w:themeColor="text1"/>
                          <w:sz w:val="20"/>
                          <w:szCs w:val="20"/>
                        </w:rPr>
                        <w:t>d’i</w:t>
                      </w:r>
                      <w:r w:rsidR="00186A1B" w:rsidRPr="00872521">
                        <w:rPr>
                          <w:rFonts w:ascii="Source Sans Pro" w:hAnsi="Source Sans Pro"/>
                          <w:color w:val="000000" w:themeColor="text1"/>
                          <w:sz w:val="20"/>
                          <w:szCs w:val="20"/>
                        </w:rPr>
                        <w:t>ntensité carbone des obligations d’entreprise depuis 2019</w:t>
                      </w:r>
                      <w:r>
                        <w:rPr>
                          <w:rFonts w:ascii="Source Sans Pro" w:hAnsi="Source Sans Pro"/>
                          <w:color w:val="000000" w:themeColor="text1"/>
                          <w:sz w:val="20"/>
                          <w:szCs w:val="20"/>
                        </w:rPr>
                        <w:t xml:space="preserve"> à 2024</w:t>
                      </w:r>
                      <w:r w:rsidR="00186A1B" w:rsidRPr="00872521">
                        <w:rPr>
                          <w:rFonts w:ascii="Source Sans Pro" w:hAnsi="Source Sans Pro"/>
                          <w:color w:val="000000" w:themeColor="text1"/>
                          <w:sz w:val="20"/>
                          <w:szCs w:val="20"/>
                        </w:rPr>
                        <w:t xml:space="preserve"> (Scope 1 et 2)</w:t>
                      </w:r>
                    </w:p>
                    <w:p w14:paraId="455F50C3" w14:textId="09D5E67B" w:rsidR="00186A1B" w:rsidRPr="00872521" w:rsidRDefault="00186A1B" w:rsidP="009B57EC">
                      <w:pPr>
                        <w:pStyle w:val="Texteencadr"/>
                        <w:numPr>
                          <w:ilvl w:val="0"/>
                          <w:numId w:val="0"/>
                        </w:numPr>
                        <w:spacing w:after="0" w:line="240" w:lineRule="auto"/>
                        <w:ind w:left="709"/>
                        <w:jc w:val="both"/>
                        <w:rPr>
                          <w:rFonts w:ascii="Source Sans Pro" w:hAnsi="Source Sans Pro"/>
                          <w:color w:val="000000" w:themeColor="text1"/>
                          <w:sz w:val="20"/>
                          <w:szCs w:val="20"/>
                        </w:rPr>
                      </w:pPr>
                      <w:r w:rsidRPr="00872521">
                        <w:rPr>
                          <w:rFonts w:ascii="Source Sans Pro" w:hAnsi="Source Sans Pro"/>
                          <w:color w:val="000000" w:themeColor="text1"/>
                          <w:sz w:val="20"/>
                          <w:szCs w:val="20"/>
                        </w:rPr>
                        <w:t xml:space="preserve"> </w:t>
                      </w:r>
                    </w:p>
                    <w:p w14:paraId="74AA1A6F" w14:textId="77777777" w:rsidR="00186A1B" w:rsidRPr="00872521" w:rsidRDefault="00186A1B" w:rsidP="00186A1B">
                      <w:pPr>
                        <w:jc w:val="both"/>
                        <w:rPr>
                          <w:rFonts w:ascii="Source Sans Pro" w:hAnsi="Source Sans Pro"/>
                          <w:b/>
                          <w:bCs/>
                          <w:color w:val="000000" w:themeColor="text1"/>
                          <w:sz w:val="20"/>
                        </w:rPr>
                      </w:pPr>
                      <w:r w:rsidRPr="00872521">
                        <w:rPr>
                          <w:rFonts w:ascii="Source Sans Pro" w:hAnsi="Source Sans Pro"/>
                          <w:b/>
                          <w:bCs/>
                          <w:color w:val="000000" w:themeColor="text1"/>
                          <w:sz w:val="20"/>
                        </w:rPr>
                        <w:t>Abeille Assurances, l’entreprise :</w:t>
                      </w:r>
                    </w:p>
                    <w:p w14:paraId="3CC50D1C" w14:textId="77777777" w:rsidR="00186A1B" w:rsidRPr="00872521" w:rsidRDefault="00186A1B" w:rsidP="00590DD1">
                      <w:pPr>
                        <w:pStyle w:val="Texteencadr"/>
                        <w:numPr>
                          <w:ilvl w:val="1"/>
                          <w:numId w:val="46"/>
                        </w:numPr>
                        <w:spacing w:after="0" w:line="240" w:lineRule="auto"/>
                        <w:ind w:left="709" w:hanging="283"/>
                        <w:jc w:val="both"/>
                        <w:rPr>
                          <w:rFonts w:ascii="Source Sans Pro" w:hAnsi="Source Sans Pro"/>
                          <w:color w:val="000000" w:themeColor="text1"/>
                          <w:sz w:val="20"/>
                        </w:rPr>
                      </w:pPr>
                      <w:r w:rsidRPr="00872521">
                        <w:rPr>
                          <w:rFonts w:ascii="Source Sans Pro" w:hAnsi="Source Sans Pro"/>
                          <w:color w:val="000000" w:themeColor="text1"/>
                          <w:sz w:val="20"/>
                        </w:rPr>
                        <w:t>Plus de 4 050 collaborateurs</w:t>
                      </w:r>
                    </w:p>
                    <w:p w14:paraId="6E94BD84" w14:textId="77777777" w:rsidR="00186A1B" w:rsidRPr="00872521" w:rsidRDefault="00186A1B" w:rsidP="00590DD1">
                      <w:pPr>
                        <w:pStyle w:val="Texteencadr"/>
                        <w:numPr>
                          <w:ilvl w:val="1"/>
                          <w:numId w:val="46"/>
                        </w:numPr>
                        <w:spacing w:after="0" w:line="240" w:lineRule="auto"/>
                        <w:ind w:left="709" w:hanging="283"/>
                        <w:jc w:val="both"/>
                        <w:rPr>
                          <w:rFonts w:ascii="Source Sans Pro" w:hAnsi="Source Sans Pro"/>
                          <w:color w:val="000000" w:themeColor="text1"/>
                          <w:sz w:val="20"/>
                        </w:rPr>
                      </w:pPr>
                      <w:r w:rsidRPr="00872521">
                        <w:rPr>
                          <w:rFonts w:ascii="Source Sans Pro" w:hAnsi="Source Sans Pro"/>
                          <w:color w:val="000000" w:themeColor="text1"/>
                          <w:sz w:val="20"/>
                        </w:rPr>
                        <w:t>Index Pénicaud* : 93/100</w:t>
                      </w:r>
                    </w:p>
                    <w:p w14:paraId="5B3762B1" w14:textId="77777777" w:rsidR="00186A1B" w:rsidRPr="00872521" w:rsidRDefault="00186A1B" w:rsidP="00590DD1">
                      <w:pPr>
                        <w:pStyle w:val="Texteencadr"/>
                        <w:numPr>
                          <w:ilvl w:val="1"/>
                          <w:numId w:val="46"/>
                        </w:numPr>
                        <w:spacing w:after="0" w:line="240" w:lineRule="auto"/>
                        <w:ind w:left="709" w:hanging="283"/>
                        <w:jc w:val="both"/>
                        <w:rPr>
                          <w:rFonts w:ascii="Source Sans Pro" w:hAnsi="Source Sans Pro"/>
                          <w:color w:val="000000" w:themeColor="text1"/>
                          <w:sz w:val="20"/>
                        </w:rPr>
                      </w:pPr>
                      <w:r w:rsidRPr="00872521">
                        <w:rPr>
                          <w:rFonts w:ascii="Source Sans Pro" w:hAnsi="Source Sans Pro"/>
                          <w:color w:val="000000" w:themeColor="text1"/>
                          <w:sz w:val="20"/>
                        </w:rPr>
                        <w:t>Taux de salariés en situation de handicap* : 9,19 % (vs 8,86% en 2024)</w:t>
                      </w:r>
                    </w:p>
                    <w:p w14:paraId="76D2164F" w14:textId="573D202B" w:rsidR="00186A1B" w:rsidRPr="00872521" w:rsidRDefault="002B6D56" w:rsidP="00590DD1">
                      <w:pPr>
                        <w:pStyle w:val="Texteencadr"/>
                        <w:numPr>
                          <w:ilvl w:val="1"/>
                          <w:numId w:val="46"/>
                        </w:numPr>
                        <w:spacing w:after="0" w:line="240" w:lineRule="auto"/>
                        <w:ind w:left="709" w:hanging="283"/>
                        <w:jc w:val="both"/>
                        <w:rPr>
                          <w:rFonts w:ascii="Source Sans Pro" w:hAnsi="Source Sans Pro"/>
                          <w:color w:val="000000" w:themeColor="text1"/>
                          <w:sz w:val="20"/>
                        </w:rPr>
                      </w:pPr>
                      <w:r>
                        <w:rPr>
                          <w:rFonts w:ascii="Source Sans Pro" w:hAnsi="Source Sans Pro"/>
                          <w:color w:val="000000" w:themeColor="text1"/>
                          <w:sz w:val="20"/>
                        </w:rPr>
                        <w:t>8</w:t>
                      </w:r>
                      <w:r w:rsidR="00186A1B" w:rsidRPr="00872521">
                        <w:rPr>
                          <w:rFonts w:ascii="Source Sans Pro" w:hAnsi="Source Sans Pro"/>
                          <w:color w:val="000000" w:themeColor="text1"/>
                          <w:sz w:val="20"/>
                        </w:rPr>
                        <w:t xml:space="preserve"> </w:t>
                      </w:r>
                      <w:r>
                        <w:rPr>
                          <w:rFonts w:ascii="Source Sans Pro" w:hAnsi="Source Sans Pro"/>
                          <w:color w:val="000000" w:themeColor="text1"/>
                          <w:sz w:val="20"/>
                        </w:rPr>
                        <w:t>ans d</w:t>
                      </w:r>
                      <w:r w:rsidR="00186A1B" w:rsidRPr="00872521">
                        <w:rPr>
                          <w:rFonts w:ascii="Source Sans Pro" w:hAnsi="Source Sans Pro"/>
                          <w:color w:val="000000" w:themeColor="text1"/>
                          <w:sz w:val="20"/>
                        </w:rPr>
                        <w:t>’engagement en faveur de la cause LGBT+ avec l’Autre Cercle</w:t>
                      </w:r>
                    </w:p>
                    <w:p w14:paraId="74AED81F" w14:textId="77777777" w:rsidR="00186A1B" w:rsidRPr="00872521" w:rsidRDefault="00186A1B" w:rsidP="00186A1B">
                      <w:pPr>
                        <w:pStyle w:val="Paragraphedeliste"/>
                        <w:spacing w:after="0" w:line="240" w:lineRule="auto"/>
                        <w:ind w:left="1440"/>
                        <w:jc w:val="both"/>
                        <w:rPr>
                          <w:rFonts w:ascii="Source Sans Pro" w:hAnsi="Source Sans Pro"/>
                          <w:color w:val="000000" w:themeColor="text1"/>
                          <w:sz w:val="16"/>
                          <w:szCs w:val="18"/>
                        </w:rPr>
                      </w:pPr>
                      <w:r w:rsidRPr="00872521">
                        <w:rPr>
                          <w:rFonts w:ascii="Source Sans Pro" w:hAnsi="Source Sans Pro"/>
                          <w:i/>
                          <w:iCs/>
                          <w:color w:val="000000" w:themeColor="text1"/>
                          <w:sz w:val="16"/>
                          <w:szCs w:val="18"/>
                        </w:rPr>
                        <w:t>*hors UFF, Albéa Patrimoine et VIP Conseils</w:t>
                      </w:r>
                    </w:p>
                    <w:p w14:paraId="72A60E2D" w14:textId="77777777" w:rsidR="00186A1B" w:rsidRPr="00186A1B" w:rsidRDefault="00186A1B" w:rsidP="00186A1B">
                      <w:pPr>
                        <w:rPr>
                          <w:lang w:val="fr-FR"/>
                        </w:rPr>
                      </w:pPr>
                    </w:p>
                  </w:txbxContent>
                </v:textbox>
                <w10:wrap anchorx="margin"/>
              </v:roundrect>
            </w:pict>
          </mc:Fallback>
        </mc:AlternateContent>
      </w:r>
    </w:p>
    <w:p w14:paraId="19B40145" w14:textId="77777777" w:rsidR="00186A1B" w:rsidRPr="00A74D23" w:rsidRDefault="00186A1B" w:rsidP="00186A1B">
      <w:pPr>
        <w:jc w:val="both"/>
        <w:rPr>
          <w:rFonts w:asciiTheme="minorHAnsi" w:hAnsiTheme="minorHAnsi"/>
          <w:sz w:val="20"/>
          <w:lang w:val="fr-FR"/>
        </w:rPr>
      </w:pPr>
    </w:p>
    <w:p w14:paraId="29A17CAC" w14:textId="77777777" w:rsidR="00186A1B" w:rsidRPr="00A74D23" w:rsidRDefault="00186A1B" w:rsidP="00186A1B">
      <w:pPr>
        <w:jc w:val="both"/>
        <w:rPr>
          <w:rFonts w:asciiTheme="minorHAnsi" w:hAnsiTheme="minorHAnsi"/>
          <w:sz w:val="20"/>
          <w:lang w:val="fr-FR"/>
        </w:rPr>
      </w:pPr>
    </w:p>
    <w:p w14:paraId="3338ACB3" w14:textId="77777777" w:rsidR="00186A1B" w:rsidRPr="00A74D23" w:rsidRDefault="00186A1B" w:rsidP="19C58AAB">
      <w:pPr>
        <w:jc w:val="both"/>
        <w:rPr>
          <w:rFonts w:asciiTheme="minorHAnsi" w:hAnsiTheme="minorHAnsi"/>
          <w:sz w:val="20"/>
          <w:szCs w:val="20"/>
          <w:lang w:val="fr-FR"/>
        </w:rPr>
      </w:pPr>
    </w:p>
    <w:p w14:paraId="20461D2E" w14:textId="77777777" w:rsidR="00186A1B" w:rsidRPr="00A74D23" w:rsidRDefault="00186A1B" w:rsidP="00186A1B">
      <w:pPr>
        <w:jc w:val="both"/>
        <w:rPr>
          <w:rFonts w:asciiTheme="minorHAnsi" w:hAnsiTheme="minorHAnsi"/>
          <w:sz w:val="20"/>
          <w:lang w:val="fr-FR"/>
        </w:rPr>
      </w:pPr>
    </w:p>
    <w:p w14:paraId="3CDA327F" w14:textId="77777777" w:rsidR="00186A1B" w:rsidRPr="00A74D23" w:rsidRDefault="00186A1B" w:rsidP="00186A1B">
      <w:pPr>
        <w:jc w:val="both"/>
        <w:rPr>
          <w:rFonts w:asciiTheme="minorHAnsi" w:hAnsiTheme="minorHAnsi"/>
          <w:sz w:val="20"/>
          <w:lang w:val="fr-FR"/>
        </w:rPr>
      </w:pPr>
    </w:p>
    <w:p w14:paraId="19D0023D" w14:textId="77777777" w:rsidR="00186A1B" w:rsidRPr="00A74D23" w:rsidRDefault="00186A1B" w:rsidP="00186A1B">
      <w:pPr>
        <w:jc w:val="both"/>
        <w:rPr>
          <w:rFonts w:asciiTheme="minorHAnsi" w:hAnsiTheme="minorHAnsi"/>
          <w:sz w:val="20"/>
          <w:lang w:val="fr-FR"/>
        </w:rPr>
      </w:pPr>
    </w:p>
    <w:p w14:paraId="5BF2984E" w14:textId="77777777" w:rsidR="00186A1B" w:rsidRPr="00A74D23" w:rsidRDefault="00186A1B" w:rsidP="00186A1B">
      <w:pPr>
        <w:jc w:val="both"/>
        <w:rPr>
          <w:rFonts w:asciiTheme="minorHAnsi" w:hAnsiTheme="minorHAnsi"/>
          <w:sz w:val="20"/>
          <w:lang w:val="fr-FR"/>
        </w:rPr>
      </w:pPr>
    </w:p>
    <w:p w14:paraId="04C9C061" w14:textId="77777777" w:rsidR="00186A1B" w:rsidRPr="00A74D23" w:rsidRDefault="00186A1B" w:rsidP="00186A1B">
      <w:pPr>
        <w:jc w:val="both"/>
        <w:rPr>
          <w:rFonts w:asciiTheme="minorHAnsi" w:hAnsiTheme="minorHAnsi"/>
          <w:sz w:val="20"/>
          <w:lang w:val="fr-FR"/>
        </w:rPr>
      </w:pPr>
    </w:p>
    <w:p w14:paraId="4AE60D1F" w14:textId="77777777" w:rsidR="00186A1B" w:rsidRPr="00A74D23" w:rsidRDefault="00186A1B" w:rsidP="00186A1B">
      <w:pPr>
        <w:jc w:val="both"/>
        <w:rPr>
          <w:rFonts w:asciiTheme="minorHAnsi" w:hAnsiTheme="minorHAnsi"/>
          <w:sz w:val="20"/>
          <w:lang w:val="fr-FR"/>
        </w:rPr>
      </w:pPr>
    </w:p>
    <w:p w14:paraId="2B37BF95" w14:textId="4985053E" w:rsidR="00186A1B" w:rsidRPr="00A74D23" w:rsidRDefault="00186A1B" w:rsidP="009B57EC">
      <w:pPr>
        <w:tabs>
          <w:tab w:val="left" w:pos="6195"/>
        </w:tabs>
        <w:jc w:val="both"/>
        <w:rPr>
          <w:rFonts w:asciiTheme="minorHAnsi" w:hAnsiTheme="minorHAnsi"/>
          <w:sz w:val="20"/>
          <w:lang w:val="fr-FR"/>
        </w:rPr>
      </w:pPr>
    </w:p>
    <w:p w14:paraId="65D6347D" w14:textId="77777777" w:rsidR="009B57EC" w:rsidRPr="00A74D23" w:rsidRDefault="009B57EC" w:rsidP="009B57EC">
      <w:pPr>
        <w:tabs>
          <w:tab w:val="left" w:pos="6195"/>
        </w:tabs>
        <w:jc w:val="both"/>
        <w:rPr>
          <w:rFonts w:asciiTheme="minorHAnsi" w:hAnsiTheme="minorHAnsi"/>
          <w:sz w:val="20"/>
          <w:lang w:val="fr-FR"/>
        </w:rPr>
      </w:pPr>
    </w:p>
    <w:p w14:paraId="0D798452" w14:textId="77777777" w:rsidR="009B57EC" w:rsidRPr="00A74D23" w:rsidRDefault="009B57EC" w:rsidP="009B57EC">
      <w:pPr>
        <w:tabs>
          <w:tab w:val="left" w:pos="6195"/>
        </w:tabs>
        <w:jc w:val="both"/>
        <w:rPr>
          <w:rFonts w:asciiTheme="minorHAnsi" w:hAnsiTheme="minorHAnsi"/>
          <w:sz w:val="20"/>
          <w:lang w:val="fr-FR"/>
        </w:rPr>
      </w:pPr>
    </w:p>
    <w:p w14:paraId="14BD7EEA" w14:textId="77777777" w:rsidR="00186A1B" w:rsidRPr="00A74D23" w:rsidRDefault="00186A1B" w:rsidP="00186A1B">
      <w:pPr>
        <w:jc w:val="both"/>
        <w:rPr>
          <w:rFonts w:asciiTheme="minorHAnsi" w:hAnsiTheme="minorHAnsi"/>
          <w:sz w:val="20"/>
          <w:lang w:val="fr-FR"/>
        </w:rPr>
      </w:pPr>
    </w:p>
    <w:p w14:paraId="44BA8AEF" w14:textId="77777777" w:rsidR="00186A1B" w:rsidRPr="00A74D23" w:rsidRDefault="00186A1B" w:rsidP="00186A1B">
      <w:pPr>
        <w:jc w:val="both"/>
        <w:rPr>
          <w:rFonts w:asciiTheme="minorHAnsi" w:hAnsiTheme="minorHAnsi"/>
          <w:sz w:val="20"/>
          <w:lang w:val="fr-FR"/>
        </w:rPr>
      </w:pPr>
    </w:p>
    <w:p w14:paraId="4370C7F1" w14:textId="77777777" w:rsidR="00186A1B" w:rsidRPr="00A74D23" w:rsidRDefault="00186A1B" w:rsidP="00186A1B">
      <w:pPr>
        <w:jc w:val="both"/>
        <w:rPr>
          <w:rFonts w:asciiTheme="minorHAnsi" w:hAnsiTheme="minorHAnsi"/>
          <w:sz w:val="20"/>
          <w:lang w:val="fr-FR"/>
        </w:rPr>
      </w:pPr>
    </w:p>
    <w:p w14:paraId="58B34F93" w14:textId="77777777" w:rsidR="00186A1B" w:rsidRPr="00A74D23" w:rsidRDefault="00186A1B" w:rsidP="00186A1B">
      <w:pPr>
        <w:jc w:val="both"/>
        <w:rPr>
          <w:rFonts w:asciiTheme="minorHAnsi" w:hAnsiTheme="minorHAnsi"/>
          <w:sz w:val="20"/>
          <w:lang w:val="fr-FR"/>
        </w:rPr>
      </w:pPr>
    </w:p>
    <w:p w14:paraId="7200B13C" w14:textId="77777777" w:rsidR="00186A1B" w:rsidRPr="00A74D23" w:rsidRDefault="00186A1B" w:rsidP="00186A1B">
      <w:pPr>
        <w:jc w:val="both"/>
        <w:rPr>
          <w:rFonts w:asciiTheme="minorHAnsi" w:hAnsiTheme="minorHAnsi"/>
          <w:sz w:val="20"/>
          <w:lang w:val="fr-FR"/>
        </w:rPr>
      </w:pPr>
    </w:p>
    <w:p w14:paraId="1F9C4E26" w14:textId="77777777" w:rsidR="00186A1B" w:rsidRPr="00A74D23" w:rsidRDefault="00186A1B" w:rsidP="00186A1B">
      <w:pPr>
        <w:jc w:val="both"/>
        <w:rPr>
          <w:rFonts w:asciiTheme="minorHAnsi" w:hAnsiTheme="minorHAnsi"/>
          <w:sz w:val="20"/>
          <w:lang w:val="fr-FR"/>
        </w:rPr>
      </w:pPr>
    </w:p>
    <w:p w14:paraId="4A6ECB51" w14:textId="77777777" w:rsidR="00186A1B" w:rsidRPr="00A74D23" w:rsidRDefault="00186A1B" w:rsidP="00186A1B">
      <w:pPr>
        <w:jc w:val="both"/>
        <w:rPr>
          <w:rFonts w:asciiTheme="minorHAnsi" w:hAnsiTheme="minorHAnsi"/>
          <w:sz w:val="20"/>
          <w:lang w:val="fr-FR"/>
        </w:rPr>
      </w:pPr>
    </w:p>
    <w:p w14:paraId="177AAF28" w14:textId="77777777" w:rsidR="00186A1B" w:rsidRPr="00A74D23" w:rsidRDefault="00186A1B" w:rsidP="00186A1B">
      <w:pPr>
        <w:jc w:val="both"/>
        <w:rPr>
          <w:rFonts w:asciiTheme="minorHAnsi" w:hAnsiTheme="minorHAnsi"/>
          <w:b/>
          <w:bCs/>
          <w:sz w:val="20"/>
          <w:lang w:val="fr-FR"/>
        </w:rPr>
      </w:pPr>
    </w:p>
    <w:p w14:paraId="098CFCE7" w14:textId="534A5F1E" w:rsidR="5F8642A0" w:rsidRPr="00A74D23" w:rsidRDefault="5F8642A0" w:rsidP="002B6D56">
      <w:pPr>
        <w:jc w:val="both"/>
        <w:rPr>
          <w:rFonts w:asciiTheme="minorHAnsi" w:hAnsiTheme="minorHAnsi"/>
          <w:lang w:val="fr-FR"/>
        </w:rPr>
      </w:pPr>
    </w:p>
    <w:p w14:paraId="4ACA2F66" w14:textId="77777777" w:rsidR="00186A1B" w:rsidRPr="00A74D23" w:rsidRDefault="00186A1B" w:rsidP="00186A1B">
      <w:pPr>
        <w:jc w:val="both"/>
        <w:rPr>
          <w:rFonts w:asciiTheme="minorHAnsi" w:hAnsiTheme="minorHAnsi"/>
          <w:b/>
          <w:bCs/>
          <w:sz w:val="20"/>
          <w:lang w:val="fr-FR"/>
        </w:rPr>
      </w:pPr>
      <w:r w:rsidRPr="00A74D23">
        <w:rPr>
          <w:rFonts w:asciiTheme="minorHAnsi" w:hAnsiTheme="minorHAnsi"/>
          <w:b/>
          <w:bCs/>
          <w:sz w:val="20"/>
          <w:lang w:val="fr-FR"/>
        </w:rPr>
        <w:t>Abeille Assurances au sein d’Aéma Groupe</w:t>
      </w:r>
    </w:p>
    <w:p w14:paraId="49893572" w14:textId="77777777" w:rsidR="00186A1B" w:rsidRPr="00A74D23" w:rsidRDefault="00186A1B" w:rsidP="00186A1B">
      <w:pPr>
        <w:jc w:val="both"/>
        <w:rPr>
          <w:rFonts w:asciiTheme="minorHAnsi" w:hAnsiTheme="minorHAnsi"/>
          <w:b/>
          <w:bCs/>
          <w:sz w:val="20"/>
          <w:lang w:val="fr-FR"/>
        </w:rPr>
      </w:pPr>
      <w:r w:rsidRPr="00A74D23">
        <w:rPr>
          <w:rFonts w:asciiTheme="minorHAnsi" w:hAnsiTheme="minorHAnsi"/>
          <w:b/>
          <w:bCs/>
          <w:noProof/>
          <w:sz w:val="20"/>
        </w:rPr>
        <mc:AlternateContent>
          <mc:Choice Requires="wps">
            <w:drawing>
              <wp:anchor distT="0" distB="0" distL="114300" distR="114300" simplePos="0" relativeHeight="251875328" behindDoc="0" locked="0" layoutInCell="1" allowOverlap="1" wp14:anchorId="770C6148" wp14:editId="4B32DD32">
                <wp:simplePos x="0" y="0"/>
                <wp:positionH relativeFrom="margin">
                  <wp:posOffset>-827</wp:posOffset>
                </wp:positionH>
                <wp:positionV relativeFrom="paragraph">
                  <wp:posOffset>20726</wp:posOffset>
                </wp:positionV>
                <wp:extent cx="2363638" cy="8627"/>
                <wp:effectExtent l="0" t="0" r="36830" b="29845"/>
                <wp:wrapNone/>
                <wp:docPr id="191816214" name="Connecteur droit 2"/>
                <wp:cNvGraphicFramePr/>
                <a:graphic xmlns:a="http://schemas.openxmlformats.org/drawingml/2006/main">
                  <a:graphicData uri="http://schemas.microsoft.com/office/word/2010/wordprocessingShape">
                    <wps:wsp>
                      <wps:cNvCnPr/>
                      <wps:spPr>
                        <a:xfrm>
                          <a:off x="0" y="0"/>
                          <a:ext cx="2363638" cy="8627"/>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BC78A1" id="Connecteur droit 2" o:spid="_x0000_s1026" style="position:absolute;z-index:25187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5pt,1.65pt" to="186.0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" strokecolor="#ffd400 [3204]" strokeweight="1.5pt">
                <v:stroke joinstyle="miter"/>
                <w10:wrap anchorx="margin"/>
              </v:line>
            </w:pict>
          </mc:Fallback>
        </mc:AlternateContent>
      </w:r>
    </w:p>
    <w:p w14:paraId="2FD424A4" w14:textId="77777777" w:rsidR="00186A1B" w:rsidRPr="00A74D23" w:rsidRDefault="00186A1B" w:rsidP="00186A1B">
      <w:pPr>
        <w:tabs>
          <w:tab w:val="center" w:pos="4607"/>
          <w:tab w:val="right" w:pos="9215"/>
        </w:tabs>
        <w:rPr>
          <w:rFonts w:asciiTheme="minorHAnsi" w:hAnsiTheme="minorHAnsi"/>
          <w:noProof/>
          <w:sz w:val="20"/>
          <w:lang w:val="fr-FR"/>
        </w:rPr>
      </w:pPr>
      <w:r w:rsidRPr="00A74D23">
        <w:rPr>
          <w:rFonts w:asciiTheme="minorHAnsi" w:hAnsiTheme="minorHAnsi"/>
          <w:sz w:val="20"/>
          <w:lang w:val="fr-FR"/>
        </w:rPr>
        <w:t>Aéma Groupe se positionne depuis maintenant 4 ans comme un acteur majeur et engagé de la protection en France.</w:t>
      </w:r>
      <w:r w:rsidRPr="00A74D23">
        <w:rPr>
          <w:rFonts w:asciiTheme="minorHAnsi" w:hAnsiTheme="minorHAnsi"/>
          <w:noProof/>
          <w:sz w:val="20"/>
          <w:lang w:val="fr-FR"/>
        </w:rPr>
        <w:t xml:space="preserve"> </w:t>
      </w:r>
    </w:p>
    <w:p w14:paraId="788E7354" w14:textId="77777777" w:rsidR="00186A1B" w:rsidRPr="00A74D23" w:rsidRDefault="00186A1B" w:rsidP="00186A1B">
      <w:pPr>
        <w:tabs>
          <w:tab w:val="center" w:pos="4607"/>
          <w:tab w:val="right" w:pos="9215"/>
        </w:tabs>
        <w:jc w:val="center"/>
        <w:rPr>
          <w:rFonts w:asciiTheme="minorHAnsi" w:hAnsiTheme="minorHAnsi"/>
          <w:sz w:val="20"/>
          <w:lang w:val="fr-FR"/>
        </w:rPr>
      </w:pPr>
    </w:p>
    <w:p w14:paraId="0BEB4FDC" w14:textId="77777777" w:rsidR="00186A1B" w:rsidRPr="00A74D23" w:rsidRDefault="00186A1B" w:rsidP="00186A1B">
      <w:pPr>
        <w:rPr>
          <w:rFonts w:asciiTheme="minorHAnsi" w:hAnsiTheme="minorHAnsi"/>
        </w:rPr>
      </w:pPr>
      <w:bookmarkStart w:id="13" w:name="_Toc199231077"/>
      <w:bookmarkStart w:id="14" w:name="_Toc199338948"/>
      <w:r w:rsidRPr="00A74D23">
        <w:rPr>
          <w:rFonts w:asciiTheme="minorHAnsi" w:hAnsiTheme="minorHAnsi"/>
          <w:noProof/>
        </w:rPr>
        <w:drawing>
          <wp:inline distT="0" distB="0" distL="0" distR="0" wp14:anchorId="745E199E" wp14:editId="5909CA9E">
            <wp:extent cx="5038661" cy="4392000"/>
            <wp:effectExtent l="0" t="0" r="0" b="8890"/>
            <wp:docPr id="1147263201" name="Image 5" descr="Une image contenant texte, capture d’écran, diagramme, nombre&#10;&#10;Le contenu généré par l’IA peut être incorrect.">
              <a:extLst xmlns:a="http://schemas.openxmlformats.org/drawingml/2006/main">
                <a:ext uri="{FF2B5EF4-FFF2-40B4-BE49-F238E27FC236}">
                  <a16:creationId xmlns:a16="http://schemas.microsoft.com/office/drawing/2014/main" id="{612B5C5A-E049-7A22-3F27-9218D4A58F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Une image contenant texte, capture d’écran, diagramme, nombre&#10;&#10;Le contenu généré par l’IA peut être incorrect.">
                      <a:extLst>
                        <a:ext uri="{FF2B5EF4-FFF2-40B4-BE49-F238E27FC236}">
                          <a16:creationId xmlns:a16="http://schemas.microsoft.com/office/drawing/2014/main" id="{612B5C5A-E049-7A22-3F27-9218D4A58FC2}"/>
                        </a:ext>
                      </a:extLst>
                    </pic:cNvPr>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5038661" cy="4392000"/>
                    </a:xfrm>
                    <a:prstGeom prst="rect">
                      <a:avLst/>
                    </a:prstGeom>
                  </pic:spPr>
                </pic:pic>
              </a:graphicData>
            </a:graphic>
          </wp:inline>
        </w:drawing>
      </w:r>
      <w:bookmarkEnd w:id="13"/>
      <w:bookmarkEnd w:id="14"/>
    </w:p>
    <w:p w14:paraId="1FEB657E" w14:textId="3F56D571" w:rsidR="005A2B2D" w:rsidRPr="00A74D23" w:rsidRDefault="005A2B2D" w:rsidP="009D6EE5">
      <w:pPr>
        <w:pStyle w:val="StyleYO"/>
        <w:spacing w:line="22" w:lineRule="atLeast"/>
        <w:jc w:val="both"/>
        <w:rPr>
          <w:kern w:val="2"/>
          <w:sz w:val="32"/>
          <w:szCs w:val="32"/>
          <w14:ligatures w14:val="standardContextual"/>
        </w:rPr>
      </w:pPr>
      <w:bookmarkStart w:id="15" w:name="Toc228202988"/>
      <w:bookmarkStart w:id="16" w:name="_Toc231336998"/>
      <w:bookmarkStart w:id="17" w:name="_Toc129091799"/>
      <w:bookmarkStart w:id="18" w:name="_Toc128735888"/>
      <w:bookmarkEnd w:id="11"/>
      <w:bookmarkEnd w:id="12"/>
      <w:bookmarkEnd w:id="15"/>
      <w:r w:rsidRPr="00A74D23">
        <w:t>Notre réponse aux enjeux de durabilité</w:t>
      </w:r>
      <w:bookmarkEnd w:id="16"/>
    </w:p>
    <w:p w14:paraId="593E3221" w14:textId="7743BA8A" w:rsidR="0099492C" w:rsidRPr="00A74D23" w:rsidRDefault="0099492C" w:rsidP="009D6EE5">
      <w:pPr>
        <w:pStyle w:val="Titre30"/>
        <w:numPr>
          <w:ilvl w:val="0"/>
          <w:numId w:val="0"/>
        </w:numPr>
        <w:spacing w:line="22" w:lineRule="atLeast"/>
        <w:jc w:val="both"/>
        <w:rPr>
          <w:rStyle w:val="33333333"/>
        </w:rPr>
      </w:pPr>
      <w:bookmarkStart w:id="19" w:name="Toc129091800"/>
      <w:bookmarkStart w:id="20" w:name="Toc128735889"/>
      <w:bookmarkStart w:id="21" w:name="_Toc129091800"/>
      <w:bookmarkStart w:id="22" w:name="_Toc128735889"/>
      <w:bookmarkEnd w:id="17"/>
      <w:bookmarkEnd w:id="18"/>
      <w:bookmarkEnd w:id="19"/>
      <w:bookmarkEnd w:id="20"/>
      <w:r w:rsidRPr="00A74D23">
        <w:rPr>
          <w:rStyle w:val="33333333"/>
        </w:rPr>
        <w:t>2.1</w:t>
      </w:r>
      <w:r w:rsidR="00E52497" w:rsidRPr="00A74D23">
        <w:rPr>
          <w:rStyle w:val="33333333"/>
        </w:rPr>
        <w:t>.</w:t>
      </w:r>
      <w:r w:rsidRPr="00A74D23">
        <w:rPr>
          <w:rStyle w:val="33333333"/>
        </w:rPr>
        <w:t xml:space="preserve"> Les objectifs du rapport</w:t>
      </w:r>
    </w:p>
    <w:p w14:paraId="6EF4E20B" w14:textId="77777777" w:rsidR="003D65B8" w:rsidRPr="00A74D23" w:rsidRDefault="003D65B8" w:rsidP="009D6EE5">
      <w:pPr>
        <w:pStyle w:val="Style1"/>
        <w:numPr>
          <w:ilvl w:val="0"/>
          <w:numId w:val="0"/>
        </w:numPr>
        <w:spacing w:line="22" w:lineRule="atLeast"/>
        <w:jc w:val="both"/>
        <w:rPr>
          <w:rFonts w:cs="Open Sans"/>
          <w:i w:val="0"/>
          <w:color w:val="auto"/>
          <w:sz w:val="20"/>
        </w:rPr>
      </w:pPr>
    </w:p>
    <w:p w14:paraId="1EF726A5" w14:textId="45D65866" w:rsidR="003D65B8" w:rsidRPr="00A74D23" w:rsidRDefault="003D65B8" w:rsidP="009D6EE5">
      <w:pPr>
        <w:pStyle w:val="Style1"/>
        <w:numPr>
          <w:ilvl w:val="0"/>
          <w:numId w:val="0"/>
        </w:numPr>
        <w:spacing w:line="22" w:lineRule="atLeast"/>
        <w:jc w:val="both"/>
        <w:rPr>
          <w:rFonts w:cs="Open Sans"/>
          <w:i w:val="0"/>
          <w:color w:val="auto"/>
          <w:sz w:val="20"/>
          <w:szCs w:val="20"/>
        </w:rPr>
      </w:pPr>
      <w:r w:rsidRPr="00A74D23">
        <w:rPr>
          <w:rFonts w:cs="Open Sans"/>
          <w:i w:val="0"/>
          <w:color w:val="auto"/>
          <w:sz w:val="20"/>
          <w:szCs w:val="20"/>
        </w:rPr>
        <w:t>Ce rapport ESG</w:t>
      </w:r>
      <w:r w:rsidRPr="00A74D23">
        <w:rPr>
          <w:rFonts w:ascii="Cambria Math" w:hAnsi="Cambria Math" w:cs="Cambria Math"/>
          <w:i w:val="0"/>
          <w:color w:val="auto"/>
          <w:sz w:val="20"/>
          <w:szCs w:val="20"/>
        </w:rPr>
        <w:t>‑</w:t>
      </w:r>
      <w:r w:rsidRPr="00A74D23">
        <w:rPr>
          <w:rFonts w:cs="Open Sans"/>
          <w:i w:val="0"/>
          <w:color w:val="auto"/>
          <w:sz w:val="20"/>
          <w:szCs w:val="20"/>
        </w:rPr>
        <w:t>Climat permet à Abeille Assurances de répondre à ses obligations de transparence concernant l’intégration des risques liés à la durabilité ainsi que la prise en compte des impacts négatifs potentiels dans ses processus internes. Il fournit également les informations requises sur la durabilité de ses produits financiers, conformément au règlement (UE) 2019/2088 du Parlement européen et du Conseil du 27 novembre 2019 (dit « Règlement SFDR – Sustainable Finance Disclosure Regulation ») ainsi qu’au décret n° 2021</w:t>
      </w:r>
      <w:r w:rsidRPr="00A74D23">
        <w:rPr>
          <w:rFonts w:ascii="Cambria Math" w:hAnsi="Cambria Math" w:cs="Cambria Math"/>
          <w:i w:val="0"/>
          <w:color w:val="auto"/>
          <w:sz w:val="20"/>
          <w:szCs w:val="20"/>
        </w:rPr>
        <w:t>‑</w:t>
      </w:r>
      <w:r w:rsidRPr="00A74D23">
        <w:rPr>
          <w:rFonts w:cs="Open Sans"/>
          <w:i w:val="0"/>
          <w:color w:val="auto"/>
          <w:sz w:val="20"/>
          <w:szCs w:val="20"/>
        </w:rPr>
        <w:t>663 du 27 mai 2021, pris en application de l’article L. 533</w:t>
      </w:r>
      <w:r w:rsidRPr="00A74D23">
        <w:rPr>
          <w:rFonts w:ascii="Cambria Math" w:hAnsi="Cambria Math" w:cs="Cambria Math"/>
          <w:i w:val="0"/>
          <w:color w:val="auto"/>
          <w:sz w:val="20"/>
          <w:szCs w:val="20"/>
        </w:rPr>
        <w:t>‑</w:t>
      </w:r>
      <w:r w:rsidRPr="00A74D23">
        <w:rPr>
          <w:rFonts w:cs="Open Sans"/>
          <w:i w:val="0"/>
          <w:color w:val="auto"/>
          <w:sz w:val="20"/>
          <w:szCs w:val="20"/>
        </w:rPr>
        <w:t>22</w:t>
      </w:r>
      <w:r w:rsidRPr="00A74D23">
        <w:rPr>
          <w:rFonts w:ascii="Cambria Math" w:hAnsi="Cambria Math" w:cs="Cambria Math"/>
          <w:i w:val="0"/>
          <w:color w:val="auto"/>
          <w:sz w:val="20"/>
          <w:szCs w:val="20"/>
        </w:rPr>
        <w:t>‑</w:t>
      </w:r>
      <w:r w:rsidRPr="00A74D23">
        <w:rPr>
          <w:rFonts w:cs="Open Sans"/>
          <w:i w:val="0"/>
          <w:color w:val="auto"/>
          <w:sz w:val="20"/>
          <w:szCs w:val="20"/>
        </w:rPr>
        <w:t>1 du Code monétaire et financier (souvent désigné sous le nom d</w:t>
      </w:r>
      <w:r w:rsidR="00584BB9" w:rsidRPr="00A74D23">
        <w:rPr>
          <w:rFonts w:cs="Open Sans"/>
          <w:i w:val="0"/>
          <w:color w:val="auto"/>
          <w:sz w:val="20"/>
          <w:szCs w:val="20"/>
        </w:rPr>
        <w:t>’ «</w:t>
      </w:r>
      <w:r w:rsidRPr="00A74D23">
        <w:rPr>
          <w:rFonts w:cs="Open Sans"/>
          <w:i w:val="0"/>
          <w:color w:val="auto"/>
          <w:sz w:val="20"/>
          <w:szCs w:val="20"/>
        </w:rPr>
        <w:t xml:space="preserve"> article 29 de la Loi Énergie</w:t>
      </w:r>
      <w:r w:rsidRPr="00A74D23">
        <w:rPr>
          <w:rFonts w:ascii="Cambria Math" w:hAnsi="Cambria Math" w:cs="Cambria Math"/>
          <w:i w:val="0"/>
          <w:color w:val="auto"/>
          <w:sz w:val="20"/>
          <w:szCs w:val="20"/>
        </w:rPr>
        <w:t>‑</w:t>
      </w:r>
      <w:r w:rsidRPr="00A74D23">
        <w:rPr>
          <w:rFonts w:cs="Open Sans"/>
          <w:i w:val="0"/>
          <w:color w:val="auto"/>
          <w:sz w:val="20"/>
          <w:szCs w:val="20"/>
        </w:rPr>
        <w:t>Climat »).</w:t>
      </w:r>
    </w:p>
    <w:p w14:paraId="669E4011" w14:textId="77777777" w:rsidR="003D65B8" w:rsidRPr="00A74D23" w:rsidRDefault="003D65B8" w:rsidP="009D6EE5">
      <w:pPr>
        <w:pStyle w:val="Style1"/>
        <w:numPr>
          <w:ilvl w:val="0"/>
          <w:numId w:val="0"/>
        </w:numPr>
        <w:spacing w:line="22" w:lineRule="atLeast"/>
        <w:jc w:val="both"/>
        <w:rPr>
          <w:rFonts w:cs="Open Sans"/>
          <w:i w:val="0"/>
          <w:color w:val="auto"/>
          <w:sz w:val="20"/>
          <w:szCs w:val="20"/>
        </w:rPr>
      </w:pPr>
    </w:p>
    <w:p w14:paraId="1EDB7963" w14:textId="7C7BA719" w:rsidR="00636D77" w:rsidRPr="00A74D23" w:rsidRDefault="000B72B3" w:rsidP="009D6EE5">
      <w:pPr>
        <w:pStyle w:val="Style1"/>
        <w:numPr>
          <w:ilvl w:val="0"/>
          <w:numId w:val="0"/>
        </w:numPr>
        <w:spacing w:line="22" w:lineRule="atLeast"/>
        <w:jc w:val="both"/>
        <w:rPr>
          <w:rFonts w:cs="Open Sans"/>
          <w:i w:val="0"/>
          <w:color w:val="auto"/>
          <w:sz w:val="20"/>
          <w:szCs w:val="20"/>
        </w:rPr>
      </w:pPr>
      <w:r w:rsidRPr="00A74D23">
        <w:rPr>
          <w:rFonts w:cs="Open Sans"/>
          <w:i w:val="0"/>
          <w:color w:val="auto"/>
          <w:sz w:val="20"/>
          <w:szCs w:val="20"/>
        </w:rPr>
        <w:t>Au</w:t>
      </w:r>
      <w:r w:rsidRPr="00A74D23">
        <w:rPr>
          <w:rFonts w:ascii="Cambria Math" w:hAnsi="Cambria Math" w:cs="Cambria Math"/>
          <w:i w:val="0"/>
          <w:color w:val="auto"/>
          <w:sz w:val="20"/>
          <w:szCs w:val="20"/>
        </w:rPr>
        <w:t>‑</w:t>
      </w:r>
      <w:r w:rsidRPr="00A74D23">
        <w:rPr>
          <w:rFonts w:cs="Open Sans"/>
          <w:i w:val="0"/>
          <w:color w:val="auto"/>
          <w:sz w:val="20"/>
          <w:szCs w:val="20"/>
        </w:rPr>
        <w:t>delà du respect des exigences réglementaires, Abeille Assurances souhaite également présenter de manière transparente sa contribution à la transition énergétique, notamment l’alignement de ses stratégies d’investissement sur les objectifs internationaux de lutte contre le changement climatique et de protection de la biodiversité. Ce rapport constitue aussi une occasion de mettre en lumière la manière dont les critères ESG (Environnement, Social et Gouvernance) sont intégrés dans la gestion des risques et dans la stratégie d’investissement.</w:t>
      </w:r>
    </w:p>
    <w:p w14:paraId="15A834E1" w14:textId="77777777" w:rsidR="00636D77" w:rsidRPr="00A74D23" w:rsidRDefault="00636D77" w:rsidP="009D6EE5">
      <w:pPr>
        <w:pStyle w:val="Style1"/>
        <w:numPr>
          <w:ilvl w:val="0"/>
          <w:numId w:val="0"/>
        </w:numPr>
        <w:spacing w:line="22" w:lineRule="atLeast"/>
        <w:jc w:val="both"/>
        <w:rPr>
          <w:rFonts w:cs="Open Sans"/>
          <w:i w:val="0"/>
          <w:color w:val="auto"/>
          <w:sz w:val="20"/>
          <w:szCs w:val="20"/>
        </w:rPr>
      </w:pPr>
    </w:p>
    <w:p w14:paraId="4277E557" w14:textId="77777777" w:rsidR="00636D77" w:rsidRPr="00A74D23" w:rsidRDefault="00636D77" w:rsidP="009D6EE5">
      <w:pPr>
        <w:pStyle w:val="Style1"/>
        <w:numPr>
          <w:ilvl w:val="0"/>
          <w:numId w:val="0"/>
        </w:numPr>
        <w:spacing w:line="22" w:lineRule="atLeast"/>
        <w:jc w:val="both"/>
        <w:rPr>
          <w:rFonts w:cs="Open Sans"/>
          <w:sz w:val="20"/>
        </w:rPr>
      </w:pPr>
    </w:p>
    <w:bookmarkEnd w:id="21"/>
    <w:bookmarkEnd w:id="22"/>
    <w:p w14:paraId="012A9E4C" w14:textId="6226FC61" w:rsidR="0099492C" w:rsidRPr="00A74D23" w:rsidRDefault="0099492C" w:rsidP="009D6EE5">
      <w:pPr>
        <w:pStyle w:val="AIP2Bodytextregular"/>
        <w:spacing w:line="22" w:lineRule="atLeast"/>
        <w:ind w:left="0"/>
        <w:jc w:val="both"/>
        <w:rPr>
          <w:rStyle w:val="33333333"/>
          <w:lang w:val="fr-FR"/>
        </w:rPr>
      </w:pPr>
      <w:r w:rsidRPr="00A74D23">
        <w:rPr>
          <w:rStyle w:val="33333333"/>
          <w:lang w:val="fr-FR"/>
        </w:rPr>
        <w:t>2.2</w:t>
      </w:r>
      <w:r w:rsidR="00E52497" w:rsidRPr="00A74D23">
        <w:rPr>
          <w:rStyle w:val="33333333"/>
          <w:lang w:val="fr-FR"/>
        </w:rPr>
        <w:t xml:space="preserve">. </w:t>
      </w:r>
      <w:r w:rsidRPr="00A74D23">
        <w:rPr>
          <w:rStyle w:val="33333333"/>
          <w:lang w:val="fr-FR"/>
        </w:rPr>
        <w:t>Chiffres clés</w:t>
      </w:r>
    </w:p>
    <w:p w14:paraId="1EFB9968" w14:textId="7177BE74" w:rsidR="0060036A" w:rsidRPr="00A74D23" w:rsidRDefault="0060036A" w:rsidP="009D6EE5">
      <w:pPr>
        <w:spacing w:line="22" w:lineRule="atLeast"/>
        <w:jc w:val="both"/>
        <w:rPr>
          <w:rFonts w:asciiTheme="minorHAnsi" w:hAnsiTheme="minorHAnsi"/>
          <w:kern w:val="2"/>
          <w:lang w:val="fr-FR"/>
          <w14:ligatures w14:val="standardContextual"/>
        </w:rPr>
      </w:pPr>
      <w:r w:rsidRPr="00A74D23">
        <w:rPr>
          <w:rFonts w:asciiTheme="minorHAnsi" w:hAnsiTheme="minorHAnsi"/>
          <w:b/>
          <w:bCs/>
          <w:sz w:val="20"/>
          <w:szCs w:val="20"/>
          <w:lang w:val="fr-FR"/>
        </w:rPr>
        <w:t xml:space="preserve">Quelques chiffres sur la performance ESG et les principales réalisations d’Abeille </w:t>
      </w:r>
      <w:r w:rsidR="00755524">
        <w:rPr>
          <w:rFonts w:asciiTheme="minorHAnsi" w:hAnsiTheme="minorHAnsi"/>
          <w:b/>
          <w:bCs/>
          <w:sz w:val="20"/>
          <w:szCs w:val="20"/>
          <w:lang w:val="fr-FR"/>
        </w:rPr>
        <w:t>Retraite Professionnelle</w:t>
      </w:r>
      <w:r w:rsidRPr="00A74D23">
        <w:rPr>
          <w:rFonts w:asciiTheme="minorHAnsi" w:hAnsiTheme="minorHAnsi"/>
          <w:b/>
          <w:bCs/>
          <w:sz w:val="20"/>
          <w:szCs w:val="20"/>
          <w:lang w:val="fr-FR"/>
        </w:rPr>
        <w:t xml:space="preserve"> en matière de durabilité en 2025.</w:t>
      </w:r>
    </w:p>
    <w:p w14:paraId="0B4A7F49" w14:textId="083FE739" w:rsidR="000D75A2" w:rsidRPr="00A74D23" w:rsidRDefault="00073BF7" w:rsidP="009D6EE5">
      <w:pPr>
        <w:spacing w:line="22" w:lineRule="atLeast"/>
        <w:jc w:val="both"/>
        <w:rPr>
          <w:rFonts w:asciiTheme="minorHAnsi" w:hAnsiTheme="minorHAnsi" w:cs="Open Sans"/>
          <w:b/>
          <w:i/>
          <w:sz w:val="20"/>
          <w:szCs w:val="20"/>
          <w:lang w:val="fr-FR"/>
        </w:rPr>
      </w:pPr>
      <w:r w:rsidRPr="00A74D23">
        <w:rPr>
          <w:rFonts w:asciiTheme="minorHAnsi" w:hAnsiTheme="minorHAnsi" w:cs="Open Sans"/>
          <w:b/>
          <w:sz w:val="20"/>
          <w:szCs w:val="20"/>
          <w:lang w:val="fr-FR"/>
        </w:rPr>
        <w:t xml:space="preserve"> </w:t>
      </w:r>
    </w:p>
    <w:p w14:paraId="49C81E19" w14:textId="4AABAF4C" w:rsidR="007E5A6B" w:rsidRPr="00A74D23" w:rsidRDefault="00940F2F" w:rsidP="009D6EE5">
      <w:pPr>
        <w:shd w:val="clear" w:color="auto" w:fill="FFFFFF" w:themeFill="background1"/>
        <w:spacing w:after="120" w:line="22" w:lineRule="atLeast"/>
        <w:jc w:val="both"/>
        <w:rPr>
          <w:rFonts w:asciiTheme="minorHAnsi" w:hAnsiTheme="minorHAnsi" w:cs="Open Sans"/>
          <w:b/>
          <w:bCs/>
          <w:lang w:val="fr-FR"/>
        </w:rPr>
      </w:pPr>
      <w:r w:rsidRPr="00A74D23">
        <w:rPr>
          <w:rFonts w:asciiTheme="minorHAnsi" w:hAnsiTheme="minorHAnsi" w:cs="Open Sans"/>
          <w:b/>
          <w:bCs/>
          <w:lang w:val="fr-FR"/>
        </w:rPr>
        <w:t>Agir pour la décarbonation</w:t>
      </w:r>
    </w:p>
    <w:p w14:paraId="65ECE9E4" w14:textId="77777777" w:rsidR="0060036A" w:rsidRPr="00A74D23" w:rsidRDefault="0060036A" w:rsidP="00590DD1">
      <w:pPr>
        <w:pStyle w:val="Pucesniveau1"/>
        <w:numPr>
          <w:ilvl w:val="0"/>
          <w:numId w:val="18"/>
        </w:numPr>
        <w:spacing w:before="0" w:after="120" w:line="22" w:lineRule="atLeast"/>
      </w:pPr>
      <w:r w:rsidRPr="00A74D23">
        <w:t xml:space="preserve">Un objectif réaffirmé de </w:t>
      </w:r>
      <w:r w:rsidRPr="00A74D23">
        <w:rPr>
          <w:b/>
          <w:bCs/>
        </w:rPr>
        <w:t>neutralité carbone à l’horizon 2050 ;</w:t>
      </w:r>
    </w:p>
    <w:p w14:paraId="46B54152" w14:textId="051C6FDE" w:rsidR="0060036A" w:rsidRPr="00A74D23" w:rsidRDefault="00CF7828" w:rsidP="00590DD1">
      <w:pPr>
        <w:pStyle w:val="Pucesniveau1"/>
        <w:numPr>
          <w:ilvl w:val="0"/>
          <w:numId w:val="18"/>
        </w:numPr>
        <w:spacing w:before="0" w:after="120" w:line="22" w:lineRule="atLeast"/>
      </w:pPr>
      <w:r w:rsidRPr="00672F68">
        <w:rPr>
          <w:b/>
          <w:bCs/>
        </w:rPr>
        <w:t>Une politique renforcée sur les hydrocarbures</w:t>
      </w:r>
      <w:r w:rsidRPr="00A74D23">
        <w:t> : l’arrêt des investissements dans les entreprises développant de nouveaux projets d’exploration et d’exploitation d’hydrocarbures</w:t>
      </w:r>
      <w:r w:rsidR="00053CDC" w:rsidRPr="00A74D23">
        <w:t xml:space="preserve"> (obligations détenues en direct)</w:t>
      </w:r>
      <w:r w:rsidRPr="00A74D23">
        <w:t xml:space="preserve">, </w:t>
      </w:r>
      <w:r w:rsidR="0060036A" w:rsidRPr="00A74D23">
        <w:t>assortie d’un engagement renforcé auprès des sociétés pétrolières et gazières</w:t>
      </w:r>
      <w:r w:rsidR="00053CDC" w:rsidRPr="00A74D23">
        <w:t xml:space="preserve"> sur nos détentions en actions</w:t>
      </w:r>
      <w:r w:rsidR="0060036A" w:rsidRPr="00A74D23">
        <w:t> ;</w:t>
      </w:r>
    </w:p>
    <w:p w14:paraId="083741D6" w14:textId="77777777" w:rsidR="002B6D56" w:rsidRPr="00A74D23" w:rsidRDefault="002B6D56" w:rsidP="00590DD1">
      <w:pPr>
        <w:pStyle w:val="Pucesniveau1"/>
        <w:numPr>
          <w:ilvl w:val="0"/>
          <w:numId w:val="18"/>
        </w:numPr>
        <w:spacing w:before="0" w:after="120" w:line="22" w:lineRule="atLeast"/>
        <w:rPr>
          <w:kern w:val="2"/>
          <w14:ligatures w14:val="standardContextual"/>
        </w:rPr>
      </w:pPr>
      <w:r w:rsidRPr="00A74D23">
        <w:rPr>
          <w:b/>
          <w:bCs/>
        </w:rPr>
        <w:t>Un portefeuille d’investissements corporate aligné sur une trajectoire 2 °C selon l’indicateur Implied Temperature Rise (ITR) de MSCI</w:t>
      </w:r>
      <w:r w:rsidRPr="00A74D23">
        <w:rPr>
          <w:rStyle w:val="Appelnotedebasdep"/>
          <w:b/>
          <w:bCs/>
        </w:rPr>
        <w:footnoteReference w:id="2"/>
      </w:r>
      <w:r w:rsidRPr="00A74D23">
        <w:t>, avec 63 % des encours investis sur des entreprises à minima engagées sur une trajectoire de réduction des émissions conforme aux objectifs de l’Accord de Paris ;</w:t>
      </w:r>
    </w:p>
    <w:p w14:paraId="1DFD144B" w14:textId="50B48059" w:rsidR="0060036A" w:rsidRPr="00A74D23" w:rsidRDefault="0060036A" w:rsidP="00590DD1">
      <w:pPr>
        <w:pStyle w:val="Pucesniveau1"/>
        <w:numPr>
          <w:ilvl w:val="0"/>
          <w:numId w:val="18"/>
        </w:numPr>
        <w:spacing w:before="0" w:after="120" w:line="22" w:lineRule="atLeast"/>
      </w:pPr>
      <w:r w:rsidRPr="00A74D23">
        <w:t xml:space="preserve">L’utilisation, pour la première </w:t>
      </w:r>
      <w:r w:rsidR="00EA0E2D" w:rsidRPr="00A74D23">
        <w:t>année</w:t>
      </w:r>
      <w:r w:rsidRPr="00A74D23">
        <w:t xml:space="preserve">, de </w:t>
      </w:r>
      <w:r w:rsidRPr="00A74D23">
        <w:rPr>
          <w:b/>
          <w:bCs/>
        </w:rPr>
        <w:t>l’ASCOR Improvement Score</w:t>
      </w:r>
      <w:r w:rsidRPr="00A74D23">
        <w:t>, tel qu’utilisé par la Net Zero Asset Owner Alliance, indique une amélioration de 1</w:t>
      </w:r>
      <w:r w:rsidR="00755524">
        <w:t>9</w:t>
      </w:r>
      <w:r w:rsidRPr="00A74D23">
        <w:t xml:space="preserve">% du niveau </w:t>
      </w:r>
      <w:r w:rsidR="00EA0E2D" w:rsidRPr="00A74D23">
        <w:t xml:space="preserve">d’alignement </w:t>
      </w:r>
      <w:r w:rsidRPr="00A74D23">
        <w:t xml:space="preserve">des obligations souveraines </w:t>
      </w:r>
      <w:r w:rsidR="00EA0E2D" w:rsidRPr="00A74D23">
        <w:t xml:space="preserve">avec les objectifs de l’Accord de Paris, </w:t>
      </w:r>
      <w:r w:rsidRPr="00A74D23">
        <w:t>entre 2023 et 2025.</w:t>
      </w:r>
    </w:p>
    <w:p w14:paraId="2BEA61ED" w14:textId="77777777" w:rsidR="00880327" w:rsidRPr="00A74D23" w:rsidRDefault="00880327" w:rsidP="009D6EE5">
      <w:pPr>
        <w:pStyle w:val="Pucesniveau1"/>
        <w:spacing w:before="0" w:after="120" w:line="22" w:lineRule="atLeast"/>
        <w:rPr>
          <w:rFonts w:eastAsiaTheme="minorHAnsi" w:cs="Segoe UI"/>
          <w:lang w:eastAsia="en-US"/>
        </w:rPr>
      </w:pPr>
    </w:p>
    <w:p w14:paraId="7A26D0D8" w14:textId="36841697" w:rsidR="00880327" w:rsidRPr="00A74D23" w:rsidRDefault="00880327" w:rsidP="009D6EE5">
      <w:pPr>
        <w:shd w:val="clear" w:color="auto" w:fill="FFFFFF" w:themeFill="background1"/>
        <w:spacing w:after="120" w:line="22" w:lineRule="atLeast"/>
        <w:jc w:val="both"/>
        <w:rPr>
          <w:rFonts w:asciiTheme="minorHAnsi" w:hAnsiTheme="minorHAnsi" w:cs="Open Sans"/>
          <w:b/>
          <w:bCs/>
          <w:lang w:val="fr-FR"/>
        </w:rPr>
      </w:pPr>
      <w:r w:rsidRPr="00A74D23">
        <w:rPr>
          <w:rFonts w:asciiTheme="minorHAnsi" w:hAnsiTheme="minorHAnsi" w:cs="Open Sans"/>
          <w:b/>
          <w:bCs/>
          <w:lang w:val="fr-FR"/>
        </w:rPr>
        <w:t>Réduire les impacts sur la biodiversité</w:t>
      </w:r>
    </w:p>
    <w:p w14:paraId="2A0DDF73" w14:textId="4B2CF563" w:rsidR="0060036A" w:rsidRPr="00A74D23" w:rsidRDefault="0060036A" w:rsidP="009D6EE5">
      <w:pPr>
        <w:pStyle w:val="Pucesniveau1"/>
        <w:numPr>
          <w:ilvl w:val="0"/>
          <w:numId w:val="11"/>
        </w:numPr>
        <w:spacing w:before="0" w:after="240" w:line="22" w:lineRule="atLeast"/>
        <w:ind w:left="426"/>
      </w:pPr>
      <w:r w:rsidRPr="00A74D23">
        <w:t xml:space="preserve">La </w:t>
      </w:r>
      <w:r w:rsidRPr="00A74D23">
        <w:rPr>
          <w:b/>
          <w:bCs/>
        </w:rPr>
        <w:t>poursuite de notre stratégie d’engagement</w:t>
      </w:r>
      <w:r w:rsidRPr="00A74D23">
        <w:t xml:space="preserve"> avec les distributeurs d’huile de palme non durable, l’une des principales causes de déforestation mondiale, ainsi qu’avec les entreprises productrices de biocides, une cause majeure de perte de biodiversité ;</w:t>
      </w:r>
      <w:r w:rsidR="008B66CB" w:rsidRPr="00A74D23">
        <w:t xml:space="preserve"> et un engagement thématique sur la gestion de la ressource en eau</w:t>
      </w:r>
      <w:r w:rsidR="00EF49B2" w:rsidRPr="00A74D23">
        <w:t>.</w:t>
      </w:r>
    </w:p>
    <w:p w14:paraId="338A70B6" w14:textId="77777777" w:rsidR="0060036A" w:rsidRPr="00A74D23" w:rsidRDefault="0060036A" w:rsidP="009D6EE5">
      <w:pPr>
        <w:pStyle w:val="Pucesniveau1"/>
        <w:numPr>
          <w:ilvl w:val="0"/>
          <w:numId w:val="11"/>
        </w:numPr>
        <w:spacing w:before="0" w:after="240" w:line="22" w:lineRule="atLeast"/>
        <w:ind w:left="426"/>
      </w:pPr>
      <w:r w:rsidRPr="00A74D23">
        <w:t xml:space="preserve">Le déploiement d’une </w:t>
      </w:r>
      <w:r w:rsidRPr="00977953">
        <w:rPr>
          <w:b/>
          <w:bCs/>
        </w:rPr>
        <w:t>stratégie biodiversité</w:t>
      </w:r>
      <w:r w:rsidRPr="00A74D23">
        <w:t xml:space="preserve"> (charte et feuille de route) sur le portefeuille immobilier géré par Ofi Invest Real Estate ;</w:t>
      </w:r>
    </w:p>
    <w:p w14:paraId="090CEDE8" w14:textId="1618ADFE" w:rsidR="0060036A" w:rsidRPr="00A74D23" w:rsidRDefault="0060036A" w:rsidP="009D6EE5">
      <w:pPr>
        <w:pStyle w:val="Pucesniveau1"/>
        <w:numPr>
          <w:ilvl w:val="0"/>
          <w:numId w:val="11"/>
        </w:numPr>
        <w:spacing w:before="0" w:after="240" w:line="22" w:lineRule="atLeast"/>
        <w:ind w:left="426"/>
      </w:pPr>
      <w:r w:rsidRPr="00A74D23">
        <w:t xml:space="preserve">La forte </w:t>
      </w:r>
      <w:r w:rsidRPr="00977953">
        <w:rPr>
          <w:b/>
          <w:bCs/>
        </w:rPr>
        <w:t>mobilisation des équipes d’Abeille Assurances</w:t>
      </w:r>
      <w:r w:rsidRPr="00A74D23">
        <w:t xml:space="preserve"> dans la structuration du fonds de place Objectif Biodiversité</w:t>
      </w:r>
      <w:r w:rsidR="00EF49B2" w:rsidRPr="00A74D23">
        <w:t xml:space="preserve">, et des investissements continus dans le capital naturel </w:t>
      </w:r>
      <w:r w:rsidR="00FA7205" w:rsidRPr="00A74D23">
        <w:t>avec 2</w:t>
      </w:r>
      <w:r w:rsidR="00174B60">
        <w:t>0</w:t>
      </w:r>
      <w:r w:rsidR="00FA7205" w:rsidRPr="00A74D23">
        <w:t xml:space="preserve"> m€ d’engagement au total dont </w:t>
      </w:r>
      <w:r w:rsidR="0008709B">
        <w:t>10</w:t>
      </w:r>
      <w:r w:rsidR="00FA7205" w:rsidRPr="00A74D23">
        <w:t>m€ engagés en 2025.</w:t>
      </w:r>
    </w:p>
    <w:p w14:paraId="5A66B732" w14:textId="77777777" w:rsidR="0016055F" w:rsidRPr="00A74D23" w:rsidRDefault="0016055F" w:rsidP="009D6EE5">
      <w:pPr>
        <w:pStyle w:val="Pucesniveau1"/>
        <w:spacing w:before="0" w:after="240" w:line="22" w:lineRule="atLeast"/>
        <w:ind w:left="357"/>
        <w:rPr>
          <w:rFonts w:cs="Open Sans"/>
        </w:rPr>
      </w:pPr>
    </w:p>
    <w:p w14:paraId="5497E71A" w14:textId="62543C3F" w:rsidR="000D75A2" w:rsidRPr="00A74D23" w:rsidRDefault="000D75A2" w:rsidP="009D6EE5">
      <w:pPr>
        <w:shd w:val="clear" w:color="auto" w:fill="FFFFFF"/>
        <w:spacing w:after="120" w:line="22" w:lineRule="atLeast"/>
        <w:jc w:val="both"/>
        <w:rPr>
          <w:rFonts w:asciiTheme="minorHAnsi" w:hAnsiTheme="minorHAnsi" w:cs="Open Sans"/>
          <w:b/>
          <w:lang w:val="fr-FR"/>
        </w:rPr>
      </w:pPr>
      <w:r w:rsidRPr="00A74D23">
        <w:rPr>
          <w:rFonts w:asciiTheme="minorHAnsi" w:hAnsiTheme="minorHAnsi" w:cs="Open Sans"/>
          <w:b/>
          <w:lang w:val="fr-FR"/>
        </w:rPr>
        <w:t>Proposer de</w:t>
      </w:r>
      <w:r w:rsidR="00F51EB4" w:rsidRPr="00A74D23">
        <w:rPr>
          <w:rFonts w:asciiTheme="minorHAnsi" w:hAnsiTheme="minorHAnsi" w:cs="Open Sans"/>
          <w:b/>
          <w:lang w:val="fr-FR"/>
        </w:rPr>
        <w:t>s</w:t>
      </w:r>
      <w:r w:rsidRPr="00A74D23">
        <w:rPr>
          <w:rFonts w:asciiTheme="minorHAnsi" w:hAnsiTheme="minorHAnsi" w:cs="Open Sans"/>
          <w:b/>
          <w:lang w:val="fr-FR"/>
        </w:rPr>
        <w:t xml:space="preserve"> solutions </w:t>
      </w:r>
      <w:r w:rsidR="00F51EB4" w:rsidRPr="00A74D23">
        <w:rPr>
          <w:rFonts w:asciiTheme="minorHAnsi" w:hAnsiTheme="minorHAnsi" w:cs="Open Sans"/>
          <w:b/>
          <w:lang w:val="fr-FR"/>
        </w:rPr>
        <w:t xml:space="preserve">d’investissement durable </w:t>
      </w:r>
    </w:p>
    <w:p w14:paraId="36A0F599" w14:textId="3B6B24DF" w:rsidR="0060036A" w:rsidRPr="00A74D23" w:rsidRDefault="0060036A" w:rsidP="00590DD1">
      <w:pPr>
        <w:pStyle w:val="Pucesniveau1"/>
        <w:numPr>
          <w:ilvl w:val="0"/>
          <w:numId w:val="19"/>
        </w:numPr>
        <w:spacing w:before="0" w:after="120" w:line="22" w:lineRule="atLeast"/>
        <w:ind w:left="426"/>
      </w:pPr>
      <w:r w:rsidRPr="00A74D23">
        <w:t xml:space="preserve">D’importants travaux menés au cours de l’année pour renforcer la définition de l’investissement durable, avec un objectif annuel affiché de </w:t>
      </w:r>
      <w:r w:rsidR="00B30F96" w:rsidRPr="00A74D23">
        <w:t>5</w:t>
      </w:r>
      <w:r w:rsidRPr="00A74D23">
        <w:t>00 M€ d’investissements durables</w:t>
      </w:r>
      <w:r w:rsidR="00337B5A" w:rsidRPr="00A74D23">
        <w:t xml:space="preserve"> sur le</w:t>
      </w:r>
      <w:r w:rsidR="00DE0B63" w:rsidRPr="00A74D23">
        <w:t>s portefeuilles</w:t>
      </w:r>
      <w:r w:rsidR="00337B5A" w:rsidRPr="00A74D23">
        <w:t xml:space="preserve"> fonds en euros et le </w:t>
      </w:r>
      <w:r w:rsidR="00DE0B63" w:rsidRPr="00A74D23">
        <w:t>bilan</w:t>
      </w:r>
      <w:r w:rsidRPr="00A74D23">
        <w:t xml:space="preserve">, et un niveau effectif atteignant </w:t>
      </w:r>
      <w:r w:rsidR="00755524">
        <w:t>10,5</w:t>
      </w:r>
      <w:r w:rsidRPr="00A74D23">
        <w:t>%</w:t>
      </w:r>
      <w:r w:rsidR="00B83CB4" w:rsidRPr="00A74D23">
        <w:t xml:space="preserve"> des portefeuilles</w:t>
      </w:r>
      <w:r w:rsidRPr="00A74D23">
        <w:t xml:space="preserve"> en 2025 ;</w:t>
      </w:r>
    </w:p>
    <w:p w14:paraId="00B80611" w14:textId="2412F340" w:rsidR="0060036A" w:rsidRPr="00A74D23" w:rsidRDefault="0060036A" w:rsidP="00590DD1">
      <w:pPr>
        <w:pStyle w:val="Pucesniveau1"/>
        <w:numPr>
          <w:ilvl w:val="0"/>
          <w:numId w:val="19"/>
        </w:numPr>
        <w:spacing w:before="0" w:after="120" w:line="22" w:lineRule="atLeast"/>
        <w:ind w:left="426"/>
      </w:pPr>
      <w:r w:rsidRPr="00A74D23">
        <w:t xml:space="preserve">Une </w:t>
      </w:r>
      <w:r w:rsidRPr="00A74D23">
        <w:rPr>
          <w:b/>
          <w:bCs/>
        </w:rPr>
        <w:t>augmentation continue, en nombre comme en encours, des supports classés article 8 ou 9</w:t>
      </w:r>
      <w:r w:rsidRPr="00A74D23">
        <w:t xml:space="preserve"> au sens de SFDR : </w:t>
      </w:r>
      <w:r w:rsidR="00B83CB4" w:rsidRPr="00A74D23">
        <w:t xml:space="preserve">par exemple </w:t>
      </w:r>
      <w:r w:rsidRPr="00A74D23">
        <w:t>sur les encours Unités de Compte (55 % en 2025 vs 42 % en 2024) et les encours OPC en direct (</w:t>
      </w:r>
      <w:r w:rsidR="00755524">
        <w:t>58% en 2025)</w:t>
      </w:r>
    </w:p>
    <w:p w14:paraId="3BE0F530" w14:textId="77777777" w:rsidR="00EF3BC9" w:rsidRPr="00F8121F" w:rsidRDefault="00EF3BC9" w:rsidP="00590DD1">
      <w:pPr>
        <w:pStyle w:val="Pucesniveau1"/>
        <w:numPr>
          <w:ilvl w:val="0"/>
          <w:numId w:val="19"/>
        </w:numPr>
        <w:spacing w:before="0" w:after="120" w:line="22" w:lineRule="atLeast"/>
        <w:ind w:left="426"/>
        <w:rPr>
          <w:rFonts w:cs="Open Sans"/>
        </w:rPr>
      </w:pPr>
      <w:r w:rsidRPr="00F8121F">
        <w:rPr>
          <w:rFonts w:cs="Open Sans"/>
        </w:rPr>
        <w:t xml:space="preserve">Le déploiement d’un outil interne pour recueillir les préférences de durabilité des clients sur les Unités de Compte </w:t>
      </w:r>
      <w:r>
        <w:rPr>
          <w:rFonts w:cs="Open Sans"/>
        </w:rPr>
        <w:t xml:space="preserve">(périmètre AFER) </w:t>
      </w:r>
      <w:r w:rsidRPr="00F8121F">
        <w:rPr>
          <w:rFonts w:cs="Open Sans"/>
        </w:rPr>
        <w:t>et un renforcement des solutions durables dans différentes gammes ;</w:t>
      </w:r>
    </w:p>
    <w:p w14:paraId="402B05FC" w14:textId="77777777" w:rsidR="00EF3BC9" w:rsidRPr="00F8121F" w:rsidRDefault="00EF3BC9" w:rsidP="00590DD1">
      <w:pPr>
        <w:pStyle w:val="Pucesniveau1"/>
        <w:numPr>
          <w:ilvl w:val="0"/>
          <w:numId w:val="19"/>
        </w:numPr>
        <w:spacing w:before="0" w:after="120" w:line="22" w:lineRule="atLeast"/>
        <w:ind w:left="426"/>
        <w:rPr>
          <w:rFonts w:cs="Open Sans"/>
        </w:rPr>
      </w:pPr>
      <w:r w:rsidRPr="00F8121F">
        <w:rPr>
          <w:rFonts w:cs="Open Sans"/>
        </w:rPr>
        <w:t xml:space="preserve">Un engagement toujours fort dans l’écosystème de la finance à impact via Abeille Impact Investing </w:t>
      </w:r>
      <w:r>
        <w:rPr>
          <w:rFonts w:cs="Open Sans"/>
        </w:rPr>
        <w:t>France, Inv’ESS Amorçage Ile de France</w:t>
      </w:r>
      <w:r w:rsidRPr="00F8121F">
        <w:rPr>
          <w:rFonts w:cs="Open Sans"/>
        </w:rPr>
        <w:t xml:space="preserve"> et Alliance for Impact Ventures.</w:t>
      </w:r>
    </w:p>
    <w:p w14:paraId="77BEF6A1" w14:textId="77777777" w:rsidR="003202D7" w:rsidRPr="00A74D23" w:rsidRDefault="003202D7" w:rsidP="009D6EE5">
      <w:pPr>
        <w:pStyle w:val="Pucesniveau1"/>
        <w:spacing w:after="120" w:line="22" w:lineRule="atLeast"/>
        <w:rPr>
          <w:rFonts w:cs="Open Sans"/>
        </w:rPr>
      </w:pPr>
    </w:p>
    <w:p w14:paraId="5C9BCFC4" w14:textId="31858201" w:rsidR="000D75A2" w:rsidRPr="00A74D23" w:rsidRDefault="000D75A2" w:rsidP="009D6EE5">
      <w:pPr>
        <w:shd w:val="clear" w:color="auto" w:fill="FFFFFF"/>
        <w:spacing w:after="120" w:line="22" w:lineRule="atLeast"/>
        <w:jc w:val="both"/>
        <w:rPr>
          <w:rFonts w:asciiTheme="minorHAnsi" w:hAnsiTheme="minorHAnsi" w:cs="Open Sans"/>
          <w:color w:val="0D2F50"/>
          <w:lang w:val="fr-FR"/>
        </w:rPr>
      </w:pPr>
      <w:r w:rsidRPr="00A74D23">
        <w:rPr>
          <w:rFonts w:asciiTheme="minorHAnsi" w:hAnsiTheme="minorHAnsi" w:cs="Open Sans"/>
          <w:b/>
          <w:lang w:val="fr-FR"/>
        </w:rPr>
        <w:t>Maîtriser les risques de durabilité</w:t>
      </w:r>
    </w:p>
    <w:p w14:paraId="6B7CA0FB" w14:textId="6BF3CAB5" w:rsidR="0060036A" w:rsidRPr="00A74D23" w:rsidRDefault="0060036A" w:rsidP="00590DD1">
      <w:pPr>
        <w:numPr>
          <w:ilvl w:val="0"/>
          <w:numId w:val="20"/>
        </w:numPr>
        <w:spacing w:line="22" w:lineRule="atLeast"/>
        <w:ind w:left="426"/>
        <w:jc w:val="both"/>
        <w:textAlignment w:val="center"/>
        <w:rPr>
          <w:rFonts w:asciiTheme="minorHAnsi" w:hAnsiTheme="minorHAnsi"/>
          <w:kern w:val="2"/>
          <w:lang w:val="fr-FR"/>
          <w14:ligatures w14:val="standardContextual"/>
        </w:rPr>
      </w:pPr>
      <w:r w:rsidRPr="00A74D23">
        <w:rPr>
          <w:rFonts w:asciiTheme="minorHAnsi" w:hAnsiTheme="minorHAnsi"/>
          <w:sz w:val="20"/>
          <w:szCs w:val="20"/>
          <w:lang w:val="fr-FR"/>
        </w:rPr>
        <w:t xml:space="preserve">Le déploiement de </w:t>
      </w:r>
      <w:r w:rsidRPr="00A74D23">
        <w:rPr>
          <w:rFonts w:asciiTheme="minorHAnsi" w:hAnsiTheme="minorHAnsi"/>
          <w:b/>
          <w:bCs/>
          <w:sz w:val="20"/>
          <w:szCs w:val="20"/>
          <w:lang w:val="fr-FR"/>
        </w:rPr>
        <w:t>nouvelles métriques pertinentes d’analyse des risques Nature</w:t>
      </w:r>
      <w:r w:rsidRPr="00A74D23">
        <w:rPr>
          <w:rFonts w:asciiTheme="minorHAnsi" w:hAnsiTheme="minorHAnsi"/>
          <w:sz w:val="20"/>
          <w:szCs w:val="20"/>
          <w:lang w:val="fr-FR"/>
        </w:rPr>
        <w:t>, à la fois sur les actifs corporate</w:t>
      </w:r>
      <w:r w:rsidR="00B83CB4" w:rsidRPr="00A74D23">
        <w:rPr>
          <w:rFonts w:asciiTheme="minorHAnsi" w:hAnsiTheme="minorHAnsi"/>
          <w:sz w:val="20"/>
          <w:szCs w:val="20"/>
          <w:lang w:val="fr-FR"/>
        </w:rPr>
        <w:t>s</w:t>
      </w:r>
      <w:r w:rsidRPr="00A74D23">
        <w:rPr>
          <w:rFonts w:asciiTheme="minorHAnsi" w:hAnsiTheme="minorHAnsi"/>
          <w:sz w:val="20"/>
          <w:szCs w:val="20"/>
          <w:lang w:val="fr-FR"/>
        </w:rPr>
        <w:t xml:space="preserve"> (risque déforestation via Forest IQ, expositions géographiques, dépendances ENCORE) et sur les souverains (analyse des risques physiques via le WWF) ;</w:t>
      </w:r>
    </w:p>
    <w:p w14:paraId="3509DEF1" w14:textId="77777777" w:rsidR="0056550D" w:rsidRPr="00A74D23" w:rsidRDefault="0056550D" w:rsidP="0079592F">
      <w:pPr>
        <w:spacing w:line="22" w:lineRule="atLeast"/>
        <w:ind w:left="426"/>
        <w:jc w:val="both"/>
        <w:textAlignment w:val="center"/>
        <w:rPr>
          <w:rFonts w:asciiTheme="minorHAnsi" w:hAnsiTheme="minorHAnsi" w:cs="Open Sans"/>
          <w:sz w:val="20"/>
          <w:szCs w:val="20"/>
          <w:lang w:val="fr-FR" w:eastAsia="fr-FR"/>
        </w:rPr>
      </w:pPr>
    </w:p>
    <w:p w14:paraId="32484345" w14:textId="1CDE6859" w:rsidR="00743B58" w:rsidRPr="00A74D23" w:rsidRDefault="00743B58" w:rsidP="00590DD1">
      <w:pPr>
        <w:numPr>
          <w:ilvl w:val="0"/>
          <w:numId w:val="20"/>
        </w:numPr>
        <w:spacing w:line="22" w:lineRule="atLeast"/>
        <w:ind w:left="426"/>
        <w:jc w:val="both"/>
        <w:textAlignment w:val="center"/>
        <w:rPr>
          <w:rFonts w:asciiTheme="minorHAnsi" w:hAnsiTheme="minorHAnsi"/>
          <w:sz w:val="20"/>
          <w:szCs w:val="20"/>
          <w:lang w:val="fr-FR"/>
        </w:rPr>
      </w:pPr>
      <w:r w:rsidRPr="00A74D23">
        <w:rPr>
          <w:rFonts w:asciiTheme="minorHAnsi" w:hAnsiTheme="minorHAnsi"/>
          <w:b/>
          <w:bCs/>
          <w:sz w:val="20"/>
          <w:szCs w:val="20"/>
          <w:lang w:val="fr-FR"/>
        </w:rPr>
        <w:t>Évaluation des pertes potentielles liées aux risques climatiques physiques</w:t>
      </w:r>
      <w:r w:rsidRPr="00A74D23">
        <w:rPr>
          <w:rFonts w:asciiTheme="minorHAnsi" w:hAnsiTheme="minorHAnsi"/>
          <w:sz w:val="20"/>
          <w:szCs w:val="20"/>
          <w:lang w:val="fr-FR"/>
        </w:rPr>
        <w:t xml:space="preserve"> sur notre portefeuille d’investissement (Climate VaR) : 1,1 % de pertes attendues en l’absence d’action d’adaptation</w:t>
      </w:r>
      <w:r w:rsidR="00806B8A">
        <w:rPr>
          <w:rFonts w:asciiTheme="minorHAnsi" w:hAnsiTheme="minorHAnsi"/>
          <w:sz w:val="20"/>
          <w:szCs w:val="20"/>
          <w:lang w:val="fr-FR"/>
        </w:rPr>
        <w:t xml:space="preserve"> (chiffres Abeille Assurances-MSCI)</w:t>
      </w:r>
      <w:r w:rsidRPr="00A74D23">
        <w:rPr>
          <w:rFonts w:asciiTheme="minorHAnsi" w:hAnsiTheme="minorHAnsi"/>
          <w:sz w:val="20"/>
          <w:szCs w:val="20"/>
          <w:lang w:val="fr-FR"/>
        </w:rPr>
        <w:t xml:space="preserve"> dans le cas d’un scénario 3 °C NDC (désigne une trajectoire d'émissions de gaz à effet de serre basée sur les engagements officiels des États dans le cadre de l'Accord de Paris), principalement attribuable aux aléas de chaleur extrême et faible débit des rivières.</w:t>
      </w:r>
    </w:p>
    <w:p w14:paraId="4B792DC7" w14:textId="77777777" w:rsidR="0056550D" w:rsidRPr="00A74D23" w:rsidRDefault="0056550D" w:rsidP="0079592F">
      <w:pPr>
        <w:spacing w:line="22" w:lineRule="atLeast"/>
        <w:ind w:left="426"/>
        <w:jc w:val="both"/>
        <w:textAlignment w:val="center"/>
        <w:rPr>
          <w:rFonts w:asciiTheme="minorHAnsi" w:hAnsiTheme="minorHAnsi" w:cs="Open Sans"/>
          <w:sz w:val="20"/>
          <w:szCs w:val="20"/>
          <w:lang w:val="fr-FR" w:eastAsia="fr-FR"/>
        </w:rPr>
      </w:pPr>
    </w:p>
    <w:p w14:paraId="7A393B54" w14:textId="4FAA5DD4" w:rsidR="0060036A" w:rsidRPr="00A74D23" w:rsidRDefault="0060036A" w:rsidP="00590DD1">
      <w:pPr>
        <w:numPr>
          <w:ilvl w:val="0"/>
          <w:numId w:val="20"/>
        </w:numPr>
        <w:spacing w:line="22" w:lineRule="atLeast"/>
        <w:ind w:left="426"/>
        <w:jc w:val="both"/>
        <w:textAlignment w:val="center"/>
        <w:rPr>
          <w:rFonts w:asciiTheme="minorHAnsi" w:hAnsiTheme="minorHAnsi"/>
          <w:kern w:val="2"/>
          <w:lang w:val="fr-FR"/>
          <w14:ligatures w14:val="standardContextual"/>
        </w:rPr>
      </w:pPr>
      <w:r w:rsidRPr="00A74D23">
        <w:rPr>
          <w:rFonts w:asciiTheme="minorHAnsi" w:hAnsiTheme="minorHAnsi"/>
          <w:sz w:val="20"/>
          <w:szCs w:val="20"/>
          <w:lang w:val="fr-FR"/>
        </w:rPr>
        <w:t xml:space="preserve">Des travaux sur la structuration de l’intégration des enjeux </w:t>
      </w:r>
      <w:r w:rsidR="00806B8A">
        <w:rPr>
          <w:rFonts w:asciiTheme="minorHAnsi" w:hAnsiTheme="minorHAnsi"/>
          <w:sz w:val="20"/>
          <w:szCs w:val="20"/>
          <w:lang w:val="fr-FR"/>
        </w:rPr>
        <w:t>n</w:t>
      </w:r>
      <w:r w:rsidRPr="00A74D23">
        <w:rPr>
          <w:rFonts w:asciiTheme="minorHAnsi" w:hAnsiTheme="minorHAnsi"/>
          <w:sz w:val="20"/>
          <w:szCs w:val="20"/>
          <w:lang w:val="fr-FR"/>
        </w:rPr>
        <w:t>ature</w:t>
      </w:r>
      <w:r w:rsidR="00114575">
        <w:rPr>
          <w:rFonts w:asciiTheme="minorHAnsi" w:hAnsiTheme="minorHAnsi"/>
          <w:sz w:val="20"/>
          <w:szCs w:val="20"/>
          <w:lang w:val="fr-FR"/>
        </w:rPr>
        <w:t xml:space="preserve"> (</w:t>
      </w:r>
      <w:r w:rsidRPr="00A74D23">
        <w:rPr>
          <w:rFonts w:asciiTheme="minorHAnsi" w:hAnsiTheme="minorHAnsi"/>
          <w:sz w:val="20"/>
          <w:szCs w:val="20"/>
          <w:lang w:val="fr-FR"/>
        </w:rPr>
        <w:t>climat et biodiversité</w:t>
      </w:r>
      <w:r w:rsidR="00114575">
        <w:rPr>
          <w:rFonts w:asciiTheme="minorHAnsi" w:hAnsiTheme="minorHAnsi"/>
          <w:sz w:val="20"/>
          <w:szCs w:val="20"/>
          <w:lang w:val="fr-FR"/>
        </w:rPr>
        <w:t>)</w:t>
      </w:r>
      <w:r w:rsidRPr="00A74D23">
        <w:rPr>
          <w:rFonts w:asciiTheme="minorHAnsi" w:hAnsiTheme="minorHAnsi"/>
          <w:sz w:val="20"/>
          <w:szCs w:val="20"/>
          <w:lang w:val="fr-FR"/>
        </w:rPr>
        <w:t xml:space="preserve"> dans le </w:t>
      </w:r>
      <w:r w:rsidRPr="00A74D23">
        <w:rPr>
          <w:rFonts w:asciiTheme="minorHAnsi" w:hAnsiTheme="minorHAnsi"/>
          <w:b/>
          <w:bCs/>
          <w:sz w:val="20"/>
          <w:szCs w:val="20"/>
          <w:lang w:val="fr-FR"/>
        </w:rPr>
        <w:t>cadre de gestion des risques d’Abeille Assurances</w:t>
      </w:r>
      <w:r w:rsidRPr="00A74D23">
        <w:rPr>
          <w:rFonts w:asciiTheme="minorHAnsi" w:hAnsiTheme="minorHAnsi"/>
          <w:sz w:val="20"/>
          <w:szCs w:val="20"/>
          <w:lang w:val="fr-FR"/>
        </w:rPr>
        <w:t>.</w:t>
      </w:r>
    </w:p>
    <w:p w14:paraId="466FEFED" w14:textId="77777777" w:rsidR="0056550D" w:rsidRPr="00A74D23" w:rsidRDefault="0056550D" w:rsidP="009D6EE5">
      <w:pPr>
        <w:spacing w:line="22" w:lineRule="atLeast"/>
        <w:jc w:val="both"/>
        <w:textAlignment w:val="center"/>
        <w:rPr>
          <w:rFonts w:asciiTheme="minorHAnsi" w:hAnsiTheme="minorHAnsi" w:cs="Open Sans"/>
          <w:b/>
          <w:bCs/>
          <w:sz w:val="20"/>
          <w:szCs w:val="20"/>
          <w:lang w:val="fr-FR" w:eastAsia="fr-FR"/>
        </w:rPr>
      </w:pPr>
    </w:p>
    <w:p w14:paraId="6ED02756" w14:textId="77777777" w:rsidR="0056550D" w:rsidRPr="00A74D23" w:rsidRDefault="0056550D" w:rsidP="009D6EE5">
      <w:pPr>
        <w:spacing w:line="22" w:lineRule="atLeast"/>
        <w:ind w:left="426"/>
        <w:jc w:val="both"/>
        <w:textAlignment w:val="center"/>
        <w:rPr>
          <w:rFonts w:asciiTheme="minorHAnsi" w:hAnsiTheme="minorHAnsi" w:cs="Open Sans"/>
          <w:b/>
          <w:bCs/>
          <w:sz w:val="20"/>
          <w:szCs w:val="20"/>
          <w:lang w:val="fr-FR" w:eastAsia="fr-FR"/>
        </w:rPr>
      </w:pPr>
    </w:p>
    <w:p w14:paraId="41893C62" w14:textId="5C8C6CDC" w:rsidR="00E07D0C" w:rsidRPr="00A74D23" w:rsidRDefault="00E07D0C" w:rsidP="009D6EE5">
      <w:pPr>
        <w:spacing w:line="22" w:lineRule="atLeast"/>
        <w:ind w:left="426"/>
        <w:jc w:val="both"/>
        <w:textAlignment w:val="center"/>
        <w:rPr>
          <w:rFonts w:asciiTheme="minorHAnsi" w:hAnsiTheme="minorHAnsi" w:cs="Open Sans"/>
          <w:sz w:val="20"/>
          <w:szCs w:val="20"/>
          <w:lang w:val="fr-FR" w:eastAsia="fr-FR"/>
        </w:rPr>
      </w:pPr>
    </w:p>
    <w:p w14:paraId="5B0B7914" w14:textId="16C93554" w:rsidR="00E33C66" w:rsidRPr="00A74D23" w:rsidRDefault="00996546" w:rsidP="009D6EE5">
      <w:pPr>
        <w:spacing w:line="22" w:lineRule="atLeast"/>
        <w:jc w:val="both"/>
        <w:textAlignment w:val="center"/>
        <w:rPr>
          <w:rFonts w:asciiTheme="minorHAnsi" w:hAnsiTheme="minorHAnsi" w:cs="Open Sans"/>
          <w:sz w:val="20"/>
          <w:szCs w:val="20"/>
          <w:lang w:val="fr-FR" w:eastAsia="fr-FR"/>
        </w:rPr>
      </w:pPr>
      <w:r w:rsidRPr="00A74D23">
        <w:rPr>
          <w:rFonts w:asciiTheme="minorHAnsi" w:eastAsia="Calibri" w:hAnsiTheme="minorHAnsi" w:cs="Open Sans"/>
          <w:i/>
          <w:iCs/>
          <w:noProof/>
          <w:sz w:val="20"/>
          <w:szCs w:val="20"/>
          <w:lang w:eastAsia="fr-FR"/>
        </w:rPr>
        <mc:AlternateContent>
          <mc:Choice Requires="wpg">
            <w:drawing>
              <wp:anchor distT="0" distB="0" distL="114300" distR="114300" simplePos="0" relativeHeight="251324416" behindDoc="0" locked="0" layoutInCell="1" allowOverlap="1" wp14:anchorId="65C9EACC" wp14:editId="67BCB65F">
                <wp:simplePos x="0" y="0"/>
                <wp:positionH relativeFrom="margin">
                  <wp:posOffset>181856</wp:posOffset>
                </wp:positionH>
                <wp:positionV relativeFrom="paragraph">
                  <wp:posOffset>6194</wp:posOffset>
                </wp:positionV>
                <wp:extent cx="389890" cy="281305"/>
                <wp:effectExtent l="0" t="0" r="10160" b="23495"/>
                <wp:wrapNone/>
                <wp:docPr id="1126085308" name="Groupe 132"/>
                <wp:cNvGraphicFramePr/>
                <a:graphic xmlns:a="http://schemas.openxmlformats.org/drawingml/2006/main">
                  <a:graphicData uri="http://schemas.microsoft.com/office/word/2010/wordprocessingGroup">
                    <wpg:wgp>
                      <wpg:cNvGrpSpPr/>
                      <wpg:grpSpPr>
                        <a:xfrm>
                          <a:off x="0" y="0"/>
                          <a:ext cx="389890" cy="281305"/>
                          <a:chOff x="0" y="0"/>
                          <a:chExt cx="480287" cy="346688"/>
                        </a:xfrm>
                      </wpg:grpSpPr>
                      <wps:wsp>
                        <wps:cNvPr id="1056984061"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1150788835"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6110B51A" id="Groupe 132" o:spid="_x0000_s1026" style="position:absolute;margin-left:14.3pt;margin-top:.5pt;width:30.7pt;height:22.15pt;z-index:251324416;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p>
    <w:p w14:paraId="67E42607" w14:textId="371960C4" w:rsidR="00E33C66" w:rsidRPr="00A74D23" w:rsidRDefault="0096449D" w:rsidP="009D6EE5">
      <w:pPr>
        <w:pStyle w:val="Style1"/>
        <w:numPr>
          <w:ilvl w:val="0"/>
          <w:numId w:val="0"/>
        </w:numPr>
        <w:tabs>
          <w:tab w:val="clear" w:pos="2010"/>
          <w:tab w:val="left" w:pos="1134"/>
        </w:tabs>
        <w:spacing w:line="22" w:lineRule="atLeast"/>
        <w:jc w:val="both"/>
        <w:rPr>
          <w:rFonts w:cs="Open Sans"/>
          <w:i w:val="0"/>
          <w:color w:val="auto"/>
          <w:sz w:val="20"/>
          <w:szCs w:val="20"/>
        </w:rPr>
      </w:pPr>
      <w:r w:rsidRPr="00A74D23">
        <w:rPr>
          <w:rFonts w:cs="Open Sans"/>
          <w:noProof/>
          <w:sz w:val="20"/>
          <w:szCs w:val="20"/>
        </w:rPr>
        <mc:AlternateContent>
          <mc:Choice Requires="wps">
            <w:drawing>
              <wp:anchor distT="0" distB="0" distL="114300" distR="114300" simplePos="0" relativeHeight="251293696" behindDoc="0" locked="0" layoutInCell="1" allowOverlap="1" wp14:anchorId="0145FC62" wp14:editId="6382FC4D">
                <wp:simplePos x="0" y="0"/>
                <wp:positionH relativeFrom="column">
                  <wp:posOffset>198120</wp:posOffset>
                </wp:positionH>
                <wp:positionV relativeFrom="paragraph">
                  <wp:posOffset>22860</wp:posOffset>
                </wp:positionV>
                <wp:extent cx="5475605" cy="2771775"/>
                <wp:effectExtent l="0" t="0" r="10795" b="28575"/>
                <wp:wrapSquare wrapText="bothSides"/>
                <wp:docPr id="156709393" name="Rectangle : coins arrondis 156709393"/>
                <wp:cNvGraphicFramePr/>
                <a:graphic xmlns:a="http://schemas.openxmlformats.org/drawingml/2006/main">
                  <a:graphicData uri="http://schemas.microsoft.com/office/word/2010/wordprocessingShape">
                    <wps:wsp>
                      <wps:cNvSpPr/>
                      <wps:spPr>
                        <a:xfrm>
                          <a:off x="0" y="0"/>
                          <a:ext cx="5475605" cy="2771775"/>
                        </a:xfrm>
                        <a:prstGeom prst="roundRect">
                          <a:avLst>
                            <a:gd name="adj" fmla="val 889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AE8099" w14:textId="77777777" w:rsidR="00E33C66" w:rsidRPr="006209BA" w:rsidRDefault="00E33C66" w:rsidP="00E33C66">
                            <w:pPr>
                              <w:pStyle w:val="Citation0"/>
                              <w:rPr>
                                <w:color w:val="auto"/>
                              </w:rPr>
                            </w:pPr>
                          </w:p>
                        </w:txbxContent>
                      </wps:txbx>
                      <wps:bodyPr rot="0" spcFirstLastPara="0" vertOverflow="overflow" horzOverflow="overflow" vert="horz" wrap="square" lIns="180000" tIns="108000" rIns="180000" bIns="108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145FC62" id="Rectangle : coins arrondis 156709393" o:spid="_x0000_s1037" style="position:absolute;left:0;text-align:left;margin-left:15.6pt;margin-top:1.8pt;width:431.15pt;height:218.25pt;z-index:251293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8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" fillcolor="white [3212]" strokecolor="black [3213]" strokeweight="1pt">
                <v:stroke joinstyle="miter"/>
                <v:textbox inset="5mm,3mm,5mm,3mm">
                  <w:txbxContent>
                    <w:p w14:paraId="16AE8099" w14:textId="77777777" w:rsidR="00E33C66" w:rsidRPr="006209BA" w:rsidRDefault="00E33C66" w:rsidP="00E33C66">
                      <w:pPr>
                        <w:pStyle w:val="Citation0"/>
                        <w:rPr>
                          <w:color w:val="auto"/>
                        </w:rPr>
                      </w:pPr>
                    </w:p>
                  </w:txbxContent>
                </v:textbox>
                <w10:wrap type="square"/>
              </v:roundrect>
            </w:pict>
          </mc:Fallback>
        </mc:AlternateContent>
      </w:r>
      <w:r w:rsidRPr="00A74D23">
        <w:rPr>
          <w:rFonts w:cs="Open Sans"/>
          <w:noProof/>
          <w:sz w:val="20"/>
          <w:szCs w:val="20"/>
        </w:rPr>
        <mc:AlternateContent>
          <mc:Choice Requires="wps">
            <w:drawing>
              <wp:anchor distT="0" distB="0" distL="114300" distR="114300" simplePos="0" relativeHeight="251315200" behindDoc="0" locked="0" layoutInCell="1" allowOverlap="1" wp14:anchorId="5F6FB7C0" wp14:editId="0DA8F0F8">
                <wp:simplePos x="0" y="0"/>
                <wp:positionH relativeFrom="column">
                  <wp:posOffset>350520</wp:posOffset>
                </wp:positionH>
                <wp:positionV relativeFrom="paragraph">
                  <wp:posOffset>80009</wp:posOffset>
                </wp:positionV>
                <wp:extent cx="5238750" cy="2619375"/>
                <wp:effectExtent l="0" t="0" r="0" b="9525"/>
                <wp:wrapNone/>
                <wp:docPr id="73731360" name="Zone de texte 73731360"/>
                <wp:cNvGraphicFramePr/>
                <a:graphic xmlns:a="http://schemas.openxmlformats.org/drawingml/2006/main">
                  <a:graphicData uri="http://schemas.microsoft.com/office/word/2010/wordprocessingShape">
                    <wps:wsp>
                      <wps:cNvSpPr txBox="1"/>
                      <wps:spPr>
                        <a:xfrm>
                          <a:off x="0" y="0"/>
                          <a:ext cx="5238750" cy="2619375"/>
                        </a:xfrm>
                        <a:prstGeom prst="rect">
                          <a:avLst/>
                        </a:prstGeom>
                        <a:solidFill>
                          <a:schemeClr val="lt1"/>
                        </a:solidFill>
                        <a:ln w="6350">
                          <a:noFill/>
                        </a:ln>
                      </wps:spPr>
                      <wps:txbx>
                        <w:txbxContent>
                          <w:p w14:paraId="6B9FBCD6" w14:textId="77777777" w:rsidR="00996546" w:rsidRDefault="00996546" w:rsidP="00996546">
                            <w:pPr>
                              <w:tabs>
                                <w:tab w:val="left" w:pos="426"/>
                              </w:tabs>
                              <w:jc w:val="both"/>
                            </w:pPr>
                          </w:p>
                          <w:p w14:paraId="70258EF3" w14:textId="77777777" w:rsidR="00996546" w:rsidRPr="00996546" w:rsidRDefault="00996546" w:rsidP="00996546">
                            <w:pPr>
                              <w:pStyle w:val="Style1"/>
                              <w:tabs>
                                <w:tab w:val="left" w:pos="426"/>
                              </w:tabs>
                              <w:ind w:left="0"/>
                              <w:jc w:val="both"/>
                              <w:rPr>
                                <w:rFonts w:ascii="Source Sans Pro" w:eastAsia="Source Sans Pro" w:hAnsi="Source Sans Pro" w:cs="Source Sans Pro"/>
                                <w:i w:val="0"/>
                                <w:iCs w:val="0"/>
                                <w:color w:val="auto"/>
                                <w:sz w:val="20"/>
                                <w:szCs w:val="20"/>
                              </w:rPr>
                            </w:pPr>
                            <w:r w:rsidRPr="00996546">
                              <w:rPr>
                                <w:rFonts w:ascii="Source Sans Pro" w:eastAsia="Source Sans Pro" w:hAnsi="Source Sans Pro" w:cs="Source Sans Pro"/>
                                <w:i w:val="0"/>
                                <w:iCs w:val="0"/>
                                <w:color w:val="auto"/>
                                <w:sz w:val="20"/>
                                <w:szCs w:val="20"/>
                              </w:rPr>
                              <w:t>Nous avons poursuivi sans relâche les efforts engagés ces dernières années, tant dans notre contribution aux travaux de place que dans la poursuite de nos objectifs stratégiques.</w:t>
                            </w:r>
                          </w:p>
                          <w:p w14:paraId="48C7B291" w14:textId="2A13D1F7" w:rsidR="0056550D" w:rsidRPr="00996546" w:rsidRDefault="00996546" w:rsidP="00996546">
                            <w:pPr>
                              <w:pStyle w:val="Style1"/>
                              <w:tabs>
                                <w:tab w:val="left" w:pos="426"/>
                              </w:tabs>
                              <w:ind w:left="0"/>
                              <w:jc w:val="both"/>
                              <w:rPr>
                                <w:rFonts w:ascii="Source Sans Pro" w:eastAsia="Source Sans Pro" w:hAnsi="Source Sans Pro" w:cs="Source Sans Pro"/>
                                <w:i w:val="0"/>
                                <w:iCs w:val="0"/>
                                <w:color w:val="auto"/>
                                <w:sz w:val="20"/>
                                <w:szCs w:val="20"/>
                              </w:rPr>
                            </w:pPr>
                            <w:r w:rsidRPr="00996546">
                              <w:rPr>
                                <w:rFonts w:ascii="Source Sans Pro" w:eastAsia="Source Sans Pro" w:hAnsi="Source Sans Pro" w:cs="Source Sans Pro"/>
                                <w:i w:val="0"/>
                                <w:iCs w:val="0"/>
                                <w:color w:val="auto"/>
                                <w:sz w:val="20"/>
                                <w:szCs w:val="20"/>
                              </w:rPr>
                              <w:t>En 2025, nous avons fait le choix de clarifier notre vision de la durabilité, pour gagner en cohérence et en lisibilité.</w:t>
                            </w:r>
                            <w:r>
                              <w:rPr>
                                <w:rFonts w:ascii="Source Sans Pro" w:eastAsia="Source Sans Pro" w:hAnsi="Source Sans Pro" w:cs="Source Sans Pro"/>
                                <w:i w:val="0"/>
                                <w:iCs w:val="0"/>
                                <w:color w:val="auto"/>
                                <w:sz w:val="20"/>
                                <w:szCs w:val="20"/>
                              </w:rPr>
                              <w:t xml:space="preserve"> </w:t>
                            </w:r>
                            <w:r w:rsidRPr="00996546">
                              <w:rPr>
                                <w:rFonts w:ascii="Source Sans Pro" w:eastAsia="Source Sans Pro" w:hAnsi="Source Sans Pro" w:cs="Source Sans Pro"/>
                                <w:i w:val="0"/>
                                <w:iCs w:val="0"/>
                                <w:color w:val="auto"/>
                                <w:sz w:val="20"/>
                                <w:szCs w:val="20"/>
                              </w:rPr>
                              <w:t>Sur les impacts, nous avons substantiellement renforcé et précisé la définition de l’investissement durable, afin de mieux piloter l’impact réel de nos décisions d’investissement.</w:t>
                            </w:r>
                            <w:r>
                              <w:rPr>
                                <w:rFonts w:ascii="Source Sans Pro" w:eastAsia="Source Sans Pro" w:hAnsi="Source Sans Pro" w:cs="Source Sans Pro"/>
                                <w:i w:val="0"/>
                                <w:iCs w:val="0"/>
                                <w:color w:val="auto"/>
                                <w:sz w:val="20"/>
                                <w:szCs w:val="20"/>
                              </w:rPr>
                              <w:t xml:space="preserve"> </w:t>
                            </w:r>
                            <w:r w:rsidRPr="00996546">
                              <w:rPr>
                                <w:rFonts w:ascii="Source Sans Pro" w:eastAsia="Source Sans Pro" w:hAnsi="Source Sans Pro" w:cs="Source Sans Pro"/>
                                <w:i w:val="0"/>
                                <w:iCs w:val="0"/>
                                <w:color w:val="auto"/>
                                <w:sz w:val="20"/>
                                <w:szCs w:val="20"/>
                              </w:rPr>
                              <w:t xml:space="preserve">Sur les risques, l’année a constitué une étape clé. Un travail structurant a été mené sur la conception d’indicateurs de pilotage, appelés à être </w:t>
                            </w:r>
                            <w:r w:rsidR="00B83CB4">
                              <w:rPr>
                                <w:rFonts w:ascii="Source Sans Pro" w:eastAsia="Source Sans Pro" w:hAnsi="Source Sans Pro" w:cs="Source Sans Pro"/>
                                <w:i w:val="0"/>
                                <w:iCs w:val="0"/>
                                <w:color w:val="auto"/>
                                <w:sz w:val="20"/>
                                <w:szCs w:val="20"/>
                              </w:rPr>
                              <w:t xml:space="preserve">progressivement </w:t>
                            </w:r>
                            <w:r w:rsidRPr="00996546">
                              <w:rPr>
                                <w:rFonts w:ascii="Source Sans Pro" w:eastAsia="Source Sans Pro" w:hAnsi="Source Sans Pro" w:cs="Source Sans Pro"/>
                                <w:i w:val="0"/>
                                <w:iCs w:val="0"/>
                                <w:color w:val="auto"/>
                                <w:sz w:val="20"/>
                                <w:szCs w:val="20"/>
                              </w:rPr>
                              <w:t>déployés dans nos politiques</w:t>
                            </w:r>
                            <w:r w:rsidR="00B83CB4">
                              <w:rPr>
                                <w:rFonts w:ascii="Source Sans Pro" w:eastAsia="Source Sans Pro" w:hAnsi="Source Sans Pro" w:cs="Source Sans Pro"/>
                                <w:i w:val="0"/>
                                <w:iCs w:val="0"/>
                                <w:color w:val="auto"/>
                                <w:sz w:val="20"/>
                                <w:szCs w:val="20"/>
                              </w:rPr>
                              <w:t xml:space="preserve">. </w:t>
                            </w:r>
                          </w:p>
                          <w:p w14:paraId="7614E4E2" w14:textId="77777777" w:rsidR="00996546" w:rsidRDefault="00996546" w:rsidP="00E33C66">
                            <w:pPr>
                              <w:pStyle w:val="Style1"/>
                              <w:numPr>
                                <w:ilvl w:val="0"/>
                                <w:numId w:val="0"/>
                              </w:numPr>
                              <w:tabs>
                                <w:tab w:val="left" w:pos="426"/>
                              </w:tabs>
                              <w:jc w:val="both"/>
                              <w:rPr>
                                <w:rFonts w:ascii="Source Sans Pro" w:eastAsia="Source Sans Pro" w:hAnsi="Source Sans Pro" w:cs="Source Sans Pro"/>
                                <w:i w:val="0"/>
                                <w:iCs w:val="0"/>
                                <w:color w:val="auto"/>
                                <w:sz w:val="20"/>
                                <w:szCs w:val="20"/>
                              </w:rPr>
                            </w:pPr>
                          </w:p>
                          <w:p w14:paraId="24AC357F" w14:textId="77777777" w:rsidR="0096449D" w:rsidRDefault="0096449D" w:rsidP="0096449D">
                            <w:pPr>
                              <w:pStyle w:val="Style1"/>
                              <w:numPr>
                                <w:ilvl w:val="0"/>
                                <w:numId w:val="0"/>
                              </w:numPr>
                              <w:ind w:left="26"/>
                            </w:pPr>
                            <w:r>
                              <w:rPr>
                                <w:noProof/>
                              </w:rPr>
                              <w:drawing>
                                <wp:inline distT="0" distB="0" distL="0" distR="0" wp14:anchorId="7D8D1231" wp14:editId="27FFD677">
                                  <wp:extent cx="683866" cy="724421"/>
                                  <wp:effectExtent l="0" t="0" r="2540" b="0"/>
                                  <wp:docPr id="2131823493" name="Image 1" descr="Une image contenant Visage humain, Front, personne, Ment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687780" name="Image 1" descr="Une image contenant Visage humain, Front, personne, Menton&#10;&#10;Le contenu généré par l’IA peut être incorrect."/>
                                          <pic:cNvPicPr/>
                                        </pic:nvPicPr>
                                        <pic:blipFill>
                                          <a:blip r:embed="rId38"/>
                                          <a:stretch>
                                            <a:fillRect/>
                                          </a:stretch>
                                        </pic:blipFill>
                                        <pic:spPr>
                                          <a:xfrm>
                                            <a:off x="0" y="0"/>
                                            <a:ext cx="697139" cy="738481"/>
                                          </a:xfrm>
                                          <a:prstGeom prst="rect">
                                            <a:avLst/>
                                          </a:prstGeom>
                                        </pic:spPr>
                                      </pic:pic>
                                    </a:graphicData>
                                  </a:graphic>
                                </wp:inline>
                              </w:drawing>
                            </w:r>
                            <w:r w:rsidRPr="00D4571A">
                              <w:rPr>
                                <w:rFonts w:ascii="Source Sans Pro" w:hAnsi="Source Sans Pro"/>
                                <w:b/>
                                <w:i w:val="0"/>
                                <w:color w:val="000000" w:themeColor="text1"/>
                                <w:sz w:val="20"/>
                              </w:rPr>
                              <w:t>Jean-François COPPENOLLE</w:t>
                            </w:r>
                            <w:r>
                              <w:rPr>
                                <w:rFonts w:ascii="Source Sans Pro" w:hAnsi="Source Sans Pro"/>
                                <w:b/>
                                <w:i w:val="0"/>
                                <w:color w:val="000000" w:themeColor="text1"/>
                                <w:sz w:val="20"/>
                              </w:rPr>
                              <w:t xml:space="preserve">, </w:t>
                            </w:r>
                            <w:r w:rsidRPr="00D4571A">
                              <w:rPr>
                                <w:rFonts w:ascii="Source Sans Pro" w:hAnsi="Source Sans Pro"/>
                                <w:b/>
                                <w:i w:val="0"/>
                                <w:color w:val="000000" w:themeColor="text1"/>
                                <w:sz w:val="20"/>
                              </w:rPr>
                              <w:t xml:space="preserve">Directeur </w:t>
                            </w:r>
                            <w:r>
                              <w:rPr>
                                <w:rFonts w:ascii="Source Sans Pro" w:hAnsi="Source Sans Pro"/>
                                <w:b/>
                                <w:i w:val="0"/>
                                <w:color w:val="000000" w:themeColor="text1"/>
                                <w:sz w:val="20"/>
                              </w:rPr>
                              <w:t xml:space="preserve">d’investissement et du pôle </w:t>
                            </w:r>
                            <w:r w:rsidRPr="00D4571A">
                              <w:rPr>
                                <w:rFonts w:ascii="Source Sans Pro" w:hAnsi="Source Sans Pro"/>
                                <w:b/>
                                <w:i w:val="0"/>
                                <w:color w:val="000000" w:themeColor="text1"/>
                                <w:sz w:val="20"/>
                              </w:rPr>
                              <w:t>ISR</w:t>
                            </w:r>
                          </w:p>
                          <w:p w14:paraId="6DA84756" w14:textId="0273846F" w:rsidR="00E33C66" w:rsidRPr="00E52497" w:rsidRDefault="00E33C66" w:rsidP="00E33C66">
                            <w:pPr>
                              <w:pStyle w:val="Style1"/>
                              <w:numPr>
                                <w:ilvl w:val="0"/>
                                <w:numId w:val="0"/>
                              </w:numPr>
                              <w:tabs>
                                <w:tab w:val="left" w:pos="426"/>
                              </w:tabs>
                              <w:jc w:val="both"/>
                              <w:rPr>
                                <w:rFonts w:ascii="Source Sans Pro" w:hAnsi="Source Sans Pro"/>
                                <w:b/>
                                <w:i w:val="0"/>
                                <w:iCs w:val="0"/>
                                <w:color w:val="auto"/>
                                <w:sz w:val="20"/>
                              </w:rPr>
                            </w:pPr>
                          </w:p>
                          <w:p w14:paraId="6BC599E9" w14:textId="77777777" w:rsidR="00E33C66" w:rsidRPr="00474EE1" w:rsidRDefault="00E33C66" w:rsidP="00E33C66">
                            <w:pPr>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FB7C0" id="Zone de texte 73731360" o:spid="_x0000_s1038" type="#_x0000_t202" style="position:absolute;left:0;text-align:left;margin-left:27.6pt;margin-top:6.3pt;width:412.5pt;height:206.25pt;z-index:25131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" fillcolor="white [3201]" stroked="f" strokeweight=".5pt">
                <v:textbox>
                  <w:txbxContent>
                    <w:p w14:paraId="6B9FBCD6" w14:textId="77777777" w:rsidR="00996546" w:rsidRDefault="00996546" w:rsidP="00996546">
                      <w:pPr>
                        <w:tabs>
                          <w:tab w:val="left" w:pos="426"/>
                        </w:tabs>
                        <w:jc w:val="both"/>
                      </w:pPr>
                    </w:p>
                    <w:p w14:paraId="70258EF3" w14:textId="77777777" w:rsidR="00996546" w:rsidRPr="00996546" w:rsidRDefault="00996546" w:rsidP="00996546">
                      <w:pPr>
                        <w:pStyle w:val="Style1"/>
                        <w:tabs>
                          <w:tab w:val="left" w:pos="426"/>
                        </w:tabs>
                        <w:ind w:left="0"/>
                        <w:jc w:val="both"/>
                        <w:rPr>
                          <w:rFonts w:ascii="Source Sans Pro" w:eastAsia="Source Sans Pro" w:hAnsi="Source Sans Pro" w:cs="Source Sans Pro"/>
                          <w:i w:val="0"/>
                          <w:iCs w:val="0"/>
                          <w:color w:val="auto"/>
                          <w:sz w:val="20"/>
                          <w:szCs w:val="20"/>
                        </w:rPr>
                      </w:pPr>
                      <w:r w:rsidRPr="00996546">
                        <w:rPr>
                          <w:rFonts w:ascii="Source Sans Pro" w:eastAsia="Source Sans Pro" w:hAnsi="Source Sans Pro" w:cs="Source Sans Pro"/>
                          <w:i w:val="0"/>
                          <w:iCs w:val="0"/>
                          <w:color w:val="auto"/>
                          <w:sz w:val="20"/>
                          <w:szCs w:val="20"/>
                        </w:rPr>
                        <w:t>Nous avons poursuivi sans relâche les efforts engagés ces dernières années, tant dans notre contribution aux travaux de place que dans la poursuite de nos objectifs stratégiques.</w:t>
                      </w:r>
                    </w:p>
                    <w:p w14:paraId="48C7B291" w14:textId="2A13D1F7" w:rsidR="0056550D" w:rsidRPr="00996546" w:rsidRDefault="00996546" w:rsidP="00996546">
                      <w:pPr>
                        <w:pStyle w:val="Style1"/>
                        <w:tabs>
                          <w:tab w:val="left" w:pos="426"/>
                        </w:tabs>
                        <w:ind w:left="0"/>
                        <w:jc w:val="both"/>
                        <w:rPr>
                          <w:rFonts w:ascii="Source Sans Pro" w:eastAsia="Source Sans Pro" w:hAnsi="Source Sans Pro" w:cs="Source Sans Pro"/>
                          <w:i w:val="0"/>
                          <w:iCs w:val="0"/>
                          <w:color w:val="auto"/>
                          <w:sz w:val="20"/>
                          <w:szCs w:val="20"/>
                        </w:rPr>
                      </w:pPr>
                      <w:r w:rsidRPr="00996546">
                        <w:rPr>
                          <w:rFonts w:ascii="Source Sans Pro" w:eastAsia="Source Sans Pro" w:hAnsi="Source Sans Pro" w:cs="Source Sans Pro"/>
                          <w:i w:val="0"/>
                          <w:iCs w:val="0"/>
                          <w:color w:val="auto"/>
                          <w:sz w:val="20"/>
                          <w:szCs w:val="20"/>
                        </w:rPr>
                        <w:t>En 2025, nous avons fait le choix de clarifier notre vision de la durabilité, pour gagner en cohérence et en lisibilité.</w:t>
                      </w:r>
                      <w:r>
                        <w:rPr>
                          <w:rFonts w:ascii="Source Sans Pro" w:eastAsia="Source Sans Pro" w:hAnsi="Source Sans Pro" w:cs="Source Sans Pro"/>
                          <w:i w:val="0"/>
                          <w:iCs w:val="0"/>
                          <w:color w:val="auto"/>
                          <w:sz w:val="20"/>
                          <w:szCs w:val="20"/>
                        </w:rPr>
                        <w:t xml:space="preserve"> </w:t>
                      </w:r>
                      <w:r w:rsidRPr="00996546">
                        <w:rPr>
                          <w:rFonts w:ascii="Source Sans Pro" w:eastAsia="Source Sans Pro" w:hAnsi="Source Sans Pro" w:cs="Source Sans Pro"/>
                          <w:i w:val="0"/>
                          <w:iCs w:val="0"/>
                          <w:color w:val="auto"/>
                          <w:sz w:val="20"/>
                          <w:szCs w:val="20"/>
                        </w:rPr>
                        <w:t>Sur les impacts, nous avons substantiellement renforcé et précisé la définition de l’investissement durable, afin de mieux piloter l’impact réel de nos décisions d’investissement.</w:t>
                      </w:r>
                      <w:r>
                        <w:rPr>
                          <w:rFonts w:ascii="Source Sans Pro" w:eastAsia="Source Sans Pro" w:hAnsi="Source Sans Pro" w:cs="Source Sans Pro"/>
                          <w:i w:val="0"/>
                          <w:iCs w:val="0"/>
                          <w:color w:val="auto"/>
                          <w:sz w:val="20"/>
                          <w:szCs w:val="20"/>
                        </w:rPr>
                        <w:t xml:space="preserve"> </w:t>
                      </w:r>
                      <w:r w:rsidRPr="00996546">
                        <w:rPr>
                          <w:rFonts w:ascii="Source Sans Pro" w:eastAsia="Source Sans Pro" w:hAnsi="Source Sans Pro" w:cs="Source Sans Pro"/>
                          <w:i w:val="0"/>
                          <w:iCs w:val="0"/>
                          <w:color w:val="auto"/>
                          <w:sz w:val="20"/>
                          <w:szCs w:val="20"/>
                        </w:rPr>
                        <w:t xml:space="preserve">Sur les risques, l’année a constitué une étape clé. Un travail structurant a été mené sur la conception d’indicateurs de pilotage, appelés à être </w:t>
                      </w:r>
                      <w:r w:rsidR="00B83CB4">
                        <w:rPr>
                          <w:rFonts w:ascii="Source Sans Pro" w:eastAsia="Source Sans Pro" w:hAnsi="Source Sans Pro" w:cs="Source Sans Pro"/>
                          <w:i w:val="0"/>
                          <w:iCs w:val="0"/>
                          <w:color w:val="auto"/>
                          <w:sz w:val="20"/>
                          <w:szCs w:val="20"/>
                        </w:rPr>
                        <w:t xml:space="preserve">progressivement </w:t>
                      </w:r>
                      <w:r w:rsidRPr="00996546">
                        <w:rPr>
                          <w:rFonts w:ascii="Source Sans Pro" w:eastAsia="Source Sans Pro" w:hAnsi="Source Sans Pro" w:cs="Source Sans Pro"/>
                          <w:i w:val="0"/>
                          <w:iCs w:val="0"/>
                          <w:color w:val="auto"/>
                          <w:sz w:val="20"/>
                          <w:szCs w:val="20"/>
                        </w:rPr>
                        <w:t>déployés dans nos politiques</w:t>
                      </w:r>
                      <w:r w:rsidR="00B83CB4">
                        <w:rPr>
                          <w:rFonts w:ascii="Source Sans Pro" w:eastAsia="Source Sans Pro" w:hAnsi="Source Sans Pro" w:cs="Source Sans Pro"/>
                          <w:i w:val="0"/>
                          <w:iCs w:val="0"/>
                          <w:color w:val="auto"/>
                          <w:sz w:val="20"/>
                          <w:szCs w:val="20"/>
                        </w:rPr>
                        <w:t xml:space="preserve">. </w:t>
                      </w:r>
                    </w:p>
                    <w:p w14:paraId="7614E4E2" w14:textId="77777777" w:rsidR="00996546" w:rsidRDefault="00996546" w:rsidP="00E33C66">
                      <w:pPr>
                        <w:pStyle w:val="Style1"/>
                        <w:numPr>
                          <w:ilvl w:val="0"/>
                          <w:numId w:val="0"/>
                        </w:numPr>
                        <w:tabs>
                          <w:tab w:val="left" w:pos="426"/>
                        </w:tabs>
                        <w:jc w:val="both"/>
                        <w:rPr>
                          <w:rFonts w:ascii="Source Sans Pro" w:eastAsia="Source Sans Pro" w:hAnsi="Source Sans Pro" w:cs="Source Sans Pro"/>
                          <w:i w:val="0"/>
                          <w:iCs w:val="0"/>
                          <w:color w:val="auto"/>
                          <w:sz w:val="20"/>
                          <w:szCs w:val="20"/>
                        </w:rPr>
                      </w:pPr>
                    </w:p>
                    <w:p w14:paraId="24AC357F" w14:textId="77777777" w:rsidR="0096449D" w:rsidRDefault="0096449D" w:rsidP="0096449D">
                      <w:pPr>
                        <w:pStyle w:val="Style1"/>
                        <w:numPr>
                          <w:ilvl w:val="0"/>
                          <w:numId w:val="0"/>
                        </w:numPr>
                        <w:ind w:left="26"/>
                      </w:pPr>
                      <w:r>
                        <w:rPr>
                          <w:noProof/>
                        </w:rPr>
                        <w:drawing>
                          <wp:inline distT="0" distB="0" distL="0" distR="0" wp14:anchorId="7D8D1231" wp14:editId="27FFD677">
                            <wp:extent cx="683866" cy="724421"/>
                            <wp:effectExtent l="0" t="0" r="2540" b="0"/>
                            <wp:docPr id="2131823493" name="Image 1" descr="Une image contenant Visage humain, Front, personne, Ment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687780" name="Image 1" descr="Une image contenant Visage humain, Front, personne, Menton&#10;&#10;Le contenu généré par l’IA peut être incorrect."/>
                                    <pic:cNvPicPr/>
                                  </pic:nvPicPr>
                                  <pic:blipFill>
                                    <a:blip r:embed="rId39"/>
                                    <a:stretch>
                                      <a:fillRect/>
                                    </a:stretch>
                                  </pic:blipFill>
                                  <pic:spPr>
                                    <a:xfrm>
                                      <a:off x="0" y="0"/>
                                      <a:ext cx="697139" cy="738481"/>
                                    </a:xfrm>
                                    <a:prstGeom prst="rect">
                                      <a:avLst/>
                                    </a:prstGeom>
                                  </pic:spPr>
                                </pic:pic>
                              </a:graphicData>
                            </a:graphic>
                          </wp:inline>
                        </w:drawing>
                      </w:r>
                      <w:r w:rsidRPr="00D4571A">
                        <w:rPr>
                          <w:rFonts w:ascii="Source Sans Pro" w:hAnsi="Source Sans Pro"/>
                          <w:b/>
                          <w:i w:val="0"/>
                          <w:color w:val="000000" w:themeColor="text1"/>
                          <w:sz w:val="20"/>
                        </w:rPr>
                        <w:t>Jean-François COPPENOLLE</w:t>
                      </w:r>
                      <w:r>
                        <w:rPr>
                          <w:rFonts w:ascii="Source Sans Pro" w:hAnsi="Source Sans Pro"/>
                          <w:b/>
                          <w:i w:val="0"/>
                          <w:color w:val="000000" w:themeColor="text1"/>
                          <w:sz w:val="20"/>
                        </w:rPr>
                        <w:t xml:space="preserve">, </w:t>
                      </w:r>
                      <w:r w:rsidRPr="00D4571A">
                        <w:rPr>
                          <w:rFonts w:ascii="Source Sans Pro" w:hAnsi="Source Sans Pro"/>
                          <w:b/>
                          <w:i w:val="0"/>
                          <w:color w:val="000000" w:themeColor="text1"/>
                          <w:sz w:val="20"/>
                        </w:rPr>
                        <w:t xml:space="preserve">Directeur </w:t>
                      </w:r>
                      <w:r>
                        <w:rPr>
                          <w:rFonts w:ascii="Source Sans Pro" w:hAnsi="Source Sans Pro"/>
                          <w:b/>
                          <w:i w:val="0"/>
                          <w:color w:val="000000" w:themeColor="text1"/>
                          <w:sz w:val="20"/>
                        </w:rPr>
                        <w:t xml:space="preserve">d’investissement et du pôle </w:t>
                      </w:r>
                      <w:r w:rsidRPr="00D4571A">
                        <w:rPr>
                          <w:rFonts w:ascii="Source Sans Pro" w:hAnsi="Source Sans Pro"/>
                          <w:b/>
                          <w:i w:val="0"/>
                          <w:color w:val="000000" w:themeColor="text1"/>
                          <w:sz w:val="20"/>
                        </w:rPr>
                        <w:t>ISR</w:t>
                      </w:r>
                    </w:p>
                    <w:p w14:paraId="6DA84756" w14:textId="0273846F" w:rsidR="00E33C66" w:rsidRPr="00E52497" w:rsidRDefault="00E33C66" w:rsidP="00E33C66">
                      <w:pPr>
                        <w:pStyle w:val="Style1"/>
                        <w:numPr>
                          <w:ilvl w:val="0"/>
                          <w:numId w:val="0"/>
                        </w:numPr>
                        <w:tabs>
                          <w:tab w:val="left" w:pos="426"/>
                        </w:tabs>
                        <w:jc w:val="both"/>
                        <w:rPr>
                          <w:rFonts w:ascii="Source Sans Pro" w:hAnsi="Source Sans Pro"/>
                          <w:b/>
                          <w:i w:val="0"/>
                          <w:iCs w:val="0"/>
                          <w:color w:val="auto"/>
                          <w:sz w:val="20"/>
                        </w:rPr>
                      </w:pPr>
                    </w:p>
                    <w:p w14:paraId="6BC599E9" w14:textId="77777777" w:rsidR="00E33C66" w:rsidRPr="00474EE1" w:rsidRDefault="00E33C66" w:rsidP="00E33C66">
                      <w:pPr>
                        <w:rPr>
                          <w:lang w:val="fr-FR"/>
                        </w:rPr>
                      </w:pPr>
                    </w:p>
                  </w:txbxContent>
                </v:textbox>
              </v:shape>
            </w:pict>
          </mc:Fallback>
        </mc:AlternateContent>
      </w:r>
    </w:p>
    <w:p w14:paraId="48CAF69A" w14:textId="36A1B379" w:rsidR="00A90897" w:rsidRPr="00A74D23" w:rsidRDefault="00A90897" w:rsidP="009D6EE5">
      <w:pPr>
        <w:pStyle w:val="Style1"/>
        <w:numPr>
          <w:ilvl w:val="0"/>
          <w:numId w:val="0"/>
        </w:numPr>
        <w:tabs>
          <w:tab w:val="clear" w:pos="2010"/>
          <w:tab w:val="left" w:pos="1134"/>
        </w:tabs>
        <w:spacing w:line="22" w:lineRule="atLeast"/>
        <w:jc w:val="both"/>
        <w:rPr>
          <w:rFonts w:cs="Open Sans"/>
          <w:i w:val="0"/>
          <w:color w:val="auto"/>
          <w:sz w:val="20"/>
          <w:szCs w:val="20"/>
        </w:rPr>
      </w:pPr>
    </w:p>
    <w:p w14:paraId="6B94B8FA" w14:textId="77777777" w:rsidR="0056550D" w:rsidRPr="00A74D23" w:rsidRDefault="0056550D" w:rsidP="009D6EE5">
      <w:pPr>
        <w:pStyle w:val="Style1"/>
        <w:numPr>
          <w:ilvl w:val="0"/>
          <w:numId w:val="0"/>
        </w:numPr>
        <w:tabs>
          <w:tab w:val="clear" w:pos="2010"/>
          <w:tab w:val="left" w:pos="1134"/>
        </w:tabs>
        <w:spacing w:line="22" w:lineRule="atLeast"/>
        <w:jc w:val="both"/>
        <w:rPr>
          <w:rFonts w:cs="Open Sans"/>
          <w:i w:val="0"/>
          <w:color w:val="auto"/>
          <w:sz w:val="20"/>
          <w:szCs w:val="20"/>
        </w:rPr>
      </w:pPr>
    </w:p>
    <w:p w14:paraId="05618E3D" w14:textId="77777777" w:rsidR="0056550D" w:rsidRPr="00A74D23" w:rsidRDefault="0056550D" w:rsidP="009D6EE5">
      <w:pPr>
        <w:pStyle w:val="Style1"/>
        <w:numPr>
          <w:ilvl w:val="0"/>
          <w:numId w:val="0"/>
        </w:numPr>
        <w:tabs>
          <w:tab w:val="clear" w:pos="2010"/>
          <w:tab w:val="left" w:pos="1134"/>
        </w:tabs>
        <w:spacing w:line="22" w:lineRule="atLeast"/>
        <w:jc w:val="both"/>
        <w:rPr>
          <w:rFonts w:cs="Open Sans"/>
          <w:i w:val="0"/>
          <w:color w:val="auto"/>
          <w:sz w:val="20"/>
          <w:szCs w:val="20"/>
        </w:rPr>
      </w:pPr>
    </w:p>
    <w:p w14:paraId="61A3756E" w14:textId="77777777" w:rsidR="0056550D" w:rsidRPr="00A74D23" w:rsidRDefault="0056550D" w:rsidP="009D6EE5">
      <w:pPr>
        <w:pStyle w:val="Style1"/>
        <w:numPr>
          <w:ilvl w:val="0"/>
          <w:numId w:val="0"/>
        </w:numPr>
        <w:tabs>
          <w:tab w:val="clear" w:pos="2010"/>
          <w:tab w:val="left" w:pos="1134"/>
        </w:tabs>
        <w:spacing w:line="22" w:lineRule="atLeast"/>
        <w:jc w:val="both"/>
        <w:rPr>
          <w:rFonts w:cs="Open Sans"/>
          <w:i w:val="0"/>
          <w:color w:val="auto"/>
          <w:sz w:val="20"/>
          <w:szCs w:val="20"/>
        </w:rPr>
      </w:pPr>
    </w:p>
    <w:p w14:paraId="70DBABA2" w14:textId="77777777" w:rsidR="0056550D" w:rsidRPr="00A74D23" w:rsidRDefault="0056550D" w:rsidP="009D6EE5">
      <w:pPr>
        <w:pStyle w:val="Style1"/>
        <w:numPr>
          <w:ilvl w:val="0"/>
          <w:numId w:val="0"/>
        </w:numPr>
        <w:tabs>
          <w:tab w:val="clear" w:pos="2010"/>
          <w:tab w:val="left" w:pos="1134"/>
        </w:tabs>
        <w:spacing w:line="22" w:lineRule="atLeast"/>
        <w:jc w:val="both"/>
        <w:rPr>
          <w:rFonts w:cs="Open Sans"/>
          <w:i w:val="0"/>
          <w:color w:val="auto"/>
          <w:sz w:val="20"/>
          <w:szCs w:val="20"/>
        </w:rPr>
      </w:pPr>
    </w:p>
    <w:p w14:paraId="5E382047" w14:textId="77777777" w:rsidR="0056550D" w:rsidRPr="00A74D23" w:rsidRDefault="0056550D" w:rsidP="009D6EE5">
      <w:pPr>
        <w:pStyle w:val="Style1"/>
        <w:numPr>
          <w:ilvl w:val="0"/>
          <w:numId w:val="0"/>
        </w:numPr>
        <w:tabs>
          <w:tab w:val="clear" w:pos="2010"/>
          <w:tab w:val="left" w:pos="1134"/>
        </w:tabs>
        <w:spacing w:line="22" w:lineRule="atLeast"/>
        <w:jc w:val="both"/>
        <w:rPr>
          <w:rFonts w:cs="Open Sans"/>
          <w:i w:val="0"/>
          <w:color w:val="auto"/>
          <w:sz w:val="20"/>
          <w:szCs w:val="20"/>
        </w:rPr>
      </w:pPr>
    </w:p>
    <w:p w14:paraId="3BA72219" w14:textId="77777777" w:rsidR="0056550D" w:rsidRPr="00A74D23" w:rsidRDefault="0056550D" w:rsidP="009D6EE5">
      <w:pPr>
        <w:pStyle w:val="Style1"/>
        <w:numPr>
          <w:ilvl w:val="0"/>
          <w:numId w:val="0"/>
        </w:numPr>
        <w:tabs>
          <w:tab w:val="clear" w:pos="2010"/>
          <w:tab w:val="left" w:pos="1134"/>
        </w:tabs>
        <w:spacing w:line="22" w:lineRule="atLeast"/>
        <w:jc w:val="both"/>
        <w:rPr>
          <w:rFonts w:cs="Open Sans"/>
          <w:i w:val="0"/>
          <w:color w:val="auto"/>
          <w:sz w:val="20"/>
          <w:szCs w:val="20"/>
        </w:rPr>
      </w:pPr>
    </w:p>
    <w:p w14:paraId="7E718108" w14:textId="77777777" w:rsidR="0056550D" w:rsidRPr="00A74D23" w:rsidRDefault="0056550D" w:rsidP="009D6EE5">
      <w:pPr>
        <w:pStyle w:val="Style1"/>
        <w:numPr>
          <w:ilvl w:val="0"/>
          <w:numId w:val="0"/>
        </w:numPr>
        <w:tabs>
          <w:tab w:val="clear" w:pos="2010"/>
          <w:tab w:val="left" w:pos="1134"/>
        </w:tabs>
        <w:spacing w:line="22" w:lineRule="atLeast"/>
        <w:jc w:val="both"/>
        <w:rPr>
          <w:rFonts w:cs="Open Sans"/>
          <w:i w:val="0"/>
          <w:color w:val="auto"/>
          <w:sz w:val="20"/>
          <w:szCs w:val="20"/>
        </w:rPr>
      </w:pPr>
    </w:p>
    <w:p w14:paraId="5F06DE65" w14:textId="612F4B5C" w:rsidR="0056550D" w:rsidRPr="00A74D23" w:rsidRDefault="0056550D" w:rsidP="009D6EE5">
      <w:pPr>
        <w:pStyle w:val="Style1"/>
        <w:numPr>
          <w:ilvl w:val="0"/>
          <w:numId w:val="0"/>
        </w:numPr>
        <w:tabs>
          <w:tab w:val="clear" w:pos="2010"/>
          <w:tab w:val="left" w:pos="1134"/>
        </w:tabs>
        <w:spacing w:line="22" w:lineRule="atLeast"/>
        <w:jc w:val="both"/>
        <w:rPr>
          <w:rFonts w:cs="Open Sans"/>
          <w:i w:val="0"/>
          <w:color w:val="auto"/>
          <w:sz w:val="20"/>
          <w:szCs w:val="20"/>
        </w:rPr>
      </w:pPr>
    </w:p>
    <w:p w14:paraId="6E5C91CA" w14:textId="5216F858" w:rsidR="0056550D" w:rsidRPr="00A74D23" w:rsidRDefault="0056550D" w:rsidP="009D6EE5">
      <w:pPr>
        <w:pStyle w:val="Style1"/>
        <w:numPr>
          <w:ilvl w:val="0"/>
          <w:numId w:val="0"/>
        </w:numPr>
        <w:tabs>
          <w:tab w:val="clear" w:pos="2010"/>
          <w:tab w:val="left" w:pos="1134"/>
        </w:tabs>
        <w:spacing w:line="22" w:lineRule="atLeast"/>
        <w:jc w:val="both"/>
        <w:rPr>
          <w:rFonts w:cs="Open Sans"/>
          <w:i w:val="0"/>
          <w:color w:val="auto"/>
          <w:sz w:val="20"/>
          <w:szCs w:val="20"/>
        </w:rPr>
      </w:pPr>
    </w:p>
    <w:p w14:paraId="0EEEC30B" w14:textId="2D91A221" w:rsidR="0056550D" w:rsidRPr="00A74D23" w:rsidRDefault="0056550D" w:rsidP="009D6EE5">
      <w:pPr>
        <w:pStyle w:val="Style1"/>
        <w:numPr>
          <w:ilvl w:val="0"/>
          <w:numId w:val="0"/>
        </w:numPr>
        <w:tabs>
          <w:tab w:val="clear" w:pos="2010"/>
          <w:tab w:val="left" w:pos="1134"/>
        </w:tabs>
        <w:spacing w:line="22" w:lineRule="atLeast"/>
        <w:jc w:val="both"/>
        <w:rPr>
          <w:rFonts w:cs="Open Sans"/>
          <w:i w:val="0"/>
          <w:color w:val="auto"/>
          <w:sz w:val="20"/>
          <w:szCs w:val="20"/>
        </w:rPr>
      </w:pPr>
    </w:p>
    <w:p w14:paraId="0E80520B" w14:textId="6DD4F438" w:rsidR="0056550D" w:rsidRPr="00A74D23" w:rsidRDefault="0056550D" w:rsidP="009D6EE5">
      <w:pPr>
        <w:pStyle w:val="Style1"/>
        <w:numPr>
          <w:ilvl w:val="0"/>
          <w:numId w:val="0"/>
        </w:numPr>
        <w:tabs>
          <w:tab w:val="clear" w:pos="2010"/>
          <w:tab w:val="left" w:pos="1134"/>
        </w:tabs>
        <w:spacing w:line="22" w:lineRule="atLeast"/>
        <w:jc w:val="both"/>
        <w:rPr>
          <w:rFonts w:cs="Open Sans"/>
          <w:i w:val="0"/>
          <w:color w:val="auto"/>
          <w:sz w:val="20"/>
          <w:szCs w:val="20"/>
        </w:rPr>
      </w:pPr>
    </w:p>
    <w:p w14:paraId="60091148" w14:textId="59CFD54A" w:rsidR="0056550D" w:rsidRPr="00A74D23" w:rsidRDefault="0056550D" w:rsidP="009D6EE5">
      <w:pPr>
        <w:pStyle w:val="Style1"/>
        <w:numPr>
          <w:ilvl w:val="0"/>
          <w:numId w:val="0"/>
        </w:numPr>
        <w:tabs>
          <w:tab w:val="clear" w:pos="2010"/>
          <w:tab w:val="left" w:pos="1134"/>
        </w:tabs>
        <w:spacing w:line="22" w:lineRule="atLeast"/>
        <w:jc w:val="both"/>
        <w:rPr>
          <w:rFonts w:cs="Open Sans"/>
          <w:i w:val="0"/>
          <w:color w:val="auto"/>
          <w:sz w:val="20"/>
          <w:szCs w:val="20"/>
        </w:rPr>
      </w:pPr>
    </w:p>
    <w:p w14:paraId="3C4A9C73" w14:textId="66719782" w:rsidR="0056550D" w:rsidRPr="00A74D23" w:rsidRDefault="00996546" w:rsidP="009D6EE5">
      <w:pPr>
        <w:pStyle w:val="Style1"/>
        <w:numPr>
          <w:ilvl w:val="0"/>
          <w:numId w:val="0"/>
        </w:numPr>
        <w:tabs>
          <w:tab w:val="clear" w:pos="2010"/>
          <w:tab w:val="left" w:pos="1134"/>
        </w:tabs>
        <w:spacing w:line="22" w:lineRule="atLeast"/>
        <w:jc w:val="both"/>
        <w:rPr>
          <w:rFonts w:cs="Open Sans"/>
          <w:i w:val="0"/>
          <w:color w:val="auto"/>
          <w:sz w:val="20"/>
          <w:szCs w:val="20"/>
        </w:rPr>
      </w:pPr>
      <w:r w:rsidRPr="00A74D23">
        <w:rPr>
          <w:rFonts w:eastAsia="Calibri"/>
          <w:i w:val="0"/>
          <w:noProof/>
          <w:sz w:val="20"/>
          <w:szCs w:val="20"/>
          <w:lang w:eastAsia="fr-FR"/>
        </w:rPr>
        <mc:AlternateContent>
          <mc:Choice Requires="wpg">
            <w:drawing>
              <wp:anchor distT="0" distB="0" distL="114300" distR="114300" simplePos="0" relativeHeight="251320320" behindDoc="0" locked="0" layoutInCell="1" allowOverlap="1" wp14:anchorId="19B098E4" wp14:editId="253119EF">
                <wp:simplePos x="0" y="0"/>
                <wp:positionH relativeFrom="margin">
                  <wp:posOffset>5325062</wp:posOffset>
                </wp:positionH>
                <wp:positionV relativeFrom="paragraph">
                  <wp:posOffset>16665</wp:posOffset>
                </wp:positionV>
                <wp:extent cx="389890" cy="281305"/>
                <wp:effectExtent l="0" t="0" r="10160" b="23495"/>
                <wp:wrapNone/>
                <wp:docPr id="1838554815" name="Groupe 132"/>
                <wp:cNvGraphicFramePr/>
                <a:graphic xmlns:a="http://schemas.openxmlformats.org/drawingml/2006/main">
                  <a:graphicData uri="http://schemas.microsoft.com/office/word/2010/wordprocessingGroup">
                    <wpg:wgp>
                      <wpg:cNvGrpSpPr/>
                      <wpg:grpSpPr>
                        <a:xfrm flipH="1">
                          <a:off x="0" y="0"/>
                          <a:ext cx="389890" cy="281305"/>
                          <a:chOff x="0" y="0"/>
                          <a:chExt cx="480287" cy="346688"/>
                        </a:xfrm>
                      </wpg:grpSpPr>
                      <wps:wsp>
                        <wps:cNvPr id="2083834391"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677406446"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67106502" id="Groupe 132" o:spid="_x0000_s1026" style="position:absolute;margin-left:419.3pt;margin-top:1.3pt;width:30.7pt;height:22.15pt;flip:x;z-index:251320320;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p>
    <w:p w14:paraId="38A38218" w14:textId="1127F3E0" w:rsidR="0056550D" w:rsidRPr="00A74D23" w:rsidRDefault="0056550D" w:rsidP="009D6EE5">
      <w:pPr>
        <w:pStyle w:val="Style1"/>
        <w:numPr>
          <w:ilvl w:val="0"/>
          <w:numId w:val="0"/>
        </w:numPr>
        <w:tabs>
          <w:tab w:val="clear" w:pos="2010"/>
          <w:tab w:val="left" w:pos="1134"/>
        </w:tabs>
        <w:spacing w:line="22" w:lineRule="atLeast"/>
        <w:jc w:val="both"/>
        <w:rPr>
          <w:rFonts w:cs="Open Sans"/>
          <w:i w:val="0"/>
          <w:color w:val="auto"/>
          <w:sz w:val="20"/>
          <w:szCs w:val="20"/>
        </w:rPr>
      </w:pPr>
    </w:p>
    <w:p w14:paraId="0BEA5814" w14:textId="7C5E9210" w:rsidR="0056550D" w:rsidRPr="00A74D23" w:rsidRDefault="0056550D" w:rsidP="009D6EE5">
      <w:pPr>
        <w:pStyle w:val="Style1"/>
        <w:numPr>
          <w:ilvl w:val="0"/>
          <w:numId w:val="0"/>
        </w:numPr>
        <w:tabs>
          <w:tab w:val="clear" w:pos="2010"/>
          <w:tab w:val="left" w:pos="1134"/>
        </w:tabs>
        <w:spacing w:line="22" w:lineRule="atLeast"/>
        <w:jc w:val="both"/>
        <w:rPr>
          <w:rFonts w:cs="Open Sans"/>
          <w:i w:val="0"/>
          <w:color w:val="auto"/>
          <w:sz w:val="20"/>
          <w:szCs w:val="20"/>
        </w:rPr>
      </w:pPr>
    </w:p>
    <w:p w14:paraId="18257B7C" w14:textId="58699B24" w:rsidR="00A90897" w:rsidRPr="00A74D23" w:rsidRDefault="00A90897" w:rsidP="009D6EE5">
      <w:pPr>
        <w:spacing w:line="22" w:lineRule="atLeast"/>
        <w:jc w:val="both"/>
        <w:rPr>
          <w:rFonts w:asciiTheme="minorHAnsi" w:hAnsiTheme="minorHAnsi"/>
          <w:lang w:val="fr-FR"/>
        </w:rPr>
      </w:pPr>
    </w:p>
    <w:p w14:paraId="0112D1A4" w14:textId="77777777" w:rsidR="00996546" w:rsidRDefault="00996546" w:rsidP="009D6EE5">
      <w:pPr>
        <w:spacing w:line="22" w:lineRule="atLeast"/>
        <w:jc w:val="both"/>
        <w:rPr>
          <w:rFonts w:asciiTheme="minorHAnsi" w:eastAsia="Calibri" w:hAnsiTheme="minorHAnsi"/>
          <w:bCs/>
          <w:kern w:val="32"/>
          <w:sz w:val="44"/>
          <w:szCs w:val="44"/>
          <w:lang w:val="fr-FR" w:eastAsia="fr-FR"/>
          <w14:textOutline w14:w="6350" w14:cap="rnd" w14:cmpd="sng" w14:algn="ctr">
            <w14:noFill/>
            <w14:prstDash w14:val="solid"/>
            <w14:bevel/>
          </w14:textOutline>
        </w:rPr>
      </w:pPr>
    </w:p>
    <w:p w14:paraId="1DA68012" w14:textId="77777777" w:rsidR="00343FD7" w:rsidRDefault="00343FD7" w:rsidP="009D6EE5">
      <w:pPr>
        <w:spacing w:line="22" w:lineRule="atLeast"/>
        <w:jc w:val="both"/>
        <w:rPr>
          <w:rFonts w:asciiTheme="minorHAnsi" w:eastAsia="Calibri" w:hAnsiTheme="minorHAnsi"/>
          <w:bCs/>
          <w:kern w:val="32"/>
          <w:sz w:val="44"/>
          <w:szCs w:val="44"/>
          <w:lang w:val="fr-FR" w:eastAsia="fr-FR"/>
          <w14:textOutline w14:w="6350" w14:cap="rnd" w14:cmpd="sng" w14:algn="ctr">
            <w14:noFill/>
            <w14:prstDash w14:val="solid"/>
            <w14:bevel/>
          </w14:textOutline>
        </w:rPr>
      </w:pPr>
    </w:p>
    <w:p w14:paraId="6C68C01B" w14:textId="77777777" w:rsidR="00343FD7" w:rsidRDefault="00343FD7" w:rsidP="009D6EE5">
      <w:pPr>
        <w:spacing w:line="22" w:lineRule="atLeast"/>
        <w:jc w:val="both"/>
        <w:rPr>
          <w:rFonts w:asciiTheme="minorHAnsi" w:eastAsia="Calibri" w:hAnsiTheme="minorHAnsi"/>
          <w:bCs/>
          <w:kern w:val="32"/>
          <w:sz w:val="44"/>
          <w:szCs w:val="44"/>
          <w:lang w:val="fr-FR" w:eastAsia="fr-FR"/>
          <w14:textOutline w14:w="6350" w14:cap="rnd" w14:cmpd="sng" w14:algn="ctr">
            <w14:noFill/>
            <w14:prstDash w14:val="solid"/>
            <w14:bevel/>
          </w14:textOutline>
        </w:rPr>
      </w:pPr>
    </w:p>
    <w:p w14:paraId="2ACEEECE" w14:textId="77777777" w:rsidR="00343FD7" w:rsidRDefault="00343FD7" w:rsidP="009D6EE5">
      <w:pPr>
        <w:spacing w:line="22" w:lineRule="atLeast"/>
        <w:jc w:val="both"/>
        <w:rPr>
          <w:rFonts w:asciiTheme="minorHAnsi" w:eastAsia="Calibri" w:hAnsiTheme="minorHAnsi"/>
          <w:bCs/>
          <w:kern w:val="32"/>
          <w:sz w:val="44"/>
          <w:szCs w:val="44"/>
          <w:lang w:val="fr-FR" w:eastAsia="fr-FR"/>
          <w14:textOutline w14:w="6350" w14:cap="rnd" w14:cmpd="sng" w14:algn="ctr">
            <w14:noFill/>
            <w14:prstDash w14:val="solid"/>
            <w14:bevel/>
          </w14:textOutline>
        </w:rPr>
      </w:pPr>
    </w:p>
    <w:p w14:paraId="6A3723A6" w14:textId="77777777" w:rsidR="00343FD7" w:rsidRDefault="00343FD7" w:rsidP="009D6EE5">
      <w:pPr>
        <w:spacing w:line="22" w:lineRule="atLeast"/>
        <w:jc w:val="both"/>
        <w:rPr>
          <w:rFonts w:asciiTheme="minorHAnsi" w:eastAsia="Calibri" w:hAnsiTheme="minorHAnsi"/>
          <w:bCs/>
          <w:kern w:val="32"/>
          <w:sz w:val="44"/>
          <w:szCs w:val="44"/>
          <w:lang w:val="fr-FR" w:eastAsia="fr-FR"/>
          <w14:textOutline w14:w="6350" w14:cap="rnd" w14:cmpd="sng" w14:algn="ctr">
            <w14:noFill/>
            <w14:prstDash w14:val="solid"/>
            <w14:bevel/>
          </w14:textOutline>
        </w:rPr>
      </w:pPr>
    </w:p>
    <w:p w14:paraId="4BB7A541" w14:textId="77777777" w:rsidR="00343FD7" w:rsidRDefault="00343FD7" w:rsidP="009D6EE5">
      <w:pPr>
        <w:spacing w:line="22" w:lineRule="atLeast"/>
        <w:jc w:val="both"/>
        <w:rPr>
          <w:rFonts w:asciiTheme="minorHAnsi" w:eastAsia="Calibri" w:hAnsiTheme="minorHAnsi"/>
          <w:bCs/>
          <w:kern w:val="32"/>
          <w:sz w:val="44"/>
          <w:szCs w:val="44"/>
          <w:lang w:val="fr-FR" w:eastAsia="fr-FR"/>
          <w14:textOutline w14:w="6350" w14:cap="rnd" w14:cmpd="sng" w14:algn="ctr">
            <w14:noFill/>
            <w14:prstDash w14:val="solid"/>
            <w14:bevel/>
          </w14:textOutline>
        </w:rPr>
      </w:pPr>
    </w:p>
    <w:p w14:paraId="71E3A31C" w14:textId="77777777" w:rsidR="00343FD7" w:rsidRDefault="00343FD7" w:rsidP="009D6EE5">
      <w:pPr>
        <w:spacing w:line="22" w:lineRule="atLeast"/>
        <w:jc w:val="both"/>
        <w:rPr>
          <w:rFonts w:asciiTheme="minorHAnsi" w:eastAsia="Calibri" w:hAnsiTheme="minorHAnsi"/>
          <w:bCs/>
          <w:kern w:val="32"/>
          <w:sz w:val="44"/>
          <w:szCs w:val="44"/>
          <w:lang w:val="fr-FR" w:eastAsia="fr-FR"/>
          <w14:textOutline w14:w="6350" w14:cap="rnd" w14:cmpd="sng" w14:algn="ctr">
            <w14:noFill/>
            <w14:prstDash w14:val="solid"/>
            <w14:bevel/>
          </w14:textOutline>
        </w:rPr>
      </w:pPr>
    </w:p>
    <w:p w14:paraId="12CD5C99" w14:textId="77777777" w:rsidR="00343FD7" w:rsidRDefault="00343FD7" w:rsidP="009D6EE5">
      <w:pPr>
        <w:spacing w:line="22" w:lineRule="atLeast"/>
        <w:jc w:val="both"/>
        <w:rPr>
          <w:rFonts w:asciiTheme="minorHAnsi" w:eastAsia="Calibri" w:hAnsiTheme="minorHAnsi"/>
          <w:bCs/>
          <w:kern w:val="32"/>
          <w:sz w:val="44"/>
          <w:szCs w:val="44"/>
          <w:lang w:val="fr-FR" w:eastAsia="fr-FR"/>
          <w14:textOutline w14:w="6350" w14:cap="rnd" w14:cmpd="sng" w14:algn="ctr">
            <w14:noFill/>
            <w14:prstDash w14:val="solid"/>
            <w14:bevel/>
          </w14:textOutline>
        </w:rPr>
      </w:pPr>
    </w:p>
    <w:p w14:paraId="45A26387" w14:textId="77777777" w:rsidR="00343FD7" w:rsidRPr="00A74D23" w:rsidRDefault="00343FD7" w:rsidP="009D6EE5">
      <w:pPr>
        <w:spacing w:line="22" w:lineRule="atLeast"/>
        <w:jc w:val="both"/>
        <w:rPr>
          <w:rFonts w:asciiTheme="minorHAnsi" w:eastAsia="Calibri" w:hAnsiTheme="minorHAnsi"/>
          <w:bCs/>
          <w:kern w:val="32"/>
          <w:sz w:val="44"/>
          <w:szCs w:val="44"/>
          <w:lang w:val="fr-FR" w:eastAsia="fr-FR"/>
          <w14:textOutline w14:w="6350" w14:cap="rnd" w14:cmpd="sng" w14:algn="ctr">
            <w14:noFill/>
            <w14:prstDash w14:val="solid"/>
            <w14:bevel/>
          </w14:textOutline>
        </w:rPr>
      </w:pPr>
    </w:p>
    <w:p w14:paraId="2B92CA9F" w14:textId="77777777" w:rsidR="00996546" w:rsidRPr="00A74D23" w:rsidRDefault="00996546" w:rsidP="009D6EE5">
      <w:pPr>
        <w:spacing w:line="22" w:lineRule="atLeast"/>
        <w:jc w:val="both"/>
        <w:rPr>
          <w:rFonts w:asciiTheme="minorHAnsi" w:eastAsia="Calibri" w:hAnsiTheme="minorHAnsi"/>
          <w:lang w:val="fr-FR" w:eastAsia="fr-FR"/>
        </w:rPr>
      </w:pPr>
    </w:p>
    <w:p w14:paraId="6AC6BE55" w14:textId="4F4A6058" w:rsidR="00A90897" w:rsidRPr="0081100C" w:rsidRDefault="00213597" w:rsidP="009D6EE5">
      <w:pPr>
        <w:pStyle w:val="Titre10"/>
        <w:spacing w:line="22" w:lineRule="atLeast"/>
        <w:jc w:val="both"/>
        <w:rPr>
          <w:rFonts w:asciiTheme="minorHAnsi" w:eastAsia="Calibri" w:hAnsiTheme="minorHAnsi" w:cs="Open Sans"/>
          <w:b w:val="0"/>
          <w:kern w:val="32"/>
          <w:sz w:val="44"/>
          <w:szCs w:val="44"/>
          <w:lang w:eastAsia="fr-FR"/>
          <w14:textOutline w14:w="6350" w14:cap="rnd" w14:cmpd="sng" w14:algn="ctr">
            <w14:noFill/>
            <w14:prstDash w14:val="solid"/>
            <w14:bevel/>
          </w14:textOutline>
        </w:rPr>
      </w:pPr>
      <w:bookmarkStart w:id="23" w:name="_Toc231336999"/>
      <w:r w:rsidRPr="0081100C">
        <w:rPr>
          <w:rFonts w:asciiTheme="minorHAnsi" w:eastAsia="Calibri" w:hAnsiTheme="minorHAnsi" w:cs="Open Sans"/>
          <w:b w:val="0"/>
          <w:kern w:val="32"/>
          <w:sz w:val="44"/>
          <w:szCs w:val="44"/>
          <w:lang w:eastAsia="fr-FR"/>
          <w14:textOutline w14:w="6350" w14:cap="rnd" w14:cmpd="sng" w14:algn="ctr">
            <w14:noFill/>
            <w14:prstDash w14:val="solid"/>
            <w14:bevel/>
          </w14:textOutline>
        </w:rPr>
        <w:t>B. Démarche générale d’Abeille Assurances sur la prise en compte des critères ESG</w:t>
      </w:r>
      <w:bookmarkEnd w:id="23"/>
    </w:p>
    <w:p w14:paraId="224C0DEF" w14:textId="585ACCDC" w:rsidR="00937A61" w:rsidRPr="00A74D23" w:rsidRDefault="00937A61" w:rsidP="00590DD1">
      <w:pPr>
        <w:pStyle w:val="StyleYO"/>
        <w:numPr>
          <w:ilvl w:val="0"/>
          <w:numId w:val="75"/>
        </w:numPr>
        <w:spacing w:line="22" w:lineRule="atLeast"/>
        <w:jc w:val="both"/>
        <w:rPr>
          <w:kern w:val="2"/>
          <w:sz w:val="32"/>
          <w:szCs w:val="32"/>
          <w14:ligatures w14:val="standardContextual"/>
        </w:rPr>
      </w:pPr>
      <w:bookmarkStart w:id="24" w:name="_Toc231337000"/>
      <w:r w:rsidRPr="00A74D23">
        <w:t>Notre rôle en tant qu’assureur et investisseur</w:t>
      </w:r>
      <w:bookmarkEnd w:id="24"/>
    </w:p>
    <w:p w14:paraId="14537636" w14:textId="77777777" w:rsidR="00A90897" w:rsidRPr="00A74D23" w:rsidRDefault="00A90897" w:rsidP="009D6EE5">
      <w:pPr>
        <w:spacing w:line="22" w:lineRule="atLeast"/>
        <w:jc w:val="both"/>
        <w:rPr>
          <w:rFonts w:asciiTheme="minorHAnsi" w:hAnsiTheme="minorHAnsi"/>
          <w:lang w:val="fr-FR"/>
        </w:rPr>
      </w:pPr>
    </w:p>
    <w:p w14:paraId="459801B1" w14:textId="27906ABB" w:rsidR="00B272B4" w:rsidRPr="00A74D23" w:rsidRDefault="00B272B4" w:rsidP="009D6EE5">
      <w:pPr>
        <w:spacing w:line="22" w:lineRule="atLeast"/>
        <w:jc w:val="both"/>
        <w:rPr>
          <w:rFonts w:asciiTheme="minorHAnsi" w:hAnsiTheme="minorHAnsi"/>
          <w:b/>
          <w:bCs/>
          <w:sz w:val="32"/>
          <w:szCs w:val="32"/>
          <w:lang w:val="fr-FR"/>
        </w:rPr>
      </w:pPr>
      <w:bookmarkStart w:id="25" w:name="Toc129091804"/>
      <w:bookmarkStart w:id="26" w:name="Toc128735893"/>
      <w:bookmarkEnd w:id="25"/>
      <w:bookmarkEnd w:id="26"/>
      <w:r w:rsidRPr="00A74D23">
        <w:rPr>
          <w:rFonts w:asciiTheme="minorHAnsi" w:hAnsiTheme="minorHAnsi"/>
          <w:b/>
          <w:bCs/>
          <w:sz w:val="32"/>
          <w:szCs w:val="32"/>
          <w:lang w:val="fr-FR"/>
        </w:rPr>
        <w:t>1.1</w:t>
      </w:r>
      <w:r w:rsidR="00865DB1" w:rsidRPr="00A74D23">
        <w:rPr>
          <w:rFonts w:asciiTheme="minorHAnsi" w:hAnsiTheme="minorHAnsi"/>
          <w:b/>
          <w:bCs/>
          <w:sz w:val="32"/>
          <w:szCs w:val="32"/>
          <w:lang w:val="fr-FR"/>
        </w:rPr>
        <w:t xml:space="preserve">. </w:t>
      </w:r>
      <w:r w:rsidRPr="00A74D23">
        <w:rPr>
          <w:rFonts w:asciiTheme="minorHAnsi" w:hAnsiTheme="minorHAnsi"/>
          <w:b/>
          <w:bCs/>
          <w:sz w:val="32"/>
          <w:szCs w:val="32"/>
          <w:lang w:val="fr-FR"/>
        </w:rPr>
        <w:t xml:space="preserve"> Maîtriser nos risques et définir une stratégie d’investissement prenant en compte les facteurs de durabilité</w:t>
      </w:r>
    </w:p>
    <w:p w14:paraId="720954E2" w14:textId="77777777" w:rsidR="00865DB1" w:rsidRPr="00A74D23" w:rsidRDefault="00865DB1" w:rsidP="009D6EE5">
      <w:pPr>
        <w:spacing w:line="22" w:lineRule="atLeast"/>
        <w:jc w:val="both"/>
        <w:rPr>
          <w:rFonts w:asciiTheme="minorHAnsi" w:hAnsiTheme="minorHAnsi"/>
          <w:b/>
          <w:bCs/>
          <w:kern w:val="2"/>
          <w:sz w:val="28"/>
          <w:szCs w:val="28"/>
          <w:lang w:val="fr-FR"/>
          <w14:ligatures w14:val="standardContextual"/>
        </w:rPr>
      </w:pPr>
    </w:p>
    <w:p w14:paraId="23FF8D2E" w14:textId="793C1CD4" w:rsidR="00B67101" w:rsidRPr="00A74D23" w:rsidRDefault="28FB2604" w:rsidP="009D6EE5">
      <w:pPr>
        <w:pStyle w:val="Style4"/>
        <w:spacing w:line="22" w:lineRule="atLeast"/>
        <w:ind w:right="0"/>
        <w:jc w:val="both"/>
        <w:rPr>
          <w:rFonts w:asciiTheme="minorHAnsi" w:hAnsiTheme="minorHAnsi" w:cs="Open Sans"/>
          <w:i w:val="0"/>
          <w:iCs w:val="0"/>
          <w:color w:val="auto"/>
          <w:sz w:val="20"/>
          <w:szCs w:val="20"/>
          <w:lang w:eastAsia="fr-FR"/>
        </w:rPr>
      </w:pPr>
      <w:r w:rsidRPr="00A74D23">
        <w:rPr>
          <w:rFonts w:asciiTheme="minorHAnsi" w:eastAsiaTheme="minorEastAsia" w:hAnsiTheme="minorHAnsi" w:cs="Open Sans"/>
          <w:i w:val="0"/>
          <w:iCs w:val="0"/>
          <w:color w:val="auto"/>
          <w:sz w:val="20"/>
          <w:szCs w:val="20"/>
          <w:lang w:eastAsia="fr-FR"/>
        </w:rPr>
        <w:t>En tant qu’assureur et investisseur, Abeille Assurances et ses filiales sont triplement exposées aux risques de durabilité (environnement, social et gouvernance) à la fois sur leurs actifs, leurs passifs (produits d’assurance) et leurs modèles d’affaires. À l’actif, ces risques peuvent donner naissance à des risques financiers (crédit, marché ou liquidité) qui peuvent avoir un fort impact sur la valeur des actifs en portefeuille. Au passif, les risques associés sont liés par exemple à l’augmentation de la fréquence et du coût des évènements climatiques extrêmes, qui ont des conséquences directes sur la tarification des polices d’assurance et ont des impacts financiers mais aussi sociaux importants. Sur le modèle d’affaires de l’assurance, c’est la capacité du secteur à assurer l’ensemble des biens des clients sur la totalité du territoire qui peut être à risque, faisant porter ainsi un risque financier important sur le secteur public et la population en cas de multiplication de sinistres climatiques graves.</w:t>
      </w:r>
    </w:p>
    <w:p w14:paraId="1971C68D" w14:textId="7B68ECB3" w:rsidR="00B67101" w:rsidRPr="00A74D23" w:rsidRDefault="00B67101" w:rsidP="009D6EE5">
      <w:pPr>
        <w:pStyle w:val="Style4"/>
        <w:spacing w:line="22" w:lineRule="atLeast"/>
        <w:jc w:val="both"/>
        <w:rPr>
          <w:rFonts w:asciiTheme="minorHAnsi" w:eastAsiaTheme="minorEastAsia" w:hAnsiTheme="minorHAnsi" w:cs="Open Sans"/>
          <w:i w:val="0"/>
          <w:iCs w:val="0"/>
          <w:color w:val="auto"/>
          <w:sz w:val="20"/>
          <w:szCs w:val="20"/>
          <w:lang w:eastAsia="fr-FR"/>
        </w:rPr>
      </w:pPr>
    </w:p>
    <w:p w14:paraId="52894154" w14:textId="509C0E8C" w:rsidR="00B67101" w:rsidRPr="00A74D23" w:rsidRDefault="28FB2604" w:rsidP="009D6EE5">
      <w:pPr>
        <w:pStyle w:val="Style4"/>
        <w:spacing w:line="22" w:lineRule="atLeast"/>
        <w:ind w:right="0"/>
        <w:jc w:val="both"/>
        <w:rPr>
          <w:rFonts w:asciiTheme="minorHAnsi" w:eastAsiaTheme="minorEastAsia" w:hAnsiTheme="minorHAnsi" w:cs="Open Sans"/>
          <w:i w:val="0"/>
          <w:color w:val="auto"/>
          <w:sz w:val="20"/>
          <w:szCs w:val="20"/>
          <w:lang w:eastAsia="fr-FR"/>
        </w:rPr>
      </w:pPr>
      <w:r w:rsidRPr="00A74D23">
        <w:rPr>
          <w:rFonts w:asciiTheme="minorHAnsi" w:eastAsiaTheme="minorEastAsia" w:hAnsiTheme="minorHAnsi" w:cs="Open Sans"/>
          <w:i w:val="0"/>
          <w:iCs w:val="0"/>
          <w:color w:val="auto"/>
          <w:sz w:val="20"/>
          <w:szCs w:val="20"/>
          <w:lang w:eastAsia="fr-FR"/>
        </w:rPr>
        <w:t xml:space="preserve">Au total, ces risques peuvent avoir un effet négatif sur la </w:t>
      </w:r>
      <w:r w:rsidR="006E64EF" w:rsidRPr="00A74D23">
        <w:rPr>
          <w:rFonts w:asciiTheme="minorHAnsi" w:eastAsiaTheme="minorEastAsia" w:hAnsiTheme="minorHAnsi" w:cs="Open Sans"/>
          <w:i w:val="0"/>
          <w:iCs w:val="0"/>
          <w:color w:val="auto"/>
          <w:sz w:val="20"/>
          <w:szCs w:val="20"/>
          <w:lang w:eastAsia="fr-FR"/>
        </w:rPr>
        <w:t>performance financière</w:t>
      </w:r>
      <w:r w:rsidRPr="00A74D23">
        <w:rPr>
          <w:rFonts w:asciiTheme="minorHAnsi" w:eastAsiaTheme="minorEastAsia" w:hAnsiTheme="minorHAnsi" w:cs="Open Sans"/>
          <w:i w:val="0"/>
          <w:iCs w:val="0"/>
          <w:color w:val="auto"/>
          <w:sz w:val="20"/>
          <w:szCs w:val="20"/>
          <w:lang w:eastAsia="fr-FR"/>
        </w:rPr>
        <w:t xml:space="preserve"> ou la réputation d’Abeille Assurances et </w:t>
      </w:r>
      <w:r w:rsidR="006E64EF" w:rsidRPr="00A74D23">
        <w:rPr>
          <w:rFonts w:asciiTheme="minorHAnsi" w:eastAsiaTheme="minorEastAsia" w:hAnsiTheme="minorHAnsi" w:cs="Open Sans"/>
          <w:i w:val="0"/>
          <w:iCs w:val="0"/>
          <w:color w:val="auto"/>
          <w:sz w:val="20"/>
          <w:szCs w:val="20"/>
          <w:lang w:eastAsia="fr-FR"/>
        </w:rPr>
        <w:t xml:space="preserve">de </w:t>
      </w:r>
      <w:r w:rsidRPr="00A74D23">
        <w:rPr>
          <w:rFonts w:asciiTheme="minorHAnsi" w:eastAsiaTheme="minorEastAsia" w:hAnsiTheme="minorHAnsi" w:cs="Open Sans"/>
          <w:i w:val="0"/>
          <w:iCs w:val="0"/>
          <w:color w:val="auto"/>
          <w:sz w:val="20"/>
          <w:szCs w:val="20"/>
          <w:lang w:eastAsia="fr-FR"/>
        </w:rPr>
        <w:t xml:space="preserve">ses filiales, mais ils </w:t>
      </w:r>
      <w:r w:rsidR="006E64EF" w:rsidRPr="00A74D23">
        <w:rPr>
          <w:rFonts w:asciiTheme="minorHAnsi" w:eastAsiaTheme="minorEastAsia" w:hAnsiTheme="minorHAnsi" w:cs="Open Sans"/>
          <w:i w:val="0"/>
          <w:iCs w:val="0"/>
          <w:color w:val="auto"/>
          <w:sz w:val="20"/>
          <w:szCs w:val="20"/>
          <w:lang w:eastAsia="fr-FR"/>
        </w:rPr>
        <w:t>pourraient remettre en cause, à terme,</w:t>
      </w:r>
      <w:r w:rsidRPr="00A74D23">
        <w:rPr>
          <w:rFonts w:asciiTheme="minorHAnsi" w:eastAsiaTheme="minorEastAsia" w:hAnsiTheme="minorHAnsi" w:cs="Open Sans"/>
          <w:i w:val="0"/>
          <w:iCs w:val="0"/>
          <w:color w:val="auto"/>
          <w:sz w:val="20"/>
          <w:szCs w:val="20"/>
          <w:lang w:eastAsia="fr-FR"/>
        </w:rPr>
        <w:t xml:space="preserve"> </w:t>
      </w:r>
      <w:r w:rsidR="006E64EF" w:rsidRPr="00A74D23">
        <w:rPr>
          <w:rFonts w:asciiTheme="minorHAnsi" w:eastAsiaTheme="minorEastAsia" w:hAnsiTheme="minorHAnsi" w:cs="Open Sans"/>
          <w:i w:val="0"/>
          <w:iCs w:val="0"/>
          <w:color w:val="auto"/>
          <w:sz w:val="20"/>
          <w:szCs w:val="20"/>
          <w:lang w:eastAsia="fr-FR"/>
        </w:rPr>
        <w:t>l’assurabilité d’un certain nombre de biens dans des zones particulièrement vulnérables face au changement climatique, ce qui crée un risque systémique pour l’économie française.</w:t>
      </w:r>
      <w:r w:rsidR="008F01F3" w:rsidRPr="00A74D23">
        <w:rPr>
          <w:rFonts w:asciiTheme="minorHAnsi" w:eastAsiaTheme="minorEastAsia" w:hAnsiTheme="minorHAnsi" w:cs="Open Sans"/>
          <w:i w:val="0"/>
          <w:iCs w:val="0"/>
          <w:color w:val="auto"/>
          <w:sz w:val="20"/>
          <w:szCs w:val="20"/>
          <w:lang w:eastAsia="fr-FR"/>
        </w:rPr>
        <w:t xml:space="preserve"> Afin d‘en réaliser une analyse holistique, c</w:t>
      </w:r>
      <w:r w:rsidRPr="00A74D23">
        <w:rPr>
          <w:rFonts w:asciiTheme="minorHAnsi" w:eastAsiaTheme="minorEastAsia" w:hAnsiTheme="minorHAnsi" w:cs="Open Sans"/>
          <w:i w:val="0"/>
          <w:iCs w:val="0"/>
          <w:color w:val="auto"/>
          <w:sz w:val="20"/>
          <w:szCs w:val="20"/>
          <w:lang w:eastAsia="fr-FR"/>
        </w:rPr>
        <w:t xml:space="preserve">es risques </w:t>
      </w:r>
      <w:r w:rsidR="006E64EF" w:rsidRPr="00A74D23">
        <w:rPr>
          <w:rFonts w:asciiTheme="minorHAnsi" w:eastAsiaTheme="minorEastAsia" w:hAnsiTheme="minorHAnsi" w:cs="Open Sans"/>
          <w:i w:val="0"/>
          <w:iCs w:val="0"/>
          <w:color w:val="auto"/>
          <w:sz w:val="20"/>
          <w:szCs w:val="20"/>
          <w:lang w:eastAsia="fr-FR"/>
        </w:rPr>
        <w:t xml:space="preserve">de durabilité </w:t>
      </w:r>
      <w:r w:rsidRPr="00A74D23">
        <w:rPr>
          <w:rFonts w:asciiTheme="minorHAnsi" w:eastAsiaTheme="minorEastAsia" w:hAnsiTheme="minorHAnsi" w:cs="Open Sans"/>
          <w:i w:val="0"/>
          <w:iCs w:val="0"/>
          <w:color w:val="auto"/>
          <w:sz w:val="20"/>
          <w:szCs w:val="20"/>
          <w:lang w:eastAsia="fr-FR"/>
        </w:rPr>
        <w:t>sont estimés à l</w:t>
      </w:r>
      <w:r w:rsidR="33EFCD5B" w:rsidRPr="00A74D23">
        <w:rPr>
          <w:rFonts w:asciiTheme="minorHAnsi" w:eastAsiaTheme="minorEastAsia" w:hAnsiTheme="minorHAnsi" w:cs="Open Sans"/>
          <w:i w:val="0"/>
          <w:iCs w:val="0"/>
          <w:color w:val="auto"/>
          <w:sz w:val="20"/>
          <w:szCs w:val="20"/>
          <w:lang w:eastAsia="fr-FR"/>
        </w:rPr>
        <w:t>’aune du concept de double matérialité.</w:t>
      </w:r>
    </w:p>
    <w:p w14:paraId="1C6BF1BC" w14:textId="7E98902F" w:rsidR="4FF32BD0" w:rsidRPr="00A74D23" w:rsidRDefault="4FF32BD0" w:rsidP="009D6EE5">
      <w:pPr>
        <w:pStyle w:val="Style4"/>
        <w:spacing w:line="22" w:lineRule="atLeast"/>
        <w:jc w:val="both"/>
        <w:rPr>
          <w:rFonts w:asciiTheme="minorHAnsi" w:eastAsiaTheme="minorEastAsia" w:hAnsiTheme="minorHAnsi" w:cs="Open Sans"/>
          <w:i w:val="0"/>
          <w:iCs w:val="0"/>
          <w:color w:val="auto"/>
          <w:sz w:val="20"/>
          <w:szCs w:val="20"/>
          <w:lang w:eastAsia="fr-FR"/>
        </w:rPr>
      </w:pPr>
    </w:p>
    <w:p w14:paraId="67A1B00A" w14:textId="418C7908" w:rsidR="005A2B2D" w:rsidRPr="00A74D23" w:rsidRDefault="00865DB1" w:rsidP="00590DD1">
      <w:pPr>
        <w:pStyle w:val="Style1"/>
        <w:numPr>
          <w:ilvl w:val="2"/>
          <w:numId w:val="73"/>
        </w:numPr>
        <w:spacing w:after="0" w:line="22" w:lineRule="atLeast"/>
        <w:jc w:val="both"/>
        <w:rPr>
          <w:rFonts w:cs="Times New Roman"/>
          <w:color w:val="C00000"/>
          <w:kern w:val="2"/>
          <w:sz w:val="24"/>
          <w14:ligatures w14:val="standardContextual"/>
        </w:rPr>
      </w:pPr>
      <w:r w:rsidRPr="00A74D23">
        <w:rPr>
          <w:rFonts w:cs="Times New Roman"/>
          <w:color w:val="C00000"/>
          <w:sz w:val="28"/>
          <w:szCs w:val="28"/>
        </w:rPr>
        <w:t>I</w:t>
      </w:r>
      <w:r w:rsidR="005A2B2D" w:rsidRPr="00A74D23">
        <w:rPr>
          <w:rFonts w:cs="Times New Roman"/>
          <w:color w:val="C00000"/>
          <w:sz w:val="28"/>
          <w:szCs w:val="28"/>
        </w:rPr>
        <w:t>ntroduction du concept de double matérialité</w:t>
      </w:r>
    </w:p>
    <w:p w14:paraId="3908C682" w14:textId="0FF620BE" w:rsidR="00AF1E34" w:rsidRPr="00A74D23" w:rsidRDefault="00B06D8E" w:rsidP="009D6EE5">
      <w:pPr>
        <w:pStyle w:val="Style1"/>
        <w:numPr>
          <w:ilvl w:val="0"/>
          <w:numId w:val="0"/>
        </w:numPr>
        <w:tabs>
          <w:tab w:val="clear" w:pos="2010"/>
          <w:tab w:val="left" w:pos="1701"/>
          <w:tab w:val="left" w:pos="1985"/>
        </w:tabs>
        <w:spacing w:after="0" w:line="22" w:lineRule="atLeast"/>
        <w:jc w:val="both"/>
        <w:rPr>
          <w:rFonts w:cs="Open Sans"/>
          <w:i w:val="0"/>
          <w:iCs w:val="0"/>
          <w:color w:val="auto"/>
          <w:sz w:val="20"/>
          <w:szCs w:val="20"/>
        </w:rPr>
      </w:pPr>
      <w:r w:rsidRPr="00A74D23">
        <w:rPr>
          <w:rFonts w:cs="Open Sans"/>
          <w:i w:val="0"/>
          <w:iCs w:val="0"/>
          <w:color w:val="auto"/>
          <w:sz w:val="20"/>
          <w:szCs w:val="20"/>
          <w:lang w:eastAsia="fr-FR"/>
        </w:rPr>
        <w:t>La double matérialité est un concept crucial pour Abeille Assurances</w:t>
      </w:r>
      <w:r w:rsidR="0007437F" w:rsidRPr="00A74D23">
        <w:rPr>
          <w:rFonts w:cs="Open Sans"/>
          <w:i w:val="0"/>
          <w:iCs w:val="0"/>
          <w:color w:val="auto"/>
          <w:sz w:val="20"/>
          <w:szCs w:val="20"/>
          <w:lang w:eastAsia="fr-FR"/>
        </w:rPr>
        <w:t>, à</w:t>
      </w:r>
      <w:r w:rsidRPr="00A74D23">
        <w:rPr>
          <w:rFonts w:cs="Open Sans"/>
          <w:i w:val="0"/>
          <w:iCs w:val="0"/>
          <w:color w:val="auto"/>
          <w:sz w:val="20"/>
          <w:szCs w:val="20"/>
          <w:lang w:eastAsia="fr-FR"/>
        </w:rPr>
        <w:t xml:space="preserve"> la fois exposée aux risques </w:t>
      </w:r>
      <w:r w:rsidR="7482725E" w:rsidRPr="00A74D23">
        <w:rPr>
          <w:rFonts w:cs="Open Sans"/>
          <w:i w:val="0"/>
          <w:iCs w:val="0"/>
          <w:color w:val="auto"/>
          <w:sz w:val="20"/>
          <w:szCs w:val="20"/>
          <w:lang w:eastAsia="fr-FR"/>
        </w:rPr>
        <w:t xml:space="preserve">financiers et extra financiers </w:t>
      </w:r>
      <w:r w:rsidRPr="00A74D23">
        <w:rPr>
          <w:rFonts w:cs="Open Sans"/>
          <w:i w:val="0"/>
          <w:iCs w:val="0"/>
          <w:color w:val="auto"/>
          <w:sz w:val="20"/>
          <w:szCs w:val="20"/>
          <w:lang w:eastAsia="fr-FR"/>
        </w:rPr>
        <w:t xml:space="preserve">en tant qu’assureur mais aussi en tant qu’investisseur. </w:t>
      </w:r>
      <w:r w:rsidR="00740995" w:rsidRPr="00A74D23">
        <w:rPr>
          <w:rFonts w:cs="Open Sans"/>
          <w:i w:val="0"/>
          <w:iCs w:val="0"/>
          <w:color w:val="auto"/>
          <w:sz w:val="20"/>
          <w:szCs w:val="20"/>
          <w:lang w:eastAsia="fr-FR"/>
        </w:rPr>
        <w:t>En effet</w:t>
      </w:r>
      <w:r w:rsidR="00F11AFD" w:rsidRPr="00A74D23">
        <w:rPr>
          <w:rFonts w:cs="Open Sans"/>
          <w:i w:val="0"/>
          <w:iCs w:val="0"/>
          <w:color w:val="auto"/>
          <w:sz w:val="20"/>
          <w:szCs w:val="20"/>
          <w:lang w:eastAsia="fr-FR"/>
        </w:rPr>
        <w:t>,</w:t>
      </w:r>
      <w:r w:rsidR="00740995" w:rsidRPr="00A74D23">
        <w:rPr>
          <w:rFonts w:cs="Open Sans"/>
          <w:i w:val="0"/>
          <w:iCs w:val="0"/>
          <w:color w:val="auto"/>
          <w:sz w:val="20"/>
          <w:szCs w:val="20"/>
          <w:lang w:eastAsia="fr-FR"/>
        </w:rPr>
        <w:t xml:space="preserve"> s</w:t>
      </w:r>
      <w:r w:rsidRPr="00A74D23">
        <w:rPr>
          <w:rFonts w:cs="Open Sans"/>
          <w:i w:val="0"/>
          <w:iCs w:val="0"/>
          <w:color w:val="auto"/>
          <w:sz w:val="20"/>
          <w:szCs w:val="20"/>
          <w:lang w:eastAsia="fr-FR"/>
        </w:rPr>
        <w:t xml:space="preserve">es investissements </w:t>
      </w:r>
      <w:r w:rsidR="3B6CF71D" w:rsidRPr="00A74D23">
        <w:rPr>
          <w:rFonts w:cs="Open Sans"/>
          <w:i w:val="0"/>
          <w:iCs w:val="0"/>
          <w:color w:val="auto"/>
          <w:sz w:val="20"/>
          <w:szCs w:val="20"/>
          <w:lang w:eastAsia="fr-FR"/>
        </w:rPr>
        <w:t xml:space="preserve">et ses contrats d’assurance </w:t>
      </w:r>
      <w:r w:rsidR="19708B98" w:rsidRPr="00A74D23">
        <w:rPr>
          <w:rFonts w:cs="Open Sans"/>
          <w:i w:val="0"/>
          <w:iCs w:val="0"/>
          <w:color w:val="auto"/>
          <w:sz w:val="20"/>
          <w:szCs w:val="20"/>
          <w:lang w:eastAsia="fr-FR"/>
        </w:rPr>
        <w:t xml:space="preserve">sont exposés </w:t>
      </w:r>
      <w:r w:rsidR="00740995" w:rsidRPr="00A74D23">
        <w:rPr>
          <w:rFonts w:cs="Open Sans"/>
          <w:i w:val="0"/>
          <w:iCs w:val="0"/>
          <w:color w:val="auto"/>
          <w:sz w:val="20"/>
          <w:szCs w:val="20"/>
          <w:lang w:eastAsia="fr-FR"/>
        </w:rPr>
        <w:t>aux risques environnementaux</w:t>
      </w:r>
      <w:r w:rsidR="00B751B7" w:rsidRPr="00A74D23">
        <w:rPr>
          <w:rFonts w:cs="Open Sans"/>
          <w:i w:val="0"/>
          <w:iCs w:val="0"/>
          <w:color w:val="auto"/>
          <w:sz w:val="20"/>
          <w:szCs w:val="20"/>
          <w:lang w:eastAsia="fr-FR"/>
        </w:rPr>
        <w:t xml:space="preserve">, </w:t>
      </w:r>
      <w:r w:rsidR="00740995" w:rsidRPr="00A74D23">
        <w:rPr>
          <w:rFonts w:cs="Open Sans"/>
          <w:i w:val="0"/>
          <w:iCs w:val="0"/>
          <w:color w:val="auto"/>
          <w:sz w:val="20"/>
          <w:szCs w:val="20"/>
          <w:lang w:eastAsia="fr-FR"/>
        </w:rPr>
        <w:t>sociaux</w:t>
      </w:r>
      <w:r w:rsidR="00B751B7" w:rsidRPr="00A74D23">
        <w:rPr>
          <w:rFonts w:cs="Open Sans"/>
          <w:i w:val="0"/>
          <w:iCs w:val="0"/>
          <w:color w:val="auto"/>
          <w:sz w:val="20"/>
          <w:szCs w:val="20"/>
          <w:lang w:eastAsia="fr-FR"/>
        </w:rPr>
        <w:t xml:space="preserve"> et de gouvernance</w:t>
      </w:r>
      <w:r w:rsidR="2F8ABB0B" w:rsidRPr="00A74D23">
        <w:rPr>
          <w:rFonts w:cs="Open Sans"/>
          <w:i w:val="0"/>
          <w:iCs w:val="0"/>
          <w:color w:val="auto"/>
          <w:sz w:val="20"/>
          <w:szCs w:val="20"/>
          <w:lang w:eastAsia="fr-FR"/>
        </w:rPr>
        <w:t>, ce qui peut résulter en des pertes financières</w:t>
      </w:r>
      <w:r w:rsidR="599F81D5" w:rsidRPr="00A74D23">
        <w:rPr>
          <w:rFonts w:cs="Open Sans"/>
          <w:i w:val="0"/>
          <w:iCs w:val="0"/>
          <w:color w:val="auto"/>
          <w:sz w:val="20"/>
          <w:szCs w:val="20"/>
          <w:lang w:eastAsia="fr-FR"/>
        </w:rPr>
        <w:t xml:space="preserve"> (“matérialité </w:t>
      </w:r>
      <w:r w:rsidR="61C7B72B" w:rsidRPr="00A74D23">
        <w:rPr>
          <w:rFonts w:cs="Open Sans"/>
          <w:i w:val="0"/>
          <w:iCs w:val="0"/>
          <w:color w:val="auto"/>
          <w:sz w:val="20"/>
          <w:szCs w:val="20"/>
          <w:lang w:eastAsia="fr-FR"/>
        </w:rPr>
        <w:t>financière</w:t>
      </w:r>
      <w:r w:rsidR="599F81D5" w:rsidRPr="00A74D23">
        <w:rPr>
          <w:rFonts w:cs="Open Sans"/>
          <w:i w:val="0"/>
          <w:iCs w:val="0"/>
          <w:color w:val="auto"/>
          <w:sz w:val="20"/>
          <w:szCs w:val="20"/>
          <w:lang w:eastAsia="fr-FR"/>
        </w:rPr>
        <w:t xml:space="preserve">”), </w:t>
      </w:r>
      <w:r w:rsidR="4F031634" w:rsidRPr="00A74D23">
        <w:rPr>
          <w:rFonts w:cs="Open Sans"/>
          <w:i w:val="0"/>
          <w:iCs w:val="0"/>
          <w:color w:val="auto"/>
          <w:sz w:val="20"/>
          <w:szCs w:val="20"/>
          <w:lang w:eastAsia="fr-FR"/>
        </w:rPr>
        <w:t>mais peuvent aussi générer ou faciliter des impacts négat</w:t>
      </w:r>
      <w:r w:rsidR="13F53EDD" w:rsidRPr="00A74D23">
        <w:rPr>
          <w:rFonts w:cs="Open Sans"/>
          <w:i w:val="0"/>
          <w:iCs w:val="0"/>
          <w:color w:val="auto"/>
          <w:sz w:val="20"/>
          <w:szCs w:val="20"/>
          <w:lang w:eastAsia="fr-FR"/>
        </w:rPr>
        <w:t>i</w:t>
      </w:r>
      <w:r w:rsidR="4F031634" w:rsidRPr="00A74D23">
        <w:rPr>
          <w:rFonts w:cs="Open Sans"/>
          <w:i w:val="0"/>
          <w:iCs w:val="0"/>
          <w:color w:val="auto"/>
          <w:sz w:val="20"/>
          <w:szCs w:val="20"/>
          <w:lang w:eastAsia="fr-FR"/>
        </w:rPr>
        <w:t xml:space="preserve">fs sur </w:t>
      </w:r>
      <w:r w:rsidR="5C90FCB8" w:rsidRPr="00A74D23">
        <w:rPr>
          <w:rFonts w:cs="Open Sans"/>
          <w:i w:val="0"/>
          <w:iCs w:val="0"/>
          <w:color w:val="auto"/>
          <w:sz w:val="20"/>
          <w:szCs w:val="20"/>
          <w:lang w:eastAsia="fr-FR"/>
        </w:rPr>
        <w:t>l’environnement</w:t>
      </w:r>
      <w:r w:rsidR="2F4C81B7" w:rsidRPr="00A74D23">
        <w:rPr>
          <w:rFonts w:cs="Open Sans"/>
          <w:i w:val="0"/>
          <w:iCs w:val="0"/>
          <w:color w:val="auto"/>
          <w:sz w:val="20"/>
          <w:szCs w:val="20"/>
          <w:lang w:eastAsia="fr-FR"/>
        </w:rPr>
        <w:t xml:space="preserve"> naturel, </w:t>
      </w:r>
      <w:r w:rsidR="5C90FCB8" w:rsidRPr="00A74D23">
        <w:rPr>
          <w:rFonts w:cs="Open Sans"/>
          <w:i w:val="0"/>
          <w:iCs w:val="0"/>
          <w:color w:val="auto"/>
          <w:sz w:val="20"/>
          <w:szCs w:val="20"/>
          <w:lang w:eastAsia="fr-FR"/>
        </w:rPr>
        <w:t>économique et social</w:t>
      </w:r>
      <w:r w:rsidR="33A7D846" w:rsidRPr="00A74D23">
        <w:rPr>
          <w:rFonts w:cs="Open Sans"/>
          <w:i w:val="0"/>
          <w:iCs w:val="0"/>
          <w:color w:val="auto"/>
          <w:sz w:val="20"/>
          <w:szCs w:val="20"/>
          <w:lang w:eastAsia="fr-FR"/>
        </w:rPr>
        <w:t xml:space="preserve"> (“matérialité de l’impact”)</w:t>
      </w:r>
      <w:r w:rsidR="00740995" w:rsidRPr="00A74D23">
        <w:rPr>
          <w:rFonts w:cs="Open Sans"/>
          <w:i w:val="0"/>
          <w:iCs w:val="0"/>
          <w:color w:val="auto"/>
          <w:sz w:val="20"/>
          <w:szCs w:val="20"/>
          <w:lang w:eastAsia="fr-FR"/>
        </w:rPr>
        <w:t xml:space="preserve">. </w:t>
      </w:r>
      <w:r w:rsidRPr="00A74D23">
        <w:rPr>
          <w:rFonts w:cs="Open Sans"/>
          <w:i w:val="0"/>
          <w:iCs w:val="0"/>
          <w:color w:val="auto"/>
          <w:sz w:val="20"/>
          <w:szCs w:val="20"/>
          <w:lang w:eastAsia="fr-FR"/>
        </w:rPr>
        <w:t>La double matérialité est</w:t>
      </w:r>
      <w:r w:rsidR="00740995" w:rsidRPr="00A74D23">
        <w:rPr>
          <w:rFonts w:cs="Open Sans"/>
          <w:i w:val="0"/>
          <w:iCs w:val="0"/>
          <w:color w:val="auto"/>
          <w:sz w:val="20"/>
          <w:szCs w:val="20"/>
          <w:lang w:eastAsia="fr-FR"/>
        </w:rPr>
        <w:t xml:space="preserve"> également au cœur de la logique</w:t>
      </w:r>
      <w:r w:rsidR="002555C5" w:rsidRPr="00A74D23">
        <w:rPr>
          <w:rFonts w:cs="Open Sans"/>
          <w:i w:val="0"/>
          <w:iCs w:val="0"/>
          <w:color w:val="auto"/>
          <w:sz w:val="20"/>
          <w:szCs w:val="20"/>
        </w:rPr>
        <w:t xml:space="preserve"> </w:t>
      </w:r>
      <w:r w:rsidR="00B751B7" w:rsidRPr="00A74D23">
        <w:rPr>
          <w:rFonts w:cs="Open Sans"/>
          <w:i w:val="0"/>
          <w:iCs w:val="0"/>
          <w:color w:val="auto"/>
          <w:sz w:val="20"/>
          <w:szCs w:val="20"/>
          <w:lang w:eastAsia="fr-FR"/>
        </w:rPr>
        <w:t xml:space="preserve">de la CSRD (Corporate Sustainability Reporting Directive) à laquelle Abeille Assurances reporte à travers </w:t>
      </w:r>
      <w:r w:rsidR="008F01F3" w:rsidRPr="00A74D23">
        <w:rPr>
          <w:rFonts w:cs="Open Sans"/>
          <w:i w:val="0"/>
          <w:iCs w:val="0"/>
          <w:color w:val="auto"/>
          <w:sz w:val="20"/>
          <w:szCs w:val="20"/>
          <w:lang w:eastAsia="fr-FR"/>
        </w:rPr>
        <w:t>l</w:t>
      </w:r>
      <w:r w:rsidR="00DB4089" w:rsidRPr="00A74D23">
        <w:rPr>
          <w:rFonts w:cs="Open Sans"/>
          <w:i w:val="0"/>
          <w:iCs w:val="0"/>
          <w:color w:val="auto"/>
          <w:sz w:val="20"/>
          <w:szCs w:val="20"/>
          <w:lang w:eastAsia="fr-FR"/>
        </w:rPr>
        <w:t>e</w:t>
      </w:r>
      <w:r w:rsidR="008F01F3" w:rsidRPr="00A74D23">
        <w:rPr>
          <w:rFonts w:cs="Open Sans"/>
          <w:i w:val="0"/>
          <w:iCs w:val="0"/>
          <w:color w:val="auto"/>
          <w:sz w:val="20"/>
          <w:szCs w:val="20"/>
          <w:lang w:eastAsia="fr-FR"/>
        </w:rPr>
        <w:t xml:space="preserve"> rapport de durabilité CSRD d’Aéma Groupe.</w:t>
      </w:r>
    </w:p>
    <w:p w14:paraId="3AF9FD54" w14:textId="77777777" w:rsidR="00AF1E34" w:rsidRPr="00A74D23" w:rsidRDefault="00AF1E34" w:rsidP="009D6EE5">
      <w:pPr>
        <w:pStyle w:val="Style1"/>
        <w:numPr>
          <w:ilvl w:val="0"/>
          <w:numId w:val="0"/>
        </w:numPr>
        <w:tabs>
          <w:tab w:val="clear" w:pos="2010"/>
          <w:tab w:val="left" w:pos="1701"/>
          <w:tab w:val="left" w:pos="1985"/>
        </w:tabs>
        <w:spacing w:after="0" w:line="22" w:lineRule="atLeast"/>
        <w:jc w:val="both"/>
        <w:rPr>
          <w:rFonts w:cs="Open Sans"/>
          <w:i w:val="0"/>
          <w:color w:val="auto"/>
          <w:sz w:val="20"/>
          <w:szCs w:val="20"/>
        </w:rPr>
      </w:pPr>
    </w:p>
    <w:p w14:paraId="44F5BBF1" w14:textId="4BBEE663" w:rsidR="00826AE1" w:rsidRPr="00A74D23" w:rsidRDefault="002555C5" w:rsidP="009D6EE5">
      <w:pPr>
        <w:pStyle w:val="Style1"/>
        <w:numPr>
          <w:ilvl w:val="0"/>
          <w:numId w:val="0"/>
        </w:numPr>
        <w:tabs>
          <w:tab w:val="clear" w:pos="2010"/>
          <w:tab w:val="left" w:pos="1701"/>
          <w:tab w:val="left" w:pos="1985"/>
        </w:tabs>
        <w:spacing w:after="0" w:line="22" w:lineRule="atLeast"/>
        <w:jc w:val="both"/>
        <w:rPr>
          <w:rFonts w:cs="Open Sans"/>
          <w:i w:val="0"/>
          <w:iCs w:val="0"/>
          <w:color w:val="auto"/>
          <w:sz w:val="20"/>
          <w:szCs w:val="20"/>
        </w:rPr>
      </w:pPr>
      <w:r w:rsidRPr="00A74D23">
        <w:rPr>
          <w:rFonts w:cs="Open Sans"/>
          <w:i w:val="0"/>
          <w:iCs w:val="0"/>
          <w:color w:val="auto"/>
          <w:sz w:val="20"/>
          <w:szCs w:val="20"/>
        </w:rPr>
        <w:t xml:space="preserve">Abeille Assurances </w:t>
      </w:r>
      <w:r w:rsidR="00461040" w:rsidRPr="00A74D23">
        <w:rPr>
          <w:rFonts w:cs="Open Sans"/>
          <w:i w:val="0"/>
          <w:iCs w:val="0"/>
          <w:color w:val="auto"/>
          <w:sz w:val="20"/>
          <w:szCs w:val="20"/>
        </w:rPr>
        <w:t>prend</w:t>
      </w:r>
      <w:r w:rsidR="00DF7229" w:rsidRPr="00A74D23">
        <w:rPr>
          <w:rFonts w:cs="Open Sans"/>
          <w:i w:val="0"/>
          <w:iCs w:val="0"/>
          <w:color w:val="auto"/>
          <w:sz w:val="20"/>
          <w:szCs w:val="20"/>
        </w:rPr>
        <w:t xml:space="preserve"> </w:t>
      </w:r>
      <w:r w:rsidR="00461040" w:rsidRPr="00A74D23">
        <w:rPr>
          <w:rFonts w:cs="Open Sans"/>
          <w:i w:val="0"/>
          <w:iCs w:val="0"/>
          <w:color w:val="auto"/>
          <w:sz w:val="20"/>
          <w:szCs w:val="20"/>
        </w:rPr>
        <w:t xml:space="preserve">ainsi </w:t>
      </w:r>
      <w:r w:rsidR="00DF7229" w:rsidRPr="00A74D23">
        <w:rPr>
          <w:rFonts w:cs="Open Sans"/>
          <w:i w:val="0"/>
          <w:iCs w:val="0"/>
          <w:color w:val="auto"/>
          <w:sz w:val="20"/>
          <w:szCs w:val="20"/>
        </w:rPr>
        <w:t xml:space="preserve">en compte </w:t>
      </w:r>
      <w:hyperlink r:id="rId40">
        <w:r w:rsidR="00461040" w:rsidRPr="00A74D23">
          <w:rPr>
            <w:rStyle w:val="Lienhypertexte"/>
            <w:rFonts w:cs="Open Sans"/>
            <w:i w:val="0"/>
            <w:iCs w:val="0"/>
            <w:color w:val="auto"/>
            <w:sz w:val="20"/>
            <w:szCs w:val="20"/>
            <w:u w:val="none"/>
          </w:rPr>
          <w:t>l</w:t>
        </w:r>
        <w:r w:rsidR="00DF7229" w:rsidRPr="00A74D23">
          <w:rPr>
            <w:rStyle w:val="Lienhypertexte"/>
            <w:rFonts w:cs="Open Sans"/>
            <w:i w:val="0"/>
            <w:iCs w:val="0"/>
            <w:color w:val="auto"/>
            <w:sz w:val="20"/>
            <w:szCs w:val="20"/>
            <w:u w:val="none"/>
          </w:rPr>
          <w:t xml:space="preserve">es risques de durabilité </w:t>
        </w:r>
        <w:r w:rsidR="001134C9" w:rsidRPr="00A74D23">
          <w:rPr>
            <w:rStyle w:val="Lienhypertexte"/>
            <w:rFonts w:cs="Open Sans"/>
            <w:i w:val="0"/>
            <w:iCs w:val="0"/>
            <w:color w:val="auto"/>
            <w:sz w:val="20"/>
            <w:szCs w:val="20"/>
            <w:u w:val="none"/>
          </w:rPr>
          <w:t>dans</w:t>
        </w:r>
        <w:r w:rsidR="00DF7229" w:rsidRPr="00A74D23">
          <w:rPr>
            <w:rStyle w:val="Lienhypertexte"/>
            <w:rFonts w:cs="Open Sans"/>
            <w:i w:val="0"/>
            <w:iCs w:val="0"/>
            <w:color w:val="auto"/>
            <w:sz w:val="20"/>
            <w:szCs w:val="20"/>
            <w:u w:val="none"/>
          </w:rPr>
          <w:t xml:space="preserve"> </w:t>
        </w:r>
        <w:r w:rsidR="00A65557" w:rsidRPr="00A74D23">
          <w:rPr>
            <w:rStyle w:val="Lienhypertexte"/>
            <w:rFonts w:cs="Open Sans"/>
            <w:i w:val="0"/>
            <w:iCs w:val="0"/>
            <w:color w:val="auto"/>
            <w:sz w:val="20"/>
            <w:szCs w:val="20"/>
            <w:u w:val="none"/>
          </w:rPr>
          <w:t>s</w:t>
        </w:r>
        <w:r w:rsidR="00DF7229" w:rsidRPr="00A74D23">
          <w:rPr>
            <w:rStyle w:val="Lienhypertexte"/>
            <w:rFonts w:cs="Open Sans"/>
            <w:i w:val="0"/>
            <w:iCs w:val="0"/>
            <w:color w:val="auto"/>
            <w:sz w:val="20"/>
            <w:szCs w:val="20"/>
            <w:u w:val="none"/>
          </w:rPr>
          <w:t>a stratégie d’investissement</w:t>
        </w:r>
      </w:hyperlink>
      <w:r w:rsidR="00A65557" w:rsidRPr="00A74D23">
        <w:rPr>
          <w:rFonts w:cs="Open Sans"/>
          <w:i w:val="0"/>
          <w:iCs w:val="0"/>
          <w:color w:val="auto"/>
          <w:sz w:val="20"/>
          <w:szCs w:val="20"/>
        </w:rPr>
        <w:t xml:space="preserve">, mais publie également </w:t>
      </w:r>
      <w:hyperlink r:id="rId41">
        <w:r w:rsidR="00A65557" w:rsidRPr="00A74D23">
          <w:rPr>
            <w:rStyle w:val="Lienhypertexte"/>
            <w:rFonts w:cs="Open Sans"/>
            <w:i w:val="0"/>
            <w:iCs w:val="0"/>
            <w:color w:val="auto"/>
            <w:sz w:val="20"/>
            <w:szCs w:val="20"/>
            <w:u w:val="none"/>
          </w:rPr>
          <w:t>le</w:t>
        </w:r>
        <w:r w:rsidR="00DF7229" w:rsidRPr="00A74D23">
          <w:rPr>
            <w:rStyle w:val="Lienhypertexte"/>
            <w:rFonts w:cs="Open Sans"/>
            <w:i w:val="0"/>
            <w:iCs w:val="0"/>
            <w:color w:val="auto"/>
            <w:sz w:val="20"/>
            <w:szCs w:val="20"/>
            <w:u w:val="none"/>
          </w:rPr>
          <w:t>s principales incidences négatives de la stratégie d’investissement sur les facteurs de durabilité</w:t>
        </w:r>
      </w:hyperlink>
      <w:r w:rsidR="00004D30" w:rsidRPr="00A74D23">
        <w:rPr>
          <w:rFonts w:cs="Open Sans"/>
          <w:i w:val="0"/>
          <w:iCs w:val="0"/>
          <w:color w:val="auto"/>
          <w:sz w:val="20"/>
          <w:szCs w:val="20"/>
          <w:lang w:eastAsia="fr-FR"/>
        </w:rPr>
        <w:t>.</w:t>
      </w:r>
      <w:r w:rsidR="00DF7229" w:rsidRPr="00A74D23">
        <w:rPr>
          <w:rFonts w:cs="Open Sans"/>
          <w:i w:val="0"/>
          <w:iCs w:val="0"/>
          <w:color w:val="auto"/>
          <w:sz w:val="20"/>
          <w:szCs w:val="20"/>
          <w:lang w:eastAsia="fr-FR"/>
        </w:rPr>
        <w:t xml:space="preserve"> </w:t>
      </w:r>
      <w:r w:rsidR="278CC3A2" w:rsidRPr="00A74D23">
        <w:rPr>
          <w:rFonts w:cs="Open Sans"/>
          <w:i w:val="0"/>
          <w:iCs w:val="0"/>
          <w:color w:val="auto"/>
          <w:sz w:val="20"/>
          <w:szCs w:val="20"/>
        </w:rPr>
        <w:t xml:space="preserve">La réglementation </w:t>
      </w:r>
      <w:r w:rsidR="00826AE1" w:rsidRPr="00A74D23">
        <w:rPr>
          <w:rFonts w:cs="Open Sans"/>
          <w:i w:val="0"/>
          <w:iCs w:val="0"/>
          <w:color w:val="auto"/>
          <w:sz w:val="20"/>
          <w:szCs w:val="20"/>
        </w:rPr>
        <w:t xml:space="preserve">incite à adopter une approche globale en matière de gestion des risques </w:t>
      </w:r>
      <w:r w:rsidR="673953C1" w:rsidRPr="00A74D23">
        <w:rPr>
          <w:rFonts w:cs="Open Sans"/>
          <w:i w:val="0"/>
          <w:iCs w:val="0"/>
          <w:color w:val="auto"/>
          <w:sz w:val="20"/>
          <w:szCs w:val="20"/>
        </w:rPr>
        <w:t>environnementaux et sociaux</w:t>
      </w:r>
      <w:r w:rsidR="00826AE1" w:rsidRPr="00A74D23">
        <w:rPr>
          <w:rFonts w:cs="Open Sans"/>
          <w:i w:val="0"/>
          <w:iCs w:val="0"/>
          <w:color w:val="auto"/>
          <w:sz w:val="20"/>
          <w:szCs w:val="20"/>
        </w:rPr>
        <w:t>, en prenant en compte les impacts directs et indirects sur l</w:t>
      </w:r>
      <w:r w:rsidR="4400A663" w:rsidRPr="00A74D23">
        <w:rPr>
          <w:rFonts w:cs="Open Sans"/>
          <w:i w:val="0"/>
          <w:iCs w:val="0"/>
          <w:color w:val="auto"/>
          <w:sz w:val="20"/>
          <w:szCs w:val="20"/>
        </w:rPr>
        <w:t>'activité de l’entreprise</w:t>
      </w:r>
      <w:r w:rsidR="00826AE1" w:rsidRPr="00A74D23">
        <w:rPr>
          <w:rFonts w:cs="Open Sans"/>
          <w:i w:val="0"/>
          <w:iCs w:val="0"/>
          <w:color w:val="auto"/>
          <w:sz w:val="20"/>
          <w:szCs w:val="20"/>
        </w:rPr>
        <w:t xml:space="preserve">, mais également sur la société et l'environnement. </w:t>
      </w:r>
    </w:p>
    <w:p w14:paraId="6EBF471C" w14:textId="4BF09905" w:rsidR="00865DB1" w:rsidRPr="00A74D23" w:rsidRDefault="00865DB1" w:rsidP="009D6EE5">
      <w:pPr>
        <w:pStyle w:val="Style1"/>
        <w:numPr>
          <w:ilvl w:val="0"/>
          <w:numId w:val="0"/>
        </w:numPr>
        <w:tabs>
          <w:tab w:val="clear" w:pos="2010"/>
          <w:tab w:val="left" w:pos="1701"/>
          <w:tab w:val="left" w:pos="1985"/>
        </w:tabs>
        <w:spacing w:line="22" w:lineRule="atLeast"/>
        <w:jc w:val="both"/>
        <w:rPr>
          <w:rFonts w:cs="Open Sans"/>
          <w:i w:val="0"/>
          <w:sz w:val="20"/>
        </w:rPr>
      </w:pPr>
    </w:p>
    <w:p w14:paraId="48B09423" w14:textId="77777777" w:rsidR="00340DB5" w:rsidRPr="00A74D23" w:rsidRDefault="00340DB5" w:rsidP="009D6EE5">
      <w:pPr>
        <w:pStyle w:val="Style1"/>
        <w:numPr>
          <w:ilvl w:val="0"/>
          <w:numId w:val="0"/>
        </w:numPr>
        <w:tabs>
          <w:tab w:val="clear" w:pos="2010"/>
          <w:tab w:val="left" w:pos="1701"/>
          <w:tab w:val="left" w:pos="1985"/>
        </w:tabs>
        <w:spacing w:line="22" w:lineRule="atLeast"/>
        <w:jc w:val="both"/>
        <w:rPr>
          <w:rFonts w:cs="Open Sans"/>
          <w:i w:val="0"/>
          <w:sz w:val="20"/>
        </w:rPr>
      </w:pPr>
    </w:p>
    <w:p w14:paraId="7BBA0A6D" w14:textId="77777777" w:rsidR="00340DB5" w:rsidRPr="00A74D23" w:rsidRDefault="00340DB5" w:rsidP="009D6EE5">
      <w:pPr>
        <w:pStyle w:val="Style1"/>
        <w:numPr>
          <w:ilvl w:val="0"/>
          <w:numId w:val="0"/>
        </w:numPr>
        <w:tabs>
          <w:tab w:val="clear" w:pos="2010"/>
          <w:tab w:val="left" w:pos="1701"/>
          <w:tab w:val="left" w:pos="1985"/>
        </w:tabs>
        <w:spacing w:line="22" w:lineRule="atLeast"/>
        <w:jc w:val="both"/>
        <w:rPr>
          <w:rFonts w:cs="Open Sans"/>
          <w:i w:val="0"/>
          <w:sz w:val="20"/>
        </w:rPr>
      </w:pPr>
    </w:p>
    <w:p w14:paraId="53982265" w14:textId="03239B74" w:rsidR="00865DB1" w:rsidRPr="00A74D23" w:rsidRDefault="00865DB1" w:rsidP="00590DD1">
      <w:pPr>
        <w:pStyle w:val="Style1"/>
        <w:numPr>
          <w:ilvl w:val="2"/>
          <w:numId w:val="73"/>
        </w:numPr>
        <w:spacing w:after="0" w:line="22" w:lineRule="atLeast"/>
        <w:jc w:val="both"/>
        <w:rPr>
          <w:rFonts w:cs="Times New Roman"/>
          <w:color w:val="C00000"/>
          <w:kern w:val="2"/>
          <w:sz w:val="24"/>
          <w14:ligatures w14:val="standardContextual"/>
        </w:rPr>
      </w:pPr>
      <w:r w:rsidRPr="00A74D23">
        <w:rPr>
          <w:rFonts w:cs="Times New Roman"/>
          <w:color w:val="C00000"/>
          <w:sz w:val="28"/>
          <w:szCs w:val="28"/>
        </w:rPr>
        <w:t>Description de la stratégie globale d’investissement durable</w:t>
      </w:r>
    </w:p>
    <w:p w14:paraId="057EF400" w14:textId="7EB6E978" w:rsidR="007947DF" w:rsidRPr="00A74D23" w:rsidRDefault="66F54CD8" w:rsidP="19C58AAB">
      <w:pPr>
        <w:pStyle w:val="Style1"/>
        <w:numPr>
          <w:ilvl w:val="0"/>
          <w:numId w:val="0"/>
        </w:numPr>
        <w:tabs>
          <w:tab w:val="clear" w:pos="2010"/>
        </w:tabs>
        <w:spacing w:line="22" w:lineRule="atLeast"/>
        <w:jc w:val="both"/>
        <w:rPr>
          <w:rFonts w:cs="Open Sans"/>
          <w:i w:val="0"/>
          <w:iCs w:val="0"/>
          <w:color w:val="auto"/>
          <w:sz w:val="20"/>
          <w:szCs w:val="20"/>
        </w:rPr>
      </w:pPr>
      <w:r w:rsidRPr="00A74D23">
        <w:rPr>
          <w:rFonts w:cs="Open Sans"/>
          <w:i w:val="0"/>
          <w:iCs w:val="0"/>
          <w:color w:val="auto"/>
          <w:sz w:val="20"/>
          <w:szCs w:val="20"/>
        </w:rPr>
        <w:t xml:space="preserve">La démarche d’Abeille Assurances en matière </w:t>
      </w:r>
      <w:r w:rsidR="310F662D" w:rsidRPr="00A74D23">
        <w:rPr>
          <w:rFonts w:cs="Open Sans"/>
          <w:i w:val="0"/>
          <w:iCs w:val="0"/>
          <w:color w:val="auto"/>
          <w:sz w:val="20"/>
          <w:szCs w:val="20"/>
          <w:lang w:eastAsia="fr-FR"/>
        </w:rPr>
        <w:t xml:space="preserve">d’intégration des facteurs de durabilité </w:t>
      </w:r>
      <w:r w:rsidRPr="00A74D23">
        <w:rPr>
          <w:rFonts w:cs="Open Sans"/>
          <w:i w:val="0"/>
          <w:iCs w:val="0"/>
          <w:color w:val="auto"/>
          <w:sz w:val="20"/>
          <w:szCs w:val="20"/>
        </w:rPr>
        <w:t xml:space="preserve">s’appuie sur </w:t>
      </w:r>
      <w:r w:rsidR="00743B58" w:rsidRPr="00A74D23">
        <w:rPr>
          <w:rFonts w:cs="Open Sans"/>
          <w:i w:val="0"/>
          <w:iCs w:val="0"/>
          <w:color w:val="auto"/>
          <w:sz w:val="20"/>
          <w:szCs w:val="20"/>
          <w:lang w:eastAsia="fr-FR"/>
        </w:rPr>
        <w:t>cinq</w:t>
      </w:r>
      <w:r w:rsidR="310F662D" w:rsidRPr="00A74D23">
        <w:rPr>
          <w:rFonts w:cs="Open Sans"/>
          <w:i w:val="0"/>
          <w:iCs w:val="0"/>
          <w:color w:val="auto"/>
          <w:sz w:val="20"/>
          <w:szCs w:val="20"/>
        </w:rPr>
        <w:t xml:space="preserve"> </w:t>
      </w:r>
      <w:r w:rsidRPr="00A74D23">
        <w:rPr>
          <w:rFonts w:cs="Open Sans"/>
          <w:i w:val="0"/>
          <w:iCs w:val="0"/>
          <w:color w:val="auto"/>
          <w:sz w:val="20"/>
          <w:szCs w:val="20"/>
        </w:rPr>
        <w:t xml:space="preserve">piliers fondamentaux : </w:t>
      </w:r>
    </w:p>
    <w:p w14:paraId="1604CFC9" w14:textId="0008027F" w:rsidR="00ED0CEB" w:rsidRPr="00A74D23" w:rsidRDefault="7239F17F" w:rsidP="009D6EE5">
      <w:pPr>
        <w:spacing w:line="22" w:lineRule="atLeast"/>
        <w:jc w:val="both"/>
        <w:rPr>
          <w:rFonts w:asciiTheme="minorHAnsi" w:hAnsiTheme="minorHAnsi" w:cs="Open Sans"/>
        </w:rPr>
      </w:pPr>
      <w:r w:rsidRPr="00A74D23">
        <w:rPr>
          <w:rFonts w:asciiTheme="minorHAnsi" w:hAnsiTheme="minorHAnsi" w:cs="Open Sans"/>
          <w:noProof/>
        </w:rPr>
        <w:drawing>
          <wp:inline distT="0" distB="0" distL="0" distR="0" wp14:anchorId="3BE4D168" wp14:editId="781D902E">
            <wp:extent cx="5056413" cy="3315952"/>
            <wp:effectExtent l="0" t="0" r="0" b="0"/>
            <wp:docPr id="235840156" name="Image 235840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5056413" cy="3315952"/>
                    </a:xfrm>
                    <a:prstGeom prst="rect">
                      <a:avLst/>
                    </a:prstGeom>
                  </pic:spPr>
                </pic:pic>
              </a:graphicData>
            </a:graphic>
          </wp:inline>
        </w:drawing>
      </w:r>
    </w:p>
    <w:p w14:paraId="694E7866" w14:textId="77777777" w:rsidR="00743B58" w:rsidRPr="00A74D23" w:rsidRDefault="00743B58" w:rsidP="009D6EE5">
      <w:pPr>
        <w:spacing w:line="22" w:lineRule="atLeast"/>
        <w:jc w:val="both"/>
        <w:rPr>
          <w:rFonts w:asciiTheme="minorHAnsi" w:hAnsiTheme="minorHAnsi" w:cs="Open Sans"/>
        </w:rPr>
      </w:pPr>
    </w:p>
    <w:p w14:paraId="447C9D03" w14:textId="77777777" w:rsidR="00743B58" w:rsidRPr="00A74D23" w:rsidRDefault="00743B58" w:rsidP="009D6EE5">
      <w:pPr>
        <w:spacing w:line="22" w:lineRule="atLeast"/>
        <w:jc w:val="both"/>
        <w:rPr>
          <w:rFonts w:asciiTheme="minorHAnsi" w:hAnsiTheme="minorHAnsi" w:cs="Open Sans"/>
        </w:rPr>
      </w:pPr>
    </w:p>
    <w:p w14:paraId="4F24B31E" w14:textId="77777777" w:rsidR="00743B58" w:rsidRPr="00A74D23" w:rsidRDefault="00743B58" w:rsidP="009D6EE5">
      <w:pPr>
        <w:spacing w:line="22" w:lineRule="atLeast"/>
        <w:jc w:val="both"/>
        <w:rPr>
          <w:rFonts w:asciiTheme="minorHAnsi" w:hAnsiTheme="minorHAnsi" w:cs="Open Sans"/>
        </w:rPr>
      </w:pPr>
    </w:p>
    <w:p w14:paraId="611CF10C" w14:textId="77777777" w:rsidR="00743B58" w:rsidRPr="00A74D23" w:rsidRDefault="00743B58" w:rsidP="00590DD1">
      <w:pPr>
        <w:pStyle w:val="Style1"/>
        <w:numPr>
          <w:ilvl w:val="0"/>
          <w:numId w:val="12"/>
        </w:numPr>
        <w:ind w:left="284" w:hanging="284"/>
        <w:jc w:val="both"/>
        <w:rPr>
          <w:b/>
          <w:i w:val="0"/>
          <w:color w:val="auto"/>
          <w:sz w:val="20"/>
        </w:rPr>
      </w:pPr>
      <w:r w:rsidRPr="00A74D23">
        <w:rPr>
          <w:b/>
          <w:i w:val="0"/>
          <w:color w:val="auto"/>
          <w:sz w:val="20"/>
        </w:rPr>
        <w:t>Le pilotage de la performance ESG du portefeuille </w:t>
      </w:r>
    </w:p>
    <w:p w14:paraId="2E584CAD" w14:textId="095BDB22" w:rsidR="00743B58" w:rsidRPr="00A74D23" w:rsidRDefault="00743B58" w:rsidP="00743B58">
      <w:pPr>
        <w:pStyle w:val="Style1"/>
        <w:numPr>
          <w:ilvl w:val="0"/>
          <w:numId w:val="0"/>
        </w:numPr>
        <w:jc w:val="both"/>
        <w:rPr>
          <w:i w:val="0"/>
          <w:iCs w:val="0"/>
          <w:color w:val="auto"/>
          <w:sz w:val="20"/>
          <w:szCs w:val="20"/>
          <w:lang w:eastAsia="fr-FR"/>
        </w:rPr>
      </w:pPr>
      <w:r w:rsidRPr="00A74D23">
        <w:rPr>
          <w:i w:val="0"/>
          <w:iCs w:val="0"/>
          <w:color w:val="auto"/>
          <w:sz w:val="20"/>
          <w:szCs w:val="20"/>
        </w:rPr>
        <w:t>La pierre angulaire de la prise en compte des facteurs de durabilité dans la gestion de nos actifs consiste en l’intégration des critères et risques de durabilité dans les processus d’investissement sur la base d’un score ESG par émetteur et d’analyses extra financières réalisées par les équipes ISR d’Ofi Invest Asset Management. Les critères ESG font partie intégrante des processus d’investissement et sont appliqués à l’ensemble des classes d’actifs dans lesquelles nous investissons. L’ensemble de nos mandats de gestion prend en compte les facteurs environnementaux, sociaux et de gouvernance qui obligent nos gestionnaires d’actifs à intégrer de manière rigoureuse les critères ESG dans leur processus d’investissement et à rendre compte de leur performance extra financière dans le cadre d’un suivi régulier et transparent.</w:t>
      </w:r>
      <w:r w:rsidRPr="00A74D23">
        <w:rPr>
          <w:i w:val="0"/>
          <w:iCs w:val="0"/>
          <w:color w:val="auto"/>
          <w:sz w:val="20"/>
          <w:szCs w:val="20"/>
          <w:lang w:eastAsia="fr-FR"/>
        </w:rPr>
        <w:t xml:space="preserve"> Afin de prendre en compte au mieux les objectifs de durabilité à la fois sur les actifs liquides (actions, obligations) et les actifs réels (immobilier), nous mesurons les caractéristiques environnementales, sociales et de gouvernance de nos investissements. En ce qui concerne les investissements en non coté géré par des sociétés de gestion tierces, nous essayons, dans la mesure du possible, d’être représenté au comité d’investissement ou d’impact. Dans tous les cas, nous nous entretenons régulièrement avec les sociétés de gestion au sujet de la performance ESG des actifs.</w:t>
      </w:r>
    </w:p>
    <w:p w14:paraId="0C82513B" w14:textId="77777777" w:rsidR="00743B58" w:rsidRPr="00A74D23" w:rsidRDefault="00743B58" w:rsidP="00743B58">
      <w:pPr>
        <w:pStyle w:val="Style1"/>
        <w:numPr>
          <w:ilvl w:val="0"/>
          <w:numId w:val="0"/>
        </w:numPr>
        <w:tabs>
          <w:tab w:val="clear" w:pos="2010"/>
        </w:tabs>
        <w:jc w:val="both"/>
        <w:rPr>
          <w:i w:val="0"/>
          <w:iCs w:val="0"/>
          <w:color w:val="auto"/>
          <w:sz w:val="20"/>
          <w:szCs w:val="20"/>
          <w:lang w:eastAsia="fr-FR"/>
        </w:rPr>
      </w:pPr>
    </w:p>
    <w:p w14:paraId="7E7309BD" w14:textId="77777777" w:rsidR="00743B58" w:rsidRPr="00A74D23" w:rsidRDefault="00743B58" w:rsidP="00590DD1">
      <w:pPr>
        <w:pStyle w:val="Style1"/>
        <w:numPr>
          <w:ilvl w:val="0"/>
          <w:numId w:val="12"/>
        </w:numPr>
        <w:tabs>
          <w:tab w:val="clear" w:pos="2010"/>
        </w:tabs>
        <w:ind w:left="426"/>
        <w:jc w:val="both"/>
        <w:rPr>
          <w:i w:val="0"/>
          <w:iCs w:val="0"/>
          <w:color w:val="auto"/>
          <w:sz w:val="20"/>
          <w:szCs w:val="20"/>
        </w:rPr>
      </w:pPr>
      <w:r w:rsidRPr="00A74D23">
        <w:rPr>
          <w:b/>
          <w:bCs/>
          <w:i w:val="0"/>
          <w:iCs w:val="0"/>
          <w:color w:val="auto"/>
          <w:sz w:val="20"/>
          <w:szCs w:val="20"/>
        </w:rPr>
        <w:t>Le pilotage de l'empreinte carbone et biodiversité du portefeuille</w:t>
      </w:r>
    </w:p>
    <w:p w14:paraId="086DA9CC" w14:textId="1130832C" w:rsidR="00743B58" w:rsidRPr="00636C9C" w:rsidRDefault="00743B58" w:rsidP="00636C9C">
      <w:pPr>
        <w:pStyle w:val="Style1"/>
        <w:numPr>
          <w:ilvl w:val="0"/>
          <w:numId w:val="0"/>
        </w:numPr>
        <w:spacing w:line="22" w:lineRule="atLeast"/>
        <w:jc w:val="both"/>
        <w:rPr>
          <w:rFonts w:cs="Open Sans"/>
          <w:bCs/>
          <w:i w:val="0"/>
          <w:color w:val="auto"/>
          <w:sz w:val="18"/>
          <w:szCs w:val="22"/>
        </w:rPr>
      </w:pPr>
      <w:r w:rsidRPr="00A74D23">
        <w:rPr>
          <w:i w:val="0"/>
          <w:color w:val="auto"/>
          <w:sz w:val="20"/>
          <w:szCs w:val="20"/>
        </w:rPr>
        <w:t xml:space="preserve">Abeille Assurances mesure et suit l’empreinte carbone de ses portefeuilles d’investissement du fonds général </w:t>
      </w:r>
      <w:r w:rsidRPr="00A74D23">
        <w:rPr>
          <w:i w:val="0"/>
          <w:iCs w:val="0"/>
          <w:color w:val="auto"/>
          <w:sz w:val="20"/>
          <w:szCs w:val="20"/>
        </w:rPr>
        <w:t>(</w:t>
      </w:r>
      <w:r w:rsidRPr="00A74D23">
        <w:rPr>
          <w:i w:val="0"/>
          <w:color w:val="auto"/>
          <w:sz w:val="20"/>
          <w:szCs w:val="20"/>
        </w:rPr>
        <w:t>environ 55 milliards d'euros) afin de s’assurer de la réduction de leurs émissions de CO</w:t>
      </w:r>
      <w:r w:rsidRPr="00A74D23">
        <w:rPr>
          <w:i w:val="0"/>
          <w:color w:val="auto"/>
          <w:sz w:val="20"/>
          <w:szCs w:val="20"/>
          <w:vertAlign w:val="subscript"/>
        </w:rPr>
        <w:t>2</w:t>
      </w:r>
      <w:r w:rsidRPr="00A74D23">
        <w:rPr>
          <w:i w:val="0"/>
          <w:iCs w:val="0"/>
          <w:color w:val="auto"/>
          <w:sz w:val="20"/>
          <w:szCs w:val="20"/>
          <w:vertAlign w:val="subscript"/>
          <w:lang w:eastAsia="fr-FR"/>
        </w:rPr>
        <w:t xml:space="preserve">, </w:t>
      </w:r>
      <w:r w:rsidRPr="00A74D23">
        <w:rPr>
          <w:i w:val="0"/>
          <w:iCs w:val="0"/>
          <w:color w:val="auto"/>
          <w:sz w:val="20"/>
          <w:szCs w:val="20"/>
          <w:lang w:eastAsia="fr-FR"/>
        </w:rPr>
        <w:t>avec un objectif de réduction minimum de leurs émissions financées sur un scope 1, 2 et 3 de 40% d’ici 2030.</w:t>
      </w:r>
      <w:r w:rsidRPr="00A74D23">
        <w:rPr>
          <w:i w:val="0"/>
          <w:color w:val="auto"/>
          <w:sz w:val="20"/>
          <w:szCs w:val="20"/>
        </w:rPr>
        <w:t xml:space="preserve"> Pour ce faire et respecter une trajectoire net zéro</w:t>
      </w:r>
      <w:r w:rsidRPr="00A74D23">
        <w:rPr>
          <w:i w:val="0"/>
          <w:iCs w:val="0"/>
          <w:color w:val="auto"/>
          <w:sz w:val="20"/>
          <w:szCs w:val="20"/>
          <w:lang w:eastAsia="fr-FR"/>
        </w:rPr>
        <w:t xml:space="preserve"> d’ici à 2050</w:t>
      </w:r>
      <w:r w:rsidRPr="00A74D23">
        <w:rPr>
          <w:i w:val="0"/>
          <w:color w:val="auto"/>
          <w:sz w:val="20"/>
          <w:szCs w:val="20"/>
        </w:rPr>
        <w:t xml:space="preserve">, Abeille Assurances </w:t>
      </w:r>
      <w:r w:rsidRPr="00A74D23">
        <w:rPr>
          <w:i w:val="0"/>
          <w:iCs w:val="0"/>
          <w:color w:val="auto"/>
          <w:sz w:val="20"/>
          <w:szCs w:val="20"/>
          <w:lang w:eastAsia="fr-FR"/>
        </w:rPr>
        <w:t>s’appuie</w:t>
      </w:r>
      <w:r w:rsidRPr="00A74D23">
        <w:rPr>
          <w:i w:val="0"/>
          <w:color w:val="auto"/>
          <w:sz w:val="20"/>
          <w:szCs w:val="20"/>
        </w:rPr>
        <w:t xml:space="preserve"> notamment sur la mise en place d'exclusions d'investissement ciblées, tels que le charbon thermique et les hydrocarbures, afin d'exclure les acteurs qui ne prendront pas, structurellement ou volontairement, des actions suffisamment fortes. Abeille Assurances s'appuie sur plusieurs indicateurs</w:t>
      </w:r>
      <w:r w:rsidRPr="00A74D23">
        <w:rPr>
          <w:i w:val="0"/>
          <w:iCs w:val="0"/>
          <w:color w:val="auto"/>
          <w:sz w:val="20"/>
          <w:szCs w:val="20"/>
          <w:lang w:eastAsia="fr-FR"/>
        </w:rPr>
        <w:t xml:space="preserve"> </w:t>
      </w:r>
      <w:r w:rsidRPr="00A74D23">
        <w:rPr>
          <w:i w:val="0"/>
          <w:color w:val="auto"/>
          <w:sz w:val="20"/>
          <w:szCs w:val="20"/>
        </w:rPr>
        <w:t>issus de fournisseurs de données externes</w:t>
      </w:r>
      <w:r w:rsidRPr="00A74D23">
        <w:rPr>
          <w:rStyle w:val="Appelnotedebasdep"/>
          <w:i w:val="0"/>
          <w:color w:val="auto"/>
          <w:sz w:val="20"/>
          <w:szCs w:val="20"/>
        </w:rPr>
        <w:footnoteReference w:id="3"/>
      </w:r>
      <w:r w:rsidRPr="00A74D23">
        <w:rPr>
          <w:i w:val="0"/>
          <w:color w:val="auto"/>
          <w:sz w:val="20"/>
          <w:szCs w:val="20"/>
        </w:rPr>
        <w:t xml:space="preserve"> pour mesurer objectivement cet effort de réduction de l'empreinte carbone. </w:t>
      </w:r>
      <w:r w:rsidRPr="00A74D23">
        <w:rPr>
          <w:rFonts w:cs="Open Sans"/>
          <w:i w:val="0"/>
          <w:iCs w:val="0"/>
          <w:color w:val="auto"/>
          <w:sz w:val="20"/>
          <w:szCs w:val="20"/>
          <w:lang w:eastAsia="fr-FR"/>
        </w:rPr>
        <w:t>La MSAppb* est utilisée pour mesurer l’empreinte biodiversité, et permet de mesurer l’impact global de nos portefeuilles d’investissement sur la biodiversité. Des métriques de risque financier tels que la Climate Var MSCI permettent de quantifier l’impact de scénarios climatiques. En 2025, nous avons élargi le panel de métriques de risques, présentées dans la partie I de ce rapport.</w:t>
      </w:r>
    </w:p>
    <w:p w14:paraId="1117ACBF" w14:textId="77777777" w:rsidR="00743B58" w:rsidRPr="00A74D23" w:rsidRDefault="00743B58" w:rsidP="00743B58">
      <w:pPr>
        <w:pStyle w:val="Style1"/>
        <w:numPr>
          <w:ilvl w:val="0"/>
          <w:numId w:val="0"/>
        </w:numPr>
        <w:spacing w:line="240" w:lineRule="auto"/>
        <w:ind w:left="5664"/>
        <w:jc w:val="both"/>
        <w:rPr>
          <w:i w:val="0"/>
          <w:iCs w:val="0"/>
          <w:color w:val="auto"/>
          <w:sz w:val="20"/>
          <w:szCs w:val="20"/>
          <w:lang w:eastAsia="fr-FR"/>
        </w:rPr>
      </w:pPr>
    </w:p>
    <w:p w14:paraId="544AC785" w14:textId="77777777" w:rsidR="00743B58" w:rsidRPr="00A74D23" w:rsidRDefault="00743B58" w:rsidP="00590DD1">
      <w:pPr>
        <w:pStyle w:val="Style1"/>
        <w:numPr>
          <w:ilvl w:val="0"/>
          <w:numId w:val="12"/>
        </w:numPr>
        <w:tabs>
          <w:tab w:val="clear" w:pos="2010"/>
          <w:tab w:val="left" w:pos="284"/>
        </w:tabs>
        <w:spacing w:after="0"/>
        <w:ind w:left="567" w:hanging="567"/>
        <w:jc w:val="both"/>
        <w:rPr>
          <w:b/>
          <w:i w:val="0"/>
          <w:color w:val="auto"/>
          <w:sz w:val="20"/>
        </w:rPr>
      </w:pPr>
      <w:r w:rsidRPr="00A74D23">
        <w:rPr>
          <w:b/>
          <w:i w:val="0"/>
          <w:color w:val="auto"/>
          <w:sz w:val="20"/>
        </w:rPr>
        <w:t>L’accompagnement des entreprises à impact et l’investissement à objectif social</w:t>
      </w:r>
    </w:p>
    <w:p w14:paraId="53D512A1" w14:textId="6CCF822E" w:rsidR="00743B58" w:rsidRPr="00A74D23" w:rsidRDefault="00743B58" w:rsidP="00743B58">
      <w:pPr>
        <w:autoSpaceDE w:val="0"/>
        <w:autoSpaceDN w:val="0"/>
        <w:adjustRightInd w:val="0"/>
        <w:jc w:val="both"/>
        <w:rPr>
          <w:rFonts w:asciiTheme="minorHAnsi" w:hAnsiTheme="minorHAnsi" w:cs="Source Sans Pro"/>
          <w:color w:val="000000" w:themeColor="text1"/>
          <w:sz w:val="20"/>
          <w:szCs w:val="20"/>
          <w:lang w:val="fr-FR"/>
        </w:rPr>
      </w:pPr>
      <w:r w:rsidRPr="00A74D23">
        <w:rPr>
          <w:rFonts w:asciiTheme="minorHAnsi" w:hAnsiTheme="minorHAnsi" w:cs="Source Sans Pro"/>
          <w:color w:val="000000" w:themeColor="text1"/>
          <w:sz w:val="20"/>
          <w:szCs w:val="20"/>
          <w:lang w:val="fr-FR"/>
        </w:rPr>
        <w:t xml:space="preserve">En 10 ans, Abeille Assurances a investi plus de 100m€ dans des entreprises à impact sur l’ensemble du territoire français, avec une présence sur toutes les phases de croissance, soutenant des porteurs de projets à impact, via le concours La Fabrique Abeille Assurances, ainsi que des entreprises en amorçage ou en développement (TPE, PME) via une participation au capital pour une centaine d’entreprises. Les entreprises financées répondent aux enjeux de consommation et production responsable, d’économie collaborative et circulaire, de santé et de services aux personnes fragilisées, d’éducation, d’emploi durable, de développement local, et d’innovation écologique et énergétique. Le programme d’impact d’Abeille Assurances s’appuie sur des experts reconnus de la finance à impact comme Inco et Ventech. </w:t>
      </w:r>
    </w:p>
    <w:p w14:paraId="3038981C" w14:textId="77777777" w:rsidR="00743B58" w:rsidRPr="00A74D23" w:rsidRDefault="00743B58" w:rsidP="00743B58">
      <w:pPr>
        <w:pStyle w:val="Style1"/>
        <w:numPr>
          <w:ilvl w:val="0"/>
          <w:numId w:val="0"/>
        </w:numPr>
        <w:jc w:val="both"/>
        <w:rPr>
          <w:i w:val="0"/>
          <w:color w:val="auto"/>
          <w:sz w:val="20"/>
        </w:rPr>
      </w:pPr>
    </w:p>
    <w:p w14:paraId="06303A0D" w14:textId="77777777" w:rsidR="00743B58" w:rsidRPr="00A74D23" w:rsidRDefault="00743B58" w:rsidP="00590DD1">
      <w:pPr>
        <w:pStyle w:val="Style1"/>
        <w:numPr>
          <w:ilvl w:val="0"/>
          <w:numId w:val="12"/>
        </w:numPr>
        <w:tabs>
          <w:tab w:val="clear" w:pos="2010"/>
          <w:tab w:val="left" w:pos="567"/>
        </w:tabs>
        <w:ind w:left="284" w:hanging="284"/>
        <w:jc w:val="both"/>
        <w:rPr>
          <w:b/>
          <w:i w:val="0"/>
          <w:color w:val="auto"/>
          <w:sz w:val="20"/>
        </w:rPr>
      </w:pPr>
      <w:r w:rsidRPr="00A74D23">
        <w:rPr>
          <w:b/>
          <w:bCs/>
          <w:i w:val="0"/>
          <w:iCs w:val="0"/>
          <w:color w:val="auto"/>
          <w:sz w:val="20"/>
          <w:szCs w:val="20"/>
          <w:lang w:eastAsia="fr-FR"/>
        </w:rPr>
        <w:t>L’engagement</w:t>
      </w:r>
      <w:r w:rsidRPr="00A74D23">
        <w:rPr>
          <w:b/>
          <w:i w:val="0"/>
          <w:color w:val="auto"/>
          <w:sz w:val="20"/>
        </w:rPr>
        <w:t xml:space="preserve"> et le dialogue actionnarial </w:t>
      </w:r>
    </w:p>
    <w:p w14:paraId="569826C5" w14:textId="3BC9CA7B" w:rsidR="00743B58" w:rsidRPr="00A74D23" w:rsidRDefault="00743B58" w:rsidP="00743B58">
      <w:pPr>
        <w:pStyle w:val="Style1"/>
        <w:numPr>
          <w:ilvl w:val="0"/>
          <w:numId w:val="0"/>
        </w:numPr>
        <w:spacing w:after="0" w:line="240" w:lineRule="auto"/>
        <w:jc w:val="both"/>
        <w:rPr>
          <w:i w:val="0"/>
          <w:color w:val="auto"/>
          <w:sz w:val="20"/>
          <w:szCs w:val="20"/>
        </w:rPr>
      </w:pPr>
      <w:r w:rsidRPr="00A74D23">
        <w:rPr>
          <w:i w:val="0"/>
          <w:color w:val="auto"/>
          <w:sz w:val="20"/>
          <w:szCs w:val="20"/>
        </w:rPr>
        <w:t>La politique d'engagement actionnarial d’Abeille Assurances est un outil fondamental pour exercer le rôle d'actionnaire responsable et exercer un effet bénéfique d’un point de vue extra financier sur les entreprises dans lesquelles Abeille Assurances investit pour le compte de ses clients. Abeille Assurances, par le biais d’Ofi Invest AM, s’engage notamment auprès des entreprises pour les inciter à accélérer leur transition et soutenir leur démarche. Davantage d’informations quant à notre politique d’engagement actionnarial peuvent être trouvées dans la partie E (« Stratégie d'engagement auprès des émetteurs ou vis-à-vis des sociétés de gestion ainsi que sur sa mise en œuvre »).</w:t>
      </w:r>
    </w:p>
    <w:p w14:paraId="453A4314" w14:textId="77777777" w:rsidR="00743B58" w:rsidRPr="00A74D23" w:rsidRDefault="00743B58" w:rsidP="00743B58">
      <w:pPr>
        <w:pStyle w:val="Style1"/>
        <w:numPr>
          <w:ilvl w:val="0"/>
          <w:numId w:val="0"/>
        </w:numPr>
        <w:spacing w:after="0" w:line="240" w:lineRule="auto"/>
        <w:jc w:val="both"/>
        <w:rPr>
          <w:i w:val="0"/>
          <w:iCs w:val="0"/>
          <w:color w:val="auto"/>
          <w:sz w:val="20"/>
          <w:szCs w:val="20"/>
          <w:lang w:eastAsia="fr-FR"/>
        </w:rPr>
      </w:pPr>
    </w:p>
    <w:p w14:paraId="26143CB2" w14:textId="77777777" w:rsidR="00743B58" w:rsidRPr="00A74D23" w:rsidRDefault="00743B58" w:rsidP="00590DD1">
      <w:pPr>
        <w:pStyle w:val="Style1"/>
        <w:numPr>
          <w:ilvl w:val="0"/>
          <w:numId w:val="12"/>
        </w:numPr>
        <w:tabs>
          <w:tab w:val="clear" w:pos="2010"/>
          <w:tab w:val="left" w:pos="426"/>
        </w:tabs>
        <w:spacing w:after="0"/>
        <w:ind w:left="284" w:hanging="284"/>
        <w:jc w:val="both"/>
        <w:rPr>
          <w:b/>
          <w:i w:val="0"/>
          <w:color w:val="auto"/>
          <w:sz w:val="20"/>
        </w:rPr>
      </w:pPr>
      <w:r w:rsidRPr="00A74D23">
        <w:rPr>
          <w:b/>
          <w:i w:val="0"/>
          <w:color w:val="auto"/>
          <w:sz w:val="20"/>
        </w:rPr>
        <w:t>L’investissement en faveur de la durabilité et des transitions</w:t>
      </w:r>
    </w:p>
    <w:p w14:paraId="4DED96C7" w14:textId="52B5880C" w:rsidR="00743B58" w:rsidRPr="00A74D23" w:rsidRDefault="00743B58" w:rsidP="009F2040">
      <w:pPr>
        <w:spacing w:line="22" w:lineRule="atLeast"/>
        <w:jc w:val="both"/>
        <w:rPr>
          <w:rFonts w:asciiTheme="minorHAnsi" w:hAnsiTheme="minorHAnsi" w:cs="Open Sans"/>
          <w:lang w:val="fr-FR"/>
        </w:rPr>
      </w:pPr>
      <w:r w:rsidRPr="00A74D23">
        <w:rPr>
          <w:rFonts w:asciiTheme="minorHAnsi" w:eastAsiaTheme="minorHAnsi" w:hAnsiTheme="minorHAnsi" w:cstheme="minorHAnsi"/>
          <w:iCs/>
          <w:sz w:val="20"/>
          <w:szCs w:val="20"/>
          <w:lang w:val="fr-FR"/>
        </w:rPr>
        <w:t>Abeille Assurances mobilise une stratégie d’investissement destinée à soutenir la transition environnementale, la transformation énergétique et le développement d’activités à impact positif. Cette approche combine l’allocation vers des actifs contribuant à des objectifs environnementaux ou sociaux, tels que les obligations vertes, sociales ou durables. Dans ce cadre, Abeille Assurances a produit sa définition d’investissement durable, et fixé un objectif de 500M€ annuels.</w:t>
      </w:r>
    </w:p>
    <w:p w14:paraId="604F800A" w14:textId="77777777" w:rsidR="00743B58" w:rsidRPr="00A74D23" w:rsidRDefault="00743B58" w:rsidP="009D6EE5">
      <w:pPr>
        <w:spacing w:line="22" w:lineRule="atLeast"/>
        <w:jc w:val="both"/>
        <w:rPr>
          <w:rFonts w:asciiTheme="minorHAnsi" w:hAnsiTheme="minorHAnsi" w:cs="Open Sans"/>
          <w:lang w:val="fr-FR"/>
        </w:rPr>
      </w:pPr>
    </w:p>
    <w:p w14:paraId="797CE67A" w14:textId="77777777" w:rsidR="00ED0CEB" w:rsidRPr="00A74D23" w:rsidRDefault="00ED0CEB" w:rsidP="009D6EE5">
      <w:pPr>
        <w:pStyle w:val="Style1"/>
        <w:numPr>
          <w:ilvl w:val="0"/>
          <w:numId w:val="0"/>
        </w:numPr>
        <w:spacing w:line="22" w:lineRule="atLeast"/>
        <w:jc w:val="both"/>
        <w:rPr>
          <w:rFonts w:cs="Open Sans"/>
          <w:b/>
          <w:i w:val="0"/>
          <w:color w:val="auto"/>
          <w:sz w:val="20"/>
        </w:rPr>
      </w:pPr>
    </w:p>
    <w:p w14:paraId="7DD47C05" w14:textId="77777777" w:rsidR="001F5902" w:rsidRPr="00A74D23" w:rsidRDefault="001F5902" w:rsidP="009D6EE5">
      <w:pPr>
        <w:pStyle w:val="Style1"/>
        <w:numPr>
          <w:ilvl w:val="0"/>
          <w:numId w:val="0"/>
        </w:numPr>
        <w:spacing w:after="0" w:line="22" w:lineRule="atLeast"/>
        <w:jc w:val="both"/>
        <w:rPr>
          <w:rFonts w:cs="Open Sans"/>
          <w:i w:val="0"/>
          <w:iCs w:val="0"/>
          <w:color w:val="auto"/>
          <w:sz w:val="20"/>
          <w:szCs w:val="20"/>
          <w:lang w:eastAsia="fr-FR"/>
        </w:rPr>
      </w:pPr>
    </w:p>
    <w:p w14:paraId="1D1AE0DF" w14:textId="77777777" w:rsidR="00934816" w:rsidRPr="00A74D23" w:rsidRDefault="00934816" w:rsidP="009D6EE5">
      <w:pPr>
        <w:pStyle w:val="Style1"/>
        <w:numPr>
          <w:ilvl w:val="0"/>
          <w:numId w:val="0"/>
        </w:numPr>
        <w:spacing w:line="22" w:lineRule="atLeast"/>
        <w:jc w:val="both"/>
        <w:rPr>
          <w:rFonts w:cs="Open Sans"/>
          <w:i w:val="0"/>
          <w:color w:val="auto"/>
          <w:sz w:val="20"/>
          <w:szCs w:val="20"/>
        </w:rPr>
      </w:pPr>
    </w:p>
    <w:p w14:paraId="6E9BA33C" w14:textId="77777777" w:rsidR="00701329" w:rsidRPr="00A74D23" w:rsidRDefault="00701329" w:rsidP="009D6EE5">
      <w:pPr>
        <w:pStyle w:val="Style1"/>
        <w:numPr>
          <w:ilvl w:val="0"/>
          <w:numId w:val="0"/>
        </w:numPr>
        <w:tabs>
          <w:tab w:val="clear" w:pos="2010"/>
          <w:tab w:val="left" w:pos="567"/>
        </w:tabs>
        <w:spacing w:after="0" w:line="22" w:lineRule="atLeast"/>
        <w:jc w:val="both"/>
        <w:rPr>
          <w:rFonts w:eastAsia="Times New Roman" w:cs="Open Sans"/>
          <w:i w:val="0"/>
          <w:iCs w:val="0"/>
          <w:color w:val="auto"/>
          <w:sz w:val="20"/>
          <w:szCs w:val="20"/>
        </w:rPr>
      </w:pPr>
    </w:p>
    <w:p w14:paraId="56BB7098" w14:textId="1B45F004" w:rsidR="00E44A64" w:rsidRPr="00A74D23" w:rsidRDefault="00186024" w:rsidP="009D6EE5">
      <w:pPr>
        <w:pStyle w:val="Style3"/>
        <w:spacing w:after="0" w:line="22" w:lineRule="atLeast"/>
        <w:ind w:left="6316" w:hanging="6316"/>
        <w:jc w:val="both"/>
        <w:rPr>
          <w:rFonts w:asciiTheme="minorHAnsi" w:hAnsiTheme="minorHAnsi" w:cs="Open Sans"/>
          <w:sz w:val="32"/>
          <w:szCs w:val="32"/>
        </w:rPr>
      </w:pPr>
      <w:r w:rsidRPr="00A74D23">
        <w:rPr>
          <w:rFonts w:asciiTheme="minorHAnsi" w:hAnsiTheme="minorHAnsi" w:cs="Open Sans"/>
          <w:sz w:val="32"/>
          <w:szCs w:val="32"/>
        </w:rPr>
        <w:t>1.2</w:t>
      </w:r>
      <w:r w:rsidR="00125435" w:rsidRPr="00A74D23">
        <w:rPr>
          <w:rFonts w:asciiTheme="minorHAnsi" w:hAnsiTheme="minorHAnsi" w:cs="Open Sans"/>
          <w:sz w:val="32"/>
          <w:szCs w:val="32"/>
        </w:rPr>
        <w:t xml:space="preserve">. </w:t>
      </w:r>
      <w:bookmarkStart w:id="27" w:name="_Toc129091805"/>
      <w:bookmarkStart w:id="28" w:name="_Toc128735894"/>
      <w:r w:rsidR="00E44A64" w:rsidRPr="00A74D23">
        <w:rPr>
          <w:rFonts w:asciiTheme="minorHAnsi" w:hAnsiTheme="minorHAnsi" w:cs="Open Sans"/>
          <w:sz w:val="32"/>
          <w:szCs w:val="32"/>
        </w:rPr>
        <w:t>Répondre aux attentes des clients</w:t>
      </w:r>
      <w:bookmarkEnd w:id="27"/>
      <w:bookmarkEnd w:id="28"/>
      <w:r w:rsidR="00A90696" w:rsidRPr="00A74D23">
        <w:rPr>
          <w:rFonts w:asciiTheme="minorHAnsi" w:hAnsiTheme="minorHAnsi" w:cs="Open Sans"/>
          <w:sz w:val="32"/>
          <w:szCs w:val="32"/>
        </w:rPr>
        <w:t xml:space="preserve"> </w:t>
      </w:r>
    </w:p>
    <w:p w14:paraId="248C5AFB" w14:textId="77777777" w:rsidR="00411D39" w:rsidRPr="00A74D23" w:rsidRDefault="00411D39" w:rsidP="00343FD7">
      <w:pPr>
        <w:pStyle w:val="Style3"/>
        <w:spacing w:after="0" w:line="22" w:lineRule="atLeast"/>
        <w:ind w:left="0" w:firstLine="0"/>
        <w:jc w:val="both"/>
        <w:rPr>
          <w:rFonts w:asciiTheme="minorHAnsi" w:hAnsiTheme="minorHAnsi" w:cs="Open Sans"/>
        </w:rPr>
      </w:pPr>
    </w:p>
    <w:p w14:paraId="61E5AA51" w14:textId="23F0B4CB" w:rsidR="00273541" w:rsidRPr="00A74D23" w:rsidRDefault="00EA4F92" w:rsidP="009D6EE5">
      <w:pPr>
        <w:pStyle w:val="Style1"/>
        <w:numPr>
          <w:ilvl w:val="0"/>
          <w:numId w:val="0"/>
        </w:numPr>
        <w:spacing w:after="120" w:line="22" w:lineRule="atLeast"/>
        <w:contextualSpacing w:val="0"/>
        <w:jc w:val="both"/>
        <w:rPr>
          <w:rFonts w:cs="Open Sans"/>
          <w:i w:val="0"/>
          <w:color w:val="auto"/>
          <w:sz w:val="20"/>
          <w:szCs w:val="20"/>
        </w:rPr>
      </w:pPr>
      <w:r w:rsidRPr="00A74D23">
        <w:rPr>
          <w:rFonts w:cs="Open Sans"/>
          <w:noProof/>
        </w:rPr>
        <mc:AlternateContent>
          <mc:Choice Requires="wps">
            <w:drawing>
              <wp:anchor distT="0" distB="0" distL="114300" distR="114300" simplePos="0" relativeHeight="251330560" behindDoc="0" locked="0" layoutInCell="1" allowOverlap="1" wp14:anchorId="7A7AC1F7" wp14:editId="1ADFF748">
                <wp:simplePos x="0" y="0"/>
                <wp:positionH relativeFrom="margin">
                  <wp:align>center</wp:align>
                </wp:positionH>
                <wp:positionV relativeFrom="paragraph">
                  <wp:posOffset>99695</wp:posOffset>
                </wp:positionV>
                <wp:extent cx="4014259" cy="260350"/>
                <wp:effectExtent l="0" t="0" r="5715" b="8255"/>
                <wp:wrapNone/>
                <wp:docPr id="130230831" name="Rectangle : coins arrondis 130230831"/>
                <wp:cNvGraphicFramePr/>
                <a:graphic xmlns:a="http://schemas.openxmlformats.org/drawingml/2006/main">
                  <a:graphicData uri="http://schemas.microsoft.com/office/word/2010/wordprocessingShape">
                    <wps:wsp>
                      <wps:cNvSpPr/>
                      <wps:spPr>
                        <a:xfrm>
                          <a:off x="0" y="0"/>
                          <a:ext cx="4014259" cy="260350"/>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8D81D3" w14:textId="6D99927D" w:rsidR="00D92634" w:rsidRPr="00474EE1" w:rsidRDefault="00EA4F92" w:rsidP="00D92634">
                            <w:pPr>
                              <w:jc w:val="center"/>
                              <w:rPr>
                                <w:rFonts w:asciiTheme="minorHAnsi" w:hAnsiTheme="minorHAnsi"/>
                                <w:b/>
                                <w:bCs/>
                                <w:color w:val="000000" w:themeColor="text1"/>
                                <w:lang w:val="fr-FR"/>
                              </w:rPr>
                            </w:pPr>
                            <w:r w:rsidRPr="00474EE1">
                              <w:rPr>
                                <w:rFonts w:asciiTheme="minorHAnsi" w:hAnsiTheme="minorHAnsi"/>
                                <w:b/>
                                <w:bCs/>
                                <w:color w:val="000000" w:themeColor="text1"/>
                                <w:lang w:val="fr-FR"/>
                              </w:rPr>
                              <w:t>Finance durable : les attentes des épargnants envers leurs conseillers financiers se sont renforcées</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roundrect w14:anchorId="7A7AC1F7" id="Rectangle : coins arrondis 130230831" o:spid="_x0000_s1039" style="position:absolute;left:0;text-align:left;margin-left:0;margin-top:7.85pt;width:316.1pt;height:20.5pt;z-index:251330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" fillcolor="#ffc000" stroked="f" strokeweight="1pt">
                <v:stroke joinstyle="miter"/>
                <v:textbox style="mso-fit-shape-to-text:t" inset="2.5mm,1mm,2.5mm,1mm">
                  <w:txbxContent>
                    <w:p w14:paraId="248D81D3" w14:textId="6D99927D" w:rsidR="00D92634" w:rsidRPr="00474EE1" w:rsidRDefault="00EA4F92" w:rsidP="00D92634">
                      <w:pPr>
                        <w:jc w:val="center"/>
                        <w:rPr>
                          <w:rFonts w:asciiTheme="minorHAnsi" w:hAnsiTheme="minorHAnsi"/>
                          <w:b/>
                          <w:bCs/>
                          <w:color w:val="000000" w:themeColor="text1"/>
                          <w:lang w:val="fr-FR"/>
                        </w:rPr>
                      </w:pPr>
                      <w:r w:rsidRPr="00474EE1">
                        <w:rPr>
                          <w:rFonts w:asciiTheme="minorHAnsi" w:hAnsiTheme="minorHAnsi"/>
                          <w:b/>
                          <w:bCs/>
                          <w:color w:val="000000" w:themeColor="text1"/>
                          <w:lang w:val="fr-FR"/>
                        </w:rPr>
                        <w:t>Finance durable : les attentes des épargnants envers leurs conseillers financiers se sont renforcées</w:t>
                      </w:r>
                    </w:p>
                  </w:txbxContent>
                </v:textbox>
                <w10:wrap anchorx="margin"/>
              </v:roundrect>
            </w:pict>
          </mc:Fallback>
        </mc:AlternateContent>
      </w:r>
    </w:p>
    <w:p w14:paraId="6E8417B8" w14:textId="2C646E85" w:rsidR="00273541" w:rsidRPr="00A74D23" w:rsidRDefault="00273541" w:rsidP="009D6EE5">
      <w:pPr>
        <w:pStyle w:val="Style1"/>
        <w:numPr>
          <w:ilvl w:val="0"/>
          <w:numId w:val="0"/>
        </w:numPr>
        <w:spacing w:after="120" w:line="22" w:lineRule="atLeast"/>
        <w:contextualSpacing w:val="0"/>
        <w:jc w:val="both"/>
        <w:rPr>
          <w:rFonts w:cs="Open Sans"/>
          <w:i w:val="0"/>
          <w:color w:val="auto"/>
          <w:sz w:val="20"/>
          <w:szCs w:val="20"/>
        </w:rPr>
      </w:pPr>
      <w:r w:rsidRPr="00A74D23">
        <w:rPr>
          <w:rFonts w:cs="Open Sans"/>
          <w:noProof/>
        </w:rPr>
        <mc:AlternateContent>
          <mc:Choice Requires="wps">
            <w:drawing>
              <wp:anchor distT="0" distB="0" distL="114300" distR="114300" simplePos="0" relativeHeight="251332608" behindDoc="1" locked="0" layoutInCell="1" allowOverlap="1" wp14:anchorId="116678C3" wp14:editId="6509D0F4">
                <wp:simplePos x="0" y="0"/>
                <wp:positionH relativeFrom="margin">
                  <wp:align>left</wp:align>
                </wp:positionH>
                <wp:positionV relativeFrom="paragraph">
                  <wp:posOffset>135153</wp:posOffset>
                </wp:positionV>
                <wp:extent cx="6206541" cy="1880007"/>
                <wp:effectExtent l="0" t="0" r="3810" b="6350"/>
                <wp:wrapNone/>
                <wp:docPr id="525531293" name="Rectangle : coins arrondis 525531293"/>
                <wp:cNvGraphicFramePr/>
                <a:graphic xmlns:a="http://schemas.openxmlformats.org/drawingml/2006/main">
                  <a:graphicData uri="http://schemas.microsoft.com/office/word/2010/wordprocessingShape">
                    <wps:wsp>
                      <wps:cNvSpPr/>
                      <wps:spPr>
                        <a:xfrm>
                          <a:off x="0" y="0"/>
                          <a:ext cx="6206541" cy="1880007"/>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B08241" w14:textId="77777777" w:rsidR="00D92634" w:rsidRPr="00D92634" w:rsidRDefault="00D92634" w:rsidP="00D92634">
                            <w:pPr>
                              <w:ind w:left="502" w:hanging="360"/>
                              <w:jc w:val="both"/>
                              <w:rPr>
                                <w:sz w:val="12"/>
                                <w:szCs w:val="12"/>
                              </w:rPr>
                            </w:pPr>
                          </w:p>
                          <w:p w14:paraId="300B25AE" w14:textId="19C4253C" w:rsidR="00937493" w:rsidRPr="00C07700" w:rsidRDefault="00937493" w:rsidP="00590DD1">
                            <w:pPr>
                              <w:pStyle w:val="Texteencadr"/>
                              <w:numPr>
                                <w:ilvl w:val="0"/>
                                <w:numId w:val="47"/>
                              </w:numPr>
                              <w:spacing w:after="0" w:line="240" w:lineRule="auto"/>
                              <w:jc w:val="both"/>
                              <w:rPr>
                                <w:color w:val="000000" w:themeColor="text1"/>
                                <w:sz w:val="20"/>
                                <w:szCs w:val="20"/>
                              </w:rPr>
                            </w:pPr>
                            <w:r w:rsidRPr="00C07700">
                              <w:rPr>
                                <w:rFonts w:cstheme="minorHAnsi"/>
                                <w:color w:val="000000" w:themeColor="text1"/>
                                <w:sz w:val="20"/>
                                <w:szCs w:val="20"/>
                              </w:rPr>
                              <w:t xml:space="preserve">L’AMF note que les attentes des épargnants relatives à la finance durable se sont fortement </w:t>
                            </w:r>
                            <w:r w:rsidR="00856EF2" w:rsidRPr="00C07700">
                              <w:rPr>
                                <w:rFonts w:cstheme="minorHAnsi"/>
                                <w:color w:val="000000" w:themeColor="text1"/>
                                <w:sz w:val="20"/>
                                <w:szCs w:val="20"/>
                              </w:rPr>
                              <w:t>accrus</w:t>
                            </w:r>
                            <w:r w:rsidRPr="00C07700">
                              <w:rPr>
                                <w:rFonts w:cstheme="minorHAnsi"/>
                                <w:color w:val="000000" w:themeColor="text1"/>
                                <w:sz w:val="20"/>
                                <w:szCs w:val="20"/>
                              </w:rPr>
                              <w:t>. Les conseillers doivent simplifier le parcours client, notamment en clarifiant et formalisant les préférences ESG, jugées trop complexes actuellement.</w:t>
                            </w:r>
                          </w:p>
                          <w:p w14:paraId="76225EA5" w14:textId="4977CE98" w:rsidR="00937493" w:rsidRPr="00C07700" w:rsidRDefault="00937493" w:rsidP="00937493">
                            <w:pPr>
                              <w:pStyle w:val="Texteencadr"/>
                              <w:numPr>
                                <w:ilvl w:val="0"/>
                                <w:numId w:val="0"/>
                              </w:numPr>
                              <w:spacing w:after="0" w:line="240" w:lineRule="auto"/>
                              <w:ind w:left="502"/>
                              <w:jc w:val="both"/>
                              <w:rPr>
                                <w:color w:val="000000" w:themeColor="text1"/>
                                <w:sz w:val="20"/>
                                <w:szCs w:val="20"/>
                              </w:rPr>
                            </w:pPr>
                          </w:p>
                          <w:p w14:paraId="5E36EFC0" w14:textId="69B96DF1" w:rsidR="00937493" w:rsidRPr="00C07700" w:rsidRDefault="00937493" w:rsidP="00590DD1">
                            <w:pPr>
                              <w:pStyle w:val="Texteencadr"/>
                              <w:numPr>
                                <w:ilvl w:val="0"/>
                                <w:numId w:val="47"/>
                              </w:numPr>
                              <w:spacing w:after="0" w:line="240" w:lineRule="auto"/>
                              <w:jc w:val="both"/>
                              <w:rPr>
                                <w:color w:val="000000" w:themeColor="text1"/>
                                <w:sz w:val="20"/>
                                <w:szCs w:val="20"/>
                              </w:rPr>
                            </w:pPr>
                            <w:r w:rsidRPr="00C07700">
                              <w:rPr>
                                <w:color w:val="000000" w:themeColor="text1"/>
                                <w:sz w:val="20"/>
                                <w:szCs w:val="20"/>
                              </w:rPr>
                              <w:t>76</w:t>
                            </w:r>
                            <w:r w:rsidR="00E51852" w:rsidRPr="00C07700">
                              <w:rPr>
                                <w:color w:val="000000" w:themeColor="text1"/>
                                <w:sz w:val="20"/>
                                <w:szCs w:val="20"/>
                              </w:rPr>
                              <w:t>% des français estiment que l’impact environnemental des placements responsables est un sujet important</w:t>
                            </w:r>
                            <w:r w:rsidR="00A349A3" w:rsidRPr="00C07700">
                              <w:rPr>
                                <w:color w:val="000000" w:themeColor="text1"/>
                                <w:sz w:val="20"/>
                                <w:szCs w:val="20"/>
                              </w:rPr>
                              <w:t>, dont 22</w:t>
                            </w:r>
                            <w:r w:rsidR="00856EF2" w:rsidRPr="00C07700">
                              <w:rPr>
                                <w:color w:val="000000" w:themeColor="text1"/>
                                <w:sz w:val="20"/>
                                <w:szCs w:val="20"/>
                              </w:rPr>
                              <w:t>%</w:t>
                            </w:r>
                            <w:r w:rsidR="00A349A3" w:rsidRPr="00C07700">
                              <w:rPr>
                                <w:color w:val="000000" w:themeColor="text1"/>
                                <w:sz w:val="20"/>
                                <w:szCs w:val="20"/>
                              </w:rPr>
                              <w:t xml:space="preserve"> « tout à fait important ». </w:t>
                            </w:r>
                            <w:r w:rsidR="004B0252">
                              <w:rPr>
                                <w:color w:val="000000" w:themeColor="text1"/>
                                <w:sz w:val="20"/>
                                <w:szCs w:val="20"/>
                              </w:rPr>
                              <w:t>(</w:t>
                            </w:r>
                            <w:r w:rsidR="004B0252" w:rsidRPr="004B0252">
                              <w:rPr>
                                <w:color w:val="000000" w:themeColor="text1"/>
                                <w:sz w:val="20"/>
                                <w:szCs w:val="20"/>
                              </w:rPr>
                              <w:t>3ᵉ édition du baromètre OpinionWay</w:t>
                            </w:r>
                            <w:r w:rsidR="004B0252">
                              <w:rPr>
                                <w:color w:val="000000" w:themeColor="text1"/>
                                <w:sz w:val="20"/>
                                <w:szCs w:val="20"/>
                              </w:rPr>
                              <w:t xml:space="preserve"> pour l’AMF)</w:t>
                            </w:r>
                          </w:p>
                          <w:p w14:paraId="33794A25" w14:textId="77777777" w:rsidR="00A349A3" w:rsidRPr="00C07700" w:rsidRDefault="00A349A3" w:rsidP="00A9024F">
                            <w:pPr>
                              <w:rPr>
                                <w:color w:val="000000" w:themeColor="text1"/>
                                <w:sz w:val="20"/>
                                <w:szCs w:val="20"/>
                                <w:lang w:val="fr-FR"/>
                              </w:rPr>
                            </w:pPr>
                          </w:p>
                          <w:p w14:paraId="56952A01" w14:textId="51F1D2E1" w:rsidR="00A349A3" w:rsidRPr="00C07700" w:rsidRDefault="00D668F5" w:rsidP="00590DD1">
                            <w:pPr>
                              <w:pStyle w:val="Texteencadr"/>
                              <w:numPr>
                                <w:ilvl w:val="0"/>
                                <w:numId w:val="47"/>
                              </w:numPr>
                              <w:spacing w:after="0" w:line="240" w:lineRule="auto"/>
                              <w:jc w:val="both"/>
                              <w:rPr>
                                <w:color w:val="000000" w:themeColor="text1"/>
                                <w:sz w:val="20"/>
                                <w:szCs w:val="20"/>
                              </w:rPr>
                            </w:pPr>
                            <w:r w:rsidRPr="00C07700">
                              <w:rPr>
                                <w:color w:val="000000" w:themeColor="text1"/>
                                <w:sz w:val="20"/>
                                <w:szCs w:val="20"/>
                              </w:rPr>
                              <w:t>En revanche, si 64 % des Français ont entendu parler des placements responsables, seuls 12 % les connaissent bien et 59 % doutent qu’ils soient vraiment responsables.</w:t>
                            </w:r>
                          </w:p>
                          <w:p w14:paraId="7F769C44" w14:textId="77777777" w:rsidR="00937493" w:rsidRPr="00C07700" w:rsidRDefault="00937493" w:rsidP="00937493">
                            <w:pPr>
                              <w:pStyle w:val="Texteencadr"/>
                              <w:numPr>
                                <w:ilvl w:val="0"/>
                                <w:numId w:val="0"/>
                              </w:numPr>
                              <w:spacing w:after="0" w:line="240" w:lineRule="auto"/>
                              <w:ind w:left="720" w:hanging="360"/>
                              <w:jc w:val="both"/>
                              <w:rPr>
                                <w:rFonts w:cstheme="minorHAnsi"/>
                                <w:color w:val="000000" w:themeColor="text1"/>
                                <w:sz w:val="20"/>
                                <w:szCs w:val="20"/>
                              </w:rPr>
                            </w:pPr>
                          </w:p>
                          <w:p w14:paraId="6BBB1107" w14:textId="77777777" w:rsidR="00937493" w:rsidRPr="00A9024F" w:rsidRDefault="00937493" w:rsidP="00937493">
                            <w:pPr>
                              <w:pStyle w:val="Texteencadr"/>
                              <w:numPr>
                                <w:ilvl w:val="0"/>
                                <w:numId w:val="0"/>
                              </w:numPr>
                              <w:spacing w:after="0" w:line="240" w:lineRule="auto"/>
                              <w:ind w:left="720" w:hanging="360"/>
                              <w:jc w:val="both"/>
                              <w:rPr>
                                <w:rFonts w:cstheme="minorHAnsi"/>
                                <w:color w:val="000000" w:themeColor="text1"/>
                                <w:sz w:val="18"/>
                                <w:szCs w:val="18"/>
                              </w:rPr>
                            </w:pPr>
                          </w:p>
                          <w:p w14:paraId="6359DEA6" w14:textId="77777777" w:rsidR="00937493" w:rsidRDefault="00937493" w:rsidP="00937493">
                            <w:pPr>
                              <w:pStyle w:val="Texteencadr"/>
                              <w:numPr>
                                <w:ilvl w:val="0"/>
                                <w:numId w:val="0"/>
                              </w:numPr>
                              <w:spacing w:after="0" w:line="240" w:lineRule="auto"/>
                              <w:ind w:left="720" w:hanging="360"/>
                              <w:jc w:val="both"/>
                              <w:rPr>
                                <w:rFonts w:cstheme="minorHAnsi"/>
                                <w:color w:val="000000" w:themeColor="text1"/>
                                <w:sz w:val="20"/>
                                <w:szCs w:val="20"/>
                              </w:rPr>
                            </w:pPr>
                          </w:p>
                          <w:p w14:paraId="119B48CC" w14:textId="77777777" w:rsidR="00937493" w:rsidRDefault="00937493" w:rsidP="00937493">
                            <w:pPr>
                              <w:pStyle w:val="Texteencadr"/>
                              <w:numPr>
                                <w:ilvl w:val="0"/>
                                <w:numId w:val="0"/>
                              </w:numPr>
                              <w:spacing w:after="0" w:line="240" w:lineRule="auto"/>
                              <w:ind w:left="720" w:hanging="360"/>
                              <w:jc w:val="both"/>
                              <w:rPr>
                                <w:rFonts w:cstheme="minorHAnsi"/>
                                <w:color w:val="000000" w:themeColor="text1"/>
                                <w:sz w:val="20"/>
                                <w:szCs w:val="20"/>
                              </w:rPr>
                            </w:pPr>
                          </w:p>
                          <w:p w14:paraId="13D3F4B0" w14:textId="77777777" w:rsidR="00937493" w:rsidRDefault="00937493" w:rsidP="00937493">
                            <w:pPr>
                              <w:pStyle w:val="Texteencadr"/>
                              <w:numPr>
                                <w:ilvl w:val="0"/>
                                <w:numId w:val="0"/>
                              </w:numPr>
                              <w:spacing w:after="0" w:line="240" w:lineRule="auto"/>
                              <w:ind w:left="720" w:hanging="360"/>
                              <w:jc w:val="both"/>
                              <w:rPr>
                                <w:rFonts w:cstheme="minorHAnsi"/>
                                <w:color w:val="000000" w:themeColor="text1"/>
                                <w:sz w:val="20"/>
                                <w:szCs w:val="20"/>
                              </w:rPr>
                            </w:pPr>
                          </w:p>
                          <w:p w14:paraId="5CFCF732" w14:textId="77777777" w:rsidR="00937493" w:rsidRDefault="00937493" w:rsidP="00937493">
                            <w:pPr>
                              <w:pStyle w:val="Texteencadr"/>
                              <w:numPr>
                                <w:ilvl w:val="0"/>
                                <w:numId w:val="0"/>
                              </w:numPr>
                              <w:spacing w:after="0" w:line="240" w:lineRule="auto"/>
                              <w:ind w:left="720" w:hanging="360"/>
                              <w:jc w:val="both"/>
                              <w:rPr>
                                <w:rFonts w:cstheme="minorHAnsi"/>
                                <w:color w:val="000000" w:themeColor="text1"/>
                                <w:sz w:val="20"/>
                                <w:szCs w:val="20"/>
                              </w:rPr>
                            </w:pPr>
                          </w:p>
                          <w:p w14:paraId="0834341A" w14:textId="77777777" w:rsidR="00937493" w:rsidRPr="009E4DDC" w:rsidRDefault="00937493" w:rsidP="00937493">
                            <w:pPr>
                              <w:pStyle w:val="Texteencadr"/>
                              <w:numPr>
                                <w:ilvl w:val="0"/>
                                <w:numId w:val="0"/>
                              </w:numPr>
                              <w:spacing w:after="0" w:line="240" w:lineRule="auto"/>
                              <w:ind w:left="720" w:hanging="360"/>
                              <w:jc w:val="both"/>
                              <w:rPr>
                                <w:color w:val="000000" w:themeColor="text1"/>
                              </w:rPr>
                            </w:pPr>
                          </w:p>
                        </w:txbxContent>
                      </wps:txbx>
                      <wps:bodyPr rot="0" spcFirstLastPara="0" vertOverflow="overflow" horzOverflow="overflow" vert="horz" wrap="square" lIns="180000" tIns="72000" rIns="180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6678C3" id="Rectangle : coins arrondis 525531293" o:spid="_x0000_s1040" style="position:absolute;left:0;text-align:left;margin-left:0;margin-top:10.65pt;width:488.7pt;height:148.05pt;z-index:-25198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" fillcolor="#d8d8d8 [2732]" stroked="f" strokeweight="1pt">
                <v:stroke joinstyle="miter"/>
                <v:textbox inset="5mm,2mm,5mm,3mm">
                  <w:txbxContent>
                    <w:p w14:paraId="07B08241" w14:textId="77777777" w:rsidR="00D92634" w:rsidRPr="00D92634" w:rsidRDefault="00D92634" w:rsidP="00D92634">
                      <w:pPr>
                        <w:ind w:left="502" w:hanging="360"/>
                        <w:jc w:val="both"/>
                        <w:rPr>
                          <w:sz w:val="12"/>
                          <w:szCs w:val="12"/>
                        </w:rPr>
                      </w:pPr>
                    </w:p>
                    <w:p w14:paraId="300B25AE" w14:textId="19C4253C" w:rsidR="00937493" w:rsidRPr="00C07700" w:rsidRDefault="00937493" w:rsidP="00590DD1">
                      <w:pPr>
                        <w:pStyle w:val="Texteencadr"/>
                        <w:numPr>
                          <w:ilvl w:val="0"/>
                          <w:numId w:val="47"/>
                        </w:numPr>
                        <w:spacing w:after="0" w:line="240" w:lineRule="auto"/>
                        <w:jc w:val="both"/>
                        <w:rPr>
                          <w:color w:val="000000" w:themeColor="text1"/>
                          <w:sz w:val="20"/>
                          <w:szCs w:val="20"/>
                        </w:rPr>
                      </w:pPr>
                      <w:r w:rsidRPr="00C07700">
                        <w:rPr>
                          <w:rFonts w:cstheme="minorHAnsi"/>
                          <w:color w:val="000000" w:themeColor="text1"/>
                          <w:sz w:val="20"/>
                          <w:szCs w:val="20"/>
                        </w:rPr>
                        <w:t xml:space="preserve">L’AMF note que les attentes des épargnants relatives à la finance durable se sont fortement </w:t>
                      </w:r>
                      <w:r w:rsidR="00856EF2" w:rsidRPr="00C07700">
                        <w:rPr>
                          <w:rFonts w:cstheme="minorHAnsi"/>
                          <w:color w:val="000000" w:themeColor="text1"/>
                          <w:sz w:val="20"/>
                          <w:szCs w:val="20"/>
                        </w:rPr>
                        <w:t>accrus</w:t>
                      </w:r>
                      <w:r w:rsidRPr="00C07700">
                        <w:rPr>
                          <w:rFonts w:cstheme="minorHAnsi"/>
                          <w:color w:val="000000" w:themeColor="text1"/>
                          <w:sz w:val="20"/>
                          <w:szCs w:val="20"/>
                        </w:rPr>
                        <w:t>. Les conseillers doivent simplifier le parcours client, notamment en clarifiant et formalisant les préférences ESG, jugées trop complexes actuellement.</w:t>
                      </w:r>
                    </w:p>
                    <w:p w14:paraId="76225EA5" w14:textId="4977CE98" w:rsidR="00937493" w:rsidRPr="00C07700" w:rsidRDefault="00937493" w:rsidP="00937493">
                      <w:pPr>
                        <w:pStyle w:val="Texteencadr"/>
                        <w:numPr>
                          <w:ilvl w:val="0"/>
                          <w:numId w:val="0"/>
                        </w:numPr>
                        <w:spacing w:after="0" w:line="240" w:lineRule="auto"/>
                        <w:ind w:left="502"/>
                        <w:jc w:val="both"/>
                        <w:rPr>
                          <w:color w:val="000000" w:themeColor="text1"/>
                          <w:sz w:val="20"/>
                          <w:szCs w:val="20"/>
                        </w:rPr>
                      </w:pPr>
                    </w:p>
                    <w:p w14:paraId="5E36EFC0" w14:textId="69B96DF1" w:rsidR="00937493" w:rsidRPr="00C07700" w:rsidRDefault="00937493" w:rsidP="00590DD1">
                      <w:pPr>
                        <w:pStyle w:val="Texteencadr"/>
                        <w:numPr>
                          <w:ilvl w:val="0"/>
                          <w:numId w:val="47"/>
                        </w:numPr>
                        <w:spacing w:after="0" w:line="240" w:lineRule="auto"/>
                        <w:jc w:val="both"/>
                        <w:rPr>
                          <w:color w:val="000000" w:themeColor="text1"/>
                          <w:sz w:val="20"/>
                          <w:szCs w:val="20"/>
                        </w:rPr>
                      </w:pPr>
                      <w:r w:rsidRPr="00C07700">
                        <w:rPr>
                          <w:color w:val="000000" w:themeColor="text1"/>
                          <w:sz w:val="20"/>
                          <w:szCs w:val="20"/>
                        </w:rPr>
                        <w:t>76</w:t>
                      </w:r>
                      <w:r w:rsidR="00E51852" w:rsidRPr="00C07700">
                        <w:rPr>
                          <w:color w:val="000000" w:themeColor="text1"/>
                          <w:sz w:val="20"/>
                          <w:szCs w:val="20"/>
                        </w:rPr>
                        <w:t>% des français estiment que l’impact environnemental des placements responsables est un sujet important</w:t>
                      </w:r>
                      <w:r w:rsidR="00A349A3" w:rsidRPr="00C07700">
                        <w:rPr>
                          <w:color w:val="000000" w:themeColor="text1"/>
                          <w:sz w:val="20"/>
                          <w:szCs w:val="20"/>
                        </w:rPr>
                        <w:t>, dont 22</w:t>
                      </w:r>
                      <w:r w:rsidR="00856EF2" w:rsidRPr="00C07700">
                        <w:rPr>
                          <w:color w:val="000000" w:themeColor="text1"/>
                          <w:sz w:val="20"/>
                          <w:szCs w:val="20"/>
                        </w:rPr>
                        <w:t>%</w:t>
                      </w:r>
                      <w:r w:rsidR="00A349A3" w:rsidRPr="00C07700">
                        <w:rPr>
                          <w:color w:val="000000" w:themeColor="text1"/>
                          <w:sz w:val="20"/>
                          <w:szCs w:val="20"/>
                        </w:rPr>
                        <w:t xml:space="preserve"> « tout à fait important ». </w:t>
                      </w:r>
                      <w:r w:rsidR="004B0252">
                        <w:rPr>
                          <w:color w:val="000000" w:themeColor="text1"/>
                          <w:sz w:val="20"/>
                          <w:szCs w:val="20"/>
                        </w:rPr>
                        <w:t>(</w:t>
                      </w:r>
                      <w:r w:rsidR="004B0252" w:rsidRPr="004B0252">
                        <w:rPr>
                          <w:color w:val="000000" w:themeColor="text1"/>
                          <w:sz w:val="20"/>
                          <w:szCs w:val="20"/>
                        </w:rPr>
                        <w:t>3ᵉ édition du baromètre OpinionWay</w:t>
                      </w:r>
                      <w:r w:rsidR="004B0252">
                        <w:rPr>
                          <w:color w:val="000000" w:themeColor="text1"/>
                          <w:sz w:val="20"/>
                          <w:szCs w:val="20"/>
                        </w:rPr>
                        <w:t xml:space="preserve"> pour l’AMF)</w:t>
                      </w:r>
                    </w:p>
                    <w:p w14:paraId="33794A25" w14:textId="77777777" w:rsidR="00A349A3" w:rsidRPr="00C07700" w:rsidRDefault="00A349A3" w:rsidP="00A9024F">
                      <w:pPr>
                        <w:rPr>
                          <w:color w:val="000000" w:themeColor="text1"/>
                          <w:sz w:val="20"/>
                          <w:szCs w:val="20"/>
                          <w:lang w:val="fr-FR"/>
                        </w:rPr>
                      </w:pPr>
                    </w:p>
                    <w:p w14:paraId="56952A01" w14:textId="51F1D2E1" w:rsidR="00A349A3" w:rsidRPr="00C07700" w:rsidRDefault="00D668F5" w:rsidP="00590DD1">
                      <w:pPr>
                        <w:pStyle w:val="Texteencadr"/>
                        <w:numPr>
                          <w:ilvl w:val="0"/>
                          <w:numId w:val="47"/>
                        </w:numPr>
                        <w:spacing w:after="0" w:line="240" w:lineRule="auto"/>
                        <w:jc w:val="both"/>
                        <w:rPr>
                          <w:color w:val="000000" w:themeColor="text1"/>
                          <w:sz w:val="20"/>
                          <w:szCs w:val="20"/>
                        </w:rPr>
                      </w:pPr>
                      <w:r w:rsidRPr="00C07700">
                        <w:rPr>
                          <w:color w:val="000000" w:themeColor="text1"/>
                          <w:sz w:val="20"/>
                          <w:szCs w:val="20"/>
                        </w:rPr>
                        <w:t>En revanche, si 64 % des Français ont entendu parler des placements responsables, seuls 12 % les connaissent bien et 59 % doutent qu’ils soient vraiment responsables.</w:t>
                      </w:r>
                    </w:p>
                    <w:p w14:paraId="7F769C44" w14:textId="77777777" w:rsidR="00937493" w:rsidRPr="00C07700" w:rsidRDefault="00937493" w:rsidP="00937493">
                      <w:pPr>
                        <w:pStyle w:val="Texteencadr"/>
                        <w:numPr>
                          <w:ilvl w:val="0"/>
                          <w:numId w:val="0"/>
                        </w:numPr>
                        <w:spacing w:after="0" w:line="240" w:lineRule="auto"/>
                        <w:ind w:left="720" w:hanging="360"/>
                        <w:jc w:val="both"/>
                        <w:rPr>
                          <w:rFonts w:cstheme="minorHAnsi"/>
                          <w:color w:val="000000" w:themeColor="text1"/>
                          <w:sz w:val="20"/>
                          <w:szCs w:val="20"/>
                        </w:rPr>
                      </w:pPr>
                    </w:p>
                    <w:p w14:paraId="6BBB1107" w14:textId="77777777" w:rsidR="00937493" w:rsidRPr="00A9024F" w:rsidRDefault="00937493" w:rsidP="00937493">
                      <w:pPr>
                        <w:pStyle w:val="Texteencadr"/>
                        <w:numPr>
                          <w:ilvl w:val="0"/>
                          <w:numId w:val="0"/>
                        </w:numPr>
                        <w:spacing w:after="0" w:line="240" w:lineRule="auto"/>
                        <w:ind w:left="720" w:hanging="360"/>
                        <w:jc w:val="both"/>
                        <w:rPr>
                          <w:rFonts w:cstheme="minorHAnsi"/>
                          <w:color w:val="000000" w:themeColor="text1"/>
                          <w:sz w:val="18"/>
                          <w:szCs w:val="18"/>
                        </w:rPr>
                      </w:pPr>
                    </w:p>
                    <w:p w14:paraId="6359DEA6" w14:textId="77777777" w:rsidR="00937493" w:rsidRDefault="00937493" w:rsidP="00937493">
                      <w:pPr>
                        <w:pStyle w:val="Texteencadr"/>
                        <w:numPr>
                          <w:ilvl w:val="0"/>
                          <w:numId w:val="0"/>
                        </w:numPr>
                        <w:spacing w:after="0" w:line="240" w:lineRule="auto"/>
                        <w:ind w:left="720" w:hanging="360"/>
                        <w:jc w:val="both"/>
                        <w:rPr>
                          <w:rFonts w:cstheme="minorHAnsi"/>
                          <w:color w:val="000000" w:themeColor="text1"/>
                          <w:sz w:val="20"/>
                          <w:szCs w:val="20"/>
                        </w:rPr>
                      </w:pPr>
                    </w:p>
                    <w:p w14:paraId="119B48CC" w14:textId="77777777" w:rsidR="00937493" w:rsidRDefault="00937493" w:rsidP="00937493">
                      <w:pPr>
                        <w:pStyle w:val="Texteencadr"/>
                        <w:numPr>
                          <w:ilvl w:val="0"/>
                          <w:numId w:val="0"/>
                        </w:numPr>
                        <w:spacing w:after="0" w:line="240" w:lineRule="auto"/>
                        <w:ind w:left="720" w:hanging="360"/>
                        <w:jc w:val="both"/>
                        <w:rPr>
                          <w:rFonts w:cstheme="minorHAnsi"/>
                          <w:color w:val="000000" w:themeColor="text1"/>
                          <w:sz w:val="20"/>
                          <w:szCs w:val="20"/>
                        </w:rPr>
                      </w:pPr>
                    </w:p>
                    <w:p w14:paraId="13D3F4B0" w14:textId="77777777" w:rsidR="00937493" w:rsidRDefault="00937493" w:rsidP="00937493">
                      <w:pPr>
                        <w:pStyle w:val="Texteencadr"/>
                        <w:numPr>
                          <w:ilvl w:val="0"/>
                          <w:numId w:val="0"/>
                        </w:numPr>
                        <w:spacing w:after="0" w:line="240" w:lineRule="auto"/>
                        <w:ind w:left="720" w:hanging="360"/>
                        <w:jc w:val="both"/>
                        <w:rPr>
                          <w:rFonts w:cstheme="minorHAnsi"/>
                          <w:color w:val="000000" w:themeColor="text1"/>
                          <w:sz w:val="20"/>
                          <w:szCs w:val="20"/>
                        </w:rPr>
                      </w:pPr>
                    </w:p>
                    <w:p w14:paraId="5CFCF732" w14:textId="77777777" w:rsidR="00937493" w:rsidRDefault="00937493" w:rsidP="00937493">
                      <w:pPr>
                        <w:pStyle w:val="Texteencadr"/>
                        <w:numPr>
                          <w:ilvl w:val="0"/>
                          <w:numId w:val="0"/>
                        </w:numPr>
                        <w:spacing w:after="0" w:line="240" w:lineRule="auto"/>
                        <w:ind w:left="720" w:hanging="360"/>
                        <w:jc w:val="both"/>
                        <w:rPr>
                          <w:rFonts w:cstheme="minorHAnsi"/>
                          <w:color w:val="000000" w:themeColor="text1"/>
                          <w:sz w:val="20"/>
                          <w:szCs w:val="20"/>
                        </w:rPr>
                      </w:pPr>
                    </w:p>
                    <w:p w14:paraId="0834341A" w14:textId="77777777" w:rsidR="00937493" w:rsidRPr="009E4DDC" w:rsidRDefault="00937493" w:rsidP="00937493">
                      <w:pPr>
                        <w:pStyle w:val="Texteencadr"/>
                        <w:numPr>
                          <w:ilvl w:val="0"/>
                          <w:numId w:val="0"/>
                        </w:numPr>
                        <w:spacing w:after="0" w:line="240" w:lineRule="auto"/>
                        <w:ind w:left="720" w:hanging="360"/>
                        <w:jc w:val="both"/>
                        <w:rPr>
                          <w:color w:val="000000" w:themeColor="text1"/>
                        </w:rPr>
                      </w:pPr>
                    </w:p>
                  </w:txbxContent>
                </v:textbox>
                <w10:wrap anchorx="margin"/>
              </v:roundrect>
            </w:pict>
          </mc:Fallback>
        </mc:AlternateContent>
      </w:r>
    </w:p>
    <w:p w14:paraId="72B3AFA7" w14:textId="6658613A" w:rsidR="00273541" w:rsidRPr="00A74D23" w:rsidRDefault="00273541" w:rsidP="009D6EE5">
      <w:pPr>
        <w:pStyle w:val="Style1"/>
        <w:numPr>
          <w:ilvl w:val="0"/>
          <w:numId w:val="0"/>
        </w:numPr>
        <w:spacing w:after="120" w:line="22" w:lineRule="atLeast"/>
        <w:contextualSpacing w:val="0"/>
        <w:jc w:val="both"/>
        <w:rPr>
          <w:rFonts w:cs="Open Sans"/>
          <w:i w:val="0"/>
          <w:color w:val="auto"/>
          <w:sz w:val="20"/>
          <w:szCs w:val="20"/>
        </w:rPr>
      </w:pPr>
    </w:p>
    <w:p w14:paraId="62D10CDC" w14:textId="77777777" w:rsidR="00273541" w:rsidRPr="00A74D23" w:rsidRDefault="00273541" w:rsidP="009D6EE5">
      <w:pPr>
        <w:pStyle w:val="Style1"/>
        <w:numPr>
          <w:ilvl w:val="0"/>
          <w:numId w:val="0"/>
        </w:numPr>
        <w:spacing w:after="120" w:line="22" w:lineRule="atLeast"/>
        <w:contextualSpacing w:val="0"/>
        <w:jc w:val="both"/>
        <w:rPr>
          <w:rFonts w:cs="Open Sans"/>
          <w:i w:val="0"/>
          <w:color w:val="auto"/>
          <w:sz w:val="20"/>
          <w:szCs w:val="20"/>
        </w:rPr>
      </w:pPr>
    </w:p>
    <w:p w14:paraId="2C73AE3B" w14:textId="67491BC4" w:rsidR="00273541" w:rsidRPr="00A74D23" w:rsidRDefault="00273541" w:rsidP="009D6EE5">
      <w:pPr>
        <w:pStyle w:val="Style1"/>
        <w:numPr>
          <w:ilvl w:val="0"/>
          <w:numId w:val="0"/>
        </w:numPr>
        <w:spacing w:after="120" w:line="22" w:lineRule="atLeast"/>
        <w:contextualSpacing w:val="0"/>
        <w:jc w:val="both"/>
        <w:rPr>
          <w:rFonts w:cs="Open Sans"/>
          <w:i w:val="0"/>
          <w:color w:val="auto"/>
          <w:sz w:val="20"/>
          <w:szCs w:val="20"/>
        </w:rPr>
      </w:pPr>
    </w:p>
    <w:p w14:paraId="48FB8BF3" w14:textId="291AE4B6" w:rsidR="00273541" w:rsidRPr="00A74D23" w:rsidRDefault="00273541" w:rsidP="009D6EE5">
      <w:pPr>
        <w:pStyle w:val="Style1"/>
        <w:numPr>
          <w:ilvl w:val="0"/>
          <w:numId w:val="0"/>
        </w:numPr>
        <w:spacing w:after="120" w:line="22" w:lineRule="atLeast"/>
        <w:contextualSpacing w:val="0"/>
        <w:jc w:val="both"/>
        <w:rPr>
          <w:rFonts w:cs="Open Sans"/>
          <w:i w:val="0"/>
          <w:color w:val="auto"/>
          <w:sz w:val="20"/>
          <w:szCs w:val="20"/>
        </w:rPr>
      </w:pPr>
    </w:p>
    <w:p w14:paraId="031A33FD" w14:textId="77777777" w:rsidR="00273541" w:rsidRPr="00A74D23" w:rsidRDefault="00273541" w:rsidP="009D6EE5">
      <w:pPr>
        <w:pStyle w:val="Style1"/>
        <w:numPr>
          <w:ilvl w:val="0"/>
          <w:numId w:val="0"/>
        </w:numPr>
        <w:spacing w:after="120" w:line="22" w:lineRule="atLeast"/>
        <w:contextualSpacing w:val="0"/>
        <w:jc w:val="both"/>
        <w:rPr>
          <w:rFonts w:cs="Open Sans"/>
          <w:i w:val="0"/>
          <w:color w:val="auto"/>
          <w:sz w:val="20"/>
          <w:szCs w:val="20"/>
        </w:rPr>
      </w:pPr>
    </w:p>
    <w:p w14:paraId="55C62777" w14:textId="350DBC59" w:rsidR="00273541" w:rsidRPr="00A74D23" w:rsidRDefault="00273541" w:rsidP="009D6EE5">
      <w:pPr>
        <w:pStyle w:val="Style1"/>
        <w:numPr>
          <w:ilvl w:val="0"/>
          <w:numId w:val="0"/>
        </w:numPr>
        <w:spacing w:after="120" w:line="22" w:lineRule="atLeast"/>
        <w:contextualSpacing w:val="0"/>
        <w:jc w:val="both"/>
        <w:rPr>
          <w:rFonts w:cs="Open Sans"/>
          <w:i w:val="0"/>
          <w:color w:val="auto"/>
          <w:sz w:val="20"/>
          <w:szCs w:val="20"/>
        </w:rPr>
      </w:pPr>
    </w:p>
    <w:p w14:paraId="121ED96F" w14:textId="77777777" w:rsidR="00CB13F2" w:rsidRPr="00A74D23" w:rsidRDefault="00CB13F2" w:rsidP="009D6EE5">
      <w:pPr>
        <w:pStyle w:val="Style3"/>
        <w:tabs>
          <w:tab w:val="clear" w:pos="426"/>
        </w:tabs>
        <w:spacing w:after="0" w:line="22" w:lineRule="atLeast"/>
        <w:ind w:left="284" w:firstLine="0"/>
        <w:jc w:val="both"/>
        <w:rPr>
          <w:rFonts w:asciiTheme="minorHAnsi" w:eastAsiaTheme="minorHAnsi" w:hAnsiTheme="minorHAnsi" w:cs="Open Sans"/>
          <w:b w:val="0"/>
          <w:iCs/>
          <w:sz w:val="18"/>
          <w:szCs w:val="18"/>
        </w:rPr>
      </w:pPr>
      <w:bookmarkStart w:id="29" w:name="_Toc129091806"/>
      <w:bookmarkStart w:id="30" w:name="_Toc128735895"/>
    </w:p>
    <w:p w14:paraId="79C129FD" w14:textId="77777777" w:rsidR="00411D39" w:rsidRDefault="00411D39" w:rsidP="009D6EE5">
      <w:pPr>
        <w:pStyle w:val="Style3"/>
        <w:tabs>
          <w:tab w:val="clear" w:pos="426"/>
        </w:tabs>
        <w:spacing w:after="0" w:line="22" w:lineRule="atLeast"/>
        <w:ind w:left="0" w:firstLine="0"/>
        <w:jc w:val="both"/>
        <w:rPr>
          <w:rFonts w:asciiTheme="minorHAnsi" w:eastAsiaTheme="minorHAnsi" w:hAnsiTheme="minorHAnsi" w:cs="Open Sans"/>
          <w:b w:val="0"/>
          <w:iCs/>
          <w:sz w:val="18"/>
          <w:szCs w:val="18"/>
        </w:rPr>
      </w:pPr>
    </w:p>
    <w:p w14:paraId="52DEE3E0" w14:textId="77777777" w:rsidR="00411D39" w:rsidRPr="00A74D23" w:rsidRDefault="00411D39" w:rsidP="009D6EE5">
      <w:pPr>
        <w:pStyle w:val="Style3"/>
        <w:tabs>
          <w:tab w:val="clear" w:pos="426"/>
        </w:tabs>
        <w:spacing w:after="0" w:line="22" w:lineRule="atLeast"/>
        <w:ind w:left="0" w:firstLine="0"/>
        <w:jc w:val="both"/>
        <w:rPr>
          <w:rFonts w:asciiTheme="minorHAnsi" w:eastAsiaTheme="minorHAnsi" w:hAnsiTheme="minorHAnsi" w:cs="Open Sans"/>
          <w:b w:val="0"/>
          <w:iCs/>
          <w:sz w:val="18"/>
          <w:szCs w:val="18"/>
        </w:rPr>
      </w:pPr>
    </w:p>
    <w:p w14:paraId="6D91CF69" w14:textId="77777777" w:rsidR="009D6EE5" w:rsidRPr="00A74D23" w:rsidRDefault="009D6EE5" w:rsidP="009D6EE5">
      <w:pPr>
        <w:pStyle w:val="Style3"/>
        <w:tabs>
          <w:tab w:val="clear" w:pos="426"/>
        </w:tabs>
        <w:spacing w:after="0" w:line="22" w:lineRule="atLeast"/>
        <w:ind w:left="0" w:firstLine="0"/>
        <w:jc w:val="both"/>
        <w:rPr>
          <w:rFonts w:asciiTheme="minorHAnsi" w:eastAsiaTheme="minorHAnsi" w:hAnsiTheme="minorHAnsi" w:cs="Open Sans"/>
          <w:b w:val="0"/>
          <w:iCs/>
          <w:sz w:val="20"/>
          <w:szCs w:val="20"/>
        </w:rPr>
      </w:pPr>
    </w:p>
    <w:p w14:paraId="11816DD2" w14:textId="2419658C" w:rsidR="008831B6" w:rsidRPr="00A74D23" w:rsidRDefault="008831B6" w:rsidP="009D6EE5">
      <w:pPr>
        <w:pStyle w:val="Style3"/>
        <w:tabs>
          <w:tab w:val="clear" w:pos="426"/>
        </w:tabs>
        <w:spacing w:after="0" w:line="22" w:lineRule="atLeast"/>
        <w:ind w:left="0" w:firstLine="0"/>
        <w:jc w:val="both"/>
        <w:rPr>
          <w:rFonts w:asciiTheme="minorHAnsi" w:eastAsiaTheme="minorHAnsi" w:hAnsiTheme="minorHAnsi" w:cs="Open Sans"/>
          <w:b w:val="0"/>
          <w:iCs/>
          <w:sz w:val="20"/>
          <w:szCs w:val="20"/>
        </w:rPr>
      </w:pPr>
      <w:r w:rsidRPr="00A74D23">
        <w:rPr>
          <w:rFonts w:asciiTheme="minorHAnsi" w:eastAsiaTheme="minorHAnsi" w:hAnsiTheme="minorHAnsi" w:cs="Open Sans"/>
          <w:b w:val="0"/>
          <w:iCs/>
          <w:sz w:val="20"/>
          <w:szCs w:val="20"/>
        </w:rPr>
        <w:t xml:space="preserve">Malgré un intérêt croissant pour ces types de placements, </w:t>
      </w:r>
      <w:r w:rsidR="0032293B" w:rsidRPr="00A74D23">
        <w:rPr>
          <w:rFonts w:asciiTheme="minorHAnsi" w:eastAsiaTheme="minorHAnsi" w:hAnsiTheme="minorHAnsi" w:cs="Open Sans"/>
          <w:b w:val="0"/>
          <w:iCs/>
          <w:sz w:val="20"/>
          <w:szCs w:val="20"/>
        </w:rPr>
        <w:t xml:space="preserve">la diversité et complexité des produits d’investissement durable nécessite un accompagnement structuré de l’assureur. </w:t>
      </w:r>
      <w:r w:rsidRPr="00A74D23">
        <w:rPr>
          <w:rFonts w:asciiTheme="minorHAnsi" w:eastAsiaTheme="minorHAnsi" w:hAnsiTheme="minorHAnsi" w:cs="Open Sans"/>
          <w:b w:val="0"/>
          <w:iCs/>
          <w:sz w:val="20"/>
          <w:szCs w:val="20"/>
        </w:rPr>
        <w:t xml:space="preserve">Il est </w:t>
      </w:r>
      <w:r w:rsidRPr="00A74D23">
        <w:rPr>
          <w:rFonts w:asciiTheme="minorHAnsi" w:eastAsiaTheme="minorHAnsi" w:hAnsiTheme="minorHAnsi" w:cs="Open Sans"/>
          <w:bCs/>
          <w:iCs/>
          <w:sz w:val="20"/>
          <w:szCs w:val="20"/>
        </w:rPr>
        <w:t>donc essentiel qu’Abeille Assurances fasse preuve de pédagogie</w:t>
      </w:r>
      <w:r w:rsidRPr="00A74D23">
        <w:rPr>
          <w:rFonts w:asciiTheme="minorHAnsi" w:eastAsiaTheme="minorHAnsi" w:hAnsiTheme="minorHAnsi" w:cs="Open Sans"/>
          <w:b w:val="0"/>
          <w:iCs/>
          <w:sz w:val="20"/>
          <w:szCs w:val="20"/>
        </w:rPr>
        <w:t xml:space="preserve"> pour expliquer clairement à ses clients les atouts, les contraintes et les objectifs des supports d’investissement responsables.</w:t>
      </w:r>
    </w:p>
    <w:p w14:paraId="39DEDBC2" w14:textId="77777777" w:rsidR="008831B6" w:rsidRPr="00A74D23" w:rsidRDefault="008831B6" w:rsidP="009D6EE5">
      <w:pPr>
        <w:pStyle w:val="Style3"/>
        <w:tabs>
          <w:tab w:val="clear" w:pos="426"/>
        </w:tabs>
        <w:spacing w:after="0" w:line="22" w:lineRule="atLeast"/>
        <w:ind w:left="0" w:firstLine="0"/>
        <w:jc w:val="both"/>
        <w:rPr>
          <w:rFonts w:asciiTheme="minorHAnsi" w:eastAsiaTheme="minorHAnsi" w:hAnsiTheme="minorHAnsi" w:cs="Open Sans"/>
          <w:b w:val="0"/>
          <w:iCs/>
          <w:sz w:val="20"/>
          <w:szCs w:val="20"/>
        </w:rPr>
      </w:pPr>
    </w:p>
    <w:p w14:paraId="46BFC948" w14:textId="6CA601E0" w:rsidR="00D92634" w:rsidRPr="00A74D23" w:rsidRDefault="008831B6" w:rsidP="009D6EE5">
      <w:pPr>
        <w:pStyle w:val="Style3"/>
        <w:tabs>
          <w:tab w:val="clear" w:pos="426"/>
        </w:tabs>
        <w:spacing w:after="0" w:line="22" w:lineRule="atLeast"/>
        <w:ind w:left="0" w:firstLine="0"/>
        <w:jc w:val="both"/>
        <w:rPr>
          <w:rFonts w:asciiTheme="minorHAnsi" w:hAnsiTheme="minorHAnsi" w:cs="Open Sans"/>
          <w:bCs/>
          <w:sz w:val="20"/>
          <w:szCs w:val="20"/>
        </w:rPr>
      </w:pPr>
      <w:r w:rsidRPr="00A74D23">
        <w:rPr>
          <w:rFonts w:asciiTheme="minorHAnsi" w:eastAsiaTheme="minorHAnsi" w:hAnsiTheme="minorHAnsi" w:cs="Open Sans"/>
          <w:b w:val="0"/>
          <w:iCs/>
          <w:sz w:val="20"/>
          <w:szCs w:val="20"/>
        </w:rPr>
        <w:t xml:space="preserve">De son côté, Abeille Assurances adapte progressivement son offre pour répondre aux attentes variées de ses clients, en proposant un éventail plus large de produits intégrant les enjeux de durabilité. </w:t>
      </w:r>
      <w:r w:rsidRPr="00A74D23">
        <w:rPr>
          <w:rFonts w:asciiTheme="minorHAnsi" w:eastAsiaTheme="minorHAnsi" w:hAnsiTheme="minorHAnsi" w:cs="Open Sans"/>
          <w:bCs/>
          <w:iCs/>
          <w:sz w:val="20"/>
          <w:szCs w:val="20"/>
        </w:rPr>
        <w:t xml:space="preserve">L’entreprise </w:t>
      </w:r>
      <w:r w:rsidR="0003172D" w:rsidRPr="00A74D23">
        <w:rPr>
          <w:rFonts w:asciiTheme="minorHAnsi" w:eastAsiaTheme="minorHAnsi" w:hAnsiTheme="minorHAnsi" w:cs="Open Sans"/>
          <w:bCs/>
          <w:iCs/>
          <w:sz w:val="20"/>
          <w:szCs w:val="20"/>
        </w:rPr>
        <w:t xml:space="preserve">a également déployé en 2025 un outil </w:t>
      </w:r>
      <w:r w:rsidRPr="00A74D23">
        <w:rPr>
          <w:rFonts w:asciiTheme="minorHAnsi" w:eastAsiaTheme="minorHAnsi" w:hAnsiTheme="minorHAnsi" w:cs="Open Sans"/>
          <w:bCs/>
          <w:iCs/>
          <w:sz w:val="20"/>
          <w:szCs w:val="20"/>
        </w:rPr>
        <w:t>permettant de mieux intégrer les préférences de durabilité des clients dans leurs décisions d’investissement.</w:t>
      </w:r>
    </w:p>
    <w:p w14:paraId="10A1888D" w14:textId="7C536F4F" w:rsidR="00D92634" w:rsidRPr="00A74D23" w:rsidRDefault="00D92634" w:rsidP="009D6EE5">
      <w:pPr>
        <w:pStyle w:val="Style3"/>
        <w:spacing w:after="0" w:line="22" w:lineRule="atLeast"/>
        <w:ind w:left="6316" w:hanging="6316"/>
        <w:jc w:val="both"/>
        <w:rPr>
          <w:rFonts w:asciiTheme="minorHAnsi" w:hAnsiTheme="minorHAnsi" w:cs="Open Sans"/>
        </w:rPr>
      </w:pPr>
      <w:r w:rsidRPr="00A74D23">
        <w:rPr>
          <w:rFonts w:asciiTheme="minorHAnsi" w:hAnsiTheme="minorHAnsi" w:cs="Open Sans"/>
          <w:noProof/>
        </w:rPr>
        <mc:AlternateContent>
          <mc:Choice Requires="wps">
            <w:drawing>
              <wp:anchor distT="0" distB="0" distL="114300" distR="114300" simplePos="0" relativeHeight="251334656" behindDoc="0" locked="0" layoutInCell="1" allowOverlap="1" wp14:anchorId="6B33FE97" wp14:editId="46E1DCBB">
                <wp:simplePos x="0" y="0"/>
                <wp:positionH relativeFrom="margin">
                  <wp:posOffset>1000704</wp:posOffset>
                </wp:positionH>
                <wp:positionV relativeFrom="paragraph">
                  <wp:posOffset>163226</wp:posOffset>
                </wp:positionV>
                <wp:extent cx="3649345" cy="260350"/>
                <wp:effectExtent l="0" t="0" r="8255" b="0"/>
                <wp:wrapNone/>
                <wp:docPr id="467991597" name="Rectangle : coins arrondis 467991597"/>
                <wp:cNvGraphicFramePr/>
                <a:graphic xmlns:a="http://schemas.openxmlformats.org/drawingml/2006/main">
                  <a:graphicData uri="http://schemas.microsoft.com/office/word/2010/wordprocessingShape">
                    <wps:wsp>
                      <wps:cNvSpPr/>
                      <wps:spPr>
                        <a:xfrm>
                          <a:off x="0" y="0"/>
                          <a:ext cx="3649345" cy="260350"/>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0EDF2B" w14:textId="190F495B" w:rsidR="00D92634" w:rsidRPr="00474EE1" w:rsidRDefault="007B78E1" w:rsidP="00D92634">
                            <w:pPr>
                              <w:jc w:val="center"/>
                              <w:rPr>
                                <w:rFonts w:asciiTheme="minorHAnsi" w:hAnsiTheme="minorHAnsi"/>
                                <w:b/>
                                <w:bCs/>
                                <w:color w:val="000000" w:themeColor="text1"/>
                                <w:lang w:val="fr-FR"/>
                              </w:rPr>
                            </w:pPr>
                            <w:r w:rsidRPr="00474EE1">
                              <w:rPr>
                                <w:rFonts w:asciiTheme="minorHAnsi" w:hAnsiTheme="minorHAnsi"/>
                                <w:b/>
                                <w:bCs/>
                                <w:color w:val="000000" w:themeColor="text1"/>
                                <w:lang w:val="fr-FR"/>
                              </w:rPr>
                              <w:t>Les fonds durables, est-ce que c’est rentable ?</w:t>
                            </w:r>
                            <w:r w:rsidR="00D92634" w:rsidRPr="00474EE1">
                              <w:rPr>
                                <w:rFonts w:asciiTheme="minorHAnsi" w:hAnsiTheme="minorHAnsi"/>
                                <w:b/>
                                <w:bCs/>
                                <w:color w:val="000000" w:themeColor="text1"/>
                                <w:lang w:val="fr-FR"/>
                              </w:rPr>
                              <w:t xml:space="preserve">  </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roundrect w14:anchorId="6B33FE97" id="Rectangle : coins arrondis 467991597" o:spid="_x0000_s1041" style="position:absolute;left:0;text-align:left;margin-left:78.8pt;margin-top:12.85pt;width:287.35pt;height:20.5pt;z-index:2513346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" fillcolor="#ffc000" stroked="f" strokeweight="1pt">
                <v:stroke joinstyle="miter"/>
                <v:textbox style="mso-fit-shape-to-text:t" inset="2.5mm,1mm,2.5mm,1mm">
                  <w:txbxContent>
                    <w:p w14:paraId="4A0EDF2B" w14:textId="190F495B" w:rsidR="00D92634" w:rsidRPr="00474EE1" w:rsidRDefault="007B78E1" w:rsidP="00D92634">
                      <w:pPr>
                        <w:jc w:val="center"/>
                        <w:rPr>
                          <w:rFonts w:asciiTheme="minorHAnsi" w:hAnsiTheme="minorHAnsi"/>
                          <w:b/>
                          <w:bCs/>
                          <w:color w:val="000000" w:themeColor="text1"/>
                          <w:lang w:val="fr-FR"/>
                        </w:rPr>
                      </w:pPr>
                      <w:r w:rsidRPr="00474EE1">
                        <w:rPr>
                          <w:rFonts w:asciiTheme="minorHAnsi" w:hAnsiTheme="minorHAnsi"/>
                          <w:b/>
                          <w:bCs/>
                          <w:color w:val="000000" w:themeColor="text1"/>
                          <w:lang w:val="fr-FR"/>
                        </w:rPr>
                        <w:t>Les fonds durables, est-ce que c’est rentable ?</w:t>
                      </w:r>
                      <w:r w:rsidR="00D92634" w:rsidRPr="00474EE1">
                        <w:rPr>
                          <w:rFonts w:asciiTheme="minorHAnsi" w:hAnsiTheme="minorHAnsi"/>
                          <w:b/>
                          <w:bCs/>
                          <w:color w:val="000000" w:themeColor="text1"/>
                          <w:lang w:val="fr-FR"/>
                        </w:rPr>
                        <w:t xml:space="preserve">  </w:t>
                      </w:r>
                    </w:p>
                  </w:txbxContent>
                </v:textbox>
                <w10:wrap anchorx="margin"/>
              </v:roundrect>
            </w:pict>
          </mc:Fallback>
        </mc:AlternateContent>
      </w:r>
    </w:p>
    <w:p w14:paraId="47448CBF" w14:textId="6DC6BD27" w:rsidR="00D92634" w:rsidRPr="00A74D23" w:rsidRDefault="00D92634" w:rsidP="009D6EE5">
      <w:pPr>
        <w:pStyle w:val="Style3"/>
        <w:spacing w:after="0" w:line="22" w:lineRule="atLeast"/>
        <w:ind w:left="6316" w:hanging="6316"/>
        <w:jc w:val="both"/>
        <w:rPr>
          <w:rFonts w:asciiTheme="minorHAnsi" w:hAnsiTheme="minorHAnsi" w:cs="Open Sans"/>
        </w:rPr>
      </w:pPr>
      <w:r w:rsidRPr="00A74D23">
        <w:rPr>
          <w:rFonts w:asciiTheme="minorHAnsi" w:hAnsiTheme="minorHAnsi" w:cs="Open Sans"/>
          <w:noProof/>
        </w:rPr>
        <mc:AlternateContent>
          <mc:Choice Requires="wps">
            <w:drawing>
              <wp:anchor distT="0" distB="0" distL="114300" distR="114300" simplePos="0" relativeHeight="251336704" behindDoc="1" locked="0" layoutInCell="1" allowOverlap="1" wp14:anchorId="4F285440" wp14:editId="6D70AC95">
                <wp:simplePos x="0" y="0"/>
                <wp:positionH relativeFrom="margin">
                  <wp:align>left</wp:align>
                </wp:positionH>
                <wp:positionV relativeFrom="paragraph">
                  <wp:posOffset>107315</wp:posOffset>
                </wp:positionV>
                <wp:extent cx="5762625" cy="702260"/>
                <wp:effectExtent l="0" t="0" r="9525" b="3175"/>
                <wp:wrapNone/>
                <wp:docPr id="142877242" name="Rectangle : coins arrondis 142877242"/>
                <wp:cNvGraphicFramePr/>
                <a:graphic xmlns:a="http://schemas.openxmlformats.org/drawingml/2006/main">
                  <a:graphicData uri="http://schemas.microsoft.com/office/word/2010/wordprocessingShape">
                    <wps:wsp>
                      <wps:cNvSpPr/>
                      <wps:spPr>
                        <a:xfrm>
                          <a:off x="0" y="0"/>
                          <a:ext cx="5762625" cy="702260"/>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943EA7" w14:textId="1C5B8422" w:rsidR="00D92634" w:rsidRPr="00C07700" w:rsidRDefault="007B78E1" w:rsidP="00590DD1">
                            <w:pPr>
                              <w:pStyle w:val="Texteencadr"/>
                              <w:numPr>
                                <w:ilvl w:val="0"/>
                                <w:numId w:val="48"/>
                              </w:numPr>
                              <w:spacing w:after="0" w:line="240" w:lineRule="auto"/>
                              <w:jc w:val="both"/>
                              <w:rPr>
                                <w:rFonts w:cstheme="minorHAnsi"/>
                                <w:color w:val="000000" w:themeColor="text1"/>
                                <w:sz w:val="20"/>
                                <w:szCs w:val="20"/>
                              </w:rPr>
                            </w:pPr>
                            <w:r w:rsidRPr="00C07700">
                              <w:rPr>
                                <w:rFonts w:cstheme="minorHAnsi"/>
                                <w:color w:val="000000" w:themeColor="text1"/>
                                <w:sz w:val="20"/>
                                <w:szCs w:val="20"/>
                              </w:rPr>
                              <w:t xml:space="preserve">Les fonds durables peuvent être rentables, parfois plus rentables que les fonds non durables sur un horizon de temps donné. Néanmoins, aucune étude ne permet de conclure définitivement que les fonds durables sont plus ou moins rentables que les fonds normaux. </w:t>
                            </w:r>
                          </w:p>
                        </w:txbxContent>
                      </wps:txbx>
                      <wps:bodyPr rot="0" spcFirstLastPara="0" vertOverflow="overflow" horzOverflow="overflow" vert="horz" wrap="square" lIns="180000" tIns="72000" rIns="180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285440" id="Rectangle : coins arrondis 142877242" o:spid="_x0000_s1042" style="position:absolute;left:0;text-align:left;margin-left:0;margin-top:8.45pt;width:453.75pt;height:55.3pt;z-index:-251979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" fillcolor="#d8d8d8 [2732]" stroked="f" strokeweight="1pt">
                <v:stroke joinstyle="miter"/>
                <v:textbox inset="5mm,2mm,5mm,3mm">
                  <w:txbxContent>
                    <w:p w14:paraId="37943EA7" w14:textId="1C5B8422" w:rsidR="00D92634" w:rsidRPr="00C07700" w:rsidRDefault="007B78E1" w:rsidP="00590DD1">
                      <w:pPr>
                        <w:pStyle w:val="Texteencadr"/>
                        <w:numPr>
                          <w:ilvl w:val="0"/>
                          <w:numId w:val="48"/>
                        </w:numPr>
                        <w:spacing w:after="0" w:line="240" w:lineRule="auto"/>
                        <w:jc w:val="both"/>
                        <w:rPr>
                          <w:rFonts w:cstheme="minorHAnsi"/>
                          <w:color w:val="000000" w:themeColor="text1"/>
                          <w:sz w:val="20"/>
                          <w:szCs w:val="20"/>
                        </w:rPr>
                      </w:pPr>
                      <w:r w:rsidRPr="00C07700">
                        <w:rPr>
                          <w:rFonts w:cstheme="minorHAnsi"/>
                          <w:color w:val="000000" w:themeColor="text1"/>
                          <w:sz w:val="20"/>
                          <w:szCs w:val="20"/>
                        </w:rPr>
                        <w:t xml:space="preserve">Les fonds durables peuvent être rentables, parfois plus rentables que les fonds non durables sur un horizon de temps donné. Néanmoins, aucune étude ne permet de conclure définitivement que les fonds durables sont plus ou moins rentables que les fonds normaux. </w:t>
                      </w:r>
                    </w:p>
                  </w:txbxContent>
                </v:textbox>
                <w10:wrap anchorx="margin"/>
              </v:roundrect>
            </w:pict>
          </mc:Fallback>
        </mc:AlternateContent>
      </w:r>
    </w:p>
    <w:p w14:paraId="26025B78" w14:textId="3DD55561" w:rsidR="00D92634" w:rsidRPr="00A74D23" w:rsidRDefault="00D92634" w:rsidP="009D6EE5">
      <w:pPr>
        <w:pStyle w:val="Style3"/>
        <w:spacing w:after="0" w:line="22" w:lineRule="atLeast"/>
        <w:ind w:left="6316" w:hanging="6316"/>
        <w:jc w:val="both"/>
        <w:rPr>
          <w:rFonts w:asciiTheme="minorHAnsi" w:hAnsiTheme="minorHAnsi" w:cs="Open Sans"/>
        </w:rPr>
      </w:pPr>
    </w:p>
    <w:p w14:paraId="7DDE42B5" w14:textId="79CCABAA" w:rsidR="00D92634" w:rsidRPr="00A74D23" w:rsidRDefault="00D92634" w:rsidP="009D6EE5">
      <w:pPr>
        <w:pStyle w:val="Style3"/>
        <w:spacing w:after="0" w:line="22" w:lineRule="atLeast"/>
        <w:ind w:left="6316" w:hanging="6316"/>
        <w:jc w:val="both"/>
        <w:rPr>
          <w:rFonts w:asciiTheme="minorHAnsi" w:hAnsiTheme="minorHAnsi" w:cs="Open Sans"/>
        </w:rPr>
      </w:pPr>
    </w:p>
    <w:p w14:paraId="14362DCA" w14:textId="1D7F2FC1" w:rsidR="00D92634" w:rsidRPr="00A74D23" w:rsidRDefault="00D92634" w:rsidP="009D6EE5">
      <w:pPr>
        <w:pStyle w:val="Style3"/>
        <w:spacing w:after="0" w:line="22" w:lineRule="atLeast"/>
        <w:ind w:left="6316" w:hanging="6316"/>
        <w:jc w:val="both"/>
        <w:rPr>
          <w:rFonts w:asciiTheme="minorHAnsi" w:hAnsiTheme="minorHAnsi" w:cs="Open Sans"/>
        </w:rPr>
      </w:pPr>
    </w:p>
    <w:p w14:paraId="6660DFB1" w14:textId="396388E2" w:rsidR="008831B6" w:rsidRPr="00A74D23" w:rsidRDefault="008831B6" w:rsidP="009D6EE5">
      <w:pPr>
        <w:pStyle w:val="Style3"/>
        <w:spacing w:after="0" w:line="22" w:lineRule="atLeast"/>
        <w:ind w:left="0" w:firstLine="0"/>
        <w:jc w:val="both"/>
        <w:rPr>
          <w:rFonts w:asciiTheme="minorHAnsi" w:hAnsiTheme="minorHAnsi" w:cs="Open Sans"/>
        </w:rPr>
      </w:pPr>
    </w:p>
    <w:p w14:paraId="52239028" w14:textId="77777777" w:rsidR="009D6EE5" w:rsidRPr="00A74D23" w:rsidRDefault="009D6EE5" w:rsidP="009D6EE5">
      <w:pPr>
        <w:pStyle w:val="Style3"/>
        <w:spacing w:after="0" w:line="22" w:lineRule="atLeast"/>
        <w:ind w:left="0" w:firstLine="0"/>
        <w:jc w:val="both"/>
        <w:rPr>
          <w:rFonts w:asciiTheme="minorHAnsi" w:hAnsiTheme="minorHAnsi" w:cs="Open Sans"/>
        </w:rPr>
      </w:pPr>
    </w:p>
    <w:p w14:paraId="4AF2F1B5" w14:textId="77777777" w:rsidR="0032293B" w:rsidRPr="00A74D23" w:rsidRDefault="0032293B" w:rsidP="009D6EE5">
      <w:pPr>
        <w:pStyle w:val="Style3"/>
        <w:spacing w:after="0" w:line="22" w:lineRule="atLeast"/>
        <w:ind w:left="0" w:firstLine="0"/>
        <w:jc w:val="both"/>
        <w:rPr>
          <w:rFonts w:asciiTheme="minorHAnsi" w:hAnsiTheme="minorHAnsi" w:cs="Open Sans"/>
        </w:rPr>
      </w:pPr>
    </w:p>
    <w:p w14:paraId="195142BF" w14:textId="61CD2FD5" w:rsidR="00694D16" w:rsidRPr="00A74D23" w:rsidRDefault="00A77C63" w:rsidP="009D6EE5">
      <w:pPr>
        <w:pStyle w:val="Style3"/>
        <w:spacing w:after="0" w:line="22" w:lineRule="atLeast"/>
        <w:ind w:left="6316" w:hanging="6316"/>
        <w:jc w:val="both"/>
        <w:rPr>
          <w:rFonts w:asciiTheme="minorHAnsi" w:hAnsiTheme="minorHAnsi" w:cs="Open Sans"/>
          <w:sz w:val="32"/>
          <w:szCs w:val="32"/>
        </w:rPr>
      </w:pPr>
      <w:r w:rsidRPr="00A74D23">
        <w:rPr>
          <w:rFonts w:asciiTheme="minorHAnsi" w:hAnsiTheme="minorHAnsi" w:cs="Open Sans"/>
          <w:sz w:val="32"/>
          <w:szCs w:val="32"/>
        </w:rPr>
        <w:t>1.3</w:t>
      </w:r>
      <w:r w:rsidR="00125435" w:rsidRPr="00A74D23">
        <w:rPr>
          <w:rFonts w:asciiTheme="minorHAnsi" w:hAnsiTheme="minorHAnsi" w:cs="Open Sans"/>
          <w:sz w:val="32"/>
          <w:szCs w:val="32"/>
        </w:rPr>
        <w:t xml:space="preserve">. </w:t>
      </w:r>
      <w:r w:rsidR="00694D16" w:rsidRPr="00A74D23">
        <w:rPr>
          <w:rFonts w:asciiTheme="minorHAnsi" w:hAnsiTheme="minorHAnsi" w:cs="Open Sans"/>
          <w:sz w:val="32"/>
          <w:szCs w:val="32"/>
        </w:rPr>
        <w:t>Participer à l’évolution du marché</w:t>
      </w:r>
      <w:bookmarkEnd w:id="29"/>
      <w:bookmarkEnd w:id="30"/>
    </w:p>
    <w:p w14:paraId="2E8DE510" w14:textId="77777777" w:rsidR="00A9024F" w:rsidRPr="00A74D23" w:rsidRDefault="00A9024F" w:rsidP="009D6EE5">
      <w:pPr>
        <w:pStyle w:val="Style1"/>
        <w:numPr>
          <w:ilvl w:val="0"/>
          <w:numId w:val="0"/>
        </w:numPr>
        <w:spacing w:after="0" w:line="22" w:lineRule="atLeast"/>
        <w:jc w:val="both"/>
        <w:rPr>
          <w:rFonts w:cs="Open Sans"/>
          <w:i w:val="0"/>
          <w:color w:val="auto"/>
          <w:sz w:val="18"/>
          <w:szCs w:val="18"/>
        </w:rPr>
      </w:pPr>
    </w:p>
    <w:p w14:paraId="516DE65A" w14:textId="1389F563" w:rsidR="00C07700" w:rsidRPr="00A74D23" w:rsidRDefault="00883B3B" w:rsidP="009D6EE5">
      <w:pPr>
        <w:pStyle w:val="Style1"/>
        <w:numPr>
          <w:ilvl w:val="0"/>
          <w:numId w:val="0"/>
        </w:numPr>
        <w:spacing w:after="0" w:line="22" w:lineRule="atLeast"/>
        <w:jc w:val="both"/>
        <w:rPr>
          <w:rFonts w:cs="Open Sans"/>
          <w:i w:val="0"/>
          <w:iCs w:val="0"/>
          <w:color w:val="auto"/>
          <w:sz w:val="20"/>
          <w:szCs w:val="20"/>
          <w:lang w:eastAsia="fr-FR"/>
        </w:rPr>
      </w:pPr>
      <w:r w:rsidRPr="00A74D23">
        <w:rPr>
          <w:rFonts w:cs="Open Sans"/>
          <w:i w:val="0"/>
          <w:color w:val="auto"/>
          <w:sz w:val="20"/>
          <w:szCs w:val="20"/>
        </w:rPr>
        <w:t xml:space="preserve">Abeille Assurances </w:t>
      </w:r>
      <w:r w:rsidR="00DB7440" w:rsidRPr="00A74D23">
        <w:rPr>
          <w:rFonts w:cs="Open Sans"/>
          <w:i w:val="0"/>
          <w:color w:val="auto"/>
          <w:sz w:val="20"/>
          <w:szCs w:val="20"/>
        </w:rPr>
        <w:t>est convaincu</w:t>
      </w:r>
      <w:r w:rsidR="00F73C71" w:rsidRPr="00A74D23">
        <w:rPr>
          <w:rFonts w:cs="Open Sans"/>
          <w:i w:val="0"/>
          <w:color w:val="auto"/>
          <w:sz w:val="20"/>
          <w:szCs w:val="20"/>
        </w:rPr>
        <w:t>e</w:t>
      </w:r>
      <w:r w:rsidR="00B37220" w:rsidRPr="00A74D23">
        <w:rPr>
          <w:rFonts w:cs="Open Sans"/>
          <w:i w:val="0"/>
          <w:color w:val="auto"/>
          <w:sz w:val="20"/>
          <w:szCs w:val="20"/>
        </w:rPr>
        <w:t xml:space="preserve"> </w:t>
      </w:r>
      <w:r w:rsidR="00F73C71" w:rsidRPr="00A74D23">
        <w:rPr>
          <w:rFonts w:cs="Open Sans"/>
          <w:i w:val="0"/>
          <w:color w:val="auto"/>
          <w:sz w:val="20"/>
          <w:szCs w:val="20"/>
        </w:rPr>
        <w:t>d’avoir un</w:t>
      </w:r>
      <w:r w:rsidR="00B37220" w:rsidRPr="00A74D23">
        <w:rPr>
          <w:rFonts w:cs="Open Sans"/>
          <w:i w:val="0"/>
          <w:color w:val="auto"/>
          <w:sz w:val="20"/>
          <w:szCs w:val="20"/>
        </w:rPr>
        <w:t xml:space="preserve"> rôle à jouer dans la transition vers une économie durable. </w:t>
      </w:r>
      <w:r w:rsidR="007B78E1" w:rsidRPr="00A74D23">
        <w:rPr>
          <w:rFonts w:cs="Open Sans"/>
          <w:i w:val="0"/>
          <w:color w:val="auto"/>
          <w:sz w:val="20"/>
          <w:szCs w:val="20"/>
        </w:rPr>
        <w:t xml:space="preserve">Afin de mieux comprendre les ressorts de cette transition, d’influer sur ses leviers et afin d’agir de concert avec nos pairs pour avoir plus d’influence, </w:t>
      </w:r>
      <w:r w:rsidR="00B37220" w:rsidRPr="00A74D23">
        <w:rPr>
          <w:rFonts w:cs="Open Sans"/>
          <w:i w:val="0"/>
          <w:color w:val="auto"/>
          <w:sz w:val="20"/>
          <w:szCs w:val="20"/>
        </w:rPr>
        <w:t>nous sommes fiers de nous engager activement dans différent</w:t>
      </w:r>
      <w:r w:rsidR="00CC674E" w:rsidRPr="00A74D23">
        <w:rPr>
          <w:rFonts w:cs="Open Sans"/>
          <w:i w:val="0"/>
          <w:color w:val="auto"/>
          <w:sz w:val="20"/>
          <w:szCs w:val="20"/>
        </w:rPr>
        <w:t>e</w:t>
      </w:r>
      <w:r w:rsidR="00B37220" w:rsidRPr="00A74D23">
        <w:rPr>
          <w:rFonts w:cs="Open Sans"/>
          <w:i w:val="0"/>
          <w:color w:val="auto"/>
          <w:sz w:val="20"/>
          <w:szCs w:val="20"/>
        </w:rPr>
        <w:t xml:space="preserve">s initiatives et groupes de travail, notamment </w:t>
      </w:r>
      <w:r w:rsidR="005D6053" w:rsidRPr="00A74D23">
        <w:rPr>
          <w:rFonts w:cs="Open Sans"/>
          <w:i w:val="0"/>
          <w:iCs w:val="0"/>
          <w:color w:val="auto"/>
          <w:sz w:val="20"/>
          <w:szCs w:val="20"/>
          <w:lang w:eastAsia="fr-FR"/>
        </w:rPr>
        <w:t>:</w:t>
      </w:r>
    </w:p>
    <w:p w14:paraId="7A46AD6D" w14:textId="77777777" w:rsidR="00411D39" w:rsidRDefault="00411D39" w:rsidP="009D6EE5">
      <w:pPr>
        <w:pStyle w:val="Style1"/>
        <w:numPr>
          <w:ilvl w:val="0"/>
          <w:numId w:val="0"/>
        </w:numPr>
        <w:spacing w:after="0" w:line="22" w:lineRule="atLeast"/>
        <w:jc w:val="both"/>
        <w:rPr>
          <w:rFonts w:cs="Open Sans"/>
          <w:i w:val="0"/>
          <w:iCs w:val="0"/>
          <w:color w:val="auto"/>
          <w:sz w:val="20"/>
          <w:szCs w:val="20"/>
          <w:lang w:eastAsia="fr-FR"/>
        </w:rPr>
      </w:pPr>
    </w:p>
    <w:p w14:paraId="602B21A3" w14:textId="77777777" w:rsidR="00411D39" w:rsidRDefault="00411D39" w:rsidP="009D6EE5">
      <w:pPr>
        <w:pStyle w:val="Style1"/>
        <w:numPr>
          <w:ilvl w:val="0"/>
          <w:numId w:val="0"/>
        </w:numPr>
        <w:spacing w:after="0" w:line="22" w:lineRule="atLeast"/>
        <w:jc w:val="both"/>
        <w:rPr>
          <w:rFonts w:cs="Open Sans"/>
          <w:i w:val="0"/>
          <w:iCs w:val="0"/>
          <w:color w:val="auto"/>
          <w:sz w:val="20"/>
          <w:szCs w:val="20"/>
          <w:lang w:eastAsia="fr-FR"/>
        </w:rPr>
      </w:pPr>
    </w:p>
    <w:p w14:paraId="79073720" w14:textId="77777777" w:rsidR="00411D39" w:rsidRPr="00A74D23" w:rsidRDefault="00411D39" w:rsidP="009D6EE5">
      <w:pPr>
        <w:pStyle w:val="Style1"/>
        <w:numPr>
          <w:ilvl w:val="0"/>
          <w:numId w:val="0"/>
        </w:numPr>
        <w:spacing w:after="0" w:line="22" w:lineRule="atLeast"/>
        <w:jc w:val="both"/>
        <w:rPr>
          <w:rFonts w:cs="Open Sans"/>
          <w:i w:val="0"/>
          <w:iCs w:val="0"/>
          <w:color w:val="auto"/>
          <w:sz w:val="20"/>
          <w:szCs w:val="20"/>
          <w:lang w:eastAsia="fr-FR"/>
        </w:rPr>
      </w:pPr>
    </w:p>
    <w:p w14:paraId="47CE1523" w14:textId="7787FFFB" w:rsidR="00DE0617" w:rsidRPr="00A74D23" w:rsidRDefault="00DE0617" w:rsidP="009D6EE5">
      <w:pPr>
        <w:pStyle w:val="Style1"/>
        <w:numPr>
          <w:ilvl w:val="0"/>
          <w:numId w:val="0"/>
        </w:numPr>
        <w:spacing w:after="0" w:line="22" w:lineRule="atLeast"/>
        <w:jc w:val="both"/>
        <w:rPr>
          <w:rFonts w:cs="Open Sans"/>
          <w:i w:val="0"/>
          <w:iCs w:val="0"/>
          <w:color w:val="auto"/>
          <w:sz w:val="20"/>
          <w:szCs w:val="20"/>
          <w:lang w:eastAsia="fr-FR"/>
        </w:rPr>
      </w:pPr>
      <w:r w:rsidRPr="00A74D23">
        <w:rPr>
          <w:rFonts w:cs="Open Sans"/>
          <w:noProof/>
        </w:rPr>
        <mc:AlternateContent>
          <mc:Choice Requires="wps">
            <w:drawing>
              <wp:anchor distT="0" distB="0" distL="114300" distR="114300" simplePos="0" relativeHeight="251341824" behindDoc="0" locked="0" layoutInCell="1" allowOverlap="1" wp14:anchorId="07FBAB93" wp14:editId="4EF999E3">
                <wp:simplePos x="0" y="0"/>
                <wp:positionH relativeFrom="margin">
                  <wp:posOffset>1007745</wp:posOffset>
                </wp:positionH>
                <wp:positionV relativeFrom="paragraph">
                  <wp:posOffset>2540</wp:posOffset>
                </wp:positionV>
                <wp:extent cx="3649345" cy="260350"/>
                <wp:effectExtent l="0" t="0" r="8255" b="0"/>
                <wp:wrapNone/>
                <wp:docPr id="1881079501" name="Rectangle : coins arrondis 1881079501"/>
                <wp:cNvGraphicFramePr/>
                <a:graphic xmlns:a="http://schemas.openxmlformats.org/drawingml/2006/main">
                  <a:graphicData uri="http://schemas.microsoft.com/office/word/2010/wordprocessingShape">
                    <wps:wsp>
                      <wps:cNvSpPr/>
                      <wps:spPr>
                        <a:xfrm>
                          <a:off x="0" y="0"/>
                          <a:ext cx="3649345" cy="260350"/>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273B16" w14:textId="4540C129" w:rsidR="00DE0617" w:rsidRPr="00474EE1" w:rsidRDefault="00DE0617" w:rsidP="00DE0617">
                            <w:pPr>
                              <w:jc w:val="center"/>
                              <w:rPr>
                                <w:rFonts w:asciiTheme="minorHAnsi" w:hAnsiTheme="minorHAnsi"/>
                                <w:b/>
                                <w:bCs/>
                                <w:color w:val="000000" w:themeColor="text1"/>
                                <w:lang w:val="fr-FR"/>
                              </w:rPr>
                            </w:pPr>
                            <w:r w:rsidRPr="00474EE1">
                              <w:rPr>
                                <w:rFonts w:asciiTheme="minorHAnsi" w:hAnsiTheme="minorHAnsi"/>
                                <w:b/>
                                <w:bCs/>
                                <w:color w:val="000000" w:themeColor="text1"/>
                                <w:lang w:val="fr-FR"/>
                              </w:rPr>
                              <w:t xml:space="preserve">Nos participations aux initiatives de place  </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roundrect w14:anchorId="07FBAB93" id="Rectangle : coins arrondis 1881079501" o:spid="_x0000_s1043" style="position:absolute;left:0;text-align:left;margin-left:79.35pt;margin-top:.2pt;width:287.35pt;height:20.5pt;z-index:2513418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" fillcolor="#ffc000" stroked="f" strokeweight="1pt">
                <v:stroke joinstyle="miter"/>
                <v:textbox style="mso-fit-shape-to-text:t" inset="2.5mm,1mm,2.5mm,1mm">
                  <w:txbxContent>
                    <w:p w14:paraId="79273B16" w14:textId="4540C129" w:rsidR="00DE0617" w:rsidRPr="00474EE1" w:rsidRDefault="00DE0617" w:rsidP="00DE0617">
                      <w:pPr>
                        <w:jc w:val="center"/>
                        <w:rPr>
                          <w:rFonts w:asciiTheme="minorHAnsi" w:hAnsiTheme="minorHAnsi"/>
                          <w:b/>
                          <w:bCs/>
                          <w:color w:val="000000" w:themeColor="text1"/>
                          <w:lang w:val="fr-FR"/>
                        </w:rPr>
                      </w:pPr>
                      <w:r w:rsidRPr="00474EE1">
                        <w:rPr>
                          <w:rFonts w:asciiTheme="minorHAnsi" w:hAnsiTheme="minorHAnsi"/>
                          <w:b/>
                          <w:bCs/>
                          <w:color w:val="000000" w:themeColor="text1"/>
                          <w:lang w:val="fr-FR"/>
                        </w:rPr>
                        <w:t xml:space="preserve">Nos participations aux initiatives de place  </w:t>
                      </w:r>
                    </w:p>
                  </w:txbxContent>
                </v:textbox>
                <w10:wrap anchorx="margin"/>
              </v:roundrect>
            </w:pict>
          </mc:Fallback>
        </mc:AlternateContent>
      </w:r>
    </w:p>
    <w:p w14:paraId="53E193BF" w14:textId="4EE6639B" w:rsidR="00DE0617" w:rsidRPr="00A74D23" w:rsidRDefault="00DE0617" w:rsidP="009D6EE5">
      <w:pPr>
        <w:pStyle w:val="Style1"/>
        <w:numPr>
          <w:ilvl w:val="0"/>
          <w:numId w:val="0"/>
        </w:numPr>
        <w:spacing w:after="0" w:line="22" w:lineRule="atLeast"/>
        <w:jc w:val="both"/>
        <w:rPr>
          <w:rFonts w:cs="Open Sans"/>
          <w:i w:val="0"/>
          <w:iCs w:val="0"/>
          <w:color w:val="auto"/>
          <w:sz w:val="20"/>
          <w:szCs w:val="20"/>
          <w:lang w:eastAsia="fr-FR"/>
        </w:rPr>
      </w:pPr>
      <w:r w:rsidRPr="00A74D23">
        <w:rPr>
          <w:rFonts w:cs="Open Sans"/>
          <w:noProof/>
        </w:rPr>
        <mc:AlternateContent>
          <mc:Choice Requires="wps">
            <w:drawing>
              <wp:anchor distT="0" distB="0" distL="114300" distR="114300" simplePos="0" relativeHeight="251343872" behindDoc="1" locked="0" layoutInCell="1" allowOverlap="1" wp14:anchorId="43B3B042" wp14:editId="58916F68">
                <wp:simplePos x="0" y="0"/>
                <wp:positionH relativeFrom="margin">
                  <wp:posOffset>87501</wp:posOffset>
                </wp:positionH>
                <wp:positionV relativeFrom="paragraph">
                  <wp:posOffset>7990</wp:posOffset>
                </wp:positionV>
                <wp:extent cx="5762625" cy="2614174"/>
                <wp:effectExtent l="0" t="0" r="9525" b="0"/>
                <wp:wrapNone/>
                <wp:docPr id="1365905767" name="Rectangle : coins arrondis 1365905767"/>
                <wp:cNvGraphicFramePr/>
                <a:graphic xmlns:a="http://schemas.openxmlformats.org/drawingml/2006/main">
                  <a:graphicData uri="http://schemas.microsoft.com/office/word/2010/wordprocessingShape">
                    <wps:wsp>
                      <wps:cNvSpPr/>
                      <wps:spPr>
                        <a:xfrm>
                          <a:off x="0" y="0"/>
                          <a:ext cx="5762625" cy="2614174"/>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CF0C17" w14:textId="77777777" w:rsidR="00DE0617" w:rsidRPr="00C07700" w:rsidRDefault="00DE0617" w:rsidP="00590DD1">
                            <w:pPr>
                              <w:pStyle w:val="Texteencadr"/>
                              <w:numPr>
                                <w:ilvl w:val="0"/>
                                <w:numId w:val="48"/>
                              </w:numPr>
                              <w:spacing w:after="0" w:line="240" w:lineRule="auto"/>
                              <w:jc w:val="both"/>
                              <w:rPr>
                                <w:rFonts w:cstheme="minorHAnsi"/>
                                <w:color w:val="000000" w:themeColor="text1"/>
                                <w:sz w:val="20"/>
                                <w:szCs w:val="20"/>
                              </w:rPr>
                            </w:pPr>
                            <w:r w:rsidRPr="00C07700">
                              <w:rPr>
                                <w:rFonts w:cstheme="minorHAnsi"/>
                                <w:color w:val="000000" w:themeColor="text1"/>
                                <w:sz w:val="20"/>
                                <w:szCs w:val="20"/>
                              </w:rPr>
                              <w:t>Les groupes de travail de l'Institut de la Finance Durable</w:t>
                            </w:r>
                          </w:p>
                          <w:p w14:paraId="22BA5282" w14:textId="4F02FCE4" w:rsidR="007A3D8F" w:rsidRPr="00C07700" w:rsidRDefault="007A3D8F" w:rsidP="00590DD1">
                            <w:pPr>
                              <w:pStyle w:val="Texteencadr"/>
                              <w:numPr>
                                <w:ilvl w:val="0"/>
                                <w:numId w:val="48"/>
                              </w:numPr>
                              <w:spacing w:after="0" w:line="240" w:lineRule="auto"/>
                              <w:jc w:val="both"/>
                              <w:rPr>
                                <w:rFonts w:cstheme="minorHAnsi"/>
                                <w:color w:val="000000" w:themeColor="text1"/>
                                <w:sz w:val="20"/>
                                <w:szCs w:val="20"/>
                              </w:rPr>
                            </w:pPr>
                            <w:r w:rsidRPr="00C07700">
                              <w:rPr>
                                <w:rFonts w:cstheme="minorHAnsi"/>
                                <w:color w:val="000000" w:themeColor="text1"/>
                                <w:sz w:val="20"/>
                                <w:szCs w:val="20"/>
                              </w:rPr>
                              <w:t xml:space="preserve">Les groupes de fonds de place, notamment « Objectif </w:t>
                            </w:r>
                            <w:r w:rsidR="004C08FB">
                              <w:rPr>
                                <w:rFonts w:cstheme="minorHAnsi"/>
                                <w:color w:val="000000" w:themeColor="text1"/>
                                <w:sz w:val="20"/>
                                <w:szCs w:val="20"/>
                              </w:rPr>
                              <w:t>B</w:t>
                            </w:r>
                            <w:r w:rsidRPr="00C07700">
                              <w:rPr>
                                <w:rFonts w:cstheme="minorHAnsi"/>
                                <w:color w:val="000000" w:themeColor="text1"/>
                                <w:sz w:val="20"/>
                                <w:szCs w:val="20"/>
                              </w:rPr>
                              <w:t>iodiversité »</w:t>
                            </w:r>
                            <w:r w:rsidR="004C08FB">
                              <w:rPr>
                                <w:rFonts w:cstheme="minorHAnsi"/>
                                <w:color w:val="000000" w:themeColor="text1"/>
                                <w:sz w:val="20"/>
                                <w:szCs w:val="20"/>
                              </w:rPr>
                              <w:t xml:space="preserve"> et « Objectif Climat »</w:t>
                            </w:r>
                          </w:p>
                          <w:p w14:paraId="0D0FAD38" w14:textId="77777777" w:rsidR="00DE0617" w:rsidRPr="00C07700" w:rsidRDefault="00DE0617" w:rsidP="00590DD1">
                            <w:pPr>
                              <w:pStyle w:val="Texteencadr"/>
                              <w:numPr>
                                <w:ilvl w:val="0"/>
                                <w:numId w:val="48"/>
                              </w:numPr>
                              <w:spacing w:after="0" w:line="240" w:lineRule="auto"/>
                              <w:jc w:val="both"/>
                              <w:rPr>
                                <w:rFonts w:cstheme="minorHAnsi"/>
                                <w:color w:val="000000" w:themeColor="text1"/>
                                <w:sz w:val="20"/>
                                <w:szCs w:val="20"/>
                              </w:rPr>
                            </w:pPr>
                            <w:r w:rsidRPr="00C07700">
                              <w:rPr>
                                <w:rFonts w:cstheme="minorHAnsi"/>
                                <w:color w:val="000000" w:themeColor="text1"/>
                                <w:sz w:val="20"/>
                                <w:szCs w:val="20"/>
                              </w:rPr>
                              <w:t xml:space="preserve">La Net Zero Asset Owner Alliance qui a pour objectif de définir un protocole d’actions pour aligner les portefeuilles d’investissement à une trajectoire en ligne avec les objectifs de l’Accord de Paris </w:t>
                            </w:r>
                          </w:p>
                          <w:p w14:paraId="2D74EF2C" w14:textId="77777777" w:rsidR="00DE0617" w:rsidRPr="00C07700" w:rsidRDefault="00DE0617" w:rsidP="00590DD1">
                            <w:pPr>
                              <w:pStyle w:val="Texteencadr"/>
                              <w:numPr>
                                <w:ilvl w:val="0"/>
                                <w:numId w:val="48"/>
                              </w:numPr>
                              <w:spacing w:after="0" w:line="240" w:lineRule="auto"/>
                              <w:jc w:val="both"/>
                              <w:rPr>
                                <w:rFonts w:cstheme="minorHAnsi"/>
                                <w:color w:val="000000" w:themeColor="text1"/>
                                <w:sz w:val="20"/>
                                <w:szCs w:val="20"/>
                              </w:rPr>
                            </w:pPr>
                            <w:r w:rsidRPr="00C07700">
                              <w:rPr>
                                <w:rFonts w:cstheme="minorHAnsi"/>
                                <w:color w:val="000000" w:themeColor="text1"/>
                                <w:sz w:val="20"/>
                                <w:szCs w:val="20"/>
                              </w:rPr>
                              <w:t>Le Finance For Biodiversity Pledge signé par le Groupe Aéma en septembre 2022. Nous avons aussi rejoint la Finance For Biodiversity Foundation afin de contribuer et de participer aux travaux de la place financière sur la prise en compte des enjeux liés à la biodiversité par le secteur financier, et travaillons aux méthodologies d’alignement des portefeuilles avec le cadre mondial Kunming-Montréal sur la biodiversité</w:t>
                            </w:r>
                          </w:p>
                          <w:p w14:paraId="7A083CCE" w14:textId="77777777" w:rsidR="00DE0617" w:rsidRPr="00C07700" w:rsidRDefault="00DE0617" w:rsidP="00590DD1">
                            <w:pPr>
                              <w:pStyle w:val="Texteencadr"/>
                              <w:numPr>
                                <w:ilvl w:val="0"/>
                                <w:numId w:val="48"/>
                              </w:numPr>
                              <w:spacing w:after="0" w:line="240" w:lineRule="auto"/>
                              <w:jc w:val="both"/>
                              <w:rPr>
                                <w:rFonts w:cstheme="minorHAnsi"/>
                                <w:color w:val="000000" w:themeColor="text1"/>
                                <w:sz w:val="20"/>
                                <w:szCs w:val="20"/>
                              </w:rPr>
                            </w:pPr>
                            <w:r w:rsidRPr="00C07700">
                              <w:rPr>
                                <w:rFonts w:cstheme="minorHAnsi"/>
                                <w:color w:val="000000" w:themeColor="text1"/>
                                <w:sz w:val="20"/>
                                <w:szCs w:val="20"/>
                              </w:rPr>
                              <w:t xml:space="preserve">Le CDP (Carbon Disclosure Project) </w:t>
                            </w:r>
                          </w:p>
                          <w:p w14:paraId="2911922A" w14:textId="77777777" w:rsidR="00DE0617" w:rsidRPr="00C07700" w:rsidRDefault="00DE0617" w:rsidP="00590DD1">
                            <w:pPr>
                              <w:pStyle w:val="Texteencadr"/>
                              <w:numPr>
                                <w:ilvl w:val="0"/>
                                <w:numId w:val="48"/>
                              </w:numPr>
                              <w:spacing w:after="0" w:line="240" w:lineRule="auto"/>
                              <w:jc w:val="both"/>
                              <w:rPr>
                                <w:rFonts w:cstheme="minorHAnsi"/>
                                <w:color w:val="000000" w:themeColor="text1"/>
                                <w:sz w:val="20"/>
                                <w:szCs w:val="20"/>
                              </w:rPr>
                            </w:pPr>
                            <w:r w:rsidRPr="00C07700">
                              <w:rPr>
                                <w:rFonts w:cstheme="minorHAnsi"/>
                                <w:color w:val="000000" w:themeColor="text1"/>
                                <w:sz w:val="20"/>
                                <w:szCs w:val="20"/>
                              </w:rPr>
                              <w:t>Les Principes pour l’Investissement Responsable (UN-PRI)</w:t>
                            </w:r>
                          </w:p>
                          <w:p w14:paraId="22211B51" w14:textId="694145D8" w:rsidR="00DE0617" w:rsidRPr="00C07700" w:rsidRDefault="00DE0617" w:rsidP="00590DD1">
                            <w:pPr>
                              <w:pStyle w:val="Texteencadr"/>
                              <w:numPr>
                                <w:ilvl w:val="0"/>
                                <w:numId w:val="48"/>
                              </w:numPr>
                              <w:spacing w:after="0" w:line="240" w:lineRule="auto"/>
                              <w:jc w:val="both"/>
                              <w:rPr>
                                <w:rFonts w:cstheme="minorHAnsi"/>
                                <w:color w:val="000000" w:themeColor="text1"/>
                                <w:sz w:val="20"/>
                                <w:szCs w:val="20"/>
                              </w:rPr>
                            </w:pPr>
                            <w:r w:rsidRPr="00C07700">
                              <w:rPr>
                                <w:rFonts w:cstheme="minorHAnsi"/>
                                <w:color w:val="000000" w:themeColor="text1"/>
                                <w:sz w:val="20"/>
                                <w:szCs w:val="20"/>
                              </w:rPr>
                              <w:t xml:space="preserve">Les commissions </w:t>
                            </w:r>
                            <w:r w:rsidR="004C08FB">
                              <w:rPr>
                                <w:rFonts w:cstheme="minorHAnsi"/>
                                <w:color w:val="000000" w:themeColor="text1"/>
                                <w:sz w:val="20"/>
                                <w:szCs w:val="20"/>
                              </w:rPr>
                              <w:t>Investissement Responsable</w:t>
                            </w:r>
                            <w:r w:rsidRPr="00C07700">
                              <w:rPr>
                                <w:rFonts w:cstheme="minorHAnsi"/>
                                <w:color w:val="000000" w:themeColor="text1"/>
                                <w:sz w:val="20"/>
                                <w:szCs w:val="20"/>
                              </w:rPr>
                              <w:t xml:space="preserve"> de l’Association Française des Investisseurs Institutionnels et de France Assureurs</w:t>
                            </w:r>
                          </w:p>
                          <w:p w14:paraId="735A04E0" w14:textId="3250FB8D" w:rsidR="00DE0617" w:rsidRPr="00C07700" w:rsidRDefault="00DE0617" w:rsidP="00A9024F">
                            <w:pPr>
                              <w:pStyle w:val="Texteencadr"/>
                              <w:numPr>
                                <w:ilvl w:val="0"/>
                                <w:numId w:val="0"/>
                              </w:numPr>
                              <w:spacing w:after="0" w:line="240" w:lineRule="auto"/>
                              <w:ind w:left="142"/>
                              <w:jc w:val="both"/>
                              <w:rPr>
                                <w:rFonts w:cstheme="minorHAnsi"/>
                                <w:color w:val="000000" w:themeColor="text1"/>
                                <w:sz w:val="20"/>
                                <w:szCs w:val="20"/>
                              </w:rPr>
                            </w:pPr>
                          </w:p>
                        </w:txbxContent>
                      </wps:txbx>
                      <wps:bodyPr rot="0" spcFirstLastPara="0" vertOverflow="overflow" horzOverflow="overflow" vert="horz" wrap="square" lIns="180000" tIns="72000" rIns="180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B3B042" id="Rectangle : coins arrondis 1365905767" o:spid="_x0000_s1044" style="position:absolute;left:0;text-align:left;margin-left:6.9pt;margin-top:.65pt;width:453.75pt;height:205.85pt;z-index:-25197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" fillcolor="#d8d8d8 [2732]" stroked="f" strokeweight="1pt">
                <v:stroke joinstyle="miter"/>
                <v:textbox inset="5mm,2mm,5mm,3mm">
                  <w:txbxContent>
                    <w:p w14:paraId="67CF0C17" w14:textId="77777777" w:rsidR="00DE0617" w:rsidRPr="00C07700" w:rsidRDefault="00DE0617" w:rsidP="00590DD1">
                      <w:pPr>
                        <w:pStyle w:val="Texteencadr"/>
                        <w:numPr>
                          <w:ilvl w:val="0"/>
                          <w:numId w:val="48"/>
                        </w:numPr>
                        <w:spacing w:after="0" w:line="240" w:lineRule="auto"/>
                        <w:jc w:val="both"/>
                        <w:rPr>
                          <w:rFonts w:cstheme="minorHAnsi"/>
                          <w:color w:val="000000" w:themeColor="text1"/>
                          <w:sz w:val="20"/>
                          <w:szCs w:val="20"/>
                        </w:rPr>
                      </w:pPr>
                      <w:r w:rsidRPr="00C07700">
                        <w:rPr>
                          <w:rFonts w:cstheme="minorHAnsi"/>
                          <w:color w:val="000000" w:themeColor="text1"/>
                          <w:sz w:val="20"/>
                          <w:szCs w:val="20"/>
                        </w:rPr>
                        <w:t>Les groupes de travail de l'Institut de la Finance Durable</w:t>
                      </w:r>
                    </w:p>
                    <w:p w14:paraId="22BA5282" w14:textId="4F02FCE4" w:rsidR="007A3D8F" w:rsidRPr="00C07700" w:rsidRDefault="007A3D8F" w:rsidP="00590DD1">
                      <w:pPr>
                        <w:pStyle w:val="Texteencadr"/>
                        <w:numPr>
                          <w:ilvl w:val="0"/>
                          <w:numId w:val="48"/>
                        </w:numPr>
                        <w:spacing w:after="0" w:line="240" w:lineRule="auto"/>
                        <w:jc w:val="both"/>
                        <w:rPr>
                          <w:rFonts w:cstheme="minorHAnsi"/>
                          <w:color w:val="000000" w:themeColor="text1"/>
                          <w:sz w:val="20"/>
                          <w:szCs w:val="20"/>
                        </w:rPr>
                      </w:pPr>
                      <w:r w:rsidRPr="00C07700">
                        <w:rPr>
                          <w:rFonts w:cstheme="minorHAnsi"/>
                          <w:color w:val="000000" w:themeColor="text1"/>
                          <w:sz w:val="20"/>
                          <w:szCs w:val="20"/>
                        </w:rPr>
                        <w:t xml:space="preserve">Les groupes de fonds de place, notamment « Objectif </w:t>
                      </w:r>
                      <w:r w:rsidR="004C08FB">
                        <w:rPr>
                          <w:rFonts w:cstheme="minorHAnsi"/>
                          <w:color w:val="000000" w:themeColor="text1"/>
                          <w:sz w:val="20"/>
                          <w:szCs w:val="20"/>
                        </w:rPr>
                        <w:t>B</w:t>
                      </w:r>
                      <w:r w:rsidRPr="00C07700">
                        <w:rPr>
                          <w:rFonts w:cstheme="minorHAnsi"/>
                          <w:color w:val="000000" w:themeColor="text1"/>
                          <w:sz w:val="20"/>
                          <w:szCs w:val="20"/>
                        </w:rPr>
                        <w:t>iodiversité »</w:t>
                      </w:r>
                      <w:r w:rsidR="004C08FB">
                        <w:rPr>
                          <w:rFonts w:cstheme="minorHAnsi"/>
                          <w:color w:val="000000" w:themeColor="text1"/>
                          <w:sz w:val="20"/>
                          <w:szCs w:val="20"/>
                        </w:rPr>
                        <w:t xml:space="preserve"> et « Objectif Climat »</w:t>
                      </w:r>
                    </w:p>
                    <w:p w14:paraId="0D0FAD38" w14:textId="77777777" w:rsidR="00DE0617" w:rsidRPr="00C07700" w:rsidRDefault="00DE0617" w:rsidP="00590DD1">
                      <w:pPr>
                        <w:pStyle w:val="Texteencadr"/>
                        <w:numPr>
                          <w:ilvl w:val="0"/>
                          <w:numId w:val="48"/>
                        </w:numPr>
                        <w:spacing w:after="0" w:line="240" w:lineRule="auto"/>
                        <w:jc w:val="both"/>
                        <w:rPr>
                          <w:rFonts w:cstheme="minorHAnsi"/>
                          <w:color w:val="000000" w:themeColor="text1"/>
                          <w:sz w:val="20"/>
                          <w:szCs w:val="20"/>
                        </w:rPr>
                      </w:pPr>
                      <w:r w:rsidRPr="00C07700">
                        <w:rPr>
                          <w:rFonts w:cstheme="minorHAnsi"/>
                          <w:color w:val="000000" w:themeColor="text1"/>
                          <w:sz w:val="20"/>
                          <w:szCs w:val="20"/>
                        </w:rPr>
                        <w:t xml:space="preserve">La Net Zero Asset Owner Alliance qui a pour objectif de définir un protocole d’actions pour aligner les portefeuilles d’investissement à une trajectoire en ligne avec les objectifs de l’Accord de Paris </w:t>
                      </w:r>
                    </w:p>
                    <w:p w14:paraId="2D74EF2C" w14:textId="77777777" w:rsidR="00DE0617" w:rsidRPr="00C07700" w:rsidRDefault="00DE0617" w:rsidP="00590DD1">
                      <w:pPr>
                        <w:pStyle w:val="Texteencadr"/>
                        <w:numPr>
                          <w:ilvl w:val="0"/>
                          <w:numId w:val="48"/>
                        </w:numPr>
                        <w:spacing w:after="0" w:line="240" w:lineRule="auto"/>
                        <w:jc w:val="both"/>
                        <w:rPr>
                          <w:rFonts w:cstheme="minorHAnsi"/>
                          <w:color w:val="000000" w:themeColor="text1"/>
                          <w:sz w:val="20"/>
                          <w:szCs w:val="20"/>
                        </w:rPr>
                      </w:pPr>
                      <w:r w:rsidRPr="00C07700">
                        <w:rPr>
                          <w:rFonts w:cstheme="minorHAnsi"/>
                          <w:color w:val="000000" w:themeColor="text1"/>
                          <w:sz w:val="20"/>
                          <w:szCs w:val="20"/>
                        </w:rPr>
                        <w:t>Le Finance For Biodiversity Pledge signé par le Groupe Aéma en septembre 2022. Nous avons aussi rejoint la Finance For Biodiversity Foundation afin de contribuer et de participer aux travaux de la place financière sur la prise en compte des enjeux liés à la biodiversité par le secteur financier, et travaillons aux méthodologies d’alignement des portefeuilles avec le cadre mondial Kunming-Montréal sur la biodiversité</w:t>
                      </w:r>
                    </w:p>
                    <w:p w14:paraId="7A083CCE" w14:textId="77777777" w:rsidR="00DE0617" w:rsidRPr="00C07700" w:rsidRDefault="00DE0617" w:rsidP="00590DD1">
                      <w:pPr>
                        <w:pStyle w:val="Texteencadr"/>
                        <w:numPr>
                          <w:ilvl w:val="0"/>
                          <w:numId w:val="48"/>
                        </w:numPr>
                        <w:spacing w:after="0" w:line="240" w:lineRule="auto"/>
                        <w:jc w:val="both"/>
                        <w:rPr>
                          <w:rFonts w:cstheme="minorHAnsi"/>
                          <w:color w:val="000000" w:themeColor="text1"/>
                          <w:sz w:val="20"/>
                          <w:szCs w:val="20"/>
                        </w:rPr>
                      </w:pPr>
                      <w:r w:rsidRPr="00C07700">
                        <w:rPr>
                          <w:rFonts w:cstheme="minorHAnsi"/>
                          <w:color w:val="000000" w:themeColor="text1"/>
                          <w:sz w:val="20"/>
                          <w:szCs w:val="20"/>
                        </w:rPr>
                        <w:t xml:space="preserve">Le CDP (Carbon Disclosure Project) </w:t>
                      </w:r>
                    </w:p>
                    <w:p w14:paraId="2911922A" w14:textId="77777777" w:rsidR="00DE0617" w:rsidRPr="00C07700" w:rsidRDefault="00DE0617" w:rsidP="00590DD1">
                      <w:pPr>
                        <w:pStyle w:val="Texteencadr"/>
                        <w:numPr>
                          <w:ilvl w:val="0"/>
                          <w:numId w:val="48"/>
                        </w:numPr>
                        <w:spacing w:after="0" w:line="240" w:lineRule="auto"/>
                        <w:jc w:val="both"/>
                        <w:rPr>
                          <w:rFonts w:cstheme="minorHAnsi"/>
                          <w:color w:val="000000" w:themeColor="text1"/>
                          <w:sz w:val="20"/>
                          <w:szCs w:val="20"/>
                        </w:rPr>
                      </w:pPr>
                      <w:r w:rsidRPr="00C07700">
                        <w:rPr>
                          <w:rFonts w:cstheme="minorHAnsi"/>
                          <w:color w:val="000000" w:themeColor="text1"/>
                          <w:sz w:val="20"/>
                          <w:szCs w:val="20"/>
                        </w:rPr>
                        <w:t>Les Principes pour l’Investissement Responsable (UN-PRI)</w:t>
                      </w:r>
                    </w:p>
                    <w:p w14:paraId="22211B51" w14:textId="694145D8" w:rsidR="00DE0617" w:rsidRPr="00C07700" w:rsidRDefault="00DE0617" w:rsidP="00590DD1">
                      <w:pPr>
                        <w:pStyle w:val="Texteencadr"/>
                        <w:numPr>
                          <w:ilvl w:val="0"/>
                          <w:numId w:val="48"/>
                        </w:numPr>
                        <w:spacing w:after="0" w:line="240" w:lineRule="auto"/>
                        <w:jc w:val="both"/>
                        <w:rPr>
                          <w:rFonts w:cstheme="minorHAnsi"/>
                          <w:color w:val="000000" w:themeColor="text1"/>
                          <w:sz w:val="20"/>
                          <w:szCs w:val="20"/>
                        </w:rPr>
                      </w:pPr>
                      <w:r w:rsidRPr="00C07700">
                        <w:rPr>
                          <w:rFonts w:cstheme="minorHAnsi"/>
                          <w:color w:val="000000" w:themeColor="text1"/>
                          <w:sz w:val="20"/>
                          <w:szCs w:val="20"/>
                        </w:rPr>
                        <w:t xml:space="preserve">Les commissions </w:t>
                      </w:r>
                      <w:r w:rsidR="004C08FB">
                        <w:rPr>
                          <w:rFonts w:cstheme="minorHAnsi"/>
                          <w:color w:val="000000" w:themeColor="text1"/>
                          <w:sz w:val="20"/>
                          <w:szCs w:val="20"/>
                        </w:rPr>
                        <w:t>Investissement Responsable</w:t>
                      </w:r>
                      <w:r w:rsidRPr="00C07700">
                        <w:rPr>
                          <w:rFonts w:cstheme="minorHAnsi"/>
                          <w:color w:val="000000" w:themeColor="text1"/>
                          <w:sz w:val="20"/>
                          <w:szCs w:val="20"/>
                        </w:rPr>
                        <w:t xml:space="preserve"> de l’Association Française des Investisseurs Institutionnels et de France Assureurs</w:t>
                      </w:r>
                    </w:p>
                    <w:p w14:paraId="735A04E0" w14:textId="3250FB8D" w:rsidR="00DE0617" w:rsidRPr="00C07700" w:rsidRDefault="00DE0617" w:rsidP="00A9024F">
                      <w:pPr>
                        <w:pStyle w:val="Texteencadr"/>
                        <w:numPr>
                          <w:ilvl w:val="0"/>
                          <w:numId w:val="0"/>
                        </w:numPr>
                        <w:spacing w:after="0" w:line="240" w:lineRule="auto"/>
                        <w:ind w:left="142"/>
                        <w:jc w:val="both"/>
                        <w:rPr>
                          <w:rFonts w:cstheme="minorHAnsi"/>
                          <w:color w:val="000000" w:themeColor="text1"/>
                          <w:sz w:val="20"/>
                          <w:szCs w:val="20"/>
                        </w:rPr>
                      </w:pPr>
                    </w:p>
                  </w:txbxContent>
                </v:textbox>
                <w10:wrap anchorx="margin"/>
              </v:roundrect>
            </w:pict>
          </mc:Fallback>
        </mc:AlternateContent>
      </w:r>
    </w:p>
    <w:p w14:paraId="338F04F1" w14:textId="4C158690" w:rsidR="00DE0617" w:rsidRPr="00A74D23" w:rsidRDefault="00DE0617" w:rsidP="009D6EE5">
      <w:pPr>
        <w:pStyle w:val="Style1"/>
        <w:numPr>
          <w:ilvl w:val="0"/>
          <w:numId w:val="0"/>
        </w:numPr>
        <w:spacing w:after="0" w:line="22" w:lineRule="atLeast"/>
        <w:jc w:val="both"/>
        <w:rPr>
          <w:rFonts w:cs="Open Sans"/>
          <w:i w:val="0"/>
          <w:iCs w:val="0"/>
          <w:color w:val="auto"/>
          <w:sz w:val="20"/>
          <w:szCs w:val="20"/>
          <w:lang w:eastAsia="fr-FR"/>
        </w:rPr>
      </w:pPr>
    </w:p>
    <w:p w14:paraId="4CBC9949" w14:textId="77777777" w:rsidR="00DE0617" w:rsidRPr="00A74D23" w:rsidRDefault="00DE0617" w:rsidP="009D6EE5">
      <w:pPr>
        <w:pStyle w:val="Style1"/>
        <w:numPr>
          <w:ilvl w:val="0"/>
          <w:numId w:val="0"/>
        </w:numPr>
        <w:spacing w:after="0" w:line="22" w:lineRule="atLeast"/>
        <w:jc w:val="both"/>
        <w:rPr>
          <w:rFonts w:cs="Open Sans"/>
          <w:i w:val="0"/>
          <w:iCs w:val="0"/>
          <w:color w:val="auto"/>
          <w:sz w:val="20"/>
          <w:szCs w:val="20"/>
          <w:lang w:eastAsia="fr-FR"/>
        </w:rPr>
      </w:pPr>
    </w:p>
    <w:p w14:paraId="1FE0B14B" w14:textId="77777777" w:rsidR="00DE0617" w:rsidRPr="00A74D23" w:rsidRDefault="00DE0617" w:rsidP="009D6EE5">
      <w:pPr>
        <w:pStyle w:val="Style1"/>
        <w:numPr>
          <w:ilvl w:val="0"/>
          <w:numId w:val="0"/>
        </w:numPr>
        <w:spacing w:after="0" w:line="22" w:lineRule="atLeast"/>
        <w:jc w:val="both"/>
        <w:rPr>
          <w:rFonts w:cs="Open Sans"/>
          <w:i w:val="0"/>
          <w:iCs w:val="0"/>
          <w:color w:val="auto"/>
          <w:sz w:val="20"/>
          <w:szCs w:val="20"/>
          <w:lang w:eastAsia="fr-FR"/>
        </w:rPr>
      </w:pPr>
    </w:p>
    <w:p w14:paraId="7B9DDC57" w14:textId="77777777" w:rsidR="00DE0617" w:rsidRPr="00A74D23" w:rsidRDefault="00DE0617" w:rsidP="009D6EE5">
      <w:pPr>
        <w:pStyle w:val="Style1"/>
        <w:numPr>
          <w:ilvl w:val="0"/>
          <w:numId w:val="0"/>
        </w:numPr>
        <w:spacing w:after="0" w:line="22" w:lineRule="atLeast"/>
        <w:jc w:val="both"/>
        <w:rPr>
          <w:rFonts w:cs="Open Sans"/>
          <w:i w:val="0"/>
          <w:iCs w:val="0"/>
          <w:color w:val="auto"/>
          <w:sz w:val="20"/>
          <w:szCs w:val="20"/>
          <w:lang w:eastAsia="fr-FR"/>
        </w:rPr>
      </w:pPr>
    </w:p>
    <w:p w14:paraId="0C18FD32" w14:textId="77777777" w:rsidR="00DE0617" w:rsidRPr="00A74D23" w:rsidRDefault="00DE0617" w:rsidP="009D6EE5">
      <w:pPr>
        <w:pStyle w:val="Style1"/>
        <w:numPr>
          <w:ilvl w:val="0"/>
          <w:numId w:val="0"/>
        </w:numPr>
        <w:spacing w:after="0" w:line="22" w:lineRule="atLeast"/>
        <w:jc w:val="both"/>
        <w:rPr>
          <w:rFonts w:cs="Open Sans"/>
          <w:i w:val="0"/>
          <w:iCs w:val="0"/>
          <w:color w:val="auto"/>
          <w:sz w:val="20"/>
          <w:szCs w:val="20"/>
          <w:lang w:eastAsia="fr-FR"/>
        </w:rPr>
      </w:pPr>
    </w:p>
    <w:p w14:paraId="26C9D002" w14:textId="77777777" w:rsidR="00DE0617" w:rsidRPr="00A74D23" w:rsidRDefault="00DE0617" w:rsidP="009D6EE5">
      <w:pPr>
        <w:pStyle w:val="Style1"/>
        <w:numPr>
          <w:ilvl w:val="0"/>
          <w:numId w:val="0"/>
        </w:numPr>
        <w:spacing w:after="0" w:line="22" w:lineRule="atLeast"/>
        <w:jc w:val="both"/>
        <w:rPr>
          <w:rFonts w:cs="Open Sans"/>
          <w:i w:val="0"/>
          <w:iCs w:val="0"/>
          <w:color w:val="auto"/>
          <w:sz w:val="20"/>
          <w:szCs w:val="20"/>
          <w:lang w:eastAsia="fr-FR"/>
        </w:rPr>
      </w:pPr>
    </w:p>
    <w:p w14:paraId="05696C29" w14:textId="77777777" w:rsidR="00DE0617" w:rsidRPr="00A74D23" w:rsidRDefault="00DE0617" w:rsidP="009D6EE5">
      <w:pPr>
        <w:pStyle w:val="Style1"/>
        <w:numPr>
          <w:ilvl w:val="0"/>
          <w:numId w:val="0"/>
        </w:numPr>
        <w:spacing w:after="0" w:line="22" w:lineRule="atLeast"/>
        <w:jc w:val="both"/>
        <w:rPr>
          <w:rFonts w:cs="Open Sans"/>
          <w:i w:val="0"/>
          <w:iCs w:val="0"/>
          <w:color w:val="auto"/>
          <w:sz w:val="20"/>
          <w:szCs w:val="20"/>
          <w:lang w:eastAsia="fr-FR"/>
        </w:rPr>
      </w:pPr>
    </w:p>
    <w:p w14:paraId="6859B197" w14:textId="77777777" w:rsidR="00DE0617" w:rsidRPr="00A74D23" w:rsidRDefault="00DE0617" w:rsidP="009D6EE5">
      <w:pPr>
        <w:pStyle w:val="Style1"/>
        <w:numPr>
          <w:ilvl w:val="0"/>
          <w:numId w:val="0"/>
        </w:numPr>
        <w:spacing w:after="0" w:line="22" w:lineRule="atLeast"/>
        <w:jc w:val="both"/>
        <w:rPr>
          <w:rFonts w:cs="Open Sans"/>
          <w:i w:val="0"/>
          <w:iCs w:val="0"/>
          <w:color w:val="auto"/>
          <w:sz w:val="20"/>
          <w:szCs w:val="20"/>
          <w:lang w:eastAsia="fr-FR"/>
        </w:rPr>
      </w:pPr>
    </w:p>
    <w:p w14:paraId="7586CC8D" w14:textId="77777777" w:rsidR="00DE0617" w:rsidRPr="00A74D23" w:rsidRDefault="00DE0617" w:rsidP="009D6EE5">
      <w:pPr>
        <w:pStyle w:val="Style1"/>
        <w:numPr>
          <w:ilvl w:val="0"/>
          <w:numId w:val="0"/>
        </w:numPr>
        <w:spacing w:after="0" w:line="22" w:lineRule="atLeast"/>
        <w:jc w:val="both"/>
        <w:rPr>
          <w:rFonts w:cs="Open Sans"/>
          <w:i w:val="0"/>
          <w:iCs w:val="0"/>
          <w:color w:val="auto"/>
          <w:sz w:val="20"/>
          <w:szCs w:val="20"/>
          <w:lang w:eastAsia="fr-FR"/>
        </w:rPr>
      </w:pPr>
    </w:p>
    <w:p w14:paraId="03FB7175" w14:textId="77777777" w:rsidR="00DE0617" w:rsidRPr="00A74D23" w:rsidRDefault="00DE0617" w:rsidP="009D6EE5">
      <w:pPr>
        <w:pStyle w:val="Style1"/>
        <w:numPr>
          <w:ilvl w:val="0"/>
          <w:numId w:val="0"/>
        </w:numPr>
        <w:spacing w:after="0" w:line="22" w:lineRule="atLeast"/>
        <w:jc w:val="both"/>
        <w:rPr>
          <w:rFonts w:cs="Open Sans"/>
          <w:i w:val="0"/>
          <w:iCs w:val="0"/>
          <w:color w:val="auto"/>
          <w:sz w:val="20"/>
          <w:szCs w:val="20"/>
          <w:lang w:eastAsia="fr-FR"/>
        </w:rPr>
      </w:pPr>
    </w:p>
    <w:p w14:paraId="01E2CCB7" w14:textId="77777777" w:rsidR="00DE0617" w:rsidRPr="00A74D23" w:rsidRDefault="00DE0617" w:rsidP="009D6EE5">
      <w:pPr>
        <w:pStyle w:val="Style1"/>
        <w:numPr>
          <w:ilvl w:val="0"/>
          <w:numId w:val="0"/>
        </w:numPr>
        <w:spacing w:after="0" w:line="22" w:lineRule="atLeast"/>
        <w:jc w:val="both"/>
        <w:rPr>
          <w:rFonts w:cs="Open Sans"/>
          <w:i w:val="0"/>
          <w:iCs w:val="0"/>
          <w:color w:val="auto"/>
          <w:sz w:val="20"/>
          <w:szCs w:val="20"/>
          <w:lang w:eastAsia="fr-FR"/>
        </w:rPr>
      </w:pPr>
    </w:p>
    <w:p w14:paraId="4E00E4C9" w14:textId="77777777" w:rsidR="00954A5B" w:rsidRPr="00A74D23" w:rsidRDefault="00954A5B" w:rsidP="009D6EE5">
      <w:pPr>
        <w:pStyle w:val="Style1"/>
        <w:numPr>
          <w:ilvl w:val="0"/>
          <w:numId w:val="0"/>
        </w:numPr>
        <w:spacing w:line="22" w:lineRule="atLeast"/>
        <w:jc w:val="both"/>
        <w:rPr>
          <w:rFonts w:cs="Open Sans"/>
          <w:i w:val="0"/>
          <w:color w:val="000000" w:themeColor="text1"/>
          <w:sz w:val="20"/>
          <w:szCs w:val="20"/>
        </w:rPr>
      </w:pPr>
    </w:p>
    <w:p w14:paraId="6D0BAD00" w14:textId="77777777" w:rsidR="009D6EE5" w:rsidRPr="00A74D23" w:rsidRDefault="009D6EE5" w:rsidP="009D6EE5">
      <w:pPr>
        <w:pStyle w:val="Style1"/>
        <w:numPr>
          <w:ilvl w:val="0"/>
          <w:numId w:val="0"/>
        </w:numPr>
        <w:spacing w:line="22" w:lineRule="atLeast"/>
        <w:jc w:val="both"/>
        <w:rPr>
          <w:rFonts w:cs="Open Sans"/>
          <w:i w:val="0"/>
          <w:color w:val="auto"/>
          <w:sz w:val="20"/>
          <w:szCs w:val="20"/>
        </w:rPr>
      </w:pPr>
      <w:bookmarkStart w:id="31" w:name="_Hlk170115393"/>
      <w:bookmarkStart w:id="32" w:name="_Hlk170079404"/>
    </w:p>
    <w:p w14:paraId="11165B7F" w14:textId="77777777" w:rsidR="00411D39" w:rsidRDefault="00411D39" w:rsidP="009D6EE5">
      <w:pPr>
        <w:pStyle w:val="Style1"/>
        <w:numPr>
          <w:ilvl w:val="0"/>
          <w:numId w:val="0"/>
        </w:numPr>
        <w:spacing w:line="22" w:lineRule="atLeast"/>
        <w:jc w:val="both"/>
        <w:rPr>
          <w:rFonts w:cs="Open Sans"/>
          <w:i w:val="0"/>
          <w:color w:val="auto"/>
          <w:sz w:val="20"/>
          <w:szCs w:val="20"/>
        </w:rPr>
      </w:pPr>
    </w:p>
    <w:p w14:paraId="7E9F3E62" w14:textId="77777777" w:rsidR="00411D39" w:rsidRDefault="00411D39" w:rsidP="009D6EE5">
      <w:pPr>
        <w:pStyle w:val="Style1"/>
        <w:numPr>
          <w:ilvl w:val="0"/>
          <w:numId w:val="0"/>
        </w:numPr>
        <w:spacing w:line="22" w:lineRule="atLeast"/>
        <w:jc w:val="both"/>
        <w:rPr>
          <w:rFonts w:cs="Open Sans"/>
          <w:i w:val="0"/>
          <w:color w:val="auto"/>
          <w:sz w:val="20"/>
          <w:szCs w:val="20"/>
        </w:rPr>
      </w:pPr>
    </w:p>
    <w:p w14:paraId="4AEB7512" w14:textId="77777777" w:rsidR="00411D39" w:rsidRDefault="00411D39" w:rsidP="009D6EE5">
      <w:pPr>
        <w:pStyle w:val="Style1"/>
        <w:numPr>
          <w:ilvl w:val="0"/>
          <w:numId w:val="0"/>
        </w:numPr>
        <w:spacing w:line="22" w:lineRule="atLeast"/>
        <w:jc w:val="both"/>
        <w:rPr>
          <w:rFonts w:cs="Open Sans"/>
          <w:i w:val="0"/>
          <w:color w:val="auto"/>
          <w:sz w:val="20"/>
          <w:szCs w:val="20"/>
        </w:rPr>
      </w:pPr>
    </w:p>
    <w:p w14:paraId="65E7C33F" w14:textId="1E4C3EE4" w:rsidR="00B272AC" w:rsidRPr="00411D39" w:rsidRDefault="002370F0" w:rsidP="009D6EE5">
      <w:pPr>
        <w:pStyle w:val="Style1"/>
        <w:numPr>
          <w:ilvl w:val="0"/>
          <w:numId w:val="0"/>
        </w:numPr>
        <w:spacing w:line="22" w:lineRule="atLeast"/>
        <w:jc w:val="both"/>
        <w:rPr>
          <w:rFonts w:cs="Open Sans"/>
          <w:i w:val="0"/>
          <w:iCs w:val="0"/>
          <w:color w:val="auto"/>
          <w:sz w:val="20"/>
          <w:szCs w:val="20"/>
        </w:rPr>
      </w:pPr>
      <w:r w:rsidRPr="00A74D23">
        <w:rPr>
          <w:rFonts w:cs="Open Sans"/>
          <w:i w:val="0"/>
          <w:color w:val="auto"/>
          <w:sz w:val="20"/>
          <w:szCs w:val="20"/>
        </w:rPr>
        <w:t xml:space="preserve">A travers le Groupe Aéma, </w:t>
      </w:r>
      <w:r w:rsidR="00373CC4" w:rsidRPr="00A74D23">
        <w:rPr>
          <w:rFonts w:cs="Open Sans"/>
          <w:i w:val="0"/>
          <w:iCs w:val="0"/>
          <w:color w:val="auto"/>
          <w:sz w:val="20"/>
          <w:szCs w:val="20"/>
          <w:lang w:eastAsia="fr-FR"/>
        </w:rPr>
        <w:t xml:space="preserve">Abeille Assurances est également </w:t>
      </w:r>
      <w:r w:rsidRPr="00A74D23">
        <w:rPr>
          <w:rFonts w:cs="Open Sans"/>
          <w:i w:val="0"/>
          <w:color w:val="auto"/>
          <w:sz w:val="20"/>
          <w:szCs w:val="20"/>
        </w:rPr>
        <w:t xml:space="preserve">en dialogue </w:t>
      </w:r>
      <w:r w:rsidR="002E50E4" w:rsidRPr="00A74D23">
        <w:rPr>
          <w:rFonts w:cs="Open Sans"/>
          <w:i w:val="0"/>
          <w:color w:val="auto"/>
          <w:sz w:val="20"/>
          <w:szCs w:val="20"/>
        </w:rPr>
        <w:t>régulier</w:t>
      </w:r>
      <w:r w:rsidRPr="00A74D23">
        <w:rPr>
          <w:rFonts w:cs="Open Sans"/>
          <w:i w:val="0"/>
          <w:color w:val="auto"/>
          <w:sz w:val="20"/>
          <w:szCs w:val="20"/>
        </w:rPr>
        <w:t xml:space="preserve"> avec les </w:t>
      </w:r>
      <w:r w:rsidR="002E50E4" w:rsidRPr="00A74D23">
        <w:rPr>
          <w:rFonts w:cs="Open Sans"/>
          <w:i w:val="0"/>
          <w:color w:val="auto"/>
          <w:sz w:val="20"/>
          <w:szCs w:val="20"/>
        </w:rPr>
        <w:t xml:space="preserve">pouvoirs publics </w:t>
      </w:r>
      <w:r w:rsidR="00373CC4" w:rsidRPr="00A74D23">
        <w:rPr>
          <w:rFonts w:cs="Open Sans"/>
          <w:i w:val="0"/>
          <w:iCs w:val="0"/>
          <w:color w:val="auto"/>
          <w:sz w:val="20"/>
          <w:szCs w:val="20"/>
          <w:lang w:eastAsia="fr-FR"/>
        </w:rPr>
        <w:t>afin d’</w:t>
      </w:r>
      <w:r w:rsidR="002E50E4" w:rsidRPr="00A74D23">
        <w:rPr>
          <w:rFonts w:cs="Open Sans"/>
          <w:i w:val="0"/>
          <w:iCs w:val="0"/>
          <w:color w:val="auto"/>
          <w:sz w:val="20"/>
          <w:szCs w:val="20"/>
          <w:lang w:eastAsia="fr-FR"/>
        </w:rPr>
        <w:t>être</w:t>
      </w:r>
      <w:r w:rsidR="002E50E4" w:rsidRPr="00A74D23">
        <w:rPr>
          <w:rFonts w:cs="Open Sans"/>
          <w:i w:val="0"/>
          <w:color w:val="auto"/>
          <w:sz w:val="20"/>
          <w:szCs w:val="20"/>
        </w:rPr>
        <w:t xml:space="preserve"> force de proposition sur les sujets de finance durable</w:t>
      </w:r>
      <w:r w:rsidR="009322CA" w:rsidRPr="00A74D23">
        <w:rPr>
          <w:rFonts w:cs="Open Sans"/>
          <w:i w:val="0"/>
          <w:iCs w:val="0"/>
          <w:color w:val="auto"/>
          <w:sz w:val="20"/>
          <w:szCs w:val="20"/>
        </w:rPr>
        <w:t xml:space="preserve"> </w:t>
      </w:r>
      <w:bookmarkStart w:id="33" w:name="_Hlk170076798"/>
      <w:r w:rsidR="007D68ED" w:rsidRPr="00A74D23">
        <w:rPr>
          <w:rFonts w:cs="Open Sans"/>
          <w:i w:val="0"/>
          <w:iCs w:val="0"/>
          <w:color w:val="auto"/>
          <w:sz w:val="20"/>
          <w:szCs w:val="20"/>
        </w:rPr>
        <w:t>aussi bien au niveau français qu’européen.</w:t>
      </w:r>
    </w:p>
    <w:bookmarkEnd w:id="31"/>
    <w:bookmarkEnd w:id="33"/>
    <w:p w14:paraId="73D74CA6" w14:textId="5D82AA7F" w:rsidR="00533A46" w:rsidRPr="00A74D23" w:rsidRDefault="002319C1" w:rsidP="009D6EE5">
      <w:pPr>
        <w:pStyle w:val="Style1"/>
        <w:numPr>
          <w:ilvl w:val="0"/>
          <w:numId w:val="0"/>
        </w:numPr>
        <w:tabs>
          <w:tab w:val="clear" w:pos="2010"/>
        </w:tabs>
        <w:spacing w:line="22" w:lineRule="atLeast"/>
        <w:jc w:val="both"/>
        <w:rPr>
          <w:rFonts w:cs="Open Sans"/>
          <w:i w:val="0"/>
          <w:color w:val="auto"/>
          <w:sz w:val="18"/>
          <w:szCs w:val="18"/>
        </w:rPr>
      </w:pPr>
      <w:r w:rsidRPr="00A74D23">
        <w:rPr>
          <w:rFonts w:cs="Open Sans"/>
          <w:i w:val="0"/>
          <w:noProof/>
          <w:color w:val="auto"/>
          <w:sz w:val="18"/>
          <w:szCs w:val="18"/>
        </w:rPr>
        <mc:AlternateContent>
          <mc:Choice Requires="wps">
            <w:drawing>
              <wp:anchor distT="0" distB="0" distL="114300" distR="114300" simplePos="0" relativeHeight="251339776" behindDoc="0" locked="0" layoutInCell="1" allowOverlap="1" wp14:anchorId="30C062DF" wp14:editId="1640CCB3">
                <wp:simplePos x="0" y="0"/>
                <wp:positionH relativeFrom="margin">
                  <wp:posOffset>262844</wp:posOffset>
                </wp:positionH>
                <wp:positionV relativeFrom="paragraph">
                  <wp:posOffset>128905</wp:posOffset>
                </wp:positionV>
                <wp:extent cx="5601970" cy="0"/>
                <wp:effectExtent l="0" t="0" r="0" b="0"/>
                <wp:wrapNone/>
                <wp:docPr id="450009958" name="Connecteur droit 450009958"/>
                <wp:cNvGraphicFramePr/>
                <a:graphic xmlns:a="http://schemas.openxmlformats.org/drawingml/2006/main">
                  <a:graphicData uri="http://schemas.microsoft.com/office/word/2010/wordprocessingShape">
                    <wps:wsp>
                      <wps:cNvCnPr/>
                      <wps:spPr>
                        <a:xfrm flipV="1">
                          <a:off x="0" y="0"/>
                          <a:ext cx="5601970" cy="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0BCC4A" id="Connecteur droit 450009958" o:spid="_x0000_s1026" style="position:absolute;flip:y;z-index:25133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0.7pt,10.15pt" to="461.8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" strokecolor="#c00000" strokeweight=".5pt">
                <v:stroke joinstyle="miter"/>
                <w10:wrap anchorx="margin"/>
              </v:line>
            </w:pict>
          </mc:Fallback>
        </mc:AlternateContent>
      </w:r>
    </w:p>
    <w:tbl>
      <w:tblPr>
        <w:tblStyle w:val="Grilledutableau"/>
        <w:tblW w:w="0" w:type="auto"/>
        <w:tblInd w:w="-5" w:type="dxa"/>
        <w:tblLook w:val="04A0" w:firstRow="1" w:lastRow="0" w:firstColumn="1" w:lastColumn="0" w:noHBand="0" w:noVBand="1"/>
      </w:tblPr>
      <w:tblGrid>
        <w:gridCol w:w="9755"/>
      </w:tblGrid>
      <w:tr w:rsidR="002A0B8A" w:rsidRPr="00302DFF" w14:paraId="52ACFFB0" w14:textId="77777777" w:rsidTr="19C58AAB">
        <w:trPr>
          <w:trHeight w:val="1218"/>
        </w:trPr>
        <w:tc>
          <w:tcPr>
            <w:tcW w:w="9755" w:type="dxa"/>
            <w:tcBorders>
              <w:top w:val="nil"/>
              <w:left w:val="nil"/>
              <w:bottom w:val="nil"/>
              <w:right w:val="nil"/>
            </w:tcBorders>
          </w:tcPr>
          <w:p w14:paraId="601F83F3" w14:textId="52FE0B75" w:rsidR="00125435" w:rsidRPr="00A74D23" w:rsidRDefault="00321AEC" w:rsidP="006712AF">
            <w:pPr>
              <w:pStyle w:val="Style1"/>
              <w:numPr>
                <w:ilvl w:val="0"/>
                <w:numId w:val="0"/>
              </w:numPr>
              <w:tabs>
                <w:tab w:val="left" w:pos="993"/>
                <w:tab w:val="left" w:pos="1276"/>
              </w:tabs>
              <w:spacing w:after="0" w:line="22" w:lineRule="atLeast"/>
              <w:ind w:left="467"/>
              <w:jc w:val="both"/>
              <w:rPr>
                <w:rFonts w:cs="Open Sans"/>
                <w:i w:val="0"/>
                <w:color w:val="auto"/>
                <w:sz w:val="20"/>
                <w:szCs w:val="20"/>
              </w:rPr>
            </w:pPr>
            <w:r w:rsidRPr="00A74D23">
              <w:rPr>
                <w:rFonts w:cs="Open Sans"/>
                <w:noProof/>
                <w:sz w:val="20"/>
                <w:szCs w:val="20"/>
              </w:rPr>
              <w:drawing>
                <wp:anchor distT="0" distB="0" distL="114300" distR="114300" simplePos="0" relativeHeight="251298816" behindDoc="0" locked="0" layoutInCell="1" allowOverlap="1" wp14:anchorId="2CBEEEB7" wp14:editId="70B3F5A6">
                  <wp:simplePos x="0" y="0"/>
                  <wp:positionH relativeFrom="column">
                    <wp:posOffset>319769</wp:posOffset>
                  </wp:positionH>
                  <wp:positionV relativeFrom="paragraph">
                    <wp:posOffset>86360</wp:posOffset>
                  </wp:positionV>
                  <wp:extent cx="516255" cy="464820"/>
                  <wp:effectExtent l="0" t="0" r="0" b="0"/>
                  <wp:wrapSquare wrapText="bothSides"/>
                  <wp:docPr id="329" name="Image 110" descr="Une image contenant texte, clipart&#10;&#10;Description générée automatiquement">
                    <a:extLst xmlns:a="http://schemas.openxmlformats.org/drawingml/2006/main">
                      <a:ext uri="{FF2B5EF4-FFF2-40B4-BE49-F238E27FC236}">
                        <a16:creationId xmlns:a16="http://schemas.microsoft.com/office/drawing/2014/main" id="{94F405DB-3EFD-A337-DCB4-2B53925E61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 110" descr="Une image contenant texte, clipart&#10;&#10;Description générée automatiquement">
                            <a:extLst>
                              <a:ext uri="{FF2B5EF4-FFF2-40B4-BE49-F238E27FC236}">
                                <a16:creationId xmlns:a16="http://schemas.microsoft.com/office/drawing/2014/main" id="{94F405DB-3EFD-A337-DCB4-2B53925E6181}"/>
                              </a:ext>
                            </a:extLst>
                          </pic:cNvPr>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16255" cy="464820"/>
                          </a:xfrm>
                          <a:prstGeom prst="rect">
                            <a:avLst/>
                          </a:prstGeom>
                        </pic:spPr>
                      </pic:pic>
                    </a:graphicData>
                  </a:graphic>
                </wp:anchor>
              </w:drawing>
            </w:r>
            <w:r w:rsidR="0042491E">
              <w:rPr>
                <w:rFonts w:cs="Open Sans"/>
                <w:i w:val="0"/>
                <w:color w:val="auto"/>
                <w:sz w:val="20"/>
                <w:szCs w:val="20"/>
              </w:rPr>
              <w:t xml:space="preserve"> Durant 2025</w:t>
            </w:r>
            <w:r w:rsidR="0042491E" w:rsidRPr="009D6EE5">
              <w:rPr>
                <w:rFonts w:cs="Open Sans"/>
                <w:i w:val="0"/>
                <w:color w:val="auto"/>
                <w:sz w:val="20"/>
                <w:szCs w:val="20"/>
              </w:rPr>
              <w:t xml:space="preserve">, Jean-François Coppenolle, </w:t>
            </w:r>
            <w:r w:rsidR="0042491E">
              <w:rPr>
                <w:rFonts w:cs="Open Sans"/>
                <w:i w:val="0"/>
                <w:color w:val="auto"/>
                <w:sz w:val="20"/>
                <w:szCs w:val="20"/>
              </w:rPr>
              <w:t>Responsable des Investissement</w:t>
            </w:r>
            <w:r w:rsidR="0042491E" w:rsidRPr="009D6EE5">
              <w:rPr>
                <w:rFonts w:cs="Open Sans"/>
                <w:i w:val="0"/>
                <w:color w:val="auto"/>
                <w:sz w:val="20"/>
                <w:szCs w:val="20"/>
              </w:rPr>
              <w:t xml:space="preserve">, </w:t>
            </w:r>
            <w:r w:rsidR="0042491E">
              <w:rPr>
                <w:rFonts w:cs="Open Sans"/>
                <w:i w:val="0"/>
                <w:color w:val="auto"/>
                <w:sz w:val="20"/>
                <w:szCs w:val="20"/>
              </w:rPr>
              <w:t>était</w:t>
            </w:r>
            <w:r w:rsidR="0042491E" w:rsidRPr="009D6EE5">
              <w:rPr>
                <w:rFonts w:cs="Open Sans"/>
                <w:i w:val="0"/>
                <w:color w:val="auto"/>
                <w:sz w:val="20"/>
                <w:szCs w:val="20"/>
              </w:rPr>
              <w:t xml:space="preserve"> co-responsable des travaux de développement méthodologiques de la </w:t>
            </w:r>
            <w:r w:rsidR="0042491E" w:rsidRPr="009D6EE5">
              <w:rPr>
                <w:rFonts w:cs="Open Sans"/>
                <w:iCs w:val="0"/>
                <w:color w:val="auto"/>
                <w:sz w:val="20"/>
                <w:szCs w:val="20"/>
              </w:rPr>
              <w:t>Net Zero Asset Owner Alliance</w:t>
            </w:r>
            <w:r w:rsidR="0042491E" w:rsidRPr="009D6EE5">
              <w:rPr>
                <w:rFonts w:cs="Open Sans"/>
                <w:i w:val="0"/>
                <w:color w:val="auto"/>
                <w:sz w:val="20"/>
                <w:szCs w:val="20"/>
              </w:rPr>
              <w:t xml:space="preserve"> reflétant notre engagement de contribuer activement à la transition vers une économie décarbonée. Il </w:t>
            </w:r>
            <w:r w:rsidR="0042491E">
              <w:rPr>
                <w:rFonts w:cs="Open Sans"/>
                <w:i w:val="0"/>
                <w:color w:val="auto"/>
                <w:sz w:val="20"/>
                <w:szCs w:val="20"/>
              </w:rPr>
              <w:t>était</w:t>
            </w:r>
            <w:r w:rsidR="0042491E" w:rsidRPr="009D6EE5">
              <w:rPr>
                <w:rFonts w:cs="Open Sans"/>
                <w:i w:val="0"/>
                <w:color w:val="auto"/>
                <w:sz w:val="20"/>
                <w:szCs w:val="20"/>
              </w:rPr>
              <w:t xml:space="preserve"> également membre du Technical Expert Group auprès du </w:t>
            </w:r>
            <w:r w:rsidR="0042491E" w:rsidRPr="009D6EE5">
              <w:rPr>
                <w:rFonts w:cs="Open Sans"/>
                <w:iCs w:val="0"/>
                <w:color w:val="auto"/>
                <w:sz w:val="20"/>
                <w:szCs w:val="20"/>
              </w:rPr>
              <w:t>Sustainability Reporting Board</w:t>
            </w:r>
            <w:r w:rsidR="0042491E" w:rsidRPr="009D6EE5">
              <w:rPr>
                <w:rFonts w:cs="Open Sans"/>
                <w:i w:val="0"/>
                <w:color w:val="auto"/>
                <w:sz w:val="20"/>
                <w:szCs w:val="20"/>
              </w:rPr>
              <w:t xml:space="preserve"> de l’Efrag</w:t>
            </w:r>
            <w:r w:rsidR="0042491E" w:rsidRPr="009D6EE5">
              <w:rPr>
                <w:rStyle w:val="Appelnotedebasdep"/>
                <w:rFonts w:cs="Open Sans"/>
                <w:i w:val="0"/>
                <w:color w:val="auto"/>
                <w:sz w:val="20"/>
                <w:szCs w:val="20"/>
              </w:rPr>
              <w:footnoteReference w:id="4"/>
            </w:r>
            <w:r w:rsidR="0042491E" w:rsidRPr="009D6EE5">
              <w:rPr>
                <w:rFonts w:cs="Open Sans"/>
                <w:i w:val="0"/>
                <w:color w:val="auto"/>
                <w:sz w:val="20"/>
                <w:szCs w:val="20"/>
              </w:rPr>
              <w:t xml:space="preserve"> et</w:t>
            </w:r>
            <w:r w:rsidR="0042491E">
              <w:rPr>
                <w:rFonts w:cs="Open Sans"/>
                <w:i w:val="0"/>
                <w:color w:val="auto"/>
                <w:sz w:val="20"/>
                <w:szCs w:val="20"/>
              </w:rPr>
              <w:t xml:space="preserve"> de l’</w:t>
            </w:r>
            <w:r w:rsidR="0042491E" w:rsidRPr="009D6EE5">
              <w:rPr>
                <w:rFonts w:cs="Open Sans"/>
                <w:i w:val="0"/>
                <w:color w:val="auto"/>
                <w:sz w:val="20"/>
                <w:szCs w:val="20"/>
              </w:rPr>
              <w:t>advisory board member de la Finance for Biodiversity Foundation.</w:t>
            </w:r>
            <w:r w:rsidR="00AB0641">
              <w:rPr>
                <w:rFonts w:cs="Open Sans"/>
                <w:i w:val="0"/>
                <w:color w:val="auto"/>
                <w:sz w:val="20"/>
                <w:szCs w:val="20"/>
              </w:rPr>
              <w:t xml:space="preserve"> </w:t>
            </w:r>
            <w:r w:rsidR="0042491E">
              <w:rPr>
                <w:rFonts w:cs="Open Sans"/>
                <w:i w:val="0"/>
                <w:color w:val="auto"/>
                <w:sz w:val="20"/>
                <w:szCs w:val="20"/>
              </w:rPr>
              <w:t xml:space="preserve">Au cours de 2025, il était également </w:t>
            </w:r>
            <w:r w:rsidR="0042491E" w:rsidRPr="009D6EE5">
              <w:rPr>
                <w:rFonts w:cs="Open Sans"/>
                <w:i w:val="0"/>
                <w:color w:val="auto"/>
                <w:sz w:val="20"/>
                <w:szCs w:val="20"/>
              </w:rPr>
              <w:t>membre de la Commission Consultative Finance Durable de l’ACPR</w:t>
            </w:r>
            <w:r w:rsidR="00AB0641">
              <w:rPr>
                <w:rFonts w:cs="Open Sans"/>
                <w:i w:val="0"/>
                <w:color w:val="auto"/>
                <w:sz w:val="20"/>
                <w:szCs w:val="20"/>
              </w:rPr>
              <w:t xml:space="preserve"> et</w:t>
            </w:r>
            <w:r w:rsidR="0042491E" w:rsidRPr="009D6EE5">
              <w:rPr>
                <w:rFonts w:cs="Open Sans"/>
                <w:i w:val="0"/>
                <w:color w:val="auto"/>
                <w:sz w:val="20"/>
                <w:szCs w:val="20"/>
              </w:rPr>
              <w:t xml:space="preserve"> représente également le consortium d’investisseurs dans le cadre du fonds de place « Objectif biodiversité ».</w:t>
            </w:r>
            <w:bookmarkStart w:id="34" w:name="_Hlk170226842"/>
          </w:p>
          <w:p w14:paraId="4DFC2E29" w14:textId="77777777" w:rsidR="006712AF" w:rsidRPr="00A74D23" w:rsidRDefault="006712AF" w:rsidP="006712AF">
            <w:pPr>
              <w:pStyle w:val="Style1"/>
              <w:numPr>
                <w:ilvl w:val="0"/>
                <w:numId w:val="0"/>
              </w:numPr>
              <w:tabs>
                <w:tab w:val="left" w:pos="993"/>
                <w:tab w:val="left" w:pos="1276"/>
              </w:tabs>
              <w:spacing w:after="0" w:line="22" w:lineRule="atLeast"/>
              <w:ind w:left="467"/>
              <w:jc w:val="both"/>
              <w:rPr>
                <w:rFonts w:cs="Open Sans"/>
                <w:i w:val="0"/>
                <w:color w:val="auto"/>
                <w:sz w:val="20"/>
                <w:szCs w:val="20"/>
              </w:rPr>
            </w:pPr>
          </w:p>
          <w:p w14:paraId="64160485" w14:textId="77777777" w:rsidR="001A107C" w:rsidRPr="00A74D23" w:rsidRDefault="001A107C" w:rsidP="006712AF">
            <w:pPr>
              <w:pStyle w:val="Style1"/>
              <w:numPr>
                <w:ilvl w:val="0"/>
                <w:numId w:val="0"/>
              </w:numPr>
              <w:tabs>
                <w:tab w:val="left" w:pos="993"/>
                <w:tab w:val="left" w:pos="1276"/>
              </w:tabs>
              <w:spacing w:after="0" w:line="22" w:lineRule="atLeast"/>
              <w:ind w:left="467"/>
              <w:jc w:val="both"/>
              <w:rPr>
                <w:rFonts w:cs="Open Sans"/>
                <w:i w:val="0"/>
                <w:color w:val="auto"/>
                <w:sz w:val="20"/>
                <w:szCs w:val="20"/>
              </w:rPr>
            </w:pPr>
          </w:p>
          <w:p w14:paraId="4B1BC012" w14:textId="630A4EE5" w:rsidR="00125435" w:rsidRPr="00A74D23" w:rsidRDefault="00125435" w:rsidP="009D6EE5">
            <w:pPr>
              <w:pStyle w:val="Style3"/>
              <w:spacing w:after="0" w:line="22" w:lineRule="atLeast"/>
              <w:ind w:left="6316" w:hanging="6316"/>
              <w:jc w:val="both"/>
              <w:rPr>
                <w:rFonts w:asciiTheme="minorHAnsi" w:hAnsiTheme="minorHAnsi" w:cs="Open Sans"/>
                <w:sz w:val="32"/>
                <w:szCs w:val="32"/>
              </w:rPr>
            </w:pPr>
            <w:r w:rsidRPr="00A74D23">
              <w:rPr>
                <w:rFonts w:asciiTheme="minorHAnsi" w:hAnsiTheme="minorHAnsi" w:cs="Open Sans"/>
                <w:sz w:val="32"/>
                <w:szCs w:val="32"/>
              </w:rPr>
              <w:t>1.4. Adopter une démarche d’entreprise engagée</w:t>
            </w:r>
          </w:p>
          <w:bookmarkEnd w:id="34"/>
          <w:p w14:paraId="4526B303" w14:textId="77777777" w:rsidR="006712AF" w:rsidRPr="00A74D23" w:rsidRDefault="006712AF" w:rsidP="009D6EE5">
            <w:pPr>
              <w:pStyle w:val="Style1"/>
              <w:numPr>
                <w:ilvl w:val="0"/>
                <w:numId w:val="0"/>
              </w:numPr>
              <w:tabs>
                <w:tab w:val="clear" w:pos="2010"/>
                <w:tab w:val="left" w:pos="1134"/>
              </w:tabs>
              <w:spacing w:line="22" w:lineRule="atLeast"/>
              <w:jc w:val="both"/>
              <w:rPr>
                <w:rFonts w:cs="Open Sans"/>
              </w:rPr>
            </w:pPr>
          </w:p>
          <w:p w14:paraId="45379C41" w14:textId="5EF1E90A" w:rsidR="006E6ACB" w:rsidRPr="00A74D23" w:rsidRDefault="006712AF" w:rsidP="006712AF">
            <w:pPr>
              <w:spacing w:after="120"/>
              <w:jc w:val="both"/>
              <w:rPr>
                <w:rFonts w:asciiTheme="minorHAnsi" w:hAnsiTheme="minorHAnsi"/>
                <w:sz w:val="20"/>
                <w:lang w:val="fr-FR"/>
              </w:rPr>
            </w:pPr>
            <w:r w:rsidRPr="00A74D23">
              <w:rPr>
                <w:rFonts w:asciiTheme="minorHAnsi" w:hAnsiTheme="minorHAnsi"/>
                <w:sz w:val="20"/>
                <w:lang w:val="fr-FR"/>
              </w:rPr>
              <w:t>A travers ses métiers d'assureur et d'investisseur, Abeille Assurances est témoin au quotidien des mutations sociétales et environnementales. Pour faire face à ces évolutions, l'entreprise s'est engagée dans une démarche RSE avec des positions fortes, en adéquation avec ses valeurs et sa raison d’être.</w:t>
            </w:r>
          </w:p>
          <w:p w14:paraId="22AA4701" w14:textId="77777777" w:rsidR="006E6ACB" w:rsidRPr="00A74D23" w:rsidRDefault="006E6ACB" w:rsidP="006712AF">
            <w:pPr>
              <w:spacing w:after="120"/>
              <w:jc w:val="both"/>
              <w:rPr>
                <w:rFonts w:asciiTheme="minorHAnsi" w:hAnsiTheme="minorHAnsi"/>
                <w:sz w:val="20"/>
                <w:lang w:val="fr-FR"/>
              </w:rPr>
            </w:pPr>
          </w:p>
          <w:p w14:paraId="216FE754" w14:textId="77777777" w:rsidR="006712AF" w:rsidRPr="00A74D23" w:rsidRDefault="006712AF" w:rsidP="006712AF">
            <w:pPr>
              <w:spacing w:after="120"/>
              <w:jc w:val="both"/>
              <w:rPr>
                <w:rFonts w:asciiTheme="minorHAnsi" w:hAnsiTheme="minorHAnsi"/>
                <w:b/>
                <w:bCs/>
                <w:sz w:val="20"/>
                <w:lang w:val="fr-FR"/>
              </w:rPr>
            </w:pPr>
            <w:r w:rsidRPr="00A74D23">
              <w:rPr>
                <w:rFonts w:asciiTheme="minorHAnsi" w:hAnsiTheme="minorHAnsi"/>
                <w:b/>
                <w:bCs/>
                <w:noProof/>
                <w:sz w:val="20"/>
              </w:rPr>
              <mc:AlternateContent>
                <mc:Choice Requires="wps">
                  <w:drawing>
                    <wp:anchor distT="0" distB="0" distL="114300" distR="114300" simplePos="0" relativeHeight="251895808" behindDoc="0" locked="0" layoutInCell="1" allowOverlap="1" wp14:anchorId="5655E14F" wp14:editId="0A722B03">
                      <wp:simplePos x="0" y="0"/>
                      <wp:positionH relativeFrom="margin">
                        <wp:posOffset>-19067</wp:posOffset>
                      </wp:positionH>
                      <wp:positionV relativeFrom="paragraph">
                        <wp:posOffset>180876</wp:posOffset>
                      </wp:positionV>
                      <wp:extent cx="3764477" cy="11875"/>
                      <wp:effectExtent l="0" t="0" r="26670" b="26670"/>
                      <wp:wrapNone/>
                      <wp:docPr id="414752940" name="Connecteur droit 2"/>
                      <wp:cNvGraphicFramePr/>
                      <a:graphic xmlns:a="http://schemas.openxmlformats.org/drawingml/2006/main">
                        <a:graphicData uri="http://schemas.microsoft.com/office/word/2010/wordprocessingShape">
                          <wps:wsp>
                            <wps:cNvCnPr/>
                            <wps:spPr>
                              <a:xfrm flipV="1">
                                <a:off x="0" y="0"/>
                                <a:ext cx="3764477" cy="11875"/>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CE69A5" id="Connecteur droit 2" o:spid="_x0000_s1026" style="position:absolute;flip:y;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pt,14.25pt" to="294.9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" strokecolor="#ffd400 [3204]" strokeweight="1.5pt">
                      <v:stroke joinstyle="miter"/>
                      <w10:wrap anchorx="margin"/>
                    </v:line>
                  </w:pict>
                </mc:Fallback>
              </mc:AlternateContent>
            </w:r>
            <w:r w:rsidRPr="00A74D23">
              <w:rPr>
                <w:rFonts w:asciiTheme="minorHAnsi" w:hAnsiTheme="minorHAnsi"/>
                <w:b/>
                <w:bCs/>
                <w:sz w:val="20"/>
                <w:lang w:val="fr-FR"/>
              </w:rPr>
              <w:t>Accompagner nos clients pour faire face au changement climatique</w:t>
            </w:r>
          </w:p>
          <w:p w14:paraId="656C53C3" w14:textId="42DB2EA3" w:rsidR="006712AF" w:rsidRPr="00A74D23" w:rsidRDefault="006E6ACB" w:rsidP="006712AF">
            <w:pPr>
              <w:spacing w:after="120"/>
              <w:jc w:val="both"/>
              <w:rPr>
                <w:rFonts w:asciiTheme="minorHAnsi" w:hAnsiTheme="minorHAnsi"/>
                <w:sz w:val="20"/>
                <w:szCs w:val="20"/>
                <w:lang w:val="fr-FR"/>
              </w:rPr>
            </w:pPr>
            <w:r w:rsidRPr="00A74D23">
              <w:rPr>
                <w:rFonts w:asciiTheme="minorHAnsi" w:hAnsiTheme="minorHAnsi"/>
                <w:sz w:val="20"/>
                <w:szCs w:val="20"/>
                <w:lang w:val="fr-FR"/>
              </w:rPr>
              <w:t>Anticiper et répondre aux risques climatiques pour protéger nos activités, nos clients et les territoires. Accélérer l’adaptation climatique de nos clients et territoires, en combinant prévention, innovation assurantielle et financement ciblé de la résilience.</w:t>
            </w:r>
          </w:p>
          <w:p w14:paraId="4713D91D" w14:textId="77777777" w:rsidR="006E6ACB" w:rsidRPr="00A74D23" w:rsidRDefault="006E6ACB" w:rsidP="006712AF">
            <w:pPr>
              <w:spacing w:after="120"/>
              <w:jc w:val="both"/>
              <w:rPr>
                <w:rFonts w:asciiTheme="minorHAnsi" w:hAnsiTheme="minorHAnsi"/>
                <w:sz w:val="20"/>
                <w:lang w:val="fr-FR"/>
              </w:rPr>
            </w:pPr>
          </w:p>
          <w:p w14:paraId="0B3557F0" w14:textId="187B3D33" w:rsidR="006712AF" w:rsidRPr="00A74D23" w:rsidRDefault="006712AF" w:rsidP="006712AF">
            <w:pPr>
              <w:spacing w:after="120"/>
              <w:jc w:val="both"/>
              <w:rPr>
                <w:rFonts w:asciiTheme="minorHAnsi" w:hAnsiTheme="minorHAnsi"/>
                <w:b/>
                <w:bCs/>
                <w:sz w:val="20"/>
                <w:lang w:val="fr-FR"/>
              </w:rPr>
            </w:pPr>
            <w:r w:rsidRPr="00A74D23">
              <w:rPr>
                <w:rFonts w:asciiTheme="minorHAnsi" w:hAnsiTheme="minorHAnsi"/>
                <w:b/>
                <w:bCs/>
                <w:noProof/>
                <w:sz w:val="20"/>
              </w:rPr>
              <mc:AlternateContent>
                <mc:Choice Requires="wps">
                  <w:drawing>
                    <wp:anchor distT="0" distB="0" distL="114300" distR="114300" simplePos="0" relativeHeight="251898880" behindDoc="0" locked="0" layoutInCell="1" allowOverlap="1" wp14:anchorId="2E3CA7DD" wp14:editId="3ECD037D">
                      <wp:simplePos x="0" y="0"/>
                      <wp:positionH relativeFrom="margin">
                        <wp:posOffset>-1254</wp:posOffset>
                      </wp:positionH>
                      <wp:positionV relativeFrom="paragraph">
                        <wp:posOffset>193889</wp:posOffset>
                      </wp:positionV>
                      <wp:extent cx="1656608" cy="5938"/>
                      <wp:effectExtent l="0" t="0" r="20320" b="32385"/>
                      <wp:wrapNone/>
                      <wp:docPr id="727562243" name="Connecteur droit 2"/>
                      <wp:cNvGraphicFramePr/>
                      <a:graphic xmlns:a="http://schemas.openxmlformats.org/drawingml/2006/main">
                        <a:graphicData uri="http://schemas.microsoft.com/office/word/2010/wordprocessingShape">
                          <wps:wsp>
                            <wps:cNvCnPr/>
                            <wps:spPr>
                              <a:xfrm flipV="1">
                                <a:off x="0" y="0"/>
                                <a:ext cx="1656608" cy="5938"/>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75CEB9" id="Connecteur droit 2" o:spid="_x0000_s1026" style="position:absolute;flip:y;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pt,15.25pt" to="130.35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" strokecolor="#ffd400 [3204]" strokeweight="1.5pt">
                      <v:stroke joinstyle="miter"/>
                      <w10:wrap anchorx="margin"/>
                    </v:line>
                  </w:pict>
                </mc:Fallback>
              </mc:AlternateContent>
            </w:r>
            <w:r w:rsidRPr="00A74D23">
              <w:rPr>
                <w:rFonts w:asciiTheme="minorHAnsi" w:hAnsiTheme="minorHAnsi"/>
                <w:b/>
                <w:bCs/>
                <w:sz w:val="20"/>
                <w:lang w:val="fr-FR"/>
              </w:rPr>
              <w:t>Être un acteur écoresponsable</w:t>
            </w:r>
          </w:p>
          <w:p w14:paraId="73206F6A" w14:textId="3B550505" w:rsidR="006E6ACB" w:rsidRPr="00A74D23" w:rsidRDefault="006E6ACB" w:rsidP="006712AF">
            <w:pPr>
              <w:spacing w:after="120"/>
              <w:jc w:val="both"/>
              <w:rPr>
                <w:rFonts w:asciiTheme="minorHAnsi" w:hAnsiTheme="minorHAnsi"/>
                <w:sz w:val="20"/>
                <w:szCs w:val="20"/>
                <w:lang w:val="fr-FR"/>
              </w:rPr>
            </w:pPr>
            <w:r w:rsidRPr="00A74D23">
              <w:rPr>
                <w:rFonts w:asciiTheme="minorHAnsi" w:hAnsiTheme="minorHAnsi"/>
                <w:sz w:val="20"/>
                <w:szCs w:val="20"/>
                <w:lang w:val="fr-FR"/>
              </w:rPr>
              <w:t>Adopter une approche globale et exemplaire de réduction des impacts—décarbonation, lutte contre la pollution et soutien à la biodiversité, avec notamment notre stratégie d’investissement responsable—pour créer une valeur durable et crédible.</w:t>
            </w:r>
          </w:p>
          <w:p w14:paraId="1EADE3A7" w14:textId="77777777" w:rsidR="006E6ACB" w:rsidRPr="00A74D23" w:rsidRDefault="006E6ACB" w:rsidP="006712AF">
            <w:pPr>
              <w:spacing w:after="120"/>
              <w:jc w:val="both"/>
              <w:rPr>
                <w:rFonts w:asciiTheme="minorHAnsi" w:hAnsiTheme="minorHAnsi"/>
                <w:sz w:val="20"/>
                <w:szCs w:val="20"/>
                <w:lang w:val="fr-FR"/>
              </w:rPr>
            </w:pPr>
          </w:p>
          <w:p w14:paraId="1A35925C" w14:textId="77777777" w:rsidR="006712AF" w:rsidRPr="00A74D23" w:rsidRDefault="006712AF" w:rsidP="006712AF">
            <w:pPr>
              <w:spacing w:after="120"/>
              <w:jc w:val="both"/>
              <w:rPr>
                <w:rFonts w:asciiTheme="minorHAnsi" w:hAnsiTheme="minorHAnsi"/>
                <w:b/>
                <w:bCs/>
                <w:sz w:val="20"/>
                <w:lang w:val="fr-FR"/>
              </w:rPr>
            </w:pPr>
            <w:r w:rsidRPr="00A74D23">
              <w:rPr>
                <w:rFonts w:asciiTheme="minorHAnsi" w:hAnsiTheme="minorHAnsi"/>
                <w:b/>
                <w:bCs/>
                <w:noProof/>
                <w:sz w:val="20"/>
              </w:rPr>
              <mc:AlternateContent>
                <mc:Choice Requires="wps">
                  <w:drawing>
                    <wp:anchor distT="0" distB="0" distL="114300" distR="114300" simplePos="0" relativeHeight="251901952" behindDoc="0" locked="0" layoutInCell="1" allowOverlap="1" wp14:anchorId="7B0339DB" wp14:editId="253F5740">
                      <wp:simplePos x="0" y="0"/>
                      <wp:positionH relativeFrom="margin">
                        <wp:posOffset>-1254</wp:posOffset>
                      </wp:positionH>
                      <wp:positionV relativeFrom="paragraph">
                        <wp:posOffset>180876</wp:posOffset>
                      </wp:positionV>
                      <wp:extent cx="2042556" cy="5938"/>
                      <wp:effectExtent l="0" t="0" r="34290" b="32385"/>
                      <wp:wrapNone/>
                      <wp:docPr id="787353982" name="Connecteur droit 2"/>
                      <wp:cNvGraphicFramePr/>
                      <a:graphic xmlns:a="http://schemas.openxmlformats.org/drawingml/2006/main">
                        <a:graphicData uri="http://schemas.microsoft.com/office/word/2010/wordprocessingShape">
                          <wps:wsp>
                            <wps:cNvCnPr/>
                            <wps:spPr>
                              <a:xfrm flipV="1">
                                <a:off x="0" y="0"/>
                                <a:ext cx="2042556" cy="5938"/>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2BF286" id="Connecteur droit 2" o:spid="_x0000_s1026" style="position:absolute;flip:y;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pt,14.25pt" to="160.75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" strokecolor="#ffd400 [3204]" strokeweight="1.5pt">
                      <v:stroke joinstyle="miter"/>
                      <w10:wrap anchorx="margin"/>
                    </v:line>
                  </w:pict>
                </mc:Fallback>
              </mc:AlternateContent>
            </w:r>
            <w:r w:rsidRPr="00A74D23">
              <w:rPr>
                <w:rFonts w:asciiTheme="minorHAnsi" w:hAnsiTheme="minorHAnsi"/>
                <w:b/>
                <w:bCs/>
                <w:sz w:val="20"/>
                <w:lang w:val="fr-FR"/>
              </w:rPr>
              <w:t xml:space="preserve">Être un acteur engagé pour la société </w:t>
            </w:r>
          </w:p>
          <w:p w14:paraId="01BB6930" w14:textId="2B948317" w:rsidR="006712AF" w:rsidRPr="00A74D23" w:rsidRDefault="006E6ACB" w:rsidP="006712AF">
            <w:pPr>
              <w:spacing w:after="120"/>
              <w:jc w:val="both"/>
              <w:rPr>
                <w:rFonts w:asciiTheme="minorHAnsi" w:hAnsiTheme="minorHAnsi"/>
                <w:sz w:val="20"/>
                <w:lang w:val="fr-FR"/>
              </w:rPr>
            </w:pPr>
            <w:r w:rsidRPr="00A74D23">
              <w:rPr>
                <w:rFonts w:asciiTheme="minorHAnsi" w:hAnsiTheme="minorHAnsi"/>
                <w:sz w:val="20"/>
                <w:szCs w:val="20"/>
                <w:lang w:val="fr-FR"/>
              </w:rPr>
              <w:t>Renforcer notre impact social positif et incarner nos valeurs. En tant qu’acteur de référence, nous ambitionnons de contribuer à la cohésion sociale en conjuguant prévention des risques, inclusion, soutien à l’entrepreneuriat et investissement à impact. Cette approche globale vise à répondre concrètement aux besoins des territoires et des populations, tout en renforçant la confiance que nous construisons dans la durée avec nos parties prenantes.</w:t>
            </w:r>
          </w:p>
          <w:p w14:paraId="74FA8708" w14:textId="553C37E7" w:rsidR="006712AF" w:rsidRPr="00A74D23" w:rsidRDefault="006712AF" w:rsidP="006712AF">
            <w:pPr>
              <w:pStyle w:val="Style1"/>
              <w:numPr>
                <w:ilvl w:val="0"/>
                <w:numId w:val="0"/>
              </w:numPr>
              <w:tabs>
                <w:tab w:val="clear" w:pos="2010"/>
                <w:tab w:val="left" w:pos="1134"/>
              </w:tabs>
              <w:jc w:val="both"/>
              <w:rPr>
                <w:i w:val="0"/>
                <w:color w:val="auto"/>
                <w:sz w:val="20"/>
              </w:rPr>
            </w:pPr>
          </w:p>
          <w:p w14:paraId="4A1B400E" w14:textId="58EDC661" w:rsidR="006712AF" w:rsidRPr="00A74D23" w:rsidRDefault="007E29BB" w:rsidP="006712AF">
            <w:pPr>
              <w:pStyle w:val="Style1"/>
              <w:numPr>
                <w:ilvl w:val="0"/>
                <w:numId w:val="0"/>
              </w:numPr>
              <w:tabs>
                <w:tab w:val="clear" w:pos="2010"/>
                <w:tab w:val="left" w:pos="1134"/>
              </w:tabs>
              <w:jc w:val="both"/>
              <w:rPr>
                <w:i w:val="0"/>
                <w:color w:val="auto"/>
                <w:sz w:val="20"/>
              </w:rPr>
            </w:pPr>
            <w:r w:rsidRPr="00A74D23">
              <w:rPr>
                <w:rFonts w:eastAsia="Calibri" w:cs="Source Sans Pro"/>
                <w:i w:val="0"/>
                <w:iCs w:val="0"/>
                <w:noProof/>
                <w:color w:val="auto"/>
                <w:sz w:val="20"/>
                <w:szCs w:val="20"/>
                <w:lang w:eastAsia="fr-FR"/>
              </w:rPr>
              <mc:AlternateContent>
                <mc:Choice Requires="wpg">
                  <w:drawing>
                    <wp:anchor distT="0" distB="0" distL="114300" distR="114300" simplePos="0" relativeHeight="251889664" behindDoc="0" locked="0" layoutInCell="1" allowOverlap="1" wp14:anchorId="50DE106F" wp14:editId="564FDE54">
                      <wp:simplePos x="0" y="0"/>
                      <wp:positionH relativeFrom="margin">
                        <wp:posOffset>5440893</wp:posOffset>
                      </wp:positionH>
                      <wp:positionV relativeFrom="paragraph">
                        <wp:posOffset>4695190</wp:posOffset>
                      </wp:positionV>
                      <wp:extent cx="389890" cy="281305"/>
                      <wp:effectExtent l="0" t="0" r="10160" b="23495"/>
                      <wp:wrapNone/>
                      <wp:docPr id="2110519520" name="Groupe 132"/>
                      <wp:cNvGraphicFramePr/>
                      <a:graphic xmlns:a="http://schemas.openxmlformats.org/drawingml/2006/main">
                        <a:graphicData uri="http://schemas.microsoft.com/office/word/2010/wordprocessingGroup">
                          <wpg:wgp>
                            <wpg:cNvGrpSpPr/>
                            <wpg:grpSpPr>
                              <a:xfrm flipH="1">
                                <a:off x="0" y="0"/>
                                <a:ext cx="389890" cy="281305"/>
                                <a:chOff x="0" y="0"/>
                                <a:chExt cx="480287" cy="346688"/>
                              </a:xfrm>
                            </wpg:grpSpPr>
                            <wps:wsp>
                              <wps:cNvPr id="616269875"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1820091100"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7C665027" id="Groupe 132" o:spid="_x0000_s1026" style="position:absolute;margin-left:428.4pt;margin-top:369.7pt;width:30.7pt;height:22.15pt;flip:x;z-index:251889664;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r w:rsidRPr="00A74D23">
              <w:rPr>
                <w:rFonts w:eastAsia="Calibri" w:cs="Source Sans Pro"/>
                <w:i w:val="0"/>
                <w:iCs w:val="0"/>
                <w:noProof/>
                <w:color w:val="auto"/>
                <w:sz w:val="20"/>
                <w:szCs w:val="20"/>
                <w:lang w:eastAsia="fr-FR"/>
              </w:rPr>
              <mc:AlternateContent>
                <mc:Choice Requires="wpg">
                  <w:drawing>
                    <wp:anchor distT="0" distB="0" distL="114300" distR="114300" simplePos="0" relativeHeight="251892736" behindDoc="0" locked="0" layoutInCell="1" allowOverlap="1" wp14:anchorId="432FF2A8" wp14:editId="3EAB531E">
                      <wp:simplePos x="0" y="0"/>
                      <wp:positionH relativeFrom="margin">
                        <wp:posOffset>-66675</wp:posOffset>
                      </wp:positionH>
                      <wp:positionV relativeFrom="paragraph">
                        <wp:posOffset>-42545</wp:posOffset>
                      </wp:positionV>
                      <wp:extent cx="390025" cy="281534"/>
                      <wp:effectExtent l="0" t="0" r="10160" b="23495"/>
                      <wp:wrapNone/>
                      <wp:docPr id="1741896254" name="Groupe 132"/>
                      <wp:cNvGraphicFramePr/>
                      <a:graphic xmlns:a="http://schemas.openxmlformats.org/drawingml/2006/main">
                        <a:graphicData uri="http://schemas.microsoft.com/office/word/2010/wordprocessingGroup">
                          <wpg:wgp>
                            <wpg:cNvGrpSpPr/>
                            <wpg:grpSpPr>
                              <a:xfrm>
                                <a:off x="0" y="0"/>
                                <a:ext cx="390025" cy="281534"/>
                                <a:chOff x="0" y="0"/>
                                <a:chExt cx="480287" cy="346688"/>
                              </a:xfrm>
                            </wpg:grpSpPr>
                            <wps:wsp>
                              <wps:cNvPr id="1741896255"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320"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35022423" id="Groupe 132" o:spid="_x0000_s1026" style="position:absolute;margin-left:-5.25pt;margin-top:-3.35pt;width:30.7pt;height:22.15pt;z-index:251892736;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r w:rsidR="006712AF" w:rsidRPr="00A74D23">
              <w:rPr>
                <w:noProof/>
                <w:color w:val="auto"/>
              </w:rPr>
              <mc:AlternateContent>
                <mc:Choice Requires="wps">
                  <w:drawing>
                    <wp:anchor distT="0" distB="0" distL="114300" distR="114300" simplePos="0" relativeHeight="251886592" behindDoc="0" locked="0" layoutInCell="1" allowOverlap="1" wp14:anchorId="35F41214" wp14:editId="6F664821">
                      <wp:simplePos x="0" y="0"/>
                      <wp:positionH relativeFrom="column">
                        <wp:posOffset>329258</wp:posOffset>
                      </wp:positionH>
                      <wp:positionV relativeFrom="paragraph">
                        <wp:posOffset>96926</wp:posOffset>
                      </wp:positionV>
                      <wp:extent cx="5083939" cy="4879239"/>
                      <wp:effectExtent l="0" t="0" r="2540" b="0"/>
                      <wp:wrapNone/>
                      <wp:docPr id="321" name="Zone de texte 321"/>
                      <wp:cNvGraphicFramePr/>
                      <a:graphic xmlns:a="http://schemas.openxmlformats.org/drawingml/2006/main">
                        <a:graphicData uri="http://schemas.microsoft.com/office/word/2010/wordprocessingShape">
                          <wps:wsp>
                            <wps:cNvSpPr txBox="1"/>
                            <wps:spPr>
                              <a:xfrm>
                                <a:off x="0" y="0"/>
                                <a:ext cx="5083939" cy="4879239"/>
                              </a:xfrm>
                              <a:prstGeom prst="rect">
                                <a:avLst/>
                              </a:prstGeom>
                              <a:solidFill>
                                <a:schemeClr val="lt1"/>
                              </a:solidFill>
                              <a:ln w="6350">
                                <a:noFill/>
                              </a:ln>
                            </wps:spPr>
                            <wps:txbx>
                              <w:txbxContent>
                                <w:p w14:paraId="145AEFF5" w14:textId="77777777" w:rsidR="006712AF" w:rsidRPr="0030300D" w:rsidRDefault="006712AF" w:rsidP="006712AF">
                                  <w:pPr>
                                    <w:pStyle w:val="NormalWeb"/>
                                    <w:spacing w:beforeLines="80" w:before="192" w:beforeAutospacing="0" w:afterLines="80" w:after="192" w:afterAutospacing="0"/>
                                    <w:jc w:val="both"/>
                                    <w:rPr>
                                      <w:rFonts w:asciiTheme="minorHAnsi" w:hAnsiTheme="minorHAnsi"/>
                                      <w:sz w:val="20"/>
                                      <w:szCs w:val="20"/>
                                    </w:rPr>
                                  </w:pPr>
                                  <w:r w:rsidRPr="0030300D">
                                    <w:rPr>
                                      <w:rFonts w:asciiTheme="minorHAnsi" w:hAnsiTheme="minorHAnsi"/>
                                      <w:sz w:val="20"/>
                                      <w:szCs w:val="20"/>
                                    </w:rPr>
                                    <w:t>Abeille Assurances développe une approche globale en faisant de la durabilité un pilier stratégique, un levier de différenciation, de fierté et de création de valeur, pour nos clients, nos collaborateurs, nos distributeurs, nos territoires et nos investisseurs, en combinant adaptation climatique, exemplarité environnementale et engagement sociétal à impact, au service de la performance et de la réputation de l’entreprise.</w:t>
                                  </w:r>
                                </w:p>
                                <w:p w14:paraId="7FB449FD" w14:textId="77777777" w:rsidR="006712AF" w:rsidRPr="0030300D" w:rsidRDefault="006712AF" w:rsidP="006712AF">
                                  <w:pPr>
                                    <w:pStyle w:val="NormalWeb"/>
                                    <w:spacing w:beforeLines="80" w:before="192" w:beforeAutospacing="0" w:afterLines="80" w:after="192" w:afterAutospacing="0"/>
                                    <w:jc w:val="both"/>
                                    <w:rPr>
                                      <w:rFonts w:asciiTheme="minorHAnsi" w:hAnsiTheme="minorHAnsi"/>
                                      <w:sz w:val="20"/>
                                      <w:szCs w:val="20"/>
                                    </w:rPr>
                                  </w:pPr>
                                  <w:r w:rsidRPr="0030300D">
                                    <w:rPr>
                                      <w:rFonts w:asciiTheme="minorHAnsi" w:hAnsiTheme="minorHAnsi"/>
                                      <w:sz w:val="20"/>
                                      <w:szCs w:val="20"/>
                                    </w:rPr>
                                    <w:t xml:space="preserve">Le plan de transformation d’Abeille Assurances met la durabilité au cœur ; il vise à moderniser nos offres et à renforcer notre position sur le marché, tout en engageant pleinement nos parties prenantes. En phase avec celui d’Aéma Groupe, il repose sur quatre axes : </w:t>
                                  </w:r>
                                </w:p>
                                <w:p w14:paraId="428773C2" w14:textId="77777777" w:rsidR="006712AF" w:rsidRPr="0030300D" w:rsidRDefault="006712AF" w:rsidP="00590DD1">
                                  <w:pPr>
                                    <w:pStyle w:val="NormalWeb"/>
                                    <w:numPr>
                                      <w:ilvl w:val="0"/>
                                      <w:numId w:val="74"/>
                                    </w:numPr>
                                    <w:spacing w:before="0" w:beforeAutospacing="0" w:after="0" w:afterAutospacing="0"/>
                                    <w:jc w:val="both"/>
                                    <w:rPr>
                                      <w:rFonts w:asciiTheme="minorHAnsi" w:hAnsiTheme="minorHAnsi"/>
                                      <w:sz w:val="20"/>
                                      <w:szCs w:val="20"/>
                                    </w:rPr>
                                  </w:pPr>
                                  <w:r w:rsidRPr="0030300D">
                                    <w:rPr>
                                      <w:rFonts w:asciiTheme="minorHAnsi" w:hAnsiTheme="minorHAnsi"/>
                                      <w:sz w:val="20"/>
                                      <w:szCs w:val="20"/>
                                    </w:rPr>
                                    <w:t xml:space="preserve">réinventer le leader de l’épargne pour l’inscrire dans un futur durable ; </w:t>
                                  </w:r>
                                </w:p>
                                <w:p w14:paraId="6170B543" w14:textId="77777777" w:rsidR="006712AF" w:rsidRPr="0030300D" w:rsidRDefault="006712AF" w:rsidP="00590DD1">
                                  <w:pPr>
                                    <w:pStyle w:val="NormalWeb"/>
                                    <w:numPr>
                                      <w:ilvl w:val="0"/>
                                      <w:numId w:val="74"/>
                                    </w:numPr>
                                    <w:spacing w:before="0" w:beforeAutospacing="0" w:after="0" w:afterAutospacing="0"/>
                                    <w:jc w:val="both"/>
                                    <w:rPr>
                                      <w:rFonts w:asciiTheme="minorHAnsi" w:hAnsiTheme="minorHAnsi"/>
                                      <w:sz w:val="20"/>
                                      <w:szCs w:val="20"/>
                                    </w:rPr>
                                  </w:pPr>
                                  <w:r w:rsidRPr="0030300D">
                                    <w:rPr>
                                      <w:rFonts w:asciiTheme="minorHAnsi" w:hAnsiTheme="minorHAnsi"/>
                                      <w:sz w:val="20"/>
                                      <w:szCs w:val="20"/>
                                    </w:rPr>
                                    <w:t>définir l’assurance dommage durable et rentable de demain et pérenniser notre modèle ;</w:t>
                                  </w:r>
                                </w:p>
                                <w:p w14:paraId="3BE6B8BC" w14:textId="77777777" w:rsidR="006712AF" w:rsidRPr="0030300D" w:rsidRDefault="006712AF" w:rsidP="00590DD1">
                                  <w:pPr>
                                    <w:pStyle w:val="NormalWeb"/>
                                    <w:numPr>
                                      <w:ilvl w:val="0"/>
                                      <w:numId w:val="74"/>
                                    </w:numPr>
                                    <w:spacing w:before="0" w:beforeAutospacing="0" w:after="0" w:afterAutospacing="0"/>
                                    <w:jc w:val="both"/>
                                    <w:rPr>
                                      <w:rFonts w:asciiTheme="minorHAnsi" w:hAnsiTheme="minorHAnsi"/>
                                      <w:sz w:val="20"/>
                                      <w:szCs w:val="20"/>
                                    </w:rPr>
                                  </w:pPr>
                                  <w:r w:rsidRPr="0030300D">
                                    <w:rPr>
                                      <w:rFonts w:asciiTheme="minorHAnsi" w:hAnsiTheme="minorHAnsi"/>
                                      <w:sz w:val="20"/>
                                      <w:szCs w:val="20"/>
                                    </w:rPr>
                                    <w:t>placer l’excellence de service client et distributeur au cœur de notre modèle ;</w:t>
                                  </w:r>
                                </w:p>
                                <w:p w14:paraId="1D49E5A2" w14:textId="77777777" w:rsidR="006712AF" w:rsidRPr="0030300D" w:rsidRDefault="006712AF" w:rsidP="00590DD1">
                                  <w:pPr>
                                    <w:pStyle w:val="NormalWeb"/>
                                    <w:numPr>
                                      <w:ilvl w:val="0"/>
                                      <w:numId w:val="74"/>
                                    </w:numPr>
                                    <w:spacing w:before="0" w:beforeAutospacing="0" w:after="0" w:afterAutospacing="0"/>
                                    <w:jc w:val="both"/>
                                    <w:rPr>
                                      <w:rFonts w:asciiTheme="minorHAnsi" w:hAnsiTheme="minorHAnsi"/>
                                      <w:sz w:val="20"/>
                                      <w:szCs w:val="20"/>
                                    </w:rPr>
                                  </w:pPr>
                                  <w:r w:rsidRPr="0030300D">
                                    <w:rPr>
                                      <w:rFonts w:asciiTheme="minorHAnsi" w:hAnsiTheme="minorHAnsi"/>
                                      <w:sz w:val="20"/>
                                      <w:szCs w:val="20"/>
                                    </w:rPr>
                                    <w:t>réorganiser nos réseaux de distribution afin d’en tirer le plein potentiel.</w:t>
                                  </w:r>
                                </w:p>
                                <w:p w14:paraId="36FB2974" w14:textId="77777777" w:rsidR="006712AF" w:rsidRDefault="006712AF" w:rsidP="006712AF">
                                  <w:pPr>
                                    <w:pStyle w:val="NormalWeb"/>
                                    <w:spacing w:beforeLines="80" w:before="192" w:beforeAutospacing="0" w:afterLines="80" w:after="192" w:afterAutospacing="0"/>
                                    <w:jc w:val="both"/>
                                    <w:rPr>
                                      <w:rFonts w:asciiTheme="minorHAnsi" w:hAnsiTheme="minorHAnsi"/>
                                      <w:sz w:val="20"/>
                                      <w:szCs w:val="20"/>
                                    </w:rPr>
                                  </w:pPr>
                                  <w:r w:rsidRPr="0030300D">
                                    <w:rPr>
                                      <w:rFonts w:asciiTheme="minorHAnsi" w:hAnsiTheme="minorHAnsi"/>
                                      <w:sz w:val="20"/>
                                      <w:szCs w:val="20"/>
                                    </w:rPr>
                                    <w:t>Ainsi, Abeille Assurances anticipe pour protéger nos activités, nos clients et nos territoires, combine prévention, innovation assurantielle et financement ciblé de la résilience, tout en limitant au maximum ses impacts sur l’environnement. La compagnie renforce sans relâche sa position d’acteur engagé pour incarner pleinement ses valeurs via notamment sa fondation d’entreprise et son concours à impact La Fabrique, pour préparer et incarner l’avenir.</w:t>
                                  </w:r>
                                </w:p>
                                <w:p w14:paraId="5C722A6B" w14:textId="77777777" w:rsidR="006712AF" w:rsidRPr="00076215" w:rsidRDefault="006712AF" w:rsidP="006712AF">
                                  <w:pPr>
                                    <w:pStyle w:val="NormalWeb"/>
                                    <w:spacing w:beforeLines="80" w:before="192" w:beforeAutospacing="0" w:afterLines="80" w:after="192" w:afterAutospacing="0"/>
                                    <w:rPr>
                                      <w:rFonts w:asciiTheme="minorHAnsi" w:hAnsiTheme="minorHAnsi"/>
                                      <w:sz w:val="20"/>
                                      <w:szCs w:val="20"/>
                                      <w:lang w:eastAsia="en-US"/>
                                    </w:rPr>
                                  </w:pPr>
                                  <w:r>
                                    <w:rPr>
                                      <w:noProof/>
                                    </w:rPr>
                                    <w:drawing>
                                      <wp:inline distT="0" distB="0" distL="0" distR="0" wp14:anchorId="609C720D" wp14:editId="6CD03942">
                                        <wp:extent cx="716689" cy="701548"/>
                                        <wp:effectExtent l="0" t="0" r="7620" b="3810"/>
                                        <wp:docPr id="1965369386" name="Image 1" descr="Une image contenant Visage humain, personne, sourire, habit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801520" name="Image 1" descr="Une image contenant Visage humain, personne, sourire, habits&#10;&#10;Le contenu généré par l’IA peut être incorrect."/>
                                                <pic:cNvPicPr/>
                                              </pic:nvPicPr>
                                              <pic:blipFill>
                                                <a:blip r:embed="rId44"/>
                                                <a:stretch>
                                                  <a:fillRect/>
                                                </a:stretch>
                                              </pic:blipFill>
                                              <pic:spPr>
                                                <a:xfrm>
                                                  <a:off x="0" y="0"/>
                                                  <a:ext cx="724003" cy="708707"/>
                                                </a:xfrm>
                                                <a:prstGeom prst="rect">
                                                  <a:avLst/>
                                                </a:prstGeom>
                                              </pic:spPr>
                                            </pic:pic>
                                          </a:graphicData>
                                        </a:graphic>
                                      </wp:inline>
                                    </w:drawing>
                                  </w:r>
                                </w:p>
                                <w:p w14:paraId="22D23E90" w14:textId="77777777" w:rsidR="006712AF" w:rsidRPr="00076215" w:rsidRDefault="006712AF" w:rsidP="006712AF">
                                  <w:pPr>
                                    <w:pStyle w:val="Style1"/>
                                    <w:numPr>
                                      <w:ilvl w:val="0"/>
                                      <w:numId w:val="0"/>
                                    </w:numPr>
                                    <w:jc w:val="both"/>
                                    <w:rPr>
                                      <w:b/>
                                      <w:i w:val="0"/>
                                      <w:color w:val="auto"/>
                                      <w:sz w:val="20"/>
                                      <w:szCs w:val="20"/>
                                    </w:rPr>
                                  </w:pPr>
                                  <w:r w:rsidRPr="00076215">
                                    <w:rPr>
                                      <w:b/>
                                      <w:i w:val="0"/>
                                      <w:color w:val="auto"/>
                                      <w:sz w:val="20"/>
                                      <w:szCs w:val="20"/>
                                    </w:rPr>
                                    <w:t xml:space="preserve">Angéline Derache (Directrice de Cabinet, Stratégie, </w:t>
                                  </w:r>
                                  <w:r>
                                    <w:rPr>
                                      <w:b/>
                                      <w:i w:val="0"/>
                                      <w:color w:val="auto"/>
                                      <w:sz w:val="20"/>
                                      <w:szCs w:val="20"/>
                                    </w:rPr>
                                    <w:t xml:space="preserve">Communication, </w:t>
                                  </w:r>
                                  <w:r w:rsidRPr="00076215">
                                    <w:rPr>
                                      <w:b/>
                                      <w:i w:val="0"/>
                                      <w:color w:val="auto"/>
                                      <w:sz w:val="20"/>
                                      <w:szCs w:val="20"/>
                                    </w:rPr>
                                    <w:t>Pilotage et RSE d’Abeille Assurances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41214" id="Zone de texte 321" o:spid="_x0000_s1045" type="#_x0000_t202" style="position:absolute;left:0;text-align:left;margin-left:25.95pt;margin-top:7.65pt;width:400.3pt;height:384.2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" fillcolor="white [3201]" stroked="f" strokeweight=".5pt">
                      <v:textbox>
                        <w:txbxContent>
                          <w:p w14:paraId="145AEFF5" w14:textId="77777777" w:rsidR="006712AF" w:rsidRPr="0030300D" w:rsidRDefault="006712AF" w:rsidP="006712AF">
                            <w:pPr>
                              <w:pStyle w:val="NormalWeb"/>
                              <w:spacing w:beforeLines="80" w:before="192" w:beforeAutospacing="0" w:afterLines="80" w:after="192" w:afterAutospacing="0"/>
                              <w:jc w:val="both"/>
                              <w:rPr>
                                <w:rFonts w:asciiTheme="minorHAnsi" w:hAnsiTheme="minorHAnsi"/>
                                <w:sz w:val="20"/>
                                <w:szCs w:val="20"/>
                              </w:rPr>
                            </w:pPr>
                            <w:r w:rsidRPr="0030300D">
                              <w:rPr>
                                <w:rFonts w:asciiTheme="minorHAnsi" w:hAnsiTheme="minorHAnsi"/>
                                <w:sz w:val="20"/>
                                <w:szCs w:val="20"/>
                              </w:rPr>
                              <w:t>Abeille Assurances développe une approche globale en faisant de la durabilité un pilier stratégique, un levier de différenciation, de fierté et de création de valeur, pour nos clients, nos collaborateurs, nos distributeurs, nos territoires et nos investisseurs, en combinant adaptation climatique, exemplarité environnementale et engagement sociétal à impact, au service de la performance et de la réputation de l’entreprise.</w:t>
                            </w:r>
                          </w:p>
                          <w:p w14:paraId="7FB449FD" w14:textId="77777777" w:rsidR="006712AF" w:rsidRPr="0030300D" w:rsidRDefault="006712AF" w:rsidP="006712AF">
                            <w:pPr>
                              <w:pStyle w:val="NormalWeb"/>
                              <w:spacing w:beforeLines="80" w:before="192" w:beforeAutospacing="0" w:afterLines="80" w:after="192" w:afterAutospacing="0"/>
                              <w:jc w:val="both"/>
                              <w:rPr>
                                <w:rFonts w:asciiTheme="minorHAnsi" w:hAnsiTheme="minorHAnsi"/>
                                <w:sz w:val="20"/>
                                <w:szCs w:val="20"/>
                              </w:rPr>
                            </w:pPr>
                            <w:r w:rsidRPr="0030300D">
                              <w:rPr>
                                <w:rFonts w:asciiTheme="minorHAnsi" w:hAnsiTheme="minorHAnsi"/>
                                <w:sz w:val="20"/>
                                <w:szCs w:val="20"/>
                              </w:rPr>
                              <w:t xml:space="preserve">Le plan de transformation d’Abeille Assurances met la durabilité au cœur ; il vise à moderniser nos offres et à renforcer notre position sur le marché, tout en engageant pleinement nos parties prenantes. En phase avec celui d’Aéma Groupe, il repose sur quatre axes : </w:t>
                            </w:r>
                          </w:p>
                          <w:p w14:paraId="428773C2" w14:textId="77777777" w:rsidR="006712AF" w:rsidRPr="0030300D" w:rsidRDefault="006712AF" w:rsidP="00590DD1">
                            <w:pPr>
                              <w:pStyle w:val="NormalWeb"/>
                              <w:numPr>
                                <w:ilvl w:val="0"/>
                                <w:numId w:val="74"/>
                              </w:numPr>
                              <w:spacing w:before="0" w:beforeAutospacing="0" w:after="0" w:afterAutospacing="0"/>
                              <w:jc w:val="both"/>
                              <w:rPr>
                                <w:rFonts w:asciiTheme="minorHAnsi" w:hAnsiTheme="minorHAnsi"/>
                                <w:sz w:val="20"/>
                                <w:szCs w:val="20"/>
                              </w:rPr>
                            </w:pPr>
                            <w:r w:rsidRPr="0030300D">
                              <w:rPr>
                                <w:rFonts w:asciiTheme="minorHAnsi" w:hAnsiTheme="minorHAnsi"/>
                                <w:sz w:val="20"/>
                                <w:szCs w:val="20"/>
                              </w:rPr>
                              <w:t xml:space="preserve">réinventer le leader de l’épargne pour l’inscrire dans un futur durable ; </w:t>
                            </w:r>
                          </w:p>
                          <w:p w14:paraId="6170B543" w14:textId="77777777" w:rsidR="006712AF" w:rsidRPr="0030300D" w:rsidRDefault="006712AF" w:rsidP="00590DD1">
                            <w:pPr>
                              <w:pStyle w:val="NormalWeb"/>
                              <w:numPr>
                                <w:ilvl w:val="0"/>
                                <w:numId w:val="74"/>
                              </w:numPr>
                              <w:spacing w:before="0" w:beforeAutospacing="0" w:after="0" w:afterAutospacing="0"/>
                              <w:jc w:val="both"/>
                              <w:rPr>
                                <w:rFonts w:asciiTheme="minorHAnsi" w:hAnsiTheme="minorHAnsi"/>
                                <w:sz w:val="20"/>
                                <w:szCs w:val="20"/>
                              </w:rPr>
                            </w:pPr>
                            <w:r w:rsidRPr="0030300D">
                              <w:rPr>
                                <w:rFonts w:asciiTheme="minorHAnsi" w:hAnsiTheme="minorHAnsi"/>
                                <w:sz w:val="20"/>
                                <w:szCs w:val="20"/>
                              </w:rPr>
                              <w:t>définir l’assurance dommage durable et rentable de demain et pérenniser notre modèle ;</w:t>
                            </w:r>
                          </w:p>
                          <w:p w14:paraId="3BE6B8BC" w14:textId="77777777" w:rsidR="006712AF" w:rsidRPr="0030300D" w:rsidRDefault="006712AF" w:rsidP="00590DD1">
                            <w:pPr>
                              <w:pStyle w:val="NormalWeb"/>
                              <w:numPr>
                                <w:ilvl w:val="0"/>
                                <w:numId w:val="74"/>
                              </w:numPr>
                              <w:spacing w:before="0" w:beforeAutospacing="0" w:after="0" w:afterAutospacing="0"/>
                              <w:jc w:val="both"/>
                              <w:rPr>
                                <w:rFonts w:asciiTheme="minorHAnsi" w:hAnsiTheme="minorHAnsi"/>
                                <w:sz w:val="20"/>
                                <w:szCs w:val="20"/>
                              </w:rPr>
                            </w:pPr>
                            <w:r w:rsidRPr="0030300D">
                              <w:rPr>
                                <w:rFonts w:asciiTheme="minorHAnsi" w:hAnsiTheme="minorHAnsi"/>
                                <w:sz w:val="20"/>
                                <w:szCs w:val="20"/>
                              </w:rPr>
                              <w:t>placer l’excellence de service client et distributeur au cœur de notre modèle ;</w:t>
                            </w:r>
                          </w:p>
                          <w:p w14:paraId="1D49E5A2" w14:textId="77777777" w:rsidR="006712AF" w:rsidRPr="0030300D" w:rsidRDefault="006712AF" w:rsidP="00590DD1">
                            <w:pPr>
                              <w:pStyle w:val="NormalWeb"/>
                              <w:numPr>
                                <w:ilvl w:val="0"/>
                                <w:numId w:val="74"/>
                              </w:numPr>
                              <w:spacing w:before="0" w:beforeAutospacing="0" w:after="0" w:afterAutospacing="0"/>
                              <w:jc w:val="both"/>
                              <w:rPr>
                                <w:rFonts w:asciiTheme="minorHAnsi" w:hAnsiTheme="minorHAnsi"/>
                                <w:sz w:val="20"/>
                                <w:szCs w:val="20"/>
                              </w:rPr>
                            </w:pPr>
                            <w:r w:rsidRPr="0030300D">
                              <w:rPr>
                                <w:rFonts w:asciiTheme="minorHAnsi" w:hAnsiTheme="minorHAnsi"/>
                                <w:sz w:val="20"/>
                                <w:szCs w:val="20"/>
                              </w:rPr>
                              <w:t>réorganiser nos réseaux de distribution afin d’en tirer le plein potentiel.</w:t>
                            </w:r>
                          </w:p>
                          <w:p w14:paraId="36FB2974" w14:textId="77777777" w:rsidR="006712AF" w:rsidRDefault="006712AF" w:rsidP="006712AF">
                            <w:pPr>
                              <w:pStyle w:val="NormalWeb"/>
                              <w:spacing w:beforeLines="80" w:before="192" w:beforeAutospacing="0" w:afterLines="80" w:after="192" w:afterAutospacing="0"/>
                              <w:jc w:val="both"/>
                              <w:rPr>
                                <w:rFonts w:asciiTheme="minorHAnsi" w:hAnsiTheme="minorHAnsi"/>
                                <w:sz w:val="20"/>
                                <w:szCs w:val="20"/>
                              </w:rPr>
                            </w:pPr>
                            <w:r w:rsidRPr="0030300D">
                              <w:rPr>
                                <w:rFonts w:asciiTheme="minorHAnsi" w:hAnsiTheme="minorHAnsi"/>
                                <w:sz w:val="20"/>
                                <w:szCs w:val="20"/>
                              </w:rPr>
                              <w:t>Ainsi, Abeille Assurances anticipe pour protéger nos activités, nos clients et nos territoires, combine prévention, innovation assurantielle et financement ciblé de la résilience, tout en limitant au maximum ses impacts sur l’environnement. La compagnie renforce sans relâche sa position d’acteur engagé pour incarner pleinement ses valeurs via notamment sa fondation d’entreprise et son concours à impact La Fabrique, pour préparer et incarner l’avenir.</w:t>
                            </w:r>
                          </w:p>
                          <w:p w14:paraId="5C722A6B" w14:textId="77777777" w:rsidR="006712AF" w:rsidRPr="00076215" w:rsidRDefault="006712AF" w:rsidP="006712AF">
                            <w:pPr>
                              <w:pStyle w:val="NormalWeb"/>
                              <w:spacing w:beforeLines="80" w:before="192" w:beforeAutospacing="0" w:afterLines="80" w:after="192" w:afterAutospacing="0"/>
                              <w:rPr>
                                <w:rFonts w:asciiTheme="minorHAnsi" w:hAnsiTheme="minorHAnsi"/>
                                <w:sz w:val="20"/>
                                <w:szCs w:val="20"/>
                                <w:lang w:eastAsia="en-US"/>
                              </w:rPr>
                            </w:pPr>
                            <w:r>
                              <w:rPr>
                                <w:noProof/>
                              </w:rPr>
                              <w:drawing>
                                <wp:inline distT="0" distB="0" distL="0" distR="0" wp14:anchorId="609C720D" wp14:editId="6CD03942">
                                  <wp:extent cx="716689" cy="701548"/>
                                  <wp:effectExtent l="0" t="0" r="7620" b="3810"/>
                                  <wp:docPr id="1965369386" name="Image 1" descr="Une image contenant Visage humain, personne, sourire, habit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801520" name="Image 1" descr="Une image contenant Visage humain, personne, sourire, habits&#10;&#10;Le contenu généré par l’IA peut être incorrect."/>
                                          <pic:cNvPicPr/>
                                        </pic:nvPicPr>
                                        <pic:blipFill>
                                          <a:blip r:embed="rId45"/>
                                          <a:stretch>
                                            <a:fillRect/>
                                          </a:stretch>
                                        </pic:blipFill>
                                        <pic:spPr>
                                          <a:xfrm>
                                            <a:off x="0" y="0"/>
                                            <a:ext cx="724003" cy="708707"/>
                                          </a:xfrm>
                                          <a:prstGeom prst="rect">
                                            <a:avLst/>
                                          </a:prstGeom>
                                        </pic:spPr>
                                      </pic:pic>
                                    </a:graphicData>
                                  </a:graphic>
                                </wp:inline>
                              </w:drawing>
                            </w:r>
                          </w:p>
                          <w:p w14:paraId="22D23E90" w14:textId="77777777" w:rsidR="006712AF" w:rsidRPr="00076215" w:rsidRDefault="006712AF" w:rsidP="006712AF">
                            <w:pPr>
                              <w:pStyle w:val="Style1"/>
                              <w:numPr>
                                <w:ilvl w:val="0"/>
                                <w:numId w:val="0"/>
                              </w:numPr>
                              <w:jc w:val="both"/>
                              <w:rPr>
                                <w:b/>
                                <w:i w:val="0"/>
                                <w:color w:val="auto"/>
                                <w:sz w:val="20"/>
                                <w:szCs w:val="20"/>
                              </w:rPr>
                            </w:pPr>
                            <w:r w:rsidRPr="00076215">
                              <w:rPr>
                                <w:b/>
                                <w:i w:val="0"/>
                                <w:color w:val="auto"/>
                                <w:sz w:val="20"/>
                                <w:szCs w:val="20"/>
                              </w:rPr>
                              <w:t xml:space="preserve">Angéline Derache (Directrice de Cabinet, Stratégie, </w:t>
                            </w:r>
                            <w:r>
                              <w:rPr>
                                <w:b/>
                                <w:i w:val="0"/>
                                <w:color w:val="auto"/>
                                <w:sz w:val="20"/>
                                <w:szCs w:val="20"/>
                              </w:rPr>
                              <w:t xml:space="preserve">Communication, </w:t>
                            </w:r>
                            <w:r w:rsidRPr="00076215">
                              <w:rPr>
                                <w:b/>
                                <w:i w:val="0"/>
                                <w:color w:val="auto"/>
                                <w:sz w:val="20"/>
                                <w:szCs w:val="20"/>
                              </w:rPr>
                              <w:t>Pilotage et RSE d’Abeille Assurances</w:t>
                            </w:r>
                          </w:p>
                        </w:txbxContent>
                      </v:textbox>
                    </v:shape>
                  </w:pict>
                </mc:Fallback>
              </mc:AlternateContent>
            </w:r>
            <w:r w:rsidR="006712AF" w:rsidRPr="00A74D23">
              <w:rPr>
                <w:noProof/>
                <w:color w:val="auto"/>
              </w:rPr>
              <mc:AlternateContent>
                <mc:Choice Requires="wps">
                  <w:drawing>
                    <wp:inline distT="0" distB="0" distL="0" distR="0" wp14:anchorId="41EA030A" wp14:editId="49836395">
                      <wp:extent cx="5591197" cy="5113325"/>
                      <wp:effectExtent l="0" t="0" r="28575" b="11430"/>
                      <wp:docPr id="325" name="Rectangle : coins arrondis 325"/>
                      <wp:cNvGraphicFramePr/>
                      <a:graphic xmlns:a="http://schemas.openxmlformats.org/drawingml/2006/main">
                        <a:graphicData uri="http://schemas.microsoft.com/office/word/2010/wordprocessingShape">
                          <wps:wsp>
                            <wps:cNvSpPr/>
                            <wps:spPr>
                              <a:xfrm>
                                <a:off x="0" y="0"/>
                                <a:ext cx="5591197" cy="5113325"/>
                              </a:xfrm>
                              <a:prstGeom prst="roundRect">
                                <a:avLst>
                                  <a:gd name="adj" fmla="val 889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317F55" w14:textId="77777777" w:rsidR="006712AF" w:rsidRPr="006209BA" w:rsidRDefault="006712AF" w:rsidP="006712AF">
                                  <w:pPr>
                                    <w:pStyle w:val="Citation0"/>
                                    <w:rPr>
                                      <w:color w:val="auto"/>
                                    </w:rPr>
                                  </w:pPr>
                                </w:p>
                              </w:txbxContent>
                            </wps:txbx>
                            <wps:bodyPr rot="0" spcFirstLastPara="0" vertOverflow="overflow" horzOverflow="overflow" vert="horz" wrap="square" lIns="180000" tIns="108000" rIns="180000" bIns="108000" numCol="1" spcCol="0" rtlCol="0" fromWordArt="0" anchor="ctr" anchorCtr="0" forceAA="0" compatLnSpc="1">
                              <a:prstTxWarp prst="textNoShape">
                                <a:avLst/>
                              </a:prstTxWarp>
                              <a:noAutofit/>
                            </wps:bodyPr>
                          </wps:wsp>
                        </a:graphicData>
                      </a:graphic>
                    </wp:inline>
                  </w:drawing>
                </mc:Choice>
                <mc:Fallback>
                  <w:pict>
                    <v:roundrect w14:anchorId="41EA030A" id="Rectangle : coins arrondis 325" o:spid="_x0000_s1046" style="width:440.25pt;height:402.6pt;visibility:visible;mso-wrap-style:square;mso-left-percent:-10001;mso-top-percent:-10001;mso-position-horizontal:absolute;mso-position-horizontal-relative:char;mso-position-vertical:absolute;mso-position-vertical-relative:line;mso-left-percent:-10001;mso-top-percent:-10001;v-text-anchor:middle" arcsize="58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" fillcolor="white [3212]" strokecolor="black [3213]" strokeweight="1pt">
                      <v:stroke joinstyle="miter"/>
                      <v:textbox inset="5mm,3mm,5mm,3mm">
                        <w:txbxContent>
                          <w:p w14:paraId="0B317F55" w14:textId="77777777" w:rsidR="006712AF" w:rsidRPr="006209BA" w:rsidRDefault="006712AF" w:rsidP="006712AF">
                            <w:pPr>
                              <w:pStyle w:val="Citation0"/>
                              <w:rPr>
                                <w:color w:val="auto"/>
                              </w:rPr>
                            </w:pPr>
                          </w:p>
                        </w:txbxContent>
                      </v:textbox>
                      <w10:anchorlock/>
                    </v:roundrect>
                  </w:pict>
                </mc:Fallback>
              </mc:AlternateContent>
            </w:r>
          </w:p>
          <w:p w14:paraId="688BC0B9" w14:textId="77777777" w:rsidR="00793986" w:rsidRPr="00A74D23" w:rsidRDefault="00793986" w:rsidP="009D6EE5">
            <w:pPr>
              <w:pStyle w:val="Style3"/>
              <w:tabs>
                <w:tab w:val="clear" w:pos="426"/>
              </w:tabs>
              <w:spacing w:line="22" w:lineRule="atLeast"/>
              <w:ind w:left="0" w:firstLine="0"/>
              <w:jc w:val="both"/>
              <w:rPr>
                <w:rFonts w:asciiTheme="minorHAnsi" w:hAnsiTheme="minorHAnsi" w:cs="Open Sans"/>
              </w:rPr>
            </w:pPr>
            <w:bookmarkStart w:id="35" w:name="_Toc129091809"/>
            <w:bookmarkStart w:id="36" w:name="_Toc128735898"/>
          </w:p>
          <w:p w14:paraId="0D308390" w14:textId="4BEB1AC3" w:rsidR="00793986" w:rsidRPr="00A74D23" w:rsidRDefault="00793986" w:rsidP="009D6EE5">
            <w:pPr>
              <w:pStyle w:val="Style3"/>
              <w:spacing w:after="0" w:line="22" w:lineRule="atLeast"/>
              <w:ind w:left="6316" w:hanging="6316"/>
              <w:jc w:val="both"/>
              <w:rPr>
                <w:rFonts w:asciiTheme="minorHAnsi" w:hAnsiTheme="minorHAnsi" w:cs="Open Sans"/>
                <w:sz w:val="32"/>
                <w:szCs w:val="32"/>
              </w:rPr>
            </w:pPr>
            <w:r w:rsidRPr="00A74D23">
              <w:rPr>
                <w:rFonts w:asciiTheme="minorHAnsi" w:hAnsiTheme="minorHAnsi" w:cs="Open Sans"/>
                <w:sz w:val="32"/>
                <w:szCs w:val="32"/>
              </w:rPr>
              <w:t>1.5. Communiquer avec transparence</w:t>
            </w:r>
          </w:p>
          <w:p w14:paraId="1F64ED70" w14:textId="77777777" w:rsidR="009D6EE5" w:rsidRPr="00A74D23" w:rsidRDefault="009D6EE5" w:rsidP="009D6EE5">
            <w:pPr>
              <w:spacing w:line="22" w:lineRule="atLeast"/>
              <w:jc w:val="both"/>
              <w:rPr>
                <w:rFonts w:asciiTheme="minorHAnsi" w:hAnsiTheme="minorHAnsi"/>
                <w:b/>
                <w:bCs/>
                <w:lang w:val="fr-FR"/>
              </w:rPr>
            </w:pPr>
          </w:p>
          <w:p w14:paraId="5C718521" w14:textId="71FA037E" w:rsidR="00793986" w:rsidRPr="00A74D23" w:rsidRDefault="00793986" w:rsidP="009D6EE5">
            <w:pPr>
              <w:spacing w:line="22" w:lineRule="atLeast"/>
              <w:ind w:left="-109"/>
              <w:jc w:val="both"/>
              <w:rPr>
                <w:rFonts w:asciiTheme="minorHAnsi" w:hAnsiTheme="minorHAnsi" w:cs="Open Sans"/>
                <w:b/>
                <w:bCs/>
                <w:kern w:val="2"/>
                <w:lang w:val="fr-FR"/>
                <w14:ligatures w14:val="standardContextual"/>
              </w:rPr>
            </w:pPr>
            <w:r w:rsidRPr="00A74D23">
              <w:rPr>
                <w:rFonts w:asciiTheme="minorHAnsi" w:hAnsiTheme="minorHAnsi"/>
                <w:b/>
                <w:bCs/>
                <w:lang w:val="fr-FR"/>
              </w:rPr>
              <w:t>A travers nos publications réglementaires et volontaires</w:t>
            </w:r>
          </w:p>
          <w:p w14:paraId="343408B0" w14:textId="0574A3E4" w:rsidR="00793986" w:rsidRPr="00A74D23" w:rsidRDefault="00793986" w:rsidP="009D6EE5">
            <w:pPr>
              <w:spacing w:line="22" w:lineRule="atLeast"/>
              <w:ind w:left="-109"/>
              <w:jc w:val="both"/>
              <w:rPr>
                <w:rFonts w:asciiTheme="minorHAnsi" w:hAnsiTheme="minorHAnsi" w:cs="Open Sans"/>
                <w:i/>
                <w:iCs/>
                <w:sz w:val="20"/>
                <w:szCs w:val="20"/>
                <w:lang w:val="fr-FR"/>
              </w:rPr>
            </w:pPr>
            <w:r w:rsidRPr="00A74D23">
              <w:rPr>
                <w:rFonts w:asciiTheme="minorHAnsi" w:hAnsiTheme="minorHAnsi" w:cs="Open Sans"/>
                <w:sz w:val="20"/>
                <w:szCs w:val="20"/>
                <w:lang w:val="fr-FR"/>
              </w:rPr>
              <w:t>Abeille Assurances communique de manière proactive et transparente auprès de ses clients et de l’ensemble de ses parties prenantes sur les enjeux de durabilité, en particulier ceux liés au changement climatique. Les modalités de prise en compte de ces enjeux sont présentées de façon détaillée à travers un ensemble de publications accessibles au public.</w:t>
            </w:r>
            <w:r w:rsidR="009D6EE5" w:rsidRPr="00A74D23">
              <w:rPr>
                <w:rFonts w:asciiTheme="minorHAnsi" w:hAnsiTheme="minorHAnsi" w:cs="Open Sans"/>
                <w:i/>
                <w:iCs/>
                <w:sz w:val="20"/>
                <w:szCs w:val="20"/>
                <w:lang w:val="fr-FR"/>
              </w:rPr>
              <w:t xml:space="preserve"> </w:t>
            </w:r>
            <w:r w:rsidRPr="00A74D23">
              <w:rPr>
                <w:rFonts w:asciiTheme="minorHAnsi" w:hAnsiTheme="minorHAnsi" w:cs="Open Sans"/>
                <w:sz w:val="20"/>
                <w:szCs w:val="20"/>
                <w:lang w:val="fr-FR"/>
              </w:rPr>
              <w:t>Ces informations sont notamment mises à disposition sur les sites internet d’Abeille Assurances, d’Aéma Groupe et d’</w:t>
            </w:r>
            <w:r w:rsidR="00495330" w:rsidRPr="00A74D23">
              <w:rPr>
                <w:rFonts w:asciiTheme="minorHAnsi" w:hAnsiTheme="minorHAnsi" w:cs="Open Sans"/>
                <w:sz w:val="20"/>
                <w:szCs w:val="20"/>
                <w:lang w:val="fr-FR"/>
              </w:rPr>
              <w:t>Ofi</w:t>
            </w:r>
            <w:r w:rsidRPr="00A74D23">
              <w:rPr>
                <w:rFonts w:asciiTheme="minorHAnsi" w:hAnsiTheme="minorHAnsi" w:cs="Open Sans"/>
                <w:sz w:val="20"/>
                <w:szCs w:val="20"/>
                <w:lang w:val="fr-FR"/>
              </w:rPr>
              <w:t xml:space="preserve"> Invest Asset Management, et comprennent le rapport d’activité d’Abeille Assurances, le rapport CSRD du Groupe, le rapport volontaire de durabilité d’Abeille Assurances, la politique de diligence raisonnable relative aux principales incidences négatives, la politique d’intégration des risques en matière de durabilité, ainsi que les rapports ESG publiés par </w:t>
            </w:r>
            <w:r w:rsidR="00495330" w:rsidRPr="00A74D23">
              <w:rPr>
                <w:rFonts w:asciiTheme="minorHAnsi" w:hAnsiTheme="minorHAnsi" w:cs="Open Sans"/>
                <w:sz w:val="20"/>
                <w:szCs w:val="20"/>
                <w:lang w:val="fr-FR"/>
              </w:rPr>
              <w:t>Ofi</w:t>
            </w:r>
            <w:r w:rsidRPr="00A74D23">
              <w:rPr>
                <w:rFonts w:asciiTheme="minorHAnsi" w:hAnsiTheme="minorHAnsi" w:cs="Open Sans"/>
                <w:sz w:val="20"/>
                <w:szCs w:val="20"/>
                <w:lang w:val="fr-FR"/>
              </w:rPr>
              <w:t xml:space="preserve"> Invest AM.</w:t>
            </w:r>
          </w:p>
          <w:p w14:paraId="4B3E0694" w14:textId="77777777" w:rsidR="00793986" w:rsidRPr="00A74D23" w:rsidRDefault="00793986" w:rsidP="009D6EE5">
            <w:pPr>
              <w:pStyle w:val="Style1"/>
              <w:numPr>
                <w:ilvl w:val="0"/>
                <w:numId w:val="0"/>
              </w:numPr>
              <w:spacing w:after="0" w:line="22" w:lineRule="atLeast"/>
              <w:jc w:val="both"/>
              <w:rPr>
                <w:rFonts w:cs="Open Sans"/>
                <w:i w:val="0"/>
                <w:iCs w:val="0"/>
                <w:color w:val="auto"/>
                <w:sz w:val="20"/>
                <w:szCs w:val="20"/>
              </w:rPr>
            </w:pPr>
          </w:p>
          <w:p w14:paraId="6BF39037" w14:textId="5E3FC5D2" w:rsidR="00793986" w:rsidRPr="00A74D23" w:rsidRDefault="00793986" w:rsidP="009D6EE5">
            <w:pPr>
              <w:pStyle w:val="Style1"/>
              <w:numPr>
                <w:ilvl w:val="0"/>
                <w:numId w:val="0"/>
              </w:numPr>
              <w:spacing w:after="0" w:line="22" w:lineRule="atLeast"/>
              <w:ind w:left="-109"/>
              <w:jc w:val="both"/>
              <w:rPr>
                <w:rFonts w:cs="Open Sans"/>
                <w:i w:val="0"/>
                <w:iCs w:val="0"/>
                <w:color w:val="auto"/>
                <w:sz w:val="20"/>
                <w:szCs w:val="20"/>
              </w:rPr>
            </w:pPr>
            <w:r w:rsidRPr="00A74D23">
              <w:rPr>
                <w:rFonts w:eastAsiaTheme="majorEastAsia" w:cs="Open Sans"/>
                <w:b/>
                <w:i w:val="0"/>
                <w:iCs w:val="0"/>
                <w:color w:val="auto"/>
                <w:sz w:val="24"/>
              </w:rPr>
              <w:t>Sensibiliser nos clients par nos réseaux de distribution</w:t>
            </w:r>
          </w:p>
          <w:p w14:paraId="79F08AA8" w14:textId="77777777" w:rsidR="00793986" w:rsidRPr="00A74D23" w:rsidRDefault="00793986" w:rsidP="009D6EE5">
            <w:pPr>
              <w:pStyle w:val="Style1"/>
              <w:numPr>
                <w:ilvl w:val="0"/>
                <w:numId w:val="0"/>
              </w:numPr>
              <w:spacing w:after="0" w:line="22" w:lineRule="atLeast"/>
              <w:ind w:left="-109"/>
              <w:contextualSpacing w:val="0"/>
              <w:jc w:val="both"/>
              <w:rPr>
                <w:rFonts w:cs="Open Sans"/>
                <w:color w:val="000000" w:themeColor="text1"/>
                <w:sz w:val="20"/>
                <w:szCs w:val="20"/>
              </w:rPr>
            </w:pPr>
            <w:r w:rsidRPr="00A74D23">
              <w:rPr>
                <w:rFonts w:cs="Open Sans"/>
                <w:i w:val="0"/>
                <w:iCs w:val="0"/>
                <w:color w:val="000000" w:themeColor="text1"/>
                <w:sz w:val="20"/>
                <w:szCs w:val="20"/>
              </w:rPr>
              <w:t>Nos agents ont un devoir de sensibilisation et d’accompagnement de nos clients sur les sujets de l’ISR tout en approfondissant continuellement leurs compétences propres sur le sujet. Nous avons mis à leur disposition des fiches pédagogiques qui répondent aux questions clés que nos clients peuvent se poser, telles que</w:t>
            </w:r>
            <w:r w:rsidRPr="00A74D23">
              <w:rPr>
                <w:rFonts w:ascii="Arial" w:hAnsi="Arial" w:cs="Arial"/>
                <w:i w:val="0"/>
                <w:iCs w:val="0"/>
                <w:color w:val="000000" w:themeColor="text1"/>
                <w:sz w:val="20"/>
                <w:szCs w:val="20"/>
              </w:rPr>
              <w:t> </w:t>
            </w:r>
            <w:r w:rsidRPr="00A74D23">
              <w:rPr>
                <w:rFonts w:cs="Open Sans"/>
                <w:i w:val="0"/>
                <w:iCs w:val="0"/>
                <w:color w:val="000000" w:themeColor="text1"/>
                <w:sz w:val="20"/>
                <w:szCs w:val="20"/>
              </w:rPr>
              <w:t xml:space="preserve">: </w:t>
            </w:r>
          </w:p>
          <w:p w14:paraId="1C0458D4" w14:textId="454C4A7A" w:rsidR="00793986" w:rsidRPr="00A74D23" w:rsidRDefault="00793986" w:rsidP="00590DD1">
            <w:pPr>
              <w:pStyle w:val="Paragraphedeliste"/>
              <w:numPr>
                <w:ilvl w:val="0"/>
                <w:numId w:val="30"/>
              </w:numPr>
              <w:spacing w:after="0" w:line="22" w:lineRule="atLeast"/>
              <w:ind w:left="714" w:hanging="357"/>
              <w:contextualSpacing w:val="0"/>
              <w:jc w:val="both"/>
              <w:rPr>
                <w:rFonts w:cs="Open Sans"/>
                <w:color w:val="000000" w:themeColor="text1"/>
                <w:sz w:val="20"/>
                <w:szCs w:val="20"/>
              </w:rPr>
            </w:pPr>
            <w:r w:rsidRPr="00A74D23">
              <w:rPr>
                <w:rFonts w:cs="Open Sans"/>
                <w:color w:val="000000" w:themeColor="text1"/>
                <w:sz w:val="20"/>
                <w:szCs w:val="20"/>
              </w:rPr>
              <w:t>Que</w:t>
            </w:r>
            <w:r w:rsidR="00C22A7E" w:rsidRPr="00A74D23">
              <w:rPr>
                <w:rFonts w:cs="Open Sans"/>
                <w:color w:val="000000" w:themeColor="text1"/>
                <w:sz w:val="20"/>
                <w:szCs w:val="20"/>
              </w:rPr>
              <w:t xml:space="preserve"> </w:t>
            </w:r>
            <w:r w:rsidRPr="00A74D23">
              <w:rPr>
                <w:rFonts w:cs="Open Sans"/>
                <w:color w:val="000000" w:themeColor="text1"/>
                <w:sz w:val="20"/>
                <w:szCs w:val="20"/>
              </w:rPr>
              <w:t>cachent les acronymes RSE, ESG et ESS</w:t>
            </w:r>
            <w:r w:rsidRPr="00A74D23">
              <w:rPr>
                <w:rFonts w:ascii="Arial" w:hAnsi="Arial" w:cs="Arial"/>
                <w:color w:val="000000" w:themeColor="text1"/>
                <w:sz w:val="20"/>
                <w:szCs w:val="20"/>
              </w:rPr>
              <w:t> </w:t>
            </w:r>
            <w:r w:rsidRPr="00A74D23">
              <w:rPr>
                <w:rFonts w:cs="Open Sans"/>
                <w:color w:val="000000" w:themeColor="text1"/>
                <w:sz w:val="20"/>
                <w:szCs w:val="20"/>
              </w:rPr>
              <w:t xml:space="preserve">? </w:t>
            </w:r>
          </w:p>
          <w:p w14:paraId="6DD071FD" w14:textId="77777777" w:rsidR="00793986" w:rsidRPr="00A74D23" w:rsidRDefault="00793986" w:rsidP="00590DD1">
            <w:pPr>
              <w:pStyle w:val="Paragraphedeliste"/>
              <w:numPr>
                <w:ilvl w:val="0"/>
                <w:numId w:val="30"/>
              </w:numPr>
              <w:spacing w:after="0" w:line="22" w:lineRule="atLeast"/>
              <w:ind w:left="714" w:hanging="357"/>
              <w:contextualSpacing w:val="0"/>
              <w:jc w:val="both"/>
              <w:rPr>
                <w:rFonts w:cs="Open Sans"/>
                <w:color w:val="000000" w:themeColor="text1"/>
                <w:sz w:val="20"/>
                <w:szCs w:val="20"/>
              </w:rPr>
            </w:pPr>
            <w:r w:rsidRPr="00A74D23">
              <w:rPr>
                <w:rFonts w:cs="Open Sans"/>
                <w:color w:val="000000" w:themeColor="text1"/>
                <w:sz w:val="20"/>
                <w:szCs w:val="20"/>
              </w:rPr>
              <w:t>Quand l’épargne rime avec préservation de la biodiversité</w:t>
            </w:r>
          </w:p>
          <w:p w14:paraId="70B1E0DB" w14:textId="50C78D7C" w:rsidR="00793986" w:rsidRPr="00A74D23" w:rsidRDefault="00793986" w:rsidP="00590DD1">
            <w:pPr>
              <w:pStyle w:val="Paragraphedeliste"/>
              <w:numPr>
                <w:ilvl w:val="0"/>
                <w:numId w:val="30"/>
              </w:numPr>
              <w:spacing w:after="0" w:line="22" w:lineRule="atLeast"/>
              <w:ind w:left="714" w:hanging="357"/>
              <w:contextualSpacing w:val="0"/>
              <w:jc w:val="both"/>
              <w:rPr>
                <w:rFonts w:cs="Open Sans"/>
                <w:color w:val="000000" w:themeColor="text1"/>
                <w:sz w:val="20"/>
                <w:szCs w:val="20"/>
              </w:rPr>
            </w:pPr>
            <w:r w:rsidRPr="00A74D23">
              <w:rPr>
                <w:rFonts w:cs="Open Sans"/>
                <w:color w:val="000000" w:themeColor="text1"/>
                <w:sz w:val="20"/>
                <w:szCs w:val="20"/>
              </w:rPr>
              <w:t>Label ISR, la position d’</w:t>
            </w:r>
            <w:r w:rsidR="00495330" w:rsidRPr="00A74D23">
              <w:rPr>
                <w:rFonts w:cs="Open Sans"/>
                <w:color w:val="000000" w:themeColor="text1"/>
                <w:sz w:val="20"/>
                <w:szCs w:val="20"/>
              </w:rPr>
              <w:t>OFI</w:t>
            </w:r>
            <w:r w:rsidRPr="00A74D23">
              <w:rPr>
                <w:rFonts w:cs="Open Sans"/>
                <w:color w:val="000000" w:themeColor="text1"/>
                <w:sz w:val="20"/>
                <w:szCs w:val="20"/>
              </w:rPr>
              <w:t xml:space="preserve"> Invest</w:t>
            </w:r>
          </w:p>
          <w:p w14:paraId="730C2BC4" w14:textId="77777777" w:rsidR="00793986" w:rsidRPr="00A74D23" w:rsidRDefault="00793986" w:rsidP="009D6EE5">
            <w:pPr>
              <w:spacing w:line="22" w:lineRule="atLeast"/>
              <w:ind w:left="-109"/>
              <w:jc w:val="both"/>
              <w:rPr>
                <w:rFonts w:asciiTheme="minorHAnsi" w:hAnsiTheme="minorHAnsi" w:cs="Open Sans"/>
                <w:color w:val="000000" w:themeColor="text1"/>
                <w:sz w:val="20"/>
                <w:szCs w:val="20"/>
                <w:lang w:val="fr-FR"/>
              </w:rPr>
            </w:pPr>
            <w:r w:rsidRPr="00A74D23">
              <w:rPr>
                <w:rFonts w:asciiTheme="minorHAnsi" w:hAnsiTheme="minorHAnsi" w:cs="Open Sans"/>
                <w:color w:val="000000" w:themeColor="text1"/>
                <w:sz w:val="20"/>
                <w:szCs w:val="20"/>
                <w:lang w:val="fr-FR"/>
              </w:rPr>
              <w:t>Nous avons en ligne depuis 2023 le guide de l’Epargne Responsable réalisé par France Assureurs ainsi qu’une plaquette réalisée par les équipes Marketing : « donner plus de sens à votre épargne grâce aux supports labellisés proposés dans les contrats Abeille Assurances ».</w:t>
            </w:r>
          </w:p>
          <w:p w14:paraId="34F7E1EF" w14:textId="77777777" w:rsidR="00793986" w:rsidRPr="00A74D23" w:rsidRDefault="00793986" w:rsidP="009D6EE5">
            <w:pPr>
              <w:spacing w:line="22" w:lineRule="atLeast"/>
              <w:jc w:val="both"/>
              <w:rPr>
                <w:rFonts w:asciiTheme="minorHAnsi" w:hAnsiTheme="minorHAnsi" w:cs="Open Sans"/>
                <w:color w:val="000000" w:themeColor="text1"/>
                <w:sz w:val="20"/>
                <w:szCs w:val="20"/>
                <w:lang w:val="fr-FR"/>
              </w:rPr>
            </w:pPr>
          </w:p>
          <w:p w14:paraId="24A35EAD" w14:textId="77777777" w:rsidR="00793986" w:rsidRPr="00A74D23" w:rsidRDefault="00793986" w:rsidP="009D6EE5">
            <w:pPr>
              <w:spacing w:after="120" w:line="22" w:lineRule="atLeast"/>
              <w:ind w:left="-109"/>
              <w:jc w:val="both"/>
              <w:rPr>
                <w:rFonts w:asciiTheme="minorHAnsi" w:eastAsia="Source Sans Pro" w:hAnsiTheme="minorHAnsi" w:cs="Open Sans"/>
                <w:i/>
                <w:iCs/>
                <w:color w:val="000000" w:themeColor="text1"/>
                <w:sz w:val="20"/>
                <w:szCs w:val="20"/>
                <w:lang w:val="fr-FR"/>
              </w:rPr>
            </w:pPr>
            <w:r w:rsidRPr="00A74D23">
              <w:rPr>
                <w:rFonts w:asciiTheme="minorHAnsi" w:eastAsia="Source Sans Pro" w:hAnsiTheme="minorHAnsi" w:cs="Open Sans"/>
                <w:color w:val="000000" w:themeColor="text1"/>
                <w:sz w:val="20"/>
                <w:szCs w:val="20"/>
                <w:lang w:val="fr-FR"/>
              </w:rPr>
              <w:t xml:space="preserve">Sur notre site internet, figurent d’autres contenus : </w:t>
            </w:r>
          </w:p>
          <w:p w14:paraId="2A73C5F3" w14:textId="77777777" w:rsidR="00793986" w:rsidRPr="00A74D23" w:rsidRDefault="00793986" w:rsidP="00590DD1">
            <w:pPr>
              <w:pStyle w:val="Paragraphedeliste"/>
              <w:numPr>
                <w:ilvl w:val="0"/>
                <w:numId w:val="31"/>
              </w:numPr>
              <w:spacing w:after="0" w:line="22" w:lineRule="atLeast"/>
              <w:ind w:left="357" w:hanging="357"/>
              <w:contextualSpacing w:val="0"/>
              <w:jc w:val="both"/>
              <w:rPr>
                <w:rFonts w:eastAsia="Source Sans Pro" w:cs="Open Sans"/>
                <w:i/>
                <w:iCs/>
                <w:color w:val="000000" w:themeColor="text1"/>
                <w:sz w:val="20"/>
                <w:szCs w:val="20"/>
              </w:rPr>
            </w:pPr>
            <w:r w:rsidRPr="00A74D23">
              <w:rPr>
                <w:rFonts w:eastAsia="Source Sans Pro" w:cs="Open Sans"/>
                <w:color w:val="000000" w:themeColor="text1"/>
                <w:sz w:val="20"/>
                <w:szCs w:val="20"/>
              </w:rPr>
              <w:t xml:space="preserve">Des conseils en assurances sous forme d’articles : </w:t>
            </w:r>
            <w:r w:rsidRPr="00A74D23">
              <w:rPr>
                <w:rFonts w:eastAsia="Source Sans Pro" w:cs="Open Sans"/>
                <w:i/>
                <w:iCs/>
                <w:color w:val="000000" w:themeColor="text1"/>
                <w:sz w:val="20"/>
                <w:szCs w:val="20"/>
              </w:rPr>
              <w:t>Que cachent les acronymes RSE ESG et ESS ? Un investissement financier peut-il être responsable</w:t>
            </w:r>
            <w:r w:rsidRPr="00A74D23">
              <w:rPr>
                <w:rFonts w:ascii="Arial" w:eastAsia="Source Sans Pro" w:hAnsi="Arial" w:cs="Arial"/>
                <w:i/>
                <w:iCs/>
                <w:color w:val="000000" w:themeColor="text1"/>
                <w:sz w:val="20"/>
                <w:szCs w:val="20"/>
              </w:rPr>
              <w:t> </w:t>
            </w:r>
            <w:r w:rsidRPr="00A74D23">
              <w:rPr>
                <w:rFonts w:eastAsia="Source Sans Pro" w:cs="Open Sans"/>
                <w:i/>
                <w:iCs/>
                <w:color w:val="000000" w:themeColor="text1"/>
                <w:sz w:val="20"/>
                <w:szCs w:val="20"/>
              </w:rPr>
              <w:t>? / Comment les crit</w:t>
            </w:r>
            <w:r w:rsidRPr="00A74D23">
              <w:rPr>
                <w:rFonts w:eastAsia="Source Sans Pro" w:cs="Source Sans Pro"/>
                <w:i/>
                <w:iCs/>
                <w:color w:val="000000" w:themeColor="text1"/>
                <w:sz w:val="20"/>
                <w:szCs w:val="20"/>
              </w:rPr>
              <w:t>è</w:t>
            </w:r>
            <w:r w:rsidRPr="00A74D23">
              <w:rPr>
                <w:rFonts w:eastAsia="Source Sans Pro" w:cs="Open Sans"/>
                <w:i/>
                <w:iCs/>
                <w:color w:val="000000" w:themeColor="text1"/>
                <w:sz w:val="20"/>
                <w:szCs w:val="20"/>
              </w:rPr>
              <w:t>res ESG influent-ils sur la gestion des g</w:t>
            </w:r>
            <w:r w:rsidRPr="00A74D23">
              <w:rPr>
                <w:rFonts w:eastAsia="Source Sans Pro" w:cs="Source Sans Pro"/>
                <w:i/>
                <w:iCs/>
                <w:color w:val="000000" w:themeColor="text1"/>
                <w:sz w:val="20"/>
                <w:szCs w:val="20"/>
              </w:rPr>
              <w:t>é</w:t>
            </w:r>
            <w:r w:rsidRPr="00A74D23">
              <w:rPr>
                <w:rFonts w:eastAsia="Source Sans Pro" w:cs="Open Sans"/>
                <w:i/>
                <w:iCs/>
                <w:color w:val="000000" w:themeColor="text1"/>
                <w:sz w:val="20"/>
                <w:szCs w:val="20"/>
              </w:rPr>
              <w:t>rants d</w:t>
            </w:r>
            <w:r w:rsidRPr="00A74D23">
              <w:rPr>
                <w:rFonts w:eastAsia="Source Sans Pro" w:cs="Source Sans Pro"/>
                <w:i/>
                <w:iCs/>
                <w:color w:val="000000" w:themeColor="text1"/>
                <w:sz w:val="20"/>
                <w:szCs w:val="20"/>
              </w:rPr>
              <w:t>’</w:t>
            </w:r>
            <w:r w:rsidRPr="00A74D23">
              <w:rPr>
                <w:rFonts w:eastAsia="Source Sans Pro" w:cs="Open Sans"/>
                <w:i/>
                <w:iCs/>
                <w:color w:val="000000" w:themeColor="text1"/>
                <w:sz w:val="20"/>
                <w:szCs w:val="20"/>
              </w:rPr>
              <w:t>Abeille Asset Management</w:t>
            </w:r>
            <w:r w:rsidRPr="00A74D23">
              <w:rPr>
                <w:rFonts w:ascii="Arial" w:eastAsia="Source Sans Pro" w:hAnsi="Arial" w:cs="Arial"/>
                <w:i/>
                <w:iCs/>
                <w:color w:val="000000" w:themeColor="text1"/>
                <w:sz w:val="20"/>
                <w:szCs w:val="20"/>
              </w:rPr>
              <w:t> </w:t>
            </w:r>
            <w:r w:rsidRPr="00A74D23">
              <w:rPr>
                <w:rFonts w:eastAsia="Source Sans Pro" w:cs="Open Sans"/>
                <w:i/>
                <w:iCs/>
                <w:color w:val="000000" w:themeColor="text1"/>
                <w:sz w:val="20"/>
                <w:szCs w:val="20"/>
              </w:rPr>
              <w:t>? /Quelles entreprises se cachent derri</w:t>
            </w:r>
            <w:r w:rsidRPr="00A74D23">
              <w:rPr>
                <w:rFonts w:eastAsia="Source Sans Pro" w:cs="Source Sans Pro"/>
                <w:i/>
                <w:iCs/>
                <w:color w:val="000000" w:themeColor="text1"/>
                <w:sz w:val="20"/>
                <w:szCs w:val="20"/>
              </w:rPr>
              <w:t>è</w:t>
            </w:r>
            <w:r w:rsidRPr="00A74D23">
              <w:rPr>
                <w:rFonts w:eastAsia="Source Sans Pro" w:cs="Open Sans"/>
                <w:i/>
                <w:iCs/>
                <w:color w:val="000000" w:themeColor="text1"/>
                <w:sz w:val="20"/>
                <w:szCs w:val="20"/>
              </w:rPr>
              <w:t>re les labels ISR et Finansol</w:t>
            </w:r>
            <w:r w:rsidRPr="00A74D23">
              <w:rPr>
                <w:rFonts w:ascii="Arial" w:eastAsia="Source Sans Pro" w:hAnsi="Arial" w:cs="Arial"/>
                <w:i/>
                <w:iCs/>
                <w:color w:val="000000" w:themeColor="text1"/>
                <w:sz w:val="20"/>
                <w:szCs w:val="20"/>
              </w:rPr>
              <w:t> </w:t>
            </w:r>
            <w:r w:rsidRPr="00A74D23">
              <w:rPr>
                <w:rFonts w:eastAsia="Source Sans Pro" w:cs="Open Sans"/>
                <w:i/>
                <w:iCs/>
                <w:color w:val="000000" w:themeColor="text1"/>
                <w:sz w:val="20"/>
                <w:szCs w:val="20"/>
              </w:rPr>
              <w:t xml:space="preserve">? Les fonds </w:t>
            </w:r>
            <w:r w:rsidRPr="00A74D23">
              <w:rPr>
                <w:rFonts w:eastAsia="Source Sans Pro" w:cs="Source Sans Pro"/>
                <w:i/>
                <w:iCs/>
                <w:color w:val="000000" w:themeColor="text1"/>
                <w:sz w:val="20"/>
                <w:szCs w:val="20"/>
              </w:rPr>
              <w:t>à</w:t>
            </w:r>
            <w:r w:rsidRPr="00A74D23">
              <w:rPr>
                <w:rFonts w:eastAsia="Source Sans Pro" w:cs="Open Sans"/>
                <w:i/>
                <w:iCs/>
                <w:color w:val="000000" w:themeColor="text1"/>
                <w:sz w:val="20"/>
                <w:szCs w:val="20"/>
              </w:rPr>
              <w:t xml:space="preserve"> th</w:t>
            </w:r>
            <w:r w:rsidRPr="00A74D23">
              <w:rPr>
                <w:rFonts w:eastAsia="Source Sans Pro" w:cs="Source Sans Pro"/>
                <w:i/>
                <w:iCs/>
                <w:color w:val="000000" w:themeColor="text1"/>
                <w:sz w:val="20"/>
                <w:szCs w:val="20"/>
              </w:rPr>
              <w:t>é</w:t>
            </w:r>
            <w:r w:rsidRPr="00A74D23">
              <w:rPr>
                <w:rFonts w:eastAsia="Source Sans Pro" w:cs="Open Sans"/>
                <w:i/>
                <w:iCs/>
                <w:color w:val="000000" w:themeColor="text1"/>
                <w:sz w:val="20"/>
                <w:szCs w:val="20"/>
              </w:rPr>
              <w:t>matique ISR</w:t>
            </w:r>
          </w:p>
          <w:p w14:paraId="367DD079" w14:textId="77777777" w:rsidR="00793986" w:rsidRPr="00A74D23" w:rsidRDefault="00793986" w:rsidP="00590DD1">
            <w:pPr>
              <w:pStyle w:val="Paragraphedeliste"/>
              <w:numPr>
                <w:ilvl w:val="0"/>
                <w:numId w:val="31"/>
              </w:numPr>
              <w:spacing w:after="0" w:line="22" w:lineRule="atLeast"/>
              <w:ind w:left="357" w:hanging="357"/>
              <w:contextualSpacing w:val="0"/>
              <w:jc w:val="both"/>
              <w:rPr>
                <w:rFonts w:eastAsia="Source Sans Pro" w:cs="Open Sans"/>
                <w:color w:val="000000" w:themeColor="text1"/>
                <w:sz w:val="20"/>
                <w:szCs w:val="20"/>
              </w:rPr>
            </w:pPr>
            <w:r w:rsidRPr="00A74D23">
              <w:rPr>
                <w:rFonts w:eastAsia="Source Sans Pro" w:cs="Open Sans"/>
                <w:color w:val="000000" w:themeColor="text1"/>
                <w:sz w:val="20"/>
                <w:szCs w:val="20"/>
              </w:rPr>
              <w:t>Une page sur l’investissement responsable présentant les labels disponibles dans nos gammes ;</w:t>
            </w:r>
          </w:p>
          <w:p w14:paraId="13B37997" w14:textId="690D0604" w:rsidR="00793986" w:rsidRPr="00A74D23" w:rsidRDefault="00793986" w:rsidP="00590DD1">
            <w:pPr>
              <w:pStyle w:val="Paragraphedeliste"/>
              <w:numPr>
                <w:ilvl w:val="0"/>
                <w:numId w:val="31"/>
              </w:numPr>
              <w:spacing w:after="0" w:line="22" w:lineRule="atLeast"/>
              <w:ind w:left="357" w:hanging="357"/>
              <w:contextualSpacing w:val="0"/>
              <w:jc w:val="both"/>
              <w:rPr>
                <w:rFonts w:eastAsia="Source Sans Pro" w:cs="Open Sans"/>
                <w:color w:val="000000" w:themeColor="text1"/>
                <w:sz w:val="20"/>
                <w:szCs w:val="20"/>
              </w:rPr>
            </w:pPr>
            <w:r w:rsidRPr="00A74D23">
              <w:rPr>
                <w:rFonts w:eastAsia="Source Sans Pro" w:cs="Open Sans"/>
                <w:color w:val="000000" w:themeColor="text1"/>
                <w:sz w:val="20"/>
                <w:szCs w:val="20"/>
              </w:rPr>
              <w:t xml:space="preserve">Une </w:t>
            </w:r>
            <w:r w:rsidR="00601C93">
              <w:rPr>
                <w:rFonts w:eastAsia="Source Sans Pro" w:cs="Open Sans"/>
                <w:color w:val="000000" w:themeColor="text1"/>
                <w:sz w:val="20"/>
                <w:szCs w:val="20"/>
              </w:rPr>
              <w:t>p</w:t>
            </w:r>
            <w:r w:rsidRPr="00A74D23">
              <w:rPr>
                <w:rFonts w:eastAsia="Source Sans Pro" w:cs="Open Sans"/>
                <w:color w:val="000000" w:themeColor="text1"/>
                <w:sz w:val="20"/>
                <w:szCs w:val="20"/>
              </w:rPr>
              <w:t>age sur la finance durable (page réglementaire donnant des informations et explications sur la règlementation SFDR et sur les Art. 8 et 9) ;</w:t>
            </w:r>
          </w:p>
          <w:p w14:paraId="674C6235" w14:textId="77777777" w:rsidR="00793986" w:rsidRPr="00A74D23" w:rsidRDefault="00793986" w:rsidP="00590DD1">
            <w:pPr>
              <w:pStyle w:val="Paragraphedeliste"/>
              <w:numPr>
                <w:ilvl w:val="0"/>
                <w:numId w:val="31"/>
              </w:numPr>
              <w:spacing w:after="0" w:line="22" w:lineRule="atLeast"/>
              <w:ind w:left="357" w:hanging="357"/>
              <w:contextualSpacing w:val="0"/>
              <w:jc w:val="both"/>
              <w:rPr>
                <w:rFonts w:eastAsia="Source Sans Pro" w:cs="Open Sans"/>
                <w:color w:val="000000" w:themeColor="text1"/>
                <w:sz w:val="20"/>
                <w:szCs w:val="20"/>
              </w:rPr>
            </w:pPr>
            <w:r w:rsidRPr="00A74D23">
              <w:rPr>
                <w:rFonts w:eastAsia="Source Sans Pro" w:cs="Open Sans"/>
                <w:color w:val="000000" w:themeColor="text1"/>
                <w:sz w:val="20"/>
                <w:szCs w:val="20"/>
              </w:rPr>
              <w:t>Une vidéo animée : « Comment donner une orientation responsable à son épargne avec les supports labellisés ISR, Finansol, Luxflag ou Greenfin ».</w:t>
            </w:r>
          </w:p>
          <w:p w14:paraId="7860689D" w14:textId="77777777" w:rsidR="00793986" w:rsidRPr="00A74D23" w:rsidRDefault="00793986" w:rsidP="009D6EE5">
            <w:pPr>
              <w:spacing w:line="22" w:lineRule="atLeast"/>
              <w:jc w:val="both"/>
              <w:rPr>
                <w:rFonts w:asciiTheme="minorHAnsi" w:eastAsia="Source Sans Pro" w:hAnsiTheme="minorHAnsi" w:cs="Open Sans"/>
                <w:color w:val="00B050"/>
                <w:sz w:val="20"/>
                <w:szCs w:val="20"/>
                <w:lang w:val="fr-FR"/>
              </w:rPr>
            </w:pPr>
            <w:r w:rsidRPr="00A74D23">
              <w:rPr>
                <w:rFonts w:asciiTheme="minorHAnsi" w:hAnsiTheme="minorHAnsi" w:cs="Open Sans"/>
                <w:noProof/>
                <w:sz w:val="20"/>
                <w:szCs w:val="20"/>
              </w:rPr>
              <mc:AlternateContent>
                <mc:Choice Requires="wps">
                  <w:drawing>
                    <wp:anchor distT="0" distB="0" distL="114300" distR="114300" simplePos="0" relativeHeight="251645952" behindDoc="0" locked="0" layoutInCell="1" allowOverlap="1" wp14:anchorId="3539C508" wp14:editId="2FEAEF57">
                      <wp:simplePos x="0" y="0"/>
                      <wp:positionH relativeFrom="column">
                        <wp:posOffset>404495</wp:posOffset>
                      </wp:positionH>
                      <wp:positionV relativeFrom="paragraph">
                        <wp:posOffset>161290</wp:posOffset>
                      </wp:positionV>
                      <wp:extent cx="139700" cy="216535"/>
                      <wp:effectExtent l="0" t="0" r="12700" b="12065"/>
                      <wp:wrapNone/>
                      <wp:docPr id="35" name="Graphic 35"/>
                      <wp:cNvGraphicFramePr/>
                      <a:graphic xmlns:a="http://schemas.openxmlformats.org/drawingml/2006/main">
                        <a:graphicData uri="http://schemas.microsoft.com/office/word/2010/wordprocessingShape">
                          <wps:wsp>
                            <wps:cNvSpPr/>
                            <wps:spPr>
                              <a:xfrm>
                                <a:off x="0" y="0"/>
                                <a:ext cx="139700" cy="216535"/>
                              </a:xfrm>
                              <a:custGeom>
                                <a:avLst/>
                                <a:gdLst/>
                                <a:ahLst/>
                                <a:cxnLst/>
                                <a:rect l="l" t="t" r="r" b="b"/>
                                <a:pathLst>
                                  <a:path w="186690" h="256540">
                                    <a:moveTo>
                                      <a:pt x="30271" y="0"/>
                                    </a:moveTo>
                                    <a:lnTo>
                                      <a:pt x="15614" y="2948"/>
                                    </a:lnTo>
                                    <a:lnTo>
                                      <a:pt x="4443" y="12885"/>
                                    </a:lnTo>
                                    <a:lnTo>
                                      <a:pt x="0" y="28191"/>
                                    </a:lnTo>
                                    <a:lnTo>
                                      <a:pt x="0" y="227835"/>
                                    </a:lnTo>
                                    <a:lnTo>
                                      <a:pt x="4443" y="243138"/>
                                    </a:lnTo>
                                    <a:lnTo>
                                      <a:pt x="15614" y="253073"/>
                                    </a:lnTo>
                                    <a:lnTo>
                                      <a:pt x="30271" y="256020"/>
                                    </a:lnTo>
                                    <a:lnTo>
                                      <a:pt x="45173" y="250364"/>
                                    </a:lnTo>
                                    <a:lnTo>
                                      <a:pt x="173494" y="153667"/>
                                    </a:lnTo>
                                    <a:lnTo>
                                      <a:pt x="183088" y="142035"/>
                                    </a:lnTo>
                                    <a:lnTo>
                                      <a:pt x="186286" y="128013"/>
                                    </a:lnTo>
                                    <a:lnTo>
                                      <a:pt x="183088" y="113990"/>
                                    </a:lnTo>
                                    <a:lnTo>
                                      <a:pt x="173494" y="102359"/>
                                    </a:lnTo>
                                    <a:lnTo>
                                      <a:pt x="45173" y="5661"/>
                                    </a:lnTo>
                                    <a:lnTo>
                                      <a:pt x="30271" y="0"/>
                                    </a:lnTo>
                                    <a:close/>
                                  </a:path>
                                </a:pathLst>
                              </a:custGeom>
                              <a:solidFill>
                                <a:srgbClr val="FFD400"/>
                              </a:solidFill>
                              <a:ln w="19050">
                                <a:solidFill>
                                  <a:schemeClr val="tx1"/>
                                </a:solidFill>
                              </a:ln>
                            </wps:spPr>
                            <wps:bodyPr wrap="square" lIns="0" tIns="0" rIns="0" bIns="0" rtlCol="0">
                              <a:prstTxWarp prst="textNoShape">
                                <a:avLst/>
                              </a:prstTxWarp>
                              <a:noAutofit/>
                            </wps:bodyPr>
                          </wps:wsp>
                        </a:graphicData>
                      </a:graphic>
                    </wp:anchor>
                  </w:drawing>
                </mc:Choice>
                <mc:Fallback>
                  <w:pict>
                    <v:shape w14:anchorId="4D2DF911" id="Graphic 35" o:spid="_x0000_s1026" style="position:absolute;margin-left:31.85pt;margin-top:12.7pt;width:11pt;height:17.05pt;z-index:251645952;visibility:visible;mso-wrap-style:square;mso-wrap-distance-left:9pt;mso-wrap-distance-top:0;mso-wrap-distance-right:9pt;mso-wrap-distance-bottom:0;mso-position-horizontal:absolute;mso-position-horizontal-relative:text;mso-position-vertical:absolute;mso-position-vertical-relative:text;v-text-anchor:top" coordsize="186690,256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" path="m30271,l15614,2948,4443,12885,,28191,,227835r4443,15303l15614,253073r14657,2947l45173,250364,173494,153667r9594,-11632l186286,128013r-3198,-14023l173494,102359,45173,5661,30271,xe" fillcolor="#ffd400" strokecolor="black [3213]" strokeweight="1.5pt">
                      <v:path arrowok="t"/>
                    </v:shape>
                  </w:pict>
                </mc:Fallback>
              </mc:AlternateContent>
            </w:r>
            <w:r w:rsidRPr="00A74D23">
              <w:rPr>
                <w:rFonts w:asciiTheme="minorHAnsi" w:eastAsia="Source Sans Pro" w:hAnsiTheme="minorHAnsi" w:cs="Open Sans"/>
                <w:noProof/>
                <w:color w:val="000000" w:themeColor="text1"/>
                <w:sz w:val="20"/>
                <w:szCs w:val="20"/>
              </w:rPr>
              <mc:AlternateContent>
                <mc:Choice Requires="wps">
                  <w:drawing>
                    <wp:anchor distT="0" distB="0" distL="114300" distR="114300" simplePos="0" relativeHeight="251642880" behindDoc="0" locked="0" layoutInCell="1" allowOverlap="1" wp14:anchorId="6D51E2AA" wp14:editId="1823C937">
                      <wp:simplePos x="0" y="0"/>
                      <wp:positionH relativeFrom="column">
                        <wp:posOffset>475615</wp:posOffset>
                      </wp:positionH>
                      <wp:positionV relativeFrom="paragraph">
                        <wp:posOffset>111898</wp:posOffset>
                      </wp:positionV>
                      <wp:extent cx="4876851" cy="309034"/>
                      <wp:effectExtent l="0" t="0" r="0" b="0"/>
                      <wp:wrapNone/>
                      <wp:docPr id="45" name="Rectangle : coins arrondis 45"/>
                      <wp:cNvGraphicFramePr/>
                      <a:graphic xmlns:a="http://schemas.openxmlformats.org/drawingml/2006/main">
                        <a:graphicData uri="http://schemas.microsoft.com/office/word/2010/wordprocessingShape">
                          <wps:wsp>
                            <wps:cNvSpPr/>
                            <wps:spPr>
                              <a:xfrm>
                                <a:off x="0" y="0"/>
                                <a:ext cx="4876851" cy="309034"/>
                              </a:xfrm>
                              <a:prstGeom prst="round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F41A25" w14:textId="77777777" w:rsidR="00793986" w:rsidRPr="00517184" w:rsidRDefault="00793986" w:rsidP="00793986">
                                  <w:pPr>
                                    <w:spacing w:line="252" w:lineRule="auto"/>
                                    <w:rPr>
                                      <w:rFonts w:ascii="Source Sans Pro" w:hAnsi="Source Sans Pro"/>
                                      <w:b/>
                                      <w:bCs/>
                                      <w:sz w:val="20"/>
                                      <w:szCs w:val="20"/>
                                    </w:rPr>
                                  </w:pPr>
                                  <w:hyperlink r:id="rId46">
                                    <w:r w:rsidRPr="00517184">
                                      <w:rPr>
                                        <w:rStyle w:val="Lienhypertexte"/>
                                        <w:rFonts w:ascii="Source Sans Pro" w:hAnsi="Source Sans Pro"/>
                                        <w:b/>
                                        <w:bCs/>
                                        <w:color w:val="000000" w:themeColor="text1"/>
                                        <w:sz w:val="20"/>
                                        <w:szCs w:val="20"/>
                                        <w:u w:val="none"/>
                                      </w:rPr>
                                      <w:t xml:space="preserve">L’Investissement responsable en vidéo - </w:t>
                                    </w:r>
                                    <w:hyperlink r:id="rId47" w:history="1">
                                      <w:r w:rsidRPr="00517184">
                                        <w:rPr>
                                          <w:rStyle w:val="Lienhypertexte"/>
                                          <w:rFonts w:ascii="Source Sans Pro" w:hAnsi="Source Sans Pro"/>
                                          <w:b/>
                                          <w:bCs/>
                                          <w:color w:val="000000" w:themeColor="text1"/>
                                          <w:sz w:val="20"/>
                                          <w:szCs w:val="20"/>
                                        </w:rPr>
                                        <w:t>Abeille Assurances (abeille-assurances.fr)</w:t>
                                      </w:r>
                                    </w:hyperlink>
                                  </w:hyperlink>
                                </w:p>
                                <w:p w14:paraId="169BBE08" w14:textId="77777777" w:rsidR="00793986" w:rsidRDefault="00793986" w:rsidP="0079398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51E2AA" id="Rectangle : coins arrondis 45" o:spid="_x0000_s1047" style="position:absolute;left:0;text-align:left;margin-left:37.45pt;margin-top:8.8pt;width:384pt;height:24.3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" fillcolor="#d8d8d8 [2732]" stroked="f" strokeweight="1pt">
                      <v:stroke joinstyle="miter"/>
                      <v:textbox>
                        <w:txbxContent>
                          <w:p w14:paraId="13F41A25" w14:textId="77777777" w:rsidR="00793986" w:rsidRPr="00517184" w:rsidRDefault="00793986" w:rsidP="00793986">
                            <w:pPr>
                              <w:spacing w:line="252" w:lineRule="auto"/>
                              <w:rPr>
                                <w:rFonts w:ascii="Source Sans Pro" w:hAnsi="Source Sans Pro"/>
                                <w:b/>
                                <w:bCs/>
                                <w:sz w:val="20"/>
                                <w:szCs w:val="20"/>
                              </w:rPr>
                            </w:pPr>
                            <w:hyperlink r:id="rId48">
                              <w:r w:rsidRPr="00517184">
                                <w:rPr>
                                  <w:rStyle w:val="Lienhypertexte"/>
                                  <w:rFonts w:ascii="Source Sans Pro" w:hAnsi="Source Sans Pro"/>
                                  <w:b/>
                                  <w:bCs/>
                                  <w:color w:val="000000" w:themeColor="text1"/>
                                  <w:sz w:val="20"/>
                                  <w:szCs w:val="20"/>
                                  <w:u w:val="none"/>
                                </w:rPr>
                                <w:t xml:space="preserve">L’Investissement responsable en vidéo - </w:t>
                              </w:r>
                              <w:hyperlink r:id="rId49" w:history="1">
                                <w:r w:rsidRPr="00517184">
                                  <w:rPr>
                                    <w:rStyle w:val="Lienhypertexte"/>
                                    <w:rFonts w:ascii="Source Sans Pro" w:hAnsi="Source Sans Pro"/>
                                    <w:b/>
                                    <w:bCs/>
                                    <w:color w:val="000000" w:themeColor="text1"/>
                                    <w:sz w:val="20"/>
                                    <w:szCs w:val="20"/>
                                  </w:rPr>
                                  <w:t>Abeille Assurances (abeille-assurances.fr)</w:t>
                                </w:r>
                              </w:hyperlink>
                            </w:hyperlink>
                          </w:p>
                          <w:p w14:paraId="169BBE08" w14:textId="77777777" w:rsidR="00793986" w:rsidRDefault="00793986" w:rsidP="00793986"/>
                        </w:txbxContent>
                      </v:textbox>
                    </v:roundrect>
                  </w:pict>
                </mc:Fallback>
              </mc:AlternateContent>
            </w:r>
          </w:p>
          <w:p w14:paraId="259A3550" w14:textId="77777777" w:rsidR="00793986" w:rsidRPr="00A74D23" w:rsidRDefault="00793986" w:rsidP="009D6EE5">
            <w:pPr>
              <w:spacing w:line="22" w:lineRule="atLeast"/>
              <w:jc w:val="both"/>
              <w:rPr>
                <w:rFonts w:asciiTheme="minorHAnsi" w:eastAsia="Source Sans Pro" w:hAnsiTheme="minorHAnsi" w:cs="Open Sans"/>
                <w:color w:val="00B050"/>
                <w:sz w:val="20"/>
                <w:szCs w:val="20"/>
                <w:lang w:val="fr-FR"/>
              </w:rPr>
            </w:pPr>
          </w:p>
          <w:p w14:paraId="27FC15A8" w14:textId="77777777" w:rsidR="00793986" w:rsidRPr="00A74D23" w:rsidRDefault="00793986" w:rsidP="009D6EE5">
            <w:pPr>
              <w:pStyle w:val="Style1"/>
              <w:numPr>
                <w:ilvl w:val="0"/>
                <w:numId w:val="0"/>
              </w:numPr>
              <w:spacing w:after="0" w:line="22" w:lineRule="atLeast"/>
              <w:jc w:val="both"/>
              <w:rPr>
                <w:rFonts w:cs="Open Sans"/>
                <w:i w:val="0"/>
                <w:color w:val="auto"/>
                <w:sz w:val="20"/>
                <w:szCs w:val="20"/>
              </w:rPr>
            </w:pPr>
          </w:p>
          <w:p w14:paraId="0CD78E79" w14:textId="77777777" w:rsidR="00793986" w:rsidRPr="00A74D23" w:rsidRDefault="00793986" w:rsidP="009D6EE5">
            <w:pPr>
              <w:pStyle w:val="Style1"/>
              <w:numPr>
                <w:ilvl w:val="0"/>
                <w:numId w:val="0"/>
              </w:numPr>
              <w:spacing w:after="0" w:line="22" w:lineRule="atLeast"/>
              <w:jc w:val="both"/>
              <w:rPr>
                <w:rFonts w:cs="Open Sans"/>
                <w:i w:val="0"/>
                <w:color w:val="auto"/>
                <w:sz w:val="20"/>
                <w:szCs w:val="20"/>
              </w:rPr>
            </w:pPr>
          </w:p>
          <w:p w14:paraId="44817386" w14:textId="14E2280D" w:rsidR="00793986" w:rsidRPr="00A74D23" w:rsidRDefault="00793986" w:rsidP="009D6EE5">
            <w:pPr>
              <w:pStyle w:val="Style1"/>
              <w:numPr>
                <w:ilvl w:val="0"/>
                <w:numId w:val="0"/>
              </w:numPr>
              <w:spacing w:after="0" w:line="22" w:lineRule="atLeast"/>
              <w:ind w:left="-109"/>
              <w:jc w:val="both"/>
              <w:rPr>
                <w:rFonts w:cs="Open Sans"/>
                <w:i w:val="0"/>
                <w:iCs w:val="0"/>
                <w:color w:val="auto"/>
                <w:sz w:val="20"/>
                <w:szCs w:val="20"/>
              </w:rPr>
            </w:pPr>
            <w:r w:rsidRPr="00A74D23">
              <w:rPr>
                <w:rFonts w:cs="Open Sans"/>
                <w:i w:val="0"/>
                <w:color w:val="auto"/>
                <w:sz w:val="20"/>
                <w:szCs w:val="20"/>
              </w:rPr>
              <w:t xml:space="preserve">Nous </w:t>
            </w:r>
            <w:r w:rsidRPr="00A74D23">
              <w:rPr>
                <w:rFonts w:cs="Open Sans"/>
                <w:i w:val="0"/>
                <w:iCs w:val="0"/>
                <w:color w:val="auto"/>
                <w:sz w:val="20"/>
                <w:szCs w:val="20"/>
              </w:rPr>
              <w:t>insérons</w:t>
            </w:r>
            <w:r w:rsidRPr="00A74D23">
              <w:rPr>
                <w:rFonts w:cs="Open Sans"/>
                <w:i w:val="0"/>
                <w:color w:val="auto"/>
                <w:sz w:val="20"/>
                <w:szCs w:val="20"/>
              </w:rPr>
              <w:t xml:space="preserve"> régulièrement des informations sur les enjeux de durabilité (interviews de gérants, </w:t>
            </w:r>
            <w:r w:rsidRPr="00A74D23">
              <w:rPr>
                <w:rFonts w:cs="Open Sans"/>
                <w:i w:val="0"/>
                <w:iCs w:val="0"/>
                <w:color w:val="auto"/>
                <w:sz w:val="20"/>
                <w:szCs w:val="20"/>
              </w:rPr>
              <w:t>métriques</w:t>
            </w:r>
            <w:r w:rsidRPr="00A74D23">
              <w:rPr>
                <w:rFonts w:cs="Open Sans"/>
                <w:i w:val="0"/>
                <w:color w:val="auto"/>
                <w:sz w:val="20"/>
                <w:szCs w:val="20"/>
              </w:rPr>
              <w:t xml:space="preserve"> ESG) dans les </w:t>
            </w:r>
            <w:r w:rsidRPr="00A74D23">
              <w:rPr>
                <w:rFonts w:cs="Open Sans"/>
                <w:i w:val="0"/>
                <w:iCs w:val="0"/>
                <w:color w:val="auto"/>
                <w:sz w:val="20"/>
                <w:szCs w:val="20"/>
              </w:rPr>
              <w:t>communications</w:t>
            </w:r>
            <w:r w:rsidRPr="00A74D23">
              <w:rPr>
                <w:rFonts w:cs="Open Sans"/>
                <w:i w:val="0"/>
                <w:color w:val="auto"/>
                <w:sz w:val="20"/>
                <w:szCs w:val="20"/>
              </w:rPr>
              <w:t xml:space="preserve"> à destination de nos clients. Des plaquettes intégrant des informations </w:t>
            </w:r>
            <w:r w:rsidRPr="00A74D23">
              <w:rPr>
                <w:rFonts w:cs="Open Sans"/>
                <w:i w:val="0"/>
                <w:iCs w:val="0"/>
                <w:color w:val="auto"/>
                <w:sz w:val="20"/>
                <w:szCs w:val="20"/>
              </w:rPr>
              <w:t>extra financières</w:t>
            </w:r>
            <w:r w:rsidRPr="00A74D23">
              <w:rPr>
                <w:rFonts w:cs="Open Sans"/>
                <w:i w:val="0"/>
                <w:color w:val="auto"/>
                <w:sz w:val="20"/>
                <w:szCs w:val="20"/>
              </w:rPr>
              <w:t xml:space="preserve"> pour les fonds commercialisés par </w:t>
            </w:r>
            <w:r w:rsidR="00495330" w:rsidRPr="00A74D23">
              <w:rPr>
                <w:rFonts w:cs="Open Sans"/>
                <w:i w:val="0"/>
                <w:color w:val="auto"/>
                <w:sz w:val="20"/>
                <w:szCs w:val="20"/>
              </w:rPr>
              <w:t>Ofi</w:t>
            </w:r>
            <w:r w:rsidRPr="00A74D23">
              <w:rPr>
                <w:rFonts w:cs="Open Sans"/>
                <w:i w:val="0"/>
                <w:color w:val="auto"/>
                <w:sz w:val="20"/>
                <w:szCs w:val="20"/>
              </w:rPr>
              <w:t xml:space="preserve"> Invest AM sont également fournies à notre clientèle de particuliers</w:t>
            </w:r>
            <w:r w:rsidRPr="00A74D23">
              <w:rPr>
                <w:rFonts w:cs="Open Sans"/>
                <w:i w:val="0"/>
                <w:iCs w:val="0"/>
                <w:color w:val="auto"/>
                <w:sz w:val="20"/>
                <w:szCs w:val="20"/>
              </w:rPr>
              <w:t>.</w:t>
            </w:r>
            <w:r w:rsidRPr="00A74D23">
              <w:rPr>
                <w:rFonts w:cs="Open Sans"/>
                <w:i w:val="0"/>
                <w:color w:val="auto"/>
                <w:sz w:val="20"/>
                <w:szCs w:val="20"/>
              </w:rPr>
              <w:t xml:space="preserve"> De manière générale, nous veillons à communiquer activement sur ces sujets avec nos clients lors d’échanges et à l’occasion de </w:t>
            </w:r>
            <w:r w:rsidRPr="00A74D23">
              <w:rPr>
                <w:rFonts w:cs="Open Sans"/>
                <w:i w:val="0"/>
                <w:iCs w:val="0"/>
                <w:color w:val="auto"/>
                <w:sz w:val="20"/>
                <w:szCs w:val="20"/>
              </w:rPr>
              <w:t>forums ou</w:t>
            </w:r>
            <w:r w:rsidRPr="00A74D23">
              <w:rPr>
                <w:rFonts w:cs="Open Sans"/>
                <w:i w:val="0"/>
                <w:color w:val="auto"/>
                <w:sz w:val="20"/>
                <w:szCs w:val="20"/>
              </w:rPr>
              <w:t xml:space="preserve"> de tables rondes. Conscients de l’importance particulière de ces thématiques, nous nous attachons à développer des formations évolutives </w:t>
            </w:r>
            <w:r w:rsidRPr="00A74D23">
              <w:rPr>
                <w:rFonts w:cs="Open Sans"/>
                <w:i w:val="0"/>
                <w:iCs w:val="0"/>
                <w:color w:val="auto"/>
                <w:sz w:val="20"/>
                <w:szCs w:val="20"/>
              </w:rPr>
              <w:t xml:space="preserve">à l’attention </w:t>
            </w:r>
            <w:r w:rsidRPr="00A74D23">
              <w:rPr>
                <w:rFonts w:cs="Open Sans"/>
                <w:i w:val="0"/>
                <w:color w:val="auto"/>
                <w:sz w:val="20"/>
                <w:szCs w:val="20"/>
              </w:rPr>
              <w:t xml:space="preserve">de nos réseaux de distribution </w:t>
            </w:r>
            <w:r w:rsidRPr="00A74D23">
              <w:rPr>
                <w:rFonts w:cs="Open Sans"/>
                <w:i w:val="0"/>
                <w:iCs w:val="0"/>
                <w:color w:val="auto"/>
                <w:sz w:val="20"/>
                <w:szCs w:val="20"/>
              </w:rPr>
              <w:t>afin qu’ils puissent mener à bien</w:t>
            </w:r>
            <w:r w:rsidRPr="00A74D23">
              <w:rPr>
                <w:rFonts w:cs="Open Sans"/>
                <w:i w:val="0"/>
                <w:color w:val="auto"/>
                <w:sz w:val="20"/>
                <w:szCs w:val="20"/>
              </w:rPr>
              <w:t xml:space="preserve"> leur </w:t>
            </w:r>
            <w:r w:rsidRPr="00A74D23">
              <w:rPr>
                <w:rFonts w:cs="Open Sans"/>
                <w:i w:val="0"/>
                <w:iCs w:val="0"/>
                <w:color w:val="auto"/>
                <w:sz w:val="20"/>
                <w:szCs w:val="20"/>
              </w:rPr>
              <w:t>mission de devoir</w:t>
            </w:r>
            <w:r w:rsidRPr="00A74D23">
              <w:rPr>
                <w:rFonts w:cs="Open Sans"/>
                <w:i w:val="0"/>
                <w:color w:val="auto"/>
                <w:sz w:val="20"/>
                <w:szCs w:val="20"/>
              </w:rPr>
              <w:t xml:space="preserve"> de </w:t>
            </w:r>
            <w:r w:rsidRPr="00A74D23">
              <w:rPr>
                <w:rFonts w:cs="Open Sans"/>
                <w:i w:val="0"/>
                <w:iCs w:val="0"/>
                <w:color w:val="auto"/>
                <w:sz w:val="20"/>
                <w:szCs w:val="20"/>
              </w:rPr>
              <w:t>sensibilisation et d’accompagnement de nos</w:t>
            </w:r>
            <w:r w:rsidRPr="00A74D23">
              <w:rPr>
                <w:rFonts w:cs="Open Sans"/>
                <w:i w:val="0"/>
                <w:color w:val="auto"/>
                <w:sz w:val="20"/>
                <w:szCs w:val="20"/>
              </w:rPr>
              <w:t xml:space="preserve"> clients sur les sujets </w:t>
            </w:r>
            <w:r w:rsidRPr="00A74D23">
              <w:rPr>
                <w:rFonts w:cs="Open Sans"/>
                <w:i w:val="0"/>
                <w:iCs w:val="0"/>
                <w:color w:val="auto"/>
                <w:sz w:val="20"/>
                <w:szCs w:val="20"/>
              </w:rPr>
              <w:t>de l’ISR.</w:t>
            </w:r>
          </w:p>
          <w:p w14:paraId="3068DC2E" w14:textId="77777777" w:rsidR="00793986" w:rsidRPr="00A74D23" w:rsidRDefault="00793986" w:rsidP="009D6EE5">
            <w:pPr>
              <w:pStyle w:val="Style3"/>
              <w:tabs>
                <w:tab w:val="clear" w:pos="426"/>
              </w:tabs>
              <w:spacing w:line="22" w:lineRule="atLeast"/>
              <w:ind w:left="0" w:firstLine="0"/>
              <w:jc w:val="both"/>
              <w:rPr>
                <w:rFonts w:asciiTheme="minorHAnsi" w:hAnsiTheme="minorHAnsi" w:cs="Open Sans"/>
              </w:rPr>
            </w:pPr>
          </w:p>
          <w:p w14:paraId="1233E0A5" w14:textId="77777777" w:rsidR="00793986" w:rsidRPr="00A74D23" w:rsidRDefault="00793986" w:rsidP="009D6EE5">
            <w:pPr>
              <w:pStyle w:val="Style3"/>
              <w:tabs>
                <w:tab w:val="clear" w:pos="426"/>
              </w:tabs>
              <w:spacing w:line="22" w:lineRule="atLeast"/>
              <w:ind w:left="0" w:firstLine="0"/>
              <w:jc w:val="both"/>
              <w:rPr>
                <w:rFonts w:asciiTheme="minorHAnsi" w:hAnsiTheme="minorHAnsi" w:cs="Open Sans"/>
              </w:rPr>
            </w:pPr>
          </w:p>
          <w:p w14:paraId="5D7165C8" w14:textId="77777777" w:rsidR="00D073FE" w:rsidRPr="00A74D23" w:rsidRDefault="00D073FE" w:rsidP="00D073FE">
            <w:pPr>
              <w:pStyle w:val="StyleYO"/>
              <w:numPr>
                <w:ilvl w:val="0"/>
                <w:numId w:val="0"/>
              </w:numPr>
              <w:rPr>
                <w:kern w:val="2"/>
                <w:sz w:val="26"/>
                <w:szCs w:val="26"/>
                <w14:ligatures w14:val="standardContextual"/>
              </w:rPr>
            </w:pPr>
            <w:bookmarkStart w:id="37" w:name="Toc228979659"/>
            <w:bookmarkStart w:id="38" w:name="_Toc231337001"/>
            <w:bookmarkEnd w:id="37"/>
            <w:r w:rsidRPr="00A74D23">
              <w:t>2. Synthèse de notre stratégie de durabilité sur le portefeuille d’investissement</w:t>
            </w:r>
            <w:bookmarkEnd w:id="38"/>
          </w:p>
          <w:p w14:paraId="5D4DCD33" w14:textId="77777777" w:rsidR="00CD0274" w:rsidRPr="00A74D23" w:rsidRDefault="00CD0274" w:rsidP="009D6EE5">
            <w:pPr>
              <w:pStyle w:val="Style3"/>
              <w:tabs>
                <w:tab w:val="clear" w:pos="426"/>
              </w:tabs>
              <w:spacing w:line="22" w:lineRule="atLeast"/>
              <w:ind w:left="0" w:firstLine="0"/>
              <w:jc w:val="both"/>
              <w:rPr>
                <w:rFonts w:asciiTheme="minorHAnsi" w:hAnsiTheme="minorHAnsi" w:cs="Open Sans"/>
              </w:rPr>
            </w:pPr>
          </w:p>
          <w:p w14:paraId="6C301B56" w14:textId="7E4FC669" w:rsidR="00125435" w:rsidRPr="00A74D23" w:rsidRDefault="00346F48" w:rsidP="009D6EE5">
            <w:pPr>
              <w:pStyle w:val="Style3"/>
              <w:spacing w:after="0" w:line="22" w:lineRule="atLeast"/>
              <w:ind w:left="6316" w:hanging="6316"/>
              <w:jc w:val="both"/>
              <w:rPr>
                <w:rFonts w:asciiTheme="minorHAnsi" w:hAnsiTheme="minorHAnsi" w:cs="Open Sans"/>
                <w:sz w:val="32"/>
                <w:szCs w:val="32"/>
              </w:rPr>
            </w:pPr>
            <w:r w:rsidRPr="00A74D23">
              <w:rPr>
                <w:rFonts w:asciiTheme="minorHAnsi" w:hAnsiTheme="minorHAnsi" w:cs="Open Sans"/>
                <w:sz w:val="32"/>
                <w:szCs w:val="32"/>
              </w:rPr>
              <w:t>2.1</w:t>
            </w:r>
            <w:r w:rsidR="00125435" w:rsidRPr="00A74D23">
              <w:rPr>
                <w:rFonts w:asciiTheme="minorHAnsi" w:hAnsiTheme="minorHAnsi" w:cs="Open Sans"/>
                <w:sz w:val="32"/>
                <w:szCs w:val="32"/>
              </w:rPr>
              <w:t xml:space="preserve">. </w:t>
            </w:r>
            <w:r w:rsidRPr="00A74D23">
              <w:rPr>
                <w:rFonts w:asciiTheme="minorHAnsi" w:hAnsiTheme="minorHAnsi" w:cs="Open Sans"/>
                <w:sz w:val="32"/>
                <w:szCs w:val="32"/>
              </w:rPr>
              <w:t>Composition du portefeuille</w:t>
            </w:r>
          </w:p>
          <w:bookmarkEnd w:id="35"/>
          <w:bookmarkEnd w:id="36"/>
          <w:p w14:paraId="2E0812EE" w14:textId="77777777" w:rsidR="00125435" w:rsidRPr="00A74D23" w:rsidRDefault="00125435" w:rsidP="009D6EE5">
            <w:pPr>
              <w:spacing w:line="22" w:lineRule="atLeast"/>
              <w:jc w:val="both"/>
              <w:rPr>
                <w:rFonts w:asciiTheme="minorHAnsi" w:hAnsiTheme="minorHAnsi" w:cs="Open Sans"/>
                <w:sz w:val="18"/>
                <w:szCs w:val="18"/>
                <w:lang w:val="fr-FR"/>
              </w:rPr>
            </w:pPr>
          </w:p>
          <w:p w14:paraId="5AF56711" w14:textId="77777777" w:rsidR="00B546F8" w:rsidRDefault="00B546F8" w:rsidP="009D6EE5">
            <w:pPr>
              <w:pStyle w:val="Style3"/>
              <w:spacing w:after="0" w:line="22" w:lineRule="atLeast"/>
              <w:ind w:left="6316" w:hanging="6316"/>
              <w:jc w:val="both"/>
              <w:rPr>
                <w:rFonts w:asciiTheme="minorHAnsi" w:hAnsiTheme="minorHAnsi" w:cs="Open Sans"/>
                <w:sz w:val="32"/>
                <w:szCs w:val="32"/>
              </w:rPr>
            </w:pPr>
          </w:p>
          <w:p w14:paraId="27811373" w14:textId="77777777" w:rsidR="00AF008A" w:rsidRPr="00A74D23" w:rsidRDefault="00AF008A" w:rsidP="00AF008A">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 xml:space="preserve">Sur un total de </w:t>
            </w:r>
            <w:r>
              <w:rPr>
                <w:rFonts w:asciiTheme="minorHAnsi" w:hAnsiTheme="minorHAnsi" w:cs="Open Sans"/>
                <w:sz w:val="20"/>
                <w:szCs w:val="20"/>
                <w:lang w:val="fr-FR"/>
              </w:rPr>
              <w:t>8,8</w:t>
            </w:r>
            <w:r w:rsidRPr="00A74D23">
              <w:rPr>
                <w:rFonts w:asciiTheme="minorHAnsi" w:hAnsiTheme="minorHAnsi" w:cs="Open Sans"/>
                <w:sz w:val="20"/>
                <w:szCs w:val="20"/>
                <w:lang w:val="fr-FR"/>
              </w:rPr>
              <w:t xml:space="preserve"> Mds € d’encours sous gestion au 31 décembre 2025, </w:t>
            </w:r>
            <w:r>
              <w:rPr>
                <w:rFonts w:asciiTheme="minorHAnsi" w:hAnsiTheme="minorHAnsi" w:cs="Open Sans"/>
                <w:sz w:val="20"/>
                <w:szCs w:val="20"/>
                <w:lang w:val="fr-FR"/>
              </w:rPr>
              <w:t>5</w:t>
            </w:r>
            <w:r w:rsidRPr="00A74D23">
              <w:rPr>
                <w:rFonts w:asciiTheme="minorHAnsi" w:hAnsiTheme="minorHAnsi" w:cs="Open Sans"/>
                <w:sz w:val="20"/>
                <w:szCs w:val="20"/>
                <w:lang w:val="fr-FR"/>
              </w:rPr>
              <w:t>8% (</w:t>
            </w:r>
            <w:r>
              <w:rPr>
                <w:rFonts w:asciiTheme="minorHAnsi" w:hAnsiTheme="minorHAnsi" w:cs="Open Sans"/>
                <w:sz w:val="20"/>
                <w:szCs w:val="20"/>
                <w:lang w:val="fr-FR"/>
              </w:rPr>
              <w:t>5,1</w:t>
            </w:r>
            <w:r w:rsidRPr="00A74D23">
              <w:rPr>
                <w:rFonts w:asciiTheme="minorHAnsi" w:hAnsiTheme="minorHAnsi" w:cs="Open Sans"/>
                <w:sz w:val="20"/>
                <w:szCs w:val="20"/>
                <w:lang w:val="fr-FR"/>
              </w:rPr>
              <w:t xml:space="preserve"> Mds €) sont gérés en Unités de Compte (UC), et </w:t>
            </w:r>
            <w:r>
              <w:rPr>
                <w:rFonts w:asciiTheme="minorHAnsi" w:hAnsiTheme="minorHAnsi" w:cs="Open Sans"/>
                <w:sz w:val="20"/>
                <w:szCs w:val="20"/>
                <w:lang w:val="fr-FR"/>
              </w:rPr>
              <w:t>42</w:t>
            </w:r>
            <w:r w:rsidRPr="00A74D23">
              <w:rPr>
                <w:rFonts w:asciiTheme="minorHAnsi" w:hAnsiTheme="minorHAnsi" w:cs="Open Sans"/>
                <w:sz w:val="20"/>
                <w:szCs w:val="20"/>
                <w:lang w:val="fr-FR"/>
              </w:rPr>
              <w:t>% (</w:t>
            </w:r>
            <w:r>
              <w:rPr>
                <w:rFonts w:asciiTheme="minorHAnsi" w:hAnsiTheme="minorHAnsi" w:cs="Open Sans"/>
                <w:sz w:val="20"/>
                <w:szCs w:val="20"/>
                <w:lang w:val="fr-FR"/>
              </w:rPr>
              <w:t>3,7</w:t>
            </w:r>
            <w:r w:rsidRPr="00A74D23">
              <w:rPr>
                <w:rFonts w:asciiTheme="minorHAnsi" w:hAnsiTheme="minorHAnsi" w:cs="Open Sans"/>
                <w:sz w:val="20"/>
                <w:szCs w:val="20"/>
                <w:lang w:val="fr-FR"/>
              </w:rPr>
              <w:t xml:space="preserve"> Mds €) sont gérés sous forme de mandats. </w:t>
            </w:r>
          </w:p>
          <w:p w14:paraId="1DD3ECE2" w14:textId="77777777" w:rsidR="00AF008A" w:rsidRPr="00A74D23" w:rsidRDefault="00AF008A" w:rsidP="00AF008A">
            <w:pPr>
              <w:spacing w:line="22" w:lineRule="atLeast"/>
              <w:jc w:val="both"/>
              <w:rPr>
                <w:rFonts w:asciiTheme="minorHAnsi" w:hAnsiTheme="minorHAnsi" w:cs="Open Sans"/>
                <w:sz w:val="20"/>
                <w:szCs w:val="20"/>
                <w:lang w:val="fr-FR"/>
              </w:rPr>
            </w:pPr>
          </w:p>
          <w:p w14:paraId="6633663A" w14:textId="77777777" w:rsidR="00AF008A" w:rsidRPr="00A74D23" w:rsidRDefault="00AF008A" w:rsidP="00AF008A">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La majeure partie de l’actif géré sous mandat concerne des classes d’actifs obligataires (</w:t>
            </w:r>
            <w:r>
              <w:rPr>
                <w:rFonts w:asciiTheme="minorHAnsi" w:hAnsiTheme="minorHAnsi" w:cs="Open Sans"/>
                <w:sz w:val="20"/>
                <w:szCs w:val="20"/>
                <w:lang w:val="fr-FR"/>
              </w:rPr>
              <w:t>67</w:t>
            </w:r>
            <w:r w:rsidRPr="00A74D23">
              <w:rPr>
                <w:rFonts w:asciiTheme="minorHAnsi" w:hAnsiTheme="minorHAnsi" w:cs="Open Sans"/>
                <w:sz w:val="20"/>
                <w:szCs w:val="20"/>
                <w:lang w:val="fr-FR"/>
              </w:rPr>
              <w:t>%) principalement investies en obligations souveraines (</w:t>
            </w:r>
            <w:r>
              <w:rPr>
                <w:rFonts w:asciiTheme="minorHAnsi" w:hAnsiTheme="minorHAnsi" w:cs="Open Sans"/>
                <w:sz w:val="20"/>
                <w:szCs w:val="20"/>
                <w:lang w:val="fr-FR"/>
              </w:rPr>
              <w:t>57</w:t>
            </w:r>
            <w:r w:rsidRPr="00A74D23">
              <w:rPr>
                <w:rFonts w:asciiTheme="minorHAnsi" w:hAnsiTheme="minorHAnsi" w:cs="Open Sans"/>
                <w:sz w:val="20"/>
                <w:szCs w:val="20"/>
                <w:lang w:val="fr-FR"/>
              </w:rPr>
              <w:t xml:space="preserve"> % du portefeuille obligataire). Le montant total du portefeuille sous mandat euros exclut les participations stratégiques dans nos filiales, les prêts subordonnés intra-groupe, les dérivés ainsi que les activités de mise en pension. Ce montant intègre les actifs en représentation de nos engagements de passif relatifs à notre activité d’assurance vie en fonds garantis euros, ainsi que notre portefeuille dommage. </w:t>
            </w:r>
          </w:p>
          <w:p w14:paraId="5CE5ADE3" w14:textId="77777777" w:rsidR="00AF008A" w:rsidRDefault="00AF008A" w:rsidP="00AF008A">
            <w:pPr>
              <w:spacing w:line="22" w:lineRule="atLeast"/>
              <w:jc w:val="both"/>
              <w:rPr>
                <w:rFonts w:asciiTheme="minorHAnsi" w:hAnsiTheme="minorHAnsi" w:cs="Open Sans"/>
                <w:sz w:val="20"/>
                <w:szCs w:val="20"/>
                <w:lang w:val="fr-FR"/>
              </w:rPr>
            </w:pPr>
          </w:p>
          <w:p w14:paraId="724CD01A" w14:textId="77777777" w:rsidR="00AF008A" w:rsidRPr="00A74D23" w:rsidRDefault="00AF008A" w:rsidP="00AF008A">
            <w:pPr>
              <w:spacing w:line="22" w:lineRule="atLeast"/>
              <w:jc w:val="both"/>
              <w:rPr>
                <w:rFonts w:asciiTheme="minorHAnsi" w:hAnsiTheme="minorHAnsi" w:cs="Open Sans"/>
                <w:sz w:val="20"/>
                <w:szCs w:val="20"/>
                <w:lang w:val="fr-FR"/>
              </w:rPr>
            </w:pPr>
            <w:r>
              <w:rPr>
                <w:noProof/>
              </w:rPr>
              <w:drawing>
                <wp:anchor distT="0" distB="0" distL="114300" distR="114300" simplePos="0" relativeHeight="252042240" behindDoc="0" locked="0" layoutInCell="1" allowOverlap="1" wp14:anchorId="01DA531D" wp14:editId="2FB33868">
                  <wp:simplePos x="0" y="0"/>
                  <wp:positionH relativeFrom="column">
                    <wp:posOffset>3133725</wp:posOffset>
                  </wp:positionH>
                  <wp:positionV relativeFrom="paragraph">
                    <wp:posOffset>177165</wp:posOffset>
                  </wp:positionV>
                  <wp:extent cx="2983230" cy="2673985"/>
                  <wp:effectExtent l="0" t="0" r="7620" b="12065"/>
                  <wp:wrapSquare wrapText="bothSides"/>
                  <wp:docPr id="562601774" name="Graphique 1">
                    <a:extLst xmlns:a="http://schemas.openxmlformats.org/drawingml/2006/main">
                      <a:ext uri="{FF2B5EF4-FFF2-40B4-BE49-F238E27FC236}">
                        <a16:creationId xmlns:a16="http://schemas.microsoft.com/office/drawing/2014/main" id="{186184A0-1538-4F1A-BDBD-9412D492A8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43264" behindDoc="0" locked="0" layoutInCell="1" allowOverlap="1" wp14:anchorId="0987C275" wp14:editId="383BB05C">
                  <wp:simplePos x="0" y="0"/>
                  <wp:positionH relativeFrom="column">
                    <wp:posOffset>-66675</wp:posOffset>
                  </wp:positionH>
                  <wp:positionV relativeFrom="paragraph">
                    <wp:posOffset>168910</wp:posOffset>
                  </wp:positionV>
                  <wp:extent cx="3148330" cy="2682240"/>
                  <wp:effectExtent l="0" t="0" r="13970" b="3810"/>
                  <wp:wrapSquare wrapText="bothSides"/>
                  <wp:docPr id="783906955" name="Graphique 2">
                    <a:extLst xmlns:a="http://schemas.openxmlformats.org/drawingml/2006/main">
                      <a:ext uri="{FF2B5EF4-FFF2-40B4-BE49-F238E27FC236}">
                        <a16:creationId xmlns:a16="http://schemas.microsoft.com/office/drawing/2014/main" id="{F99B3ACF-F5F0-45E8-863E-11492608E9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07D87234" w14:textId="77777777" w:rsidR="00AF008A" w:rsidRPr="00A74D23" w:rsidRDefault="00AF008A" w:rsidP="00AF008A">
            <w:pPr>
              <w:spacing w:line="22" w:lineRule="atLeast"/>
              <w:jc w:val="both"/>
              <w:rPr>
                <w:rFonts w:asciiTheme="minorHAnsi" w:hAnsiTheme="minorHAnsi" w:cs="Open Sans"/>
                <w:i/>
                <w:sz w:val="18"/>
                <w:szCs w:val="18"/>
                <w:lang w:val="fr-FR"/>
              </w:rPr>
            </w:pPr>
            <w:r w:rsidRPr="00A74D23">
              <w:rPr>
                <w:rFonts w:asciiTheme="minorHAnsi" w:hAnsiTheme="minorHAnsi" w:cs="Open Sans"/>
                <w:i/>
                <w:sz w:val="18"/>
                <w:szCs w:val="18"/>
                <w:lang w:val="fr-FR"/>
              </w:rPr>
              <w:t xml:space="preserve">Périmètre :  Abeille </w:t>
            </w:r>
            <w:r>
              <w:rPr>
                <w:rFonts w:asciiTheme="minorHAnsi" w:hAnsiTheme="minorHAnsi" w:cs="Open Sans"/>
                <w:i/>
                <w:sz w:val="18"/>
                <w:szCs w:val="18"/>
                <w:lang w:val="fr-FR"/>
              </w:rPr>
              <w:t xml:space="preserve">Retraite Professionnelle </w:t>
            </w:r>
            <w:r w:rsidRPr="00A74D23">
              <w:rPr>
                <w:rFonts w:asciiTheme="minorHAnsi" w:hAnsiTheme="minorHAnsi" w:cs="Open Sans"/>
                <w:i/>
                <w:sz w:val="18"/>
                <w:szCs w:val="18"/>
                <w:lang w:val="fr-FR"/>
              </w:rPr>
              <w:t>(au 31/12/2025)</w:t>
            </w:r>
          </w:p>
          <w:p w14:paraId="15A1F901" w14:textId="77777777" w:rsidR="00AF008A" w:rsidRPr="00A74D23" w:rsidRDefault="00AF008A" w:rsidP="00AF008A">
            <w:pPr>
              <w:spacing w:line="22" w:lineRule="atLeast"/>
              <w:jc w:val="both"/>
              <w:rPr>
                <w:rFonts w:asciiTheme="minorHAnsi" w:hAnsiTheme="minorHAnsi" w:cs="Open Sans"/>
                <w:i/>
                <w:sz w:val="18"/>
                <w:szCs w:val="18"/>
                <w:lang w:val="fr-FR"/>
              </w:rPr>
            </w:pPr>
            <w:r w:rsidRPr="00A74D23">
              <w:rPr>
                <w:rFonts w:asciiTheme="minorHAnsi" w:hAnsiTheme="minorHAnsi" w:cs="Open Sans"/>
                <w:i/>
                <w:sz w:val="18"/>
                <w:szCs w:val="18"/>
                <w:lang w:val="fr-FR"/>
              </w:rPr>
              <w:t>Source : Abeille Assurances</w:t>
            </w:r>
          </w:p>
          <w:p w14:paraId="7238D207" w14:textId="77777777" w:rsidR="00AF008A" w:rsidRDefault="00AF008A" w:rsidP="009D6EE5">
            <w:pPr>
              <w:pStyle w:val="Style3"/>
              <w:spacing w:after="0" w:line="22" w:lineRule="atLeast"/>
              <w:ind w:left="6316" w:hanging="6316"/>
              <w:jc w:val="both"/>
              <w:rPr>
                <w:rFonts w:asciiTheme="minorHAnsi" w:hAnsiTheme="minorHAnsi" w:cs="Open Sans"/>
                <w:sz w:val="32"/>
                <w:szCs w:val="32"/>
              </w:rPr>
            </w:pPr>
          </w:p>
          <w:p w14:paraId="52EC8391" w14:textId="77777777" w:rsidR="00AF008A" w:rsidRDefault="00AF008A" w:rsidP="009D6EE5">
            <w:pPr>
              <w:pStyle w:val="Style3"/>
              <w:spacing w:after="0" w:line="22" w:lineRule="atLeast"/>
              <w:ind w:left="6316" w:hanging="6316"/>
              <w:jc w:val="both"/>
              <w:rPr>
                <w:rFonts w:asciiTheme="minorHAnsi" w:hAnsiTheme="minorHAnsi" w:cs="Open Sans"/>
                <w:sz w:val="32"/>
                <w:szCs w:val="32"/>
              </w:rPr>
            </w:pPr>
          </w:p>
          <w:p w14:paraId="4B1A086D" w14:textId="77777777" w:rsidR="00AF008A" w:rsidRDefault="00AF008A" w:rsidP="00AF008A">
            <w:pPr>
              <w:pStyle w:val="Style3"/>
              <w:spacing w:after="0" w:line="22" w:lineRule="atLeast"/>
              <w:ind w:left="0" w:firstLine="0"/>
              <w:jc w:val="both"/>
              <w:rPr>
                <w:rFonts w:asciiTheme="minorHAnsi" w:hAnsiTheme="minorHAnsi" w:cs="Open Sans"/>
                <w:sz w:val="32"/>
                <w:szCs w:val="32"/>
              </w:rPr>
            </w:pPr>
          </w:p>
          <w:p w14:paraId="745CCF13" w14:textId="77777777" w:rsidR="00AF008A" w:rsidRPr="00A74D23" w:rsidRDefault="00AF008A" w:rsidP="009D6EE5">
            <w:pPr>
              <w:pStyle w:val="Style3"/>
              <w:spacing w:after="0" w:line="22" w:lineRule="atLeast"/>
              <w:ind w:left="6316" w:hanging="6316"/>
              <w:jc w:val="both"/>
              <w:rPr>
                <w:rFonts w:asciiTheme="minorHAnsi" w:hAnsiTheme="minorHAnsi" w:cs="Open Sans"/>
                <w:sz w:val="32"/>
                <w:szCs w:val="32"/>
              </w:rPr>
            </w:pPr>
          </w:p>
          <w:p w14:paraId="1B37FD5B" w14:textId="5CA30525" w:rsidR="008827E0" w:rsidRPr="00A74D23" w:rsidRDefault="008827E0" w:rsidP="00665636">
            <w:pPr>
              <w:pStyle w:val="Style3"/>
              <w:tabs>
                <w:tab w:val="clear" w:pos="426"/>
                <w:tab w:val="left" w:pos="184"/>
              </w:tabs>
              <w:spacing w:after="0" w:line="22" w:lineRule="atLeast"/>
              <w:ind w:left="609" w:hanging="605"/>
              <w:jc w:val="both"/>
              <w:rPr>
                <w:rFonts w:asciiTheme="minorHAnsi" w:hAnsiTheme="minorHAnsi" w:cs="Open Sans"/>
                <w:sz w:val="32"/>
                <w:szCs w:val="32"/>
              </w:rPr>
            </w:pPr>
            <w:r w:rsidRPr="00A74D23">
              <w:rPr>
                <w:rFonts w:asciiTheme="minorHAnsi" w:hAnsiTheme="minorHAnsi" w:cs="Open Sans"/>
                <w:sz w:val="32"/>
                <w:szCs w:val="32"/>
              </w:rPr>
              <w:t>2.</w:t>
            </w:r>
            <w:r w:rsidR="006E6ACB" w:rsidRPr="00A74D23">
              <w:rPr>
                <w:rFonts w:asciiTheme="minorHAnsi" w:hAnsiTheme="minorHAnsi" w:cs="Open Sans"/>
                <w:sz w:val="32"/>
                <w:szCs w:val="32"/>
              </w:rPr>
              <w:t>2</w:t>
            </w:r>
            <w:r w:rsidRPr="00A74D23">
              <w:rPr>
                <w:rFonts w:asciiTheme="minorHAnsi" w:hAnsiTheme="minorHAnsi" w:cs="Open Sans"/>
                <w:sz w:val="32"/>
                <w:szCs w:val="32"/>
              </w:rPr>
              <w:t xml:space="preserve">. </w:t>
            </w:r>
            <w:r w:rsidR="00380B52" w:rsidRPr="00A74D23">
              <w:rPr>
                <w:rFonts w:asciiTheme="minorHAnsi" w:hAnsiTheme="minorHAnsi" w:cs="Open Sans"/>
                <w:sz w:val="32"/>
                <w:szCs w:val="32"/>
              </w:rPr>
              <w:t xml:space="preserve">Intégration des caractéristiques de durabilité au niveau des </w:t>
            </w:r>
            <w:r w:rsidR="00D669F2" w:rsidRPr="00A74D23">
              <w:rPr>
                <w:rFonts w:asciiTheme="minorHAnsi" w:hAnsiTheme="minorHAnsi" w:cs="Open Sans"/>
                <w:sz w:val="32"/>
                <w:szCs w:val="32"/>
              </w:rPr>
              <w:t>Unités de Compte et OPC détenus en direct</w:t>
            </w:r>
          </w:p>
          <w:p w14:paraId="7FEAC6B5" w14:textId="77777777" w:rsidR="00321AEC" w:rsidRPr="00A74D23" w:rsidRDefault="00321AEC" w:rsidP="009D6EE5">
            <w:pPr>
              <w:pStyle w:val="Style1"/>
              <w:numPr>
                <w:ilvl w:val="0"/>
                <w:numId w:val="0"/>
              </w:numPr>
              <w:spacing w:line="22" w:lineRule="atLeast"/>
              <w:ind w:left="1027" w:firstLine="142"/>
              <w:jc w:val="both"/>
              <w:rPr>
                <w:rFonts w:cs="Open Sans"/>
                <w:i w:val="0"/>
                <w:iCs w:val="0"/>
                <w:color w:val="auto"/>
                <w:sz w:val="18"/>
                <w:szCs w:val="18"/>
              </w:rPr>
            </w:pPr>
          </w:p>
          <w:p w14:paraId="68FF65DD" w14:textId="6DDC9348" w:rsidR="003E363A" w:rsidRPr="002B3742" w:rsidRDefault="00723F2A" w:rsidP="00665636">
            <w:pPr>
              <w:pStyle w:val="Style1"/>
              <w:numPr>
                <w:ilvl w:val="0"/>
                <w:numId w:val="0"/>
              </w:numPr>
              <w:spacing w:line="22" w:lineRule="atLeast"/>
              <w:ind w:left="-100" w:firstLine="3"/>
              <w:jc w:val="both"/>
              <w:rPr>
                <w:rFonts w:cs="Open Sans"/>
                <w:color w:val="8A2C24" w:themeColor="accent2"/>
                <w:sz w:val="28"/>
                <w:szCs w:val="28"/>
              </w:rPr>
            </w:pPr>
            <w:r w:rsidRPr="002B3742">
              <w:rPr>
                <w:rFonts w:cs="Open Sans"/>
                <w:color w:val="8A2C24" w:themeColor="accent2"/>
                <w:sz w:val="28"/>
                <w:szCs w:val="28"/>
              </w:rPr>
              <w:t>2.</w:t>
            </w:r>
            <w:r w:rsidR="006E6ACB" w:rsidRPr="002B3742">
              <w:rPr>
                <w:rFonts w:cs="Open Sans"/>
                <w:color w:val="8A2C24" w:themeColor="accent2"/>
                <w:sz w:val="28"/>
                <w:szCs w:val="28"/>
              </w:rPr>
              <w:t>2</w:t>
            </w:r>
            <w:r w:rsidRPr="002B3742">
              <w:rPr>
                <w:rFonts w:cs="Open Sans"/>
                <w:color w:val="8A2C24" w:themeColor="accent2"/>
                <w:sz w:val="28"/>
                <w:szCs w:val="28"/>
              </w:rPr>
              <w:t xml:space="preserve">.1. </w:t>
            </w:r>
            <w:r w:rsidRPr="002B3742">
              <w:rPr>
                <w:rFonts w:cs="Open Sans"/>
                <w:b/>
                <w:bCs/>
                <w:color w:val="8A2C24" w:themeColor="accent2"/>
                <w:sz w:val="28"/>
                <w:szCs w:val="28"/>
              </w:rPr>
              <w:t>Unités de Compte :</w:t>
            </w:r>
            <w:r w:rsidRPr="002B3742">
              <w:rPr>
                <w:rFonts w:cs="Open Sans"/>
                <w:color w:val="8A2C24" w:themeColor="accent2"/>
                <w:sz w:val="28"/>
                <w:szCs w:val="28"/>
              </w:rPr>
              <w:t xml:space="preserve"> notre prise en compte de critères de durabilité dans le processus de sélection et suivi de la performance</w:t>
            </w:r>
          </w:p>
          <w:p w14:paraId="57AE3ED3" w14:textId="0057AB1D" w:rsidR="003E363A" w:rsidRPr="00A74D23" w:rsidRDefault="003E363A" w:rsidP="009D6EE5">
            <w:pPr>
              <w:pStyle w:val="Style1"/>
              <w:numPr>
                <w:ilvl w:val="0"/>
                <w:numId w:val="0"/>
              </w:numPr>
              <w:spacing w:line="22" w:lineRule="atLeast"/>
              <w:ind w:left="1027" w:firstLine="142"/>
              <w:jc w:val="both"/>
              <w:rPr>
                <w:rFonts w:cs="Open Sans"/>
                <w:i w:val="0"/>
                <w:iCs w:val="0"/>
                <w:color w:val="auto"/>
                <w:sz w:val="18"/>
                <w:szCs w:val="18"/>
              </w:rPr>
            </w:pPr>
          </w:p>
        </w:tc>
      </w:tr>
      <w:bookmarkEnd w:id="32"/>
    </w:tbl>
    <w:p w14:paraId="30075EA2" w14:textId="77777777" w:rsidR="00AD238F" w:rsidRPr="00A74D23" w:rsidRDefault="00AD238F" w:rsidP="009D6EE5">
      <w:pPr>
        <w:pStyle w:val="Style1"/>
        <w:numPr>
          <w:ilvl w:val="0"/>
          <w:numId w:val="0"/>
        </w:numPr>
        <w:tabs>
          <w:tab w:val="clear" w:pos="2010"/>
          <w:tab w:val="left" w:pos="284"/>
        </w:tabs>
        <w:spacing w:after="0" w:line="22" w:lineRule="atLeast"/>
        <w:jc w:val="both"/>
        <w:rPr>
          <w:rFonts w:cs="Open Sans"/>
          <w:b/>
          <w:bCs/>
          <w:iCs w:val="0"/>
          <w:color w:val="000000" w:themeColor="text1"/>
          <w:sz w:val="20"/>
        </w:rPr>
      </w:pPr>
    </w:p>
    <w:p w14:paraId="6E67805B" w14:textId="160B8136" w:rsidR="00AD238F" w:rsidRPr="00A74D23" w:rsidRDefault="00B9544F" w:rsidP="00665636">
      <w:pPr>
        <w:pStyle w:val="Style1"/>
        <w:numPr>
          <w:ilvl w:val="0"/>
          <w:numId w:val="0"/>
        </w:numPr>
        <w:tabs>
          <w:tab w:val="left" w:pos="426"/>
        </w:tabs>
        <w:spacing w:after="240" w:line="22" w:lineRule="atLeast"/>
        <w:jc w:val="both"/>
        <w:rPr>
          <w:rFonts w:cs="Open Sans"/>
          <w:i w:val="0"/>
          <w:iCs w:val="0"/>
          <w:color w:val="000000" w:themeColor="text1"/>
          <w:sz w:val="20"/>
          <w:szCs w:val="20"/>
        </w:rPr>
      </w:pPr>
      <w:r w:rsidRPr="00A74D23">
        <w:rPr>
          <w:rFonts w:cs="Open Sans"/>
          <w:i w:val="0"/>
          <w:iCs w:val="0"/>
          <w:color w:val="000000" w:themeColor="text1"/>
          <w:sz w:val="20"/>
          <w:szCs w:val="20"/>
        </w:rPr>
        <w:t>Afin</w:t>
      </w:r>
      <w:r w:rsidR="00AD238F" w:rsidRPr="00A74D23">
        <w:rPr>
          <w:rFonts w:cs="Open Sans"/>
          <w:i w:val="0"/>
          <w:iCs w:val="0"/>
          <w:color w:val="000000" w:themeColor="text1"/>
          <w:sz w:val="20"/>
          <w:szCs w:val="20"/>
        </w:rPr>
        <w:t xml:space="preserve"> de répondre aux attentes des épargnants et aux exigences de la réglementation européenne, Abeille Assurances propose une offre d’investissement responsable reposant sur des fonds labellisés, principalement ISR, ainsi que d’autres labels reconnus tels que Greenfin et LuxFLAG. À titre d’illustration, trois appels d’offres ont été lancés en 2025 pour la sélection de nouvelles Unités de Compte durables, afin de renforcer en continu l’exigence ESG de l’offre proposée.</w:t>
      </w:r>
    </w:p>
    <w:p w14:paraId="4A2855E2" w14:textId="77777777" w:rsidR="00723F2A" w:rsidRPr="00A74D23" w:rsidRDefault="00723F2A" w:rsidP="009D6EE5">
      <w:pPr>
        <w:pStyle w:val="Style1"/>
        <w:numPr>
          <w:ilvl w:val="0"/>
          <w:numId w:val="0"/>
        </w:numPr>
        <w:tabs>
          <w:tab w:val="clear" w:pos="2010"/>
          <w:tab w:val="left" w:pos="426"/>
        </w:tabs>
        <w:spacing w:after="240" w:line="22" w:lineRule="atLeast"/>
        <w:contextualSpacing w:val="0"/>
        <w:jc w:val="both"/>
        <w:rPr>
          <w:rFonts w:cs="Open Sans"/>
          <w:i w:val="0"/>
          <w:iCs w:val="0"/>
          <w:color w:val="000000" w:themeColor="text1"/>
          <w:sz w:val="20"/>
          <w:szCs w:val="20"/>
        </w:rPr>
      </w:pPr>
    </w:p>
    <w:p w14:paraId="13B40C90" w14:textId="77777777" w:rsidR="00AD238F" w:rsidRPr="00A74D23" w:rsidRDefault="00AD238F" w:rsidP="009D6EE5">
      <w:pPr>
        <w:pStyle w:val="Style1"/>
        <w:numPr>
          <w:ilvl w:val="0"/>
          <w:numId w:val="0"/>
        </w:numPr>
        <w:tabs>
          <w:tab w:val="clear" w:pos="2010"/>
          <w:tab w:val="left" w:pos="426"/>
        </w:tabs>
        <w:spacing w:after="240" w:line="22" w:lineRule="atLeast"/>
        <w:contextualSpacing w:val="0"/>
        <w:jc w:val="both"/>
        <w:rPr>
          <w:rFonts w:cs="Open Sans"/>
          <w:i w:val="0"/>
          <w:iCs w:val="0"/>
          <w:color w:val="000000" w:themeColor="text1"/>
          <w:sz w:val="18"/>
          <w:szCs w:val="18"/>
        </w:rPr>
      </w:pPr>
      <w:r w:rsidRPr="00A74D23">
        <w:rPr>
          <w:rFonts w:cs="Open Sans"/>
          <w:noProof/>
          <w:sz w:val="18"/>
          <w:szCs w:val="18"/>
        </w:rPr>
        <mc:AlternateContent>
          <mc:Choice Requires="wps">
            <w:drawing>
              <wp:anchor distT="0" distB="0" distL="114300" distR="114300" simplePos="0" relativeHeight="251552768" behindDoc="0" locked="0" layoutInCell="1" allowOverlap="1" wp14:anchorId="2AF4199C" wp14:editId="65C6B5E7">
                <wp:simplePos x="0" y="0"/>
                <wp:positionH relativeFrom="margin">
                  <wp:posOffset>1513840</wp:posOffset>
                </wp:positionH>
                <wp:positionV relativeFrom="paragraph">
                  <wp:posOffset>-635</wp:posOffset>
                </wp:positionV>
                <wp:extent cx="2947917" cy="260350"/>
                <wp:effectExtent l="0" t="0" r="5080" b="9525"/>
                <wp:wrapNone/>
                <wp:docPr id="654917403" name="Rectangle : coins arrondis 654917403"/>
                <wp:cNvGraphicFramePr/>
                <a:graphic xmlns:a="http://schemas.openxmlformats.org/drawingml/2006/main">
                  <a:graphicData uri="http://schemas.microsoft.com/office/word/2010/wordprocessingShape">
                    <wps:wsp>
                      <wps:cNvSpPr/>
                      <wps:spPr>
                        <a:xfrm>
                          <a:off x="0" y="0"/>
                          <a:ext cx="2947917" cy="260350"/>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029684" w14:textId="77777777" w:rsidR="00AD238F" w:rsidRPr="00A9024F" w:rsidRDefault="00AD238F" w:rsidP="00AD238F">
                            <w:pPr>
                              <w:jc w:val="center"/>
                              <w:rPr>
                                <w:b/>
                                <w:bCs/>
                                <w:color w:val="000000" w:themeColor="text1"/>
                                <w:sz w:val="32"/>
                                <w:szCs w:val="32"/>
                              </w:rPr>
                            </w:pPr>
                            <w:r w:rsidRPr="00A9024F">
                              <w:rPr>
                                <w:rFonts w:ascii="Source Sans Pro" w:hAnsi="Source Sans Pro"/>
                                <w:b/>
                                <w:bCs/>
                                <w:color w:val="000000" w:themeColor="text1"/>
                              </w:rPr>
                              <w:t>Un outil développé en 2025 </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roundrect w14:anchorId="2AF4199C" id="Rectangle : coins arrondis 654917403" o:spid="_x0000_s1048" style="position:absolute;left:0;text-align:left;margin-left:119.2pt;margin-top:-.05pt;width:232.1pt;height:20.5pt;z-index:2515527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" fillcolor="#ffc000" stroked="f" strokeweight="1pt">
                <v:stroke joinstyle="miter"/>
                <v:textbox style="mso-fit-shape-to-text:t" inset="2.5mm,1mm,2.5mm,1mm">
                  <w:txbxContent>
                    <w:p w14:paraId="3A029684" w14:textId="77777777" w:rsidR="00AD238F" w:rsidRPr="00A9024F" w:rsidRDefault="00AD238F" w:rsidP="00AD238F">
                      <w:pPr>
                        <w:jc w:val="center"/>
                        <w:rPr>
                          <w:b/>
                          <w:bCs/>
                          <w:color w:val="000000" w:themeColor="text1"/>
                          <w:sz w:val="32"/>
                          <w:szCs w:val="32"/>
                        </w:rPr>
                      </w:pPr>
                      <w:r w:rsidRPr="00A9024F">
                        <w:rPr>
                          <w:rFonts w:ascii="Source Sans Pro" w:hAnsi="Source Sans Pro"/>
                          <w:b/>
                          <w:bCs/>
                          <w:color w:val="000000" w:themeColor="text1"/>
                        </w:rPr>
                        <w:t>Un outil développé en 2025 </w:t>
                      </w:r>
                    </w:p>
                  </w:txbxContent>
                </v:textbox>
                <w10:wrap anchorx="margin"/>
              </v:roundrect>
            </w:pict>
          </mc:Fallback>
        </mc:AlternateContent>
      </w:r>
      <w:r w:rsidRPr="00A74D23">
        <w:rPr>
          <w:rFonts w:cs="Open Sans"/>
          <w:noProof/>
          <w:sz w:val="18"/>
          <w:szCs w:val="18"/>
        </w:rPr>
        <mc:AlternateContent>
          <mc:Choice Requires="wps">
            <w:drawing>
              <wp:anchor distT="0" distB="0" distL="114300" distR="114300" simplePos="0" relativeHeight="251554816" behindDoc="1" locked="0" layoutInCell="1" allowOverlap="1" wp14:anchorId="6A61DB8B" wp14:editId="133D5755">
                <wp:simplePos x="0" y="0"/>
                <wp:positionH relativeFrom="margin">
                  <wp:posOffset>0</wp:posOffset>
                </wp:positionH>
                <wp:positionV relativeFrom="paragraph">
                  <wp:posOffset>169545</wp:posOffset>
                </wp:positionV>
                <wp:extent cx="5883910" cy="941695"/>
                <wp:effectExtent l="0" t="0" r="2540" b="0"/>
                <wp:wrapNone/>
                <wp:docPr id="1972988548" name="Rectangle : coins arrondis 1972988548"/>
                <wp:cNvGraphicFramePr/>
                <a:graphic xmlns:a="http://schemas.openxmlformats.org/drawingml/2006/main">
                  <a:graphicData uri="http://schemas.microsoft.com/office/word/2010/wordprocessingShape">
                    <wps:wsp>
                      <wps:cNvSpPr/>
                      <wps:spPr>
                        <a:xfrm>
                          <a:off x="0" y="0"/>
                          <a:ext cx="5883910" cy="941695"/>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552677" w14:textId="77777777" w:rsidR="00AD238F" w:rsidRPr="00474EE1" w:rsidRDefault="00AD238F" w:rsidP="00AD238F">
                            <w:pPr>
                              <w:ind w:right="335"/>
                              <w:jc w:val="both"/>
                              <w:rPr>
                                <w:rFonts w:ascii="Source Sans Pro" w:hAnsi="Source Sans Pro"/>
                                <w:color w:val="D5685F" w:themeColor="accent2" w:themeTint="99"/>
                                <w:sz w:val="20"/>
                                <w:szCs w:val="20"/>
                                <w:lang w:val="fr-FR"/>
                              </w:rPr>
                            </w:pPr>
                            <w:r w:rsidRPr="00474EE1">
                              <w:rPr>
                                <w:rFonts w:ascii="Source Sans Pro" w:hAnsi="Source Sans Pro"/>
                                <w:color w:val="000000" w:themeColor="text1"/>
                                <w:sz w:val="20"/>
                                <w:szCs w:val="20"/>
                                <w:lang w:val="fr-FR"/>
                              </w:rPr>
                              <w:t>En 2025, nous avons développé un outil dédié au recensement des préférences de durabilité des clients dans notre gamme d’Unités de Compte, afin de mieux intégrer leurs attentes ESG dans les processus de conseil et d’allocation, en cohérence avec les exigences de la réglementation européenne SFDR.</w:t>
                            </w:r>
                          </w:p>
                          <w:p w14:paraId="2DB154E9" w14:textId="77777777" w:rsidR="00AD238F" w:rsidRPr="00474EE1" w:rsidRDefault="00AD238F" w:rsidP="00AD238F">
                            <w:pPr>
                              <w:ind w:right="337"/>
                              <w:rPr>
                                <w:rFonts w:ascii="Source Sans Pro" w:hAnsi="Source Sans Pro"/>
                                <w:color w:val="000000" w:themeColor="text1"/>
                                <w:sz w:val="20"/>
                                <w:szCs w:val="20"/>
                                <w:lang w:val="fr-FR"/>
                              </w:rPr>
                            </w:pPr>
                          </w:p>
                          <w:p w14:paraId="07133289" w14:textId="77777777" w:rsidR="00AD238F" w:rsidRPr="00474EE1" w:rsidRDefault="00AD238F" w:rsidP="00AD238F">
                            <w:pPr>
                              <w:ind w:right="337"/>
                              <w:rPr>
                                <w:rFonts w:ascii="Source Sans Pro" w:hAnsi="Source Sans Pro"/>
                                <w:color w:val="000000" w:themeColor="text1"/>
                                <w:sz w:val="20"/>
                                <w:szCs w:val="20"/>
                                <w:lang w:val="fr-FR"/>
                              </w:rPr>
                            </w:pPr>
                          </w:p>
                          <w:p w14:paraId="0686549D" w14:textId="77777777" w:rsidR="00AD238F" w:rsidRPr="00474EE1" w:rsidRDefault="00AD238F" w:rsidP="00AD238F">
                            <w:pPr>
                              <w:ind w:right="337"/>
                              <w:rPr>
                                <w:rFonts w:ascii="Source Sans Pro" w:hAnsi="Source Sans Pro"/>
                                <w:color w:val="000000" w:themeColor="text1"/>
                                <w:sz w:val="20"/>
                                <w:szCs w:val="20"/>
                                <w:lang w:val="fr-FR"/>
                              </w:rPr>
                            </w:pPr>
                          </w:p>
                          <w:p w14:paraId="6A68D044" w14:textId="77777777" w:rsidR="00AD238F" w:rsidRPr="00474EE1" w:rsidRDefault="00AD238F" w:rsidP="00AD238F">
                            <w:pPr>
                              <w:ind w:right="337"/>
                              <w:rPr>
                                <w:rFonts w:ascii="Source Sans Pro" w:hAnsi="Source Sans Pro"/>
                                <w:color w:val="000000" w:themeColor="text1"/>
                                <w:sz w:val="20"/>
                                <w:szCs w:val="20"/>
                                <w:lang w:val="fr-FR"/>
                              </w:rPr>
                            </w:pPr>
                          </w:p>
                        </w:txbxContent>
                      </wps:txbx>
                      <wps:bodyPr rot="0" spcFirstLastPara="0" vertOverflow="overflow" horzOverflow="overflow" vert="horz" wrap="square" lIns="180000" tIns="72000" rIns="180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61DB8B" id="Rectangle : coins arrondis 1972988548" o:spid="_x0000_s1049" style="position:absolute;left:0;text-align:left;margin-left:0;margin-top:13.35pt;width:463.3pt;height:74.1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" fillcolor="#d8d8d8 [2732]" stroked="f" strokeweight="1pt">
                <v:stroke joinstyle="miter"/>
                <v:textbox inset="5mm,2mm,5mm,3mm">
                  <w:txbxContent>
                    <w:p w14:paraId="10552677" w14:textId="77777777" w:rsidR="00AD238F" w:rsidRPr="00474EE1" w:rsidRDefault="00AD238F" w:rsidP="00AD238F">
                      <w:pPr>
                        <w:ind w:right="335"/>
                        <w:jc w:val="both"/>
                        <w:rPr>
                          <w:rFonts w:ascii="Source Sans Pro" w:hAnsi="Source Sans Pro"/>
                          <w:color w:val="D5685F" w:themeColor="accent2" w:themeTint="99"/>
                          <w:sz w:val="20"/>
                          <w:szCs w:val="20"/>
                          <w:lang w:val="fr-FR"/>
                        </w:rPr>
                      </w:pPr>
                      <w:r w:rsidRPr="00474EE1">
                        <w:rPr>
                          <w:rFonts w:ascii="Source Sans Pro" w:hAnsi="Source Sans Pro"/>
                          <w:color w:val="000000" w:themeColor="text1"/>
                          <w:sz w:val="20"/>
                          <w:szCs w:val="20"/>
                          <w:lang w:val="fr-FR"/>
                        </w:rPr>
                        <w:t>En 2025, nous avons développé un outil dédié au recensement des préférences de durabilité des clients dans notre gamme d’Unités de Compte, afin de mieux intégrer leurs attentes ESG dans les processus de conseil et d’allocation, en cohérence avec les exigences de la réglementation européenne SFDR.</w:t>
                      </w:r>
                    </w:p>
                    <w:p w14:paraId="2DB154E9" w14:textId="77777777" w:rsidR="00AD238F" w:rsidRPr="00474EE1" w:rsidRDefault="00AD238F" w:rsidP="00AD238F">
                      <w:pPr>
                        <w:ind w:right="337"/>
                        <w:rPr>
                          <w:rFonts w:ascii="Source Sans Pro" w:hAnsi="Source Sans Pro"/>
                          <w:color w:val="000000" w:themeColor="text1"/>
                          <w:sz w:val="20"/>
                          <w:szCs w:val="20"/>
                          <w:lang w:val="fr-FR"/>
                        </w:rPr>
                      </w:pPr>
                    </w:p>
                    <w:p w14:paraId="07133289" w14:textId="77777777" w:rsidR="00AD238F" w:rsidRPr="00474EE1" w:rsidRDefault="00AD238F" w:rsidP="00AD238F">
                      <w:pPr>
                        <w:ind w:right="337"/>
                        <w:rPr>
                          <w:rFonts w:ascii="Source Sans Pro" w:hAnsi="Source Sans Pro"/>
                          <w:color w:val="000000" w:themeColor="text1"/>
                          <w:sz w:val="20"/>
                          <w:szCs w:val="20"/>
                          <w:lang w:val="fr-FR"/>
                        </w:rPr>
                      </w:pPr>
                    </w:p>
                    <w:p w14:paraId="0686549D" w14:textId="77777777" w:rsidR="00AD238F" w:rsidRPr="00474EE1" w:rsidRDefault="00AD238F" w:rsidP="00AD238F">
                      <w:pPr>
                        <w:ind w:right="337"/>
                        <w:rPr>
                          <w:rFonts w:ascii="Source Sans Pro" w:hAnsi="Source Sans Pro"/>
                          <w:color w:val="000000" w:themeColor="text1"/>
                          <w:sz w:val="20"/>
                          <w:szCs w:val="20"/>
                          <w:lang w:val="fr-FR"/>
                        </w:rPr>
                      </w:pPr>
                    </w:p>
                    <w:p w14:paraId="6A68D044" w14:textId="77777777" w:rsidR="00AD238F" w:rsidRPr="00474EE1" w:rsidRDefault="00AD238F" w:rsidP="00AD238F">
                      <w:pPr>
                        <w:ind w:right="337"/>
                        <w:rPr>
                          <w:rFonts w:ascii="Source Sans Pro" w:hAnsi="Source Sans Pro"/>
                          <w:color w:val="000000" w:themeColor="text1"/>
                          <w:sz w:val="20"/>
                          <w:szCs w:val="20"/>
                          <w:lang w:val="fr-FR"/>
                        </w:rPr>
                      </w:pPr>
                    </w:p>
                  </w:txbxContent>
                </v:textbox>
                <w10:wrap anchorx="margin"/>
              </v:roundrect>
            </w:pict>
          </mc:Fallback>
        </mc:AlternateContent>
      </w:r>
    </w:p>
    <w:p w14:paraId="7D529A32" w14:textId="77777777" w:rsidR="00AD238F" w:rsidRPr="00A74D23" w:rsidRDefault="00AD238F" w:rsidP="009D6EE5">
      <w:pPr>
        <w:pStyle w:val="Style1"/>
        <w:numPr>
          <w:ilvl w:val="0"/>
          <w:numId w:val="0"/>
        </w:numPr>
        <w:tabs>
          <w:tab w:val="clear" w:pos="2010"/>
          <w:tab w:val="left" w:pos="426"/>
        </w:tabs>
        <w:spacing w:after="240" w:line="22" w:lineRule="atLeast"/>
        <w:contextualSpacing w:val="0"/>
        <w:jc w:val="both"/>
        <w:rPr>
          <w:rFonts w:cs="Open Sans"/>
          <w:i w:val="0"/>
          <w:iCs w:val="0"/>
          <w:color w:val="000000" w:themeColor="text1"/>
          <w:sz w:val="18"/>
          <w:szCs w:val="18"/>
        </w:rPr>
      </w:pPr>
    </w:p>
    <w:p w14:paraId="64F25E9B" w14:textId="77777777" w:rsidR="00AD238F" w:rsidRPr="00A74D23" w:rsidRDefault="00AD238F" w:rsidP="009D6EE5">
      <w:pPr>
        <w:pStyle w:val="Style1"/>
        <w:numPr>
          <w:ilvl w:val="0"/>
          <w:numId w:val="0"/>
        </w:numPr>
        <w:tabs>
          <w:tab w:val="clear" w:pos="2010"/>
          <w:tab w:val="left" w:pos="426"/>
        </w:tabs>
        <w:spacing w:after="240" w:line="22" w:lineRule="atLeast"/>
        <w:contextualSpacing w:val="0"/>
        <w:jc w:val="both"/>
        <w:rPr>
          <w:rFonts w:cs="Open Sans"/>
          <w:i w:val="0"/>
          <w:iCs w:val="0"/>
          <w:color w:val="000000" w:themeColor="text1"/>
          <w:sz w:val="18"/>
          <w:szCs w:val="18"/>
        </w:rPr>
      </w:pPr>
    </w:p>
    <w:p w14:paraId="2A1BE456" w14:textId="77777777" w:rsidR="00AD238F" w:rsidRPr="00A74D23" w:rsidRDefault="00AD238F" w:rsidP="009D6EE5">
      <w:pPr>
        <w:pStyle w:val="Style1"/>
        <w:numPr>
          <w:ilvl w:val="0"/>
          <w:numId w:val="0"/>
        </w:numPr>
        <w:tabs>
          <w:tab w:val="clear" w:pos="2010"/>
          <w:tab w:val="left" w:pos="426"/>
        </w:tabs>
        <w:spacing w:after="240" w:line="22" w:lineRule="atLeast"/>
        <w:contextualSpacing w:val="0"/>
        <w:jc w:val="both"/>
        <w:rPr>
          <w:rFonts w:cs="Open Sans"/>
          <w:i w:val="0"/>
          <w:iCs w:val="0"/>
          <w:color w:val="000000" w:themeColor="text1"/>
          <w:sz w:val="20"/>
          <w:szCs w:val="20"/>
        </w:rPr>
      </w:pPr>
    </w:p>
    <w:p w14:paraId="1BFE027C" w14:textId="77777777" w:rsidR="001946DB" w:rsidRPr="00A74D23" w:rsidRDefault="001946DB" w:rsidP="009D6EE5">
      <w:pPr>
        <w:pStyle w:val="Style1"/>
        <w:numPr>
          <w:ilvl w:val="0"/>
          <w:numId w:val="0"/>
        </w:numPr>
        <w:tabs>
          <w:tab w:val="clear" w:pos="2010"/>
          <w:tab w:val="left" w:pos="426"/>
        </w:tabs>
        <w:spacing w:after="240" w:line="22" w:lineRule="atLeast"/>
        <w:contextualSpacing w:val="0"/>
        <w:jc w:val="both"/>
        <w:rPr>
          <w:rFonts w:cs="Open Sans"/>
          <w:i w:val="0"/>
          <w:iCs w:val="0"/>
          <w:color w:val="000000" w:themeColor="text1"/>
          <w:sz w:val="20"/>
          <w:szCs w:val="20"/>
        </w:rPr>
      </w:pPr>
    </w:p>
    <w:p w14:paraId="0B13712A" w14:textId="77777777" w:rsidR="00AD238F" w:rsidRPr="00A74D23" w:rsidRDefault="00AD238F" w:rsidP="00590DD1">
      <w:pPr>
        <w:pStyle w:val="Style1"/>
        <w:numPr>
          <w:ilvl w:val="0"/>
          <w:numId w:val="98"/>
        </w:numPr>
        <w:tabs>
          <w:tab w:val="clear" w:pos="2010"/>
          <w:tab w:val="left" w:pos="284"/>
        </w:tabs>
        <w:spacing w:after="0" w:line="22" w:lineRule="atLeast"/>
        <w:jc w:val="both"/>
        <w:rPr>
          <w:rFonts w:cs="Open Sans"/>
          <w:b/>
          <w:bCs/>
          <w:i w:val="0"/>
          <w:color w:val="000000" w:themeColor="text1"/>
          <w:sz w:val="24"/>
          <w:szCs w:val="32"/>
        </w:rPr>
      </w:pPr>
      <w:r w:rsidRPr="00A74D23">
        <w:rPr>
          <w:rFonts w:cs="Open Sans"/>
          <w:b/>
          <w:bCs/>
          <w:i w:val="0"/>
          <w:color w:val="000000" w:themeColor="text1"/>
          <w:sz w:val="24"/>
          <w:szCs w:val="32"/>
        </w:rPr>
        <w:t>Notre gamme durable</w:t>
      </w:r>
    </w:p>
    <w:p w14:paraId="2B7BA88B" w14:textId="77777777" w:rsidR="006E6ACB" w:rsidRPr="00A74D23" w:rsidRDefault="006E6ACB" w:rsidP="006E6ACB">
      <w:pPr>
        <w:pStyle w:val="Style1"/>
        <w:numPr>
          <w:ilvl w:val="0"/>
          <w:numId w:val="0"/>
        </w:numPr>
        <w:tabs>
          <w:tab w:val="clear" w:pos="2010"/>
          <w:tab w:val="left" w:pos="284"/>
        </w:tabs>
        <w:spacing w:after="0" w:line="22" w:lineRule="atLeast"/>
        <w:ind w:left="6314" w:hanging="360"/>
        <w:jc w:val="both"/>
        <w:rPr>
          <w:rFonts w:cs="Open Sans"/>
          <w:b/>
          <w:bCs/>
          <w:i w:val="0"/>
          <w:color w:val="000000" w:themeColor="text1"/>
          <w:sz w:val="24"/>
          <w:szCs w:val="32"/>
        </w:rPr>
      </w:pPr>
    </w:p>
    <w:p w14:paraId="5C9FB101" w14:textId="77777777" w:rsidR="006E6ACB" w:rsidRPr="00A74D23" w:rsidRDefault="006E6ACB" w:rsidP="006E6ACB">
      <w:pPr>
        <w:pStyle w:val="Style1"/>
        <w:numPr>
          <w:ilvl w:val="0"/>
          <w:numId w:val="0"/>
        </w:numPr>
        <w:tabs>
          <w:tab w:val="clear" w:pos="2010"/>
          <w:tab w:val="left" w:pos="284"/>
        </w:tabs>
        <w:spacing w:after="0" w:line="22" w:lineRule="atLeast"/>
        <w:ind w:left="6314" w:hanging="360"/>
        <w:jc w:val="both"/>
        <w:rPr>
          <w:rFonts w:cs="Open Sans"/>
          <w:b/>
          <w:bCs/>
          <w:i w:val="0"/>
          <w:color w:val="000000" w:themeColor="text1"/>
          <w:sz w:val="24"/>
          <w:szCs w:val="32"/>
        </w:rPr>
      </w:pPr>
    </w:p>
    <w:p w14:paraId="0A5EE6BA" w14:textId="77777777" w:rsidR="006E6ACB" w:rsidRPr="00A74D23" w:rsidRDefault="006E6ACB" w:rsidP="006E6ACB">
      <w:pPr>
        <w:pStyle w:val="Style1"/>
        <w:numPr>
          <w:ilvl w:val="0"/>
          <w:numId w:val="0"/>
        </w:numPr>
        <w:tabs>
          <w:tab w:val="clear" w:pos="2010"/>
          <w:tab w:val="left" w:pos="284"/>
        </w:tabs>
        <w:spacing w:after="0" w:line="22" w:lineRule="atLeast"/>
        <w:ind w:left="6314" w:hanging="360"/>
        <w:jc w:val="both"/>
        <w:rPr>
          <w:rFonts w:cs="Open Sans"/>
          <w:b/>
          <w:bCs/>
          <w:i w:val="0"/>
          <w:color w:val="000000" w:themeColor="text1"/>
          <w:sz w:val="24"/>
          <w:szCs w:val="32"/>
        </w:rPr>
      </w:pPr>
    </w:p>
    <w:p w14:paraId="1CAD9E02" w14:textId="77777777" w:rsidR="006E6ACB" w:rsidRPr="00A74D23" w:rsidRDefault="006E6ACB" w:rsidP="006E6ACB">
      <w:pPr>
        <w:pStyle w:val="Style1"/>
        <w:numPr>
          <w:ilvl w:val="0"/>
          <w:numId w:val="0"/>
        </w:numPr>
        <w:tabs>
          <w:tab w:val="clear" w:pos="2010"/>
          <w:tab w:val="left" w:pos="284"/>
        </w:tabs>
        <w:spacing w:after="0" w:line="22" w:lineRule="atLeast"/>
        <w:ind w:left="6314" w:hanging="360"/>
        <w:jc w:val="both"/>
        <w:rPr>
          <w:rFonts w:cs="Open Sans"/>
          <w:b/>
          <w:bCs/>
          <w:i w:val="0"/>
          <w:color w:val="000000" w:themeColor="text1"/>
          <w:sz w:val="24"/>
          <w:szCs w:val="32"/>
        </w:rPr>
      </w:pPr>
    </w:p>
    <w:p w14:paraId="5D677866" w14:textId="77777777" w:rsidR="006E6ACB" w:rsidRPr="00A74D23" w:rsidRDefault="006E6ACB" w:rsidP="006E6ACB">
      <w:pPr>
        <w:pStyle w:val="Style1"/>
        <w:numPr>
          <w:ilvl w:val="0"/>
          <w:numId w:val="0"/>
        </w:numPr>
        <w:tabs>
          <w:tab w:val="clear" w:pos="2010"/>
          <w:tab w:val="left" w:pos="284"/>
        </w:tabs>
        <w:spacing w:after="0" w:line="22" w:lineRule="atLeast"/>
        <w:ind w:left="6314" w:hanging="360"/>
        <w:jc w:val="both"/>
        <w:rPr>
          <w:rFonts w:cs="Open Sans"/>
          <w:b/>
          <w:bCs/>
          <w:i w:val="0"/>
          <w:color w:val="000000" w:themeColor="text1"/>
          <w:sz w:val="24"/>
          <w:szCs w:val="32"/>
        </w:rPr>
      </w:pPr>
    </w:p>
    <w:p w14:paraId="701FD4E0" w14:textId="55547D0D" w:rsidR="006E6ACB" w:rsidRPr="00A74D23" w:rsidRDefault="006E6ACB" w:rsidP="006E6ACB">
      <w:pPr>
        <w:pStyle w:val="Style1"/>
        <w:numPr>
          <w:ilvl w:val="0"/>
          <w:numId w:val="0"/>
        </w:numPr>
        <w:tabs>
          <w:tab w:val="clear" w:pos="2010"/>
          <w:tab w:val="left" w:pos="284"/>
        </w:tabs>
        <w:spacing w:after="0" w:line="22" w:lineRule="atLeast"/>
        <w:ind w:left="6314" w:hanging="360"/>
        <w:jc w:val="both"/>
        <w:rPr>
          <w:rFonts w:cs="Open Sans"/>
          <w:b/>
          <w:bCs/>
          <w:i w:val="0"/>
          <w:color w:val="000000" w:themeColor="text1"/>
          <w:sz w:val="24"/>
          <w:szCs w:val="32"/>
        </w:rPr>
      </w:pPr>
      <w:r w:rsidRPr="00A74D23">
        <w:rPr>
          <w:rFonts w:cs="Open Sans"/>
          <w:noProof/>
          <w:sz w:val="18"/>
          <w:szCs w:val="18"/>
        </w:rPr>
        <mc:AlternateContent>
          <mc:Choice Requires="wps">
            <w:drawing>
              <wp:anchor distT="0" distB="0" distL="114300" distR="114300" simplePos="0" relativeHeight="251556864" behindDoc="0" locked="0" layoutInCell="1" allowOverlap="1" wp14:anchorId="221DCD5D" wp14:editId="334C0762">
                <wp:simplePos x="0" y="0"/>
                <wp:positionH relativeFrom="margin">
                  <wp:posOffset>1373174</wp:posOffset>
                </wp:positionH>
                <wp:positionV relativeFrom="paragraph">
                  <wp:posOffset>151848</wp:posOffset>
                </wp:positionV>
                <wp:extent cx="3363595" cy="292652"/>
                <wp:effectExtent l="0" t="0" r="8255" b="0"/>
                <wp:wrapNone/>
                <wp:docPr id="1392086082" name="Rectangle : coins arrondis 1392086082"/>
                <wp:cNvGraphicFramePr/>
                <a:graphic xmlns:a="http://schemas.openxmlformats.org/drawingml/2006/main">
                  <a:graphicData uri="http://schemas.microsoft.com/office/word/2010/wordprocessingShape">
                    <wps:wsp>
                      <wps:cNvSpPr/>
                      <wps:spPr>
                        <a:xfrm>
                          <a:off x="0" y="0"/>
                          <a:ext cx="3363595" cy="292652"/>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5C3D8A" w14:textId="13305D80" w:rsidR="006E6ACB" w:rsidRPr="006E6ACB" w:rsidRDefault="00AD238F" w:rsidP="006E6ACB">
                            <w:pPr>
                              <w:jc w:val="center"/>
                              <w:rPr>
                                <w:rFonts w:ascii="Source Sans Pro" w:hAnsi="Source Sans Pro"/>
                                <w:b/>
                                <w:bCs/>
                                <w:color w:val="000000" w:themeColor="text1"/>
                                <w:lang w:val="fr-FR"/>
                              </w:rPr>
                            </w:pPr>
                            <w:r w:rsidRPr="00474EE1">
                              <w:rPr>
                                <w:rFonts w:ascii="Source Sans Pro" w:hAnsi="Source Sans Pro"/>
                                <w:b/>
                                <w:bCs/>
                                <w:color w:val="000000" w:themeColor="text1"/>
                                <w:lang w:val="fr-FR"/>
                              </w:rPr>
                              <w:t>Révision prévue de la règlementation « SFDR »</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1DCD5D" id="Rectangle : coins arrondis 1392086082" o:spid="_x0000_s1050" style="position:absolute;left:0;text-align:left;margin-left:108.1pt;margin-top:11.95pt;width:264.85pt;height:23.05pt;z-index:25155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" fillcolor="#ffc000" stroked="f" strokeweight="1pt">
                <v:stroke joinstyle="miter"/>
                <v:textbox inset="2.5mm,1mm,2.5mm,1mm">
                  <w:txbxContent>
                    <w:p w14:paraId="3B5C3D8A" w14:textId="13305D80" w:rsidR="006E6ACB" w:rsidRPr="006E6ACB" w:rsidRDefault="00AD238F" w:rsidP="006E6ACB">
                      <w:pPr>
                        <w:jc w:val="center"/>
                        <w:rPr>
                          <w:rFonts w:ascii="Source Sans Pro" w:hAnsi="Source Sans Pro"/>
                          <w:b/>
                          <w:bCs/>
                          <w:color w:val="000000" w:themeColor="text1"/>
                          <w:lang w:val="fr-FR"/>
                        </w:rPr>
                      </w:pPr>
                      <w:r w:rsidRPr="00474EE1">
                        <w:rPr>
                          <w:rFonts w:ascii="Source Sans Pro" w:hAnsi="Source Sans Pro"/>
                          <w:b/>
                          <w:bCs/>
                          <w:color w:val="000000" w:themeColor="text1"/>
                          <w:lang w:val="fr-FR"/>
                        </w:rPr>
                        <w:t>Révision prévue de la règlementation « SFDR »</w:t>
                      </w:r>
                    </w:p>
                  </w:txbxContent>
                </v:textbox>
                <w10:wrap anchorx="margin"/>
              </v:roundrect>
            </w:pict>
          </mc:Fallback>
        </mc:AlternateContent>
      </w:r>
    </w:p>
    <w:p w14:paraId="40A4005C" w14:textId="16CD1969" w:rsidR="00665636" w:rsidRPr="00A74D23" w:rsidRDefault="009227FB" w:rsidP="009D6EE5">
      <w:pPr>
        <w:pStyle w:val="Style1"/>
        <w:numPr>
          <w:ilvl w:val="0"/>
          <w:numId w:val="0"/>
        </w:numPr>
        <w:tabs>
          <w:tab w:val="clear" w:pos="2010"/>
          <w:tab w:val="left" w:pos="284"/>
        </w:tabs>
        <w:spacing w:after="0" w:line="22" w:lineRule="atLeast"/>
        <w:jc w:val="both"/>
        <w:rPr>
          <w:rFonts w:cs="Open Sans"/>
          <w:b/>
          <w:bCs/>
          <w:iCs w:val="0"/>
          <w:color w:val="000000" w:themeColor="text1"/>
          <w:sz w:val="18"/>
          <w:szCs w:val="18"/>
        </w:rPr>
      </w:pPr>
      <w:r w:rsidRPr="00A74D23">
        <w:rPr>
          <w:rFonts w:cs="Open Sans"/>
          <w:noProof/>
          <w:sz w:val="18"/>
          <w:szCs w:val="18"/>
        </w:rPr>
        <mc:AlternateContent>
          <mc:Choice Requires="wps">
            <w:drawing>
              <wp:anchor distT="0" distB="0" distL="114300" distR="114300" simplePos="0" relativeHeight="251558912" behindDoc="1" locked="0" layoutInCell="1" allowOverlap="1" wp14:anchorId="2613B83C" wp14:editId="06C41A97">
                <wp:simplePos x="0" y="0"/>
                <wp:positionH relativeFrom="margin">
                  <wp:posOffset>-137574</wp:posOffset>
                </wp:positionH>
                <wp:positionV relativeFrom="paragraph">
                  <wp:posOffset>79347</wp:posOffset>
                </wp:positionV>
                <wp:extent cx="6281530" cy="4007458"/>
                <wp:effectExtent l="0" t="0" r="5080" b="0"/>
                <wp:wrapNone/>
                <wp:docPr id="1511727572" name="Rectangle : coins arrondis 1511727572"/>
                <wp:cNvGraphicFramePr/>
                <a:graphic xmlns:a="http://schemas.openxmlformats.org/drawingml/2006/main">
                  <a:graphicData uri="http://schemas.microsoft.com/office/word/2010/wordprocessingShape">
                    <wps:wsp>
                      <wps:cNvSpPr/>
                      <wps:spPr>
                        <a:xfrm>
                          <a:off x="0" y="0"/>
                          <a:ext cx="6281530" cy="4007458"/>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A5E0D2" w14:textId="77777777" w:rsidR="00AD238F" w:rsidRPr="00474EE1" w:rsidRDefault="00AD238F" w:rsidP="00AD238F">
                            <w:pPr>
                              <w:ind w:right="337"/>
                              <w:rPr>
                                <w:rFonts w:ascii="Source Sans Pro" w:hAnsi="Source Sans Pro"/>
                                <w:color w:val="000000" w:themeColor="text1"/>
                                <w:sz w:val="20"/>
                                <w:szCs w:val="20"/>
                                <w:lang w:val="fr-FR"/>
                              </w:rPr>
                            </w:pPr>
                            <w:r w:rsidRPr="00474EE1">
                              <w:rPr>
                                <w:rFonts w:ascii="Source Sans Pro" w:hAnsi="Source Sans Pro"/>
                                <w:color w:val="000000" w:themeColor="text1"/>
                                <w:sz w:val="20"/>
                                <w:szCs w:val="20"/>
                                <w:lang w:val="fr-FR"/>
                              </w:rPr>
                              <w:t>A ce jour, le règlement UE/2019/2088, plus communément appelé « SFDR », classe les supports d’investissement en trois catégories :</w:t>
                            </w:r>
                          </w:p>
                          <w:p w14:paraId="76AE8C36" w14:textId="77777777" w:rsidR="00AD238F" w:rsidRPr="00C5152A" w:rsidRDefault="00AD238F" w:rsidP="00590DD1">
                            <w:pPr>
                              <w:pStyle w:val="Paragraphedeliste"/>
                              <w:numPr>
                                <w:ilvl w:val="0"/>
                                <w:numId w:val="78"/>
                              </w:numPr>
                              <w:ind w:right="337"/>
                              <w:rPr>
                                <w:rFonts w:ascii="Source Sans Pro" w:hAnsi="Source Sans Pro"/>
                                <w:color w:val="000000" w:themeColor="text1"/>
                                <w:sz w:val="20"/>
                                <w:szCs w:val="20"/>
                              </w:rPr>
                            </w:pPr>
                            <w:r w:rsidRPr="00C5152A">
                              <w:rPr>
                                <w:rFonts w:ascii="Source Sans Pro" w:hAnsi="Source Sans Pro"/>
                                <w:color w:val="000000" w:themeColor="text1"/>
                                <w:sz w:val="20"/>
                                <w:szCs w:val="20"/>
                              </w:rPr>
                              <w:t>Les fonds se référant à l’article 6 du règlement SFDR n’intègrent pas de caractéristiques environnementales ou sociales dans leur gestion ;</w:t>
                            </w:r>
                          </w:p>
                          <w:p w14:paraId="2145EF1A" w14:textId="77777777" w:rsidR="00AD238F" w:rsidRPr="00C5152A" w:rsidRDefault="00AD238F" w:rsidP="00590DD1">
                            <w:pPr>
                              <w:pStyle w:val="Paragraphedeliste"/>
                              <w:numPr>
                                <w:ilvl w:val="0"/>
                                <w:numId w:val="78"/>
                              </w:numPr>
                              <w:ind w:right="337"/>
                              <w:rPr>
                                <w:rFonts w:ascii="Source Sans Pro" w:hAnsi="Source Sans Pro"/>
                                <w:color w:val="000000" w:themeColor="text1"/>
                                <w:sz w:val="20"/>
                                <w:szCs w:val="20"/>
                              </w:rPr>
                            </w:pPr>
                            <w:r w:rsidRPr="00C5152A">
                              <w:rPr>
                                <w:rFonts w:ascii="Source Sans Pro" w:hAnsi="Source Sans Pro"/>
                                <w:color w:val="000000" w:themeColor="text1"/>
                                <w:sz w:val="20"/>
                                <w:szCs w:val="20"/>
                              </w:rPr>
                              <w:t>Les fonds se référant à l’article 8 du règlement SFDR font la promotion de caractéristiques environnementales ou sociales ;</w:t>
                            </w:r>
                          </w:p>
                          <w:p w14:paraId="12F284A7" w14:textId="77777777" w:rsidR="00AD238F" w:rsidRDefault="00AD238F" w:rsidP="00590DD1">
                            <w:pPr>
                              <w:pStyle w:val="Paragraphedeliste"/>
                              <w:numPr>
                                <w:ilvl w:val="0"/>
                                <w:numId w:val="78"/>
                              </w:numPr>
                              <w:ind w:right="337"/>
                              <w:rPr>
                                <w:rFonts w:ascii="Source Sans Pro" w:hAnsi="Source Sans Pro"/>
                                <w:color w:val="000000" w:themeColor="text1"/>
                                <w:sz w:val="20"/>
                                <w:szCs w:val="20"/>
                              </w:rPr>
                            </w:pPr>
                            <w:r w:rsidRPr="00C5152A">
                              <w:rPr>
                                <w:rFonts w:ascii="Source Sans Pro" w:hAnsi="Source Sans Pro"/>
                                <w:color w:val="000000" w:themeColor="text1"/>
                                <w:sz w:val="20"/>
                                <w:szCs w:val="20"/>
                              </w:rPr>
                              <w:t>Les fonds se revendiquant conformes à l’article 9 du règlement poursuivent quant à eux un objectif précis d’investissement durable.</w:t>
                            </w:r>
                          </w:p>
                          <w:p w14:paraId="7CD7A3BA" w14:textId="77777777" w:rsidR="00AD238F" w:rsidRDefault="00AD238F" w:rsidP="00AD238F">
                            <w:pPr>
                              <w:ind w:right="337"/>
                              <w:rPr>
                                <w:rFonts w:ascii="Source Sans Pro" w:hAnsi="Source Sans Pro"/>
                                <w:color w:val="000000" w:themeColor="text1"/>
                                <w:sz w:val="20"/>
                                <w:szCs w:val="20"/>
                              </w:rPr>
                            </w:pPr>
                            <w:r w:rsidRPr="00474EE1">
                              <w:rPr>
                                <w:rFonts w:ascii="Source Sans Pro" w:hAnsi="Source Sans Pro"/>
                                <w:color w:val="000000" w:themeColor="text1"/>
                                <w:sz w:val="20"/>
                                <w:szCs w:val="20"/>
                                <w:lang w:val="fr-FR"/>
                              </w:rPr>
                              <w:t xml:space="preserve">Jugeant ce cadre trop complexe et peu lisible, la Commission européenne a engagé une révision de la réglementation (SFDR 2.0) visant à en améliorer la clarté et à réduire les coûts de mise en œuvre pour les acteurs financiers. </w:t>
                            </w:r>
                            <w:r>
                              <w:rPr>
                                <w:rFonts w:ascii="Source Sans Pro" w:hAnsi="Source Sans Pro"/>
                                <w:color w:val="000000" w:themeColor="text1"/>
                                <w:sz w:val="20"/>
                                <w:szCs w:val="20"/>
                              </w:rPr>
                              <w:t xml:space="preserve">A ce stade, 3 nouvelles catégories seraient proposées : </w:t>
                            </w:r>
                          </w:p>
                          <w:p w14:paraId="77B10516" w14:textId="77777777" w:rsidR="00AD238F" w:rsidRDefault="00AD238F" w:rsidP="00590DD1">
                            <w:pPr>
                              <w:pStyle w:val="Paragraphedeliste"/>
                              <w:numPr>
                                <w:ilvl w:val="0"/>
                                <w:numId w:val="78"/>
                              </w:numPr>
                              <w:ind w:right="337"/>
                              <w:rPr>
                                <w:rFonts w:ascii="Source Sans Pro" w:hAnsi="Source Sans Pro"/>
                                <w:color w:val="000000" w:themeColor="text1"/>
                                <w:sz w:val="20"/>
                                <w:szCs w:val="20"/>
                              </w:rPr>
                            </w:pPr>
                            <w:r>
                              <w:rPr>
                                <w:rFonts w:ascii="Source Sans Pro" w:hAnsi="Source Sans Pro"/>
                                <w:color w:val="000000" w:themeColor="text1"/>
                                <w:sz w:val="20"/>
                                <w:szCs w:val="20"/>
                              </w:rPr>
                              <w:t>« ESG basics » : équivalent de l’article 8 actuel</w:t>
                            </w:r>
                          </w:p>
                          <w:p w14:paraId="5D1D1A32" w14:textId="77777777" w:rsidR="00AD238F" w:rsidRDefault="00AD238F" w:rsidP="00590DD1">
                            <w:pPr>
                              <w:pStyle w:val="Paragraphedeliste"/>
                              <w:numPr>
                                <w:ilvl w:val="0"/>
                                <w:numId w:val="78"/>
                              </w:numPr>
                              <w:ind w:right="337"/>
                              <w:rPr>
                                <w:rFonts w:ascii="Source Sans Pro" w:hAnsi="Source Sans Pro"/>
                                <w:color w:val="000000" w:themeColor="text1"/>
                                <w:sz w:val="20"/>
                                <w:szCs w:val="20"/>
                              </w:rPr>
                            </w:pPr>
                            <w:r>
                              <w:rPr>
                                <w:rFonts w:ascii="Source Sans Pro" w:hAnsi="Source Sans Pro"/>
                                <w:color w:val="000000" w:themeColor="text1"/>
                                <w:sz w:val="20"/>
                                <w:szCs w:val="20"/>
                              </w:rPr>
                              <w:t>« Transition », pour investir spécifiquement dans la transition des entreprises</w:t>
                            </w:r>
                          </w:p>
                          <w:p w14:paraId="4082DE16" w14:textId="77777777" w:rsidR="00AD238F" w:rsidRDefault="00AD238F" w:rsidP="00590DD1">
                            <w:pPr>
                              <w:pStyle w:val="Paragraphedeliste"/>
                              <w:numPr>
                                <w:ilvl w:val="0"/>
                                <w:numId w:val="78"/>
                              </w:numPr>
                              <w:ind w:right="337"/>
                              <w:rPr>
                                <w:rFonts w:ascii="Source Sans Pro" w:hAnsi="Source Sans Pro"/>
                                <w:color w:val="000000" w:themeColor="text1"/>
                                <w:sz w:val="20"/>
                                <w:szCs w:val="20"/>
                              </w:rPr>
                            </w:pPr>
                            <w:r>
                              <w:rPr>
                                <w:rFonts w:ascii="Source Sans Pro" w:hAnsi="Source Sans Pro"/>
                                <w:color w:val="000000" w:themeColor="text1"/>
                                <w:sz w:val="20"/>
                                <w:szCs w:val="20"/>
                              </w:rPr>
                              <w:t>« Sustainable », l’équivalent de l’article 9 actuel, avec des seuils spécifiques</w:t>
                            </w:r>
                          </w:p>
                          <w:p w14:paraId="778EB75F" w14:textId="227037E2" w:rsidR="00AD238F" w:rsidRPr="00474EE1" w:rsidRDefault="00AD238F" w:rsidP="00AD238F">
                            <w:pPr>
                              <w:ind w:right="337"/>
                              <w:rPr>
                                <w:rFonts w:ascii="Source Sans Pro" w:hAnsi="Source Sans Pro"/>
                                <w:color w:val="000000" w:themeColor="text1"/>
                                <w:sz w:val="20"/>
                                <w:szCs w:val="20"/>
                                <w:lang w:val="fr-FR"/>
                              </w:rPr>
                            </w:pPr>
                            <w:r w:rsidRPr="00474EE1">
                              <w:rPr>
                                <w:rFonts w:ascii="Source Sans Pro" w:hAnsi="Source Sans Pro"/>
                                <w:color w:val="000000" w:themeColor="text1"/>
                                <w:sz w:val="20"/>
                                <w:szCs w:val="20"/>
                                <w:lang w:val="fr-FR"/>
                              </w:rPr>
                              <w:t xml:space="preserve">D’autres évolutions sont également à l’étude, notamment en matière de seuils d’alignement, de simplification du reporting </w:t>
                            </w:r>
                            <w:r w:rsidR="009227FB">
                              <w:rPr>
                                <w:rFonts w:ascii="Source Sans Pro" w:hAnsi="Source Sans Pro"/>
                                <w:color w:val="000000" w:themeColor="text1"/>
                                <w:sz w:val="20"/>
                                <w:szCs w:val="20"/>
                                <w:lang w:val="fr-FR"/>
                              </w:rPr>
                              <w:t>des indicateurs de durabilité (</w:t>
                            </w:r>
                            <w:r w:rsidRPr="00474EE1">
                              <w:rPr>
                                <w:rFonts w:ascii="Source Sans Pro" w:hAnsi="Source Sans Pro"/>
                                <w:color w:val="000000" w:themeColor="text1"/>
                                <w:sz w:val="20"/>
                                <w:szCs w:val="20"/>
                                <w:lang w:val="fr-FR"/>
                              </w:rPr>
                              <w:t>PAI</w:t>
                            </w:r>
                            <w:r w:rsidR="009227FB">
                              <w:rPr>
                                <w:rFonts w:ascii="Source Sans Pro" w:hAnsi="Source Sans Pro"/>
                                <w:color w:val="000000" w:themeColor="text1"/>
                                <w:sz w:val="20"/>
                                <w:szCs w:val="20"/>
                                <w:lang w:val="fr-FR"/>
                              </w:rPr>
                              <w:t>)</w:t>
                            </w:r>
                            <w:r w:rsidRPr="00474EE1">
                              <w:rPr>
                                <w:rFonts w:ascii="Source Sans Pro" w:hAnsi="Source Sans Pro"/>
                                <w:color w:val="000000" w:themeColor="text1"/>
                                <w:sz w:val="20"/>
                                <w:szCs w:val="20"/>
                                <w:lang w:val="fr-FR"/>
                              </w:rPr>
                              <w:t xml:space="preserve"> et d’assouplissement de l’analyse DNSH</w:t>
                            </w:r>
                            <w:r w:rsidR="009227FB">
                              <w:rPr>
                                <w:rFonts w:ascii="Source Sans Pro" w:hAnsi="Source Sans Pro"/>
                                <w:color w:val="000000" w:themeColor="text1"/>
                                <w:sz w:val="20"/>
                                <w:szCs w:val="20"/>
                                <w:lang w:val="fr-FR"/>
                              </w:rPr>
                              <w:t xml:space="preserve"> (Do Not Significant Harm)</w:t>
                            </w:r>
                            <w:r w:rsidRPr="00474EE1">
                              <w:rPr>
                                <w:rFonts w:ascii="Source Sans Pro" w:hAnsi="Source Sans Pro"/>
                                <w:color w:val="000000" w:themeColor="text1"/>
                                <w:sz w:val="20"/>
                                <w:szCs w:val="20"/>
                                <w:lang w:val="fr-FR"/>
                              </w:rPr>
                              <w:t>. La SFDR 2.0 est actuellement au stade de proposition législative, avec une entrée en application envisagée autour du premier semestre 2028, sous réserve de l’aboutissement du processus législatif européen. Nous suivons attentivement ces évolutions dans le cadre de notre stratégie d’investissement durable.</w:t>
                            </w:r>
                          </w:p>
                        </w:txbxContent>
                      </wps:txbx>
                      <wps:bodyPr rot="0" spcFirstLastPara="0" vertOverflow="overflow" horzOverflow="overflow" vert="horz" wrap="square" lIns="180000" tIns="72000" rIns="180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13B83C" id="Rectangle : coins arrondis 1511727572" o:spid="_x0000_s1051" style="position:absolute;left:0;text-align:left;margin-left:-10.85pt;margin-top:6.25pt;width:494.6pt;height:315.5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" fillcolor="#d8d8d8 [2732]" stroked="f" strokeweight="1pt">
                <v:stroke joinstyle="miter"/>
                <v:textbox inset="5mm,2mm,5mm,3mm">
                  <w:txbxContent>
                    <w:p w14:paraId="00A5E0D2" w14:textId="77777777" w:rsidR="00AD238F" w:rsidRPr="00474EE1" w:rsidRDefault="00AD238F" w:rsidP="00AD238F">
                      <w:pPr>
                        <w:ind w:right="337"/>
                        <w:rPr>
                          <w:rFonts w:ascii="Source Sans Pro" w:hAnsi="Source Sans Pro"/>
                          <w:color w:val="000000" w:themeColor="text1"/>
                          <w:sz w:val="20"/>
                          <w:szCs w:val="20"/>
                          <w:lang w:val="fr-FR"/>
                        </w:rPr>
                      </w:pPr>
                      <w:r w:rsidRPr="00474EE1">
                        <w:rPr>
                          <w:rFonts w:ascii="Source Sans Pro" w:hAnsi="Source Sans Pro"/>
                          <w:color w:val="000000" w:themeColor="text1"/>
                          <w:sz w:val="20"/>
                          <w:szCs w:val="20"/>
                          <w:lang w:val="fr-FR"/>
                        </w:rPr>
                        <w:t>A ce jour, le règlement UE/2019/2088, plus communément appelé « SFDR », classe les supports d’investissement en trois catégories :</w:t>
                      </w:r>
                    </w:p>
                    <w:p w14:paraId="76AE8C36" w14:textId="77777777" w:rsidR="00AD238F" w:rsidRPr="00C5152A" w:rsidRDefault="00AD238F" w:rsidP="00590DD1">
                      <w:pPr>
                        <w:pStyle w:val="Paragraphedeliste"/>
                        <w:numPr>
                          <w:ilvl w:val="0"/>
                          <w:numId w:val="78"/>
                        </w:numPr>
                        <w:ind w:right="337"/>
                        <w:rPr>
                          <w:rFonts w:ascii="Source Sans Pro" w:hAnsi="Source Sans Pro"/>
                          <w:color w:val="000000" w:themeColor="text1"/>
                          <w:sz w:val="20"/>
                          <w:szCs w:val="20"/>
                        </w:rPr>
                      </w:pPr>
                      <w:r w:rsidRPr="00C5152A">
                        <w:rPr>
                          <w:rFonts w:ascii="Source Sans Pro" w:hAnsi="Source Sans Pro"/>
                          <w:color w:val="000000" w:themeColor="text1"/>
                          <w:sz w:val="20"/>
                          <w:szCs w:val="20"/>
                        </w:rPr>
                        <w:t>Les fonds se référant à l’article 6 du règlement SFDR n’intègrent pas de caractéristiques environnementales ou sociales dans leur gestion ;</w:t>
                      </w:r>
                    </w:p>
                    <w:p w14:paraId="2145EF1A" w14:textId="77777777" w:rsidR="00AD238F" w:rsidRPr="00C5152A" w:rsidRDefault="00AD238F" w:rsidP="00590DD1">
                      <w:pPr>
                        <w:pStyle w:val="Paragraphedeliste"/>
                        <w:numPr>
                          <w:ilvl w:val="0"/>
                          <w:numId w:val="78"/>
                        </w:numPr>
                        <w:ind w:right="337"/>
                        <w:rPr>
                          <w:rFonts w:ascii="Source Sans Pro" w:hAnsi="Source Sans Pro"/>
                          <w:color w:val="000000" w:themeColor="text1"/>
                          <w:sz w:val="20"/>
                          <w:szCs w:val="20"/>
                        </w:rPr>
                      </w:pPr>
                      <w:r w:rsidRPr="00C5152A">
                        <w:rPr>
                          <w:rFonts w:ascii="Source Sans Pro" w:hAnsi="Source Sans Pro"/>
                          <w:color w:val="000000" w:themeColor="text1"/>
                          <w:sz w:val="20"/>
                          <w:szCs w:val="20"/>
                        </w:rPr>
                        <w:t>Les fonds se référant à l’article 8 du règlement SFDR font la promotion de caractéristiques environnementales ou sociales ;</w:t>
                      </w:r>
                    </w:p>
                    <w:p w14:paraId="12F284A7" w14:textId="77777777" w:rsidR="00AD238F" w:rsidRDefault="00AD238F" w:rsidP="00590DD1">
                      <w:pPr>
                        <w:pStyle w:val="Paragraphedeliste"/>
                        <w:numPr>
                          <w:ilvl w:val="0"/>
                          <w:numId w:val="78"/>
                        </w:numPr>
                        <w:ind w:right="337"/>
                        <w:rPr>
                          <w:rFonts w:ascii="Source Sans Pro" w:hAnsi="Source Sans Pro"/>
                          <w:color w:val="000000" w:themeColor="text1"/>
                          <w:sz w:val="20"/>
                          <w:szCs w:val="20"/>
                        </w:rPr>
                      </w:pPr>
                      <w:r w:rsidRPr="00C5152A">
                        <w:rPr>
                          <w:rFonts w:ascii="Source Sans Pro" w:hAnsi="Source Sans Pro"/>
                          <w:color w:val="000000" w:themeColor="text1"/>
                          <w:sz w:val="20"/>
                          <w:szCs w:val="20"/>
                        </w:rPr>
                        <w:t>Les fonds se revendiquant conformes à l’article 9 du règlement poursuivent quant à eux un objectif précis d’investissement durable.</w:t>
                      </w:r>
                    </w:p>
                    <w:p w14:paraId="7CD7A3BA" w14:textId="77777777" w:rsidR="00AD238F" w:rsidRDefault="00AD238F" w:rsidP="00AD238F">
                      <w:pPr>
                        <w:ind w:right="337"/>
                        <w:rPr>
                          <w:rFonts w:ascii="Source Sans Pro" w:hAnsi="Source Sans Pro"/>
                          <w:color w:val="000000" w:themeColor="text1"/>
                          <w:sz w:val="20"/>
                          <w:szCs w:val="20"/>
                        </w:rPr>
                      </w:pPr>
                      <w:r w:rsidRPr="00474EE1">
                        <w:rPr>
                          <w:rFonts w:ascii="Source Sans Pro" w:hAnsi="Source Sans Pro"/>
                          <w:color w:val="000000" w:themeColor="text1"/>
                          <w:sz w:val="20"/>
                          <w:szCs w:val="20"/>
                          <w:lang w:val="fr-FR"/>
                        </w:rPr>
                        <w:t xml:space="preserve">Jugeant ce cadre trop complexe et peu lisible, la Commission européenne a engagé une révision de la réglementation (SFDR 2.0) visant à en améliorer la clarté et à réduire les coûts de mise en œuvre pour les acteurs financiers. </w:t>
                      </w:r>
                      <w:r>
                        <w:rPr>
                          <w:rFonts w:ascii="Source Sans Pro" w:hAnsi="Source Sans Pro"/>
                          <w:color w:val="000000" w:themeColor="text1"/>
                          <w:sz w:val="20"/>
                          <w:szCs w:val="20"/>
                        </w:rPr>
                        <w:t xml:space="preserve">A ce stade, 3 nouvelles catégories seraient proposées : </w:t>
                      </w:r>
                    </w:p>
                    <w:p w14:paraId="77B10516" w14:textId="77777777" w:rsidR="00AD238F" w:rsidRDefault="00AD238F" w:rsidP="00590DD1">
                      <w:pPr>
                        <w:pStyle w:val="Paragraphedeliste"/>
                        <w:numPr>
                          <w:ilvl w:val="0"/>
                          <w:numId w:val="78"/>
                        </w:numPr>
                        <w:ind w:right="337"/>
                        <w:rPr>
                          <w:rFonts w:ascii="Source Sans Pro" w:hAnsi="Source Sans Pro"/>
                          <w:color w:val="000000" w:themeColor="text1"/>
                          <w:sz w:val="20"/>
                          <w:szCs w:val="20"/>
                        </w:rPr>
                      </w:pPr>
                      <w:r>
                        <w:rPr>
                          <w:rFonts w:ascii="Source Sans Pro" w:hAnsi="Source Sans Pro"/>
                          <w:color w:val="000000" w:themeColor="text1"/>
                          <w:sz w:val="20"/>
                          <w:szCs w:val="20"/>
                        </w:rPr>
                        <w:t>« ESG basics » : équivalent de l’article 8 actuel</w:t>
                      </w:r>
                    </w:p>
                    <w:p w14:paraId="5D1D1A32" w14:textId="77777777" w:rsidR="00AD238F" w:rsidRDefault="00AD238F" w:rsidP="00590DD1">
                      <w:pPr>
                        <w:pStyle w:val="Paragraphedeliste"/>
                        <w:numPr>
                          <w:ilvl w:val="0"/>
                          <w:numId w:val="78"/>
                        </w:numPr>
                        <w:ind w:right="337"/>
                        <w:rPr>
                          <w:rFonts w:ascii="Source Sans Pro" w:hAnsi="Source Sans Pro"/>
                          <w:color w:val="000000" w:themeColor="text1"/>
                          <w:sz w:val="20"/>
                          <w:szCs w:val="20"/>
                        </w:rPr>
                      </w:pPr>
                      <w:r>
                        <w:rPr>
                          <w:rFonts w:ascii="Source Sans Pro" w:hAnsi="Source Sans Pro"/>
                          <w:color w:val="000000" w:themeColor="text1"/>
                          <w:sz w:val="20"/>
                          <w:szCs w:val="20"/>
                        </w:rPr>
                        <w:t>« Transition », pour investir spécifiquement dans la transition des entreprises</w:t>
                      </w:r>
                    </w:p>
                    <w:p w14:paraId="4082DE16" w14:textId="77777777" w:rsidR="00AD238F" w:rsidRDefault="00AD238F" w:rsidP="00590DD1">
                      <w:pPr>
                        <w:pStyle w:val="Paragraphedeliste"/>
                        <w:numPr>
                          <w:ilvl w:val="0"/>
                          <w:numId w:val="78"/>
                        </w:numPr>
                        <w:ind w:right="337"/>
                        <w:rPr>
                          <w:rFonts w:ascii="Source Sans Pro" w:hAnsi="Source Sans Pro"/>
                          <w:color w:val="000000" w:themeColor="text1"/>
                          <w:sz w:val="20"/>
                          <w:szCs w:val="20"/>
                        </w:rPr>
                      </w:pPr>
                      <w:r>
                        <w:rPr>
                          <w:rFonts w:ascii="Source Sans Pro" w:hAnsi="Source Sans Pro"/>
                          <w:color w:val="000000" w:themeColor="text1"/>
                          <w:sz w:val="20"/>
                          <w:szCs w:val="20"/>
                        </w:rPr>
                        <w:t>« Sustainable », l’équivalent de l’article 9 actuel, avec des seuils spécifiques</w:t>
                      </w:r>
                    </w:p>
                    <w:p w14:paraId="778EB75F" w14:textId="227037E2" w:rsidR="00AD238F" w:rsidRPr="00474EE1" w:rsidRDefault="00AD238F" w:rsidP="00AD238F">
                      <w:pPr>
                        <w:ind w:right="337"/>
                        <w:rPr>
                          <w:rFonts w:ascii="Source Sans Pro" w:hAnsi="Source Sans Pro"/>
                          <w:color w:val="000000" w:themeColor="text1"/>
                          <w:sz w:val="20"/>
                          <w:szCs w:val="20"/>
                          <w:lang w:val="fr-FR"/>
                        </w:rPr>
                      </w:pPr>
                      <w:r w:rsidRPr="00474EE1">
                        <w:rPr>
                          <w:rFonts w:ascii="Source Sans Pro" w:hAnsi="Source Sans Pro"/>
                          <w:color w:val="000000" w:themeColor="text1"/>
                          <w:sz w:val="20"/>
                          <w:szCs w:val="20"/>
                          <w:lang w:val="fr-FR"/>
                        </w:rPr>
                        <w:t xml:space="preserve">D’autres évolutions sont également à l’étude, notamment en matière de seuils d’alignement, de simplification du reporting </w:t>
                      </w:r>
                      <w:r w:rsidR="009227FB">
                        <w:rPr>
                          <w:rFonts w:ascii="Source Sans Pro" w:hAnsi="Source Sans Pro"/>
                          <w:color w:val="000000" w:themeColor="text1"/>
                          <w:sz w:val="20"/>
                          <w:szCs w:val="20"/>
                          <w:lang w:val="fr-FR"/>
                        </w:rPr>
                        <w:t>des indicateurs de durabilité (</w:t>
                      </w:r>
                      <w:r w:rsidRPr="00474EE1">
                        <w:rPr>
                          <w:rFonts w:ascii="Source Sans Pro" w:hAnsi="Source Sans Pro"/>
                          <w:color w:val="000000" w:themeColor="text1"/>
                          <w:sz w:val="20"/>
                          <w:szCs w:val="20"/>
                          <w:lang w:val="fr-FR"/>
                        </w:rPr>
                        <w:t>PAI</w:t>
                      </w:r>
                      <w:r w:rsidR="009227FB">
                        <w:rPr>
                          <w:rFonts w:ascii="Source Sans Pro" w:hAnsi="Source Sans Pro"/>
                          <w:color w:val="000000" w:themeColor="text1"/>
                          <w:sz w:val="20"/>
                          <w:szCs w:val="20"/>
                          <w:lang w:val="fr-FR"/>
                        </w:rPr>
                        <w:t>)</w:t>
                      </w:r>
                      <w:r w:rsidRPr="00474EE1">
                        <w:rPr>
                          <w:rFonts w:ascii="Source Sans Pro" w:hAnsi="Source Sans Pro"/>
                          <w:color w:val="000000" w:themeColor="text1"/>
                          <w:sz w:val="20"/>
                          <w:szCs w:val="20"/>
                          <w:lang w:val="fr-FR"/>
                        </w:rPr>
                        <w:t xml:space="preserve"> et d’assouplissement de l’analyse DNSH</w:t>
                      </w:r>
                      <w:r w:rsidR="009227FB">
                        <w:rPr>
                          <w:rFonts w:ascii="Source Sans Pro" w:hAnsi="Source Sans Pro"/>
                          <w:color w:val="000000" w:themeColor="text1"/>
                          <w:sz w:val="20"/>
                          <w:szCs w:val="20"/>
                          <w:lang w:val="fr-FR"/>
                        </w:rPr>
                        <w:t xml:space="preserve"> (Do Not Significant Harm)</w:t>
                      </w:r>
                      <w:r w:rsidRPr="00474EE1">
                        <w:rPr>
                          <w:rFonts w:ascii="Source Sans Pro" w:hAnsi="Source Sans Pro"/>
                          <w:color w:val="000000" w:themeColor="text1"/>
                          <w:sz w:val="20"/>
                          <w:szCs w:val="20"/>
                          <w:lang w:val="fr-FR"/>
                        </w:rPr>
                        <w:t>. La SFDR 2.0 est actuellement au stade de proposition législative, avec une entrée en application envisagée autour du premier semestre 2028, sous réserve de l’aboutissement du processus législatif européen. Nous suivons attentivement ces évolutions dans le cadre de notre stratégie d’investissement durable.</w:t>
                      </w:r>
                    </w:p>
                  </w:txbxContent>
                </v:textbox>
                <w10:wrap anchorx="margin"/>
              </v:roundrect>
            </w:pict>
          </mc:Fallback>
        </mc:AlternateContent>
      </w:r>
    </w:p>
    <w:p w14:paraId="39F6F2D4" w14:textId="4C7A2B94" w:rsidR="00665636" w:rsidRPr="00A74D23" w:rsidRDefault="00665636" w:rsidP="009D6EE5">
      <w:pPr>
        <w:pStyle w:val="Style1"/>
        <w:numPr>
          <w:ilvl w:val="0"/>
          <w:numId w:val="0"/>
        </w:numPr>
        <w:tabs>
          <w:tab w:val="clear" w:pos="2010"/>
          <w:tab w:val="left" w:pos="284"/>
        </w:tabs>
        <w:spacing w:after="0" w:line="22" w:lineRule="atLeast"/>
        <w:jc w:val="both"/>
        <w:rPr>
          <w:rFonts w:cs="Open Sans"/>
          <w:b/>
          <w:bCs/>
          <w:iCs w:val="0"/>
          <w:color w:val="000000" w:themeColor="text1"/>
          <w:sz w:val="18"/>
          <w:szCs w:val="18"/>
        </w:rPr>
      </w:pPr>
    </w:p>
    <w:p w14:paraId="7806B206" w14:textId="15697C8D" w:rsidR="00665636" w:rsidRPr="00A74D23" w:rsidRDefault="00665636" w:rsidP="009D6EE5">
      <w:pPr>
        <w:pStyle w:val="Style1"/>
        <w:numPr>
          <w:ilvl w:val="0"/>
          <w:numId w:val="0"/>
        </w:numPr>
        <w:tabs>
          <w:tab w:val="clear" w:pos="2010"/>
          <w:tab w:val="left" w:pos="284"/>
        </w:tabs>
        <w:spacing w:after="0" w:line="22" w:lineRule="atLeast"/>
        <w:jc w:val="both"/>
        <w:rPr>
          <w:rFonts w:cs="Open Sans"/>
          <w:b/>
          <w:bCs/>
          <w:iCs w:val="0"/>
          <w:color w:val="000000" w:themeColor="text1"/>
          <w:sz w:val="18"/>
          <w:szCs w:val="18"/>
        </w:rPr>
      </w:pPr>
    </w:p>
    <w:p w14:paraId="7D34031E" w14:textId="67B3F9B4" w:rsidR="00665636" w:rsidRPr="00A74D23" w:rsidRDefault="00665636" w:rsidP="009D6EE5">
      <w:pPr>
        <w:pStyle w:val="Style1"/>
        <w:numPr>
          <w:ilvl w:val="0"/>
          <w:numId w:val="0"/>
        </w:numPr>
        <w:tabs>
          <w:tab w:val="clear" w:pos="2010"/>
          <w:tab w:val="left" w:pos="284"/>
        </w:tabs>
        <w:spacing w:after="0" w:line="22" w:lineRule="atLeast"/>
        <w:jc w:val="both"/>
        <w:rPr>
          <w:rFonts w:cs="Open Sans"/>
          <w:b/>
          <w:bCs/>
          <w:iCs w:val="0"/>
          <w:color w:val="000000" w:themeColor="text1"/>
          <w:sz w:val="18"/>
          <w:szCs w:val="18"/>
        </w:rPr>
      </w:pPr>
    </w:p>
    <w:p w14:paraId="5BF024EC" w14:textId="29F64371" w:rsidR="00665636" w:rsidRPr="00A74D23" w:rsidRDefault="00665636" w:rsidP="009D6EE5">
      <w:pPr>
        <w:pStyle w:val="Style1"/>
        <w:numPr>
          <w:ilvl w:val="0"/>
          <w:numId w:val="0"/>
        </w:numPr>
        <w:tabs>
          <w:tab w:val="clear" w:pos="2010"/>
          <w:tab w:val="left" w:pos="284"/>
        </w:tabs>
        <w:spacing w:after="0" w:line="22" w:lineRule="atLeast"/>
        <w:jc w:val="both"/>
        <w:rPr>
          <w:rFonts w:cs="Open Sans"/>
          <w:b/>
          <w:bCs/>
          <w:iCs w:val="0"/>
          <w:color w:val="000000" w:themeColor="text1"/>
          <w:sz w:val="18"/>
          <w:szCs w:val="18"/>
        </w:rPr>
      </w:pPr>
    </w:p>
    <w:p w14:paraId="7A30553A" w14:textId="77777777" w:rsidR="00665636" w:rsidRPr="00A74D23" w:rsidRDefault="00665636" w:rsidP="009D6EE5">
      <w:pPr>
        <w:pStyle w:val="Style1"/>
        <w:numPr>
          <w:ilvl w:val="0"/>
          <w:numId w:val="0"/>
        </w:numPr>
        <w:tabs>
          <w:tab w:val="clear" w:pos="2010"/>
          <w:tab w:val="left" w:pos="284"/>
        </w:tabs>
        <w:spacing w:after="0" w:line="22" w:lineRule="atLeast"/>
        <w:jc w:val="both"/>
        <w:rPr>
          <w:rFonts w:cs="Open Sans"/>
          <w:b/>
          <w:bCs/>
          <w:iCs w:val="0"/>
          <w:color w:val="000000" w:themeColor="text1"/>
          <w:sz w:val="18"/>
          <w:szCs w:val="18"/>
        </w:rPr>
      </w:pPr>
    </w:p>
    <w:p w14:paraId="5CDF2EF5" w14:textId="77777777" w:rsidR="00665636" w:rsidRPr="00A74D23" w:rsidRDefault="00665636" w:rsidP="009D6EE5">
      <w:pPr>
        <w:pStyle w:val="Style1"/>
        <w:numPr>
          <w:ilvl w:val="0"/>
          <w:numId w:val="0"/>
        </w:numPr>
        <w:tabs>
          <w:tab w:val="clear" w:pos="2010"/>
          <w:tab w:val="left" w:pos="284"/>
        </w:tabs>
        <w:spacing w:after="0" w:line="22" w:lineRule="atLeast"/>
        <w:jc w:val="both"/>
        <w:rPr>
          <w:rFonts w:cs="Open Sans"/>
          <w:b/>
          <w:bCs/>
          <w:iCs w:val="0"/>
          <w:color w:val="000000" w:themeColor="text1"/>
          <w:sz w:val="18"/>
          <w:szCs w:val="18"/>
        </w:rPr>
      </w:pPr>
    </w:p>
    <w:p w14:paraId="2FFEAB2B" w14:textId="2C633458" w:rsidR="00AD238F" w:rsidRPr="00A74D23" w:rsidRDefault="00AD238F" w:rsidP="009D6EE5">
      <w:pPr>
        <w:pStyle w:val="Style1"/>
        <w:numPr>
          <w:ilvl w:val="0"/>
          <w:numId w:val="0"/>
        </w:numPr>
        <w:tabs>
          <w:tab w:val="clear" w:pos="2010"/>
          <w:tab w:val="left" w:pos="284"/>
        </w:tabs>
        <w:spacing w:after="0" w:line="22" w:lineRule="atLeast"/>
        <w:jc w:val="both"/>
        <w:rPr>
          <w:rFonts w:cs="Open Sans"/>
          <w:b/>
          <w:bCs/>
          <w:iCs w:val="0"/>
          <w:color w:val="000000" w:themeColor="text1"/>
          <w:sz w:val="18"/>
          <w:szCs w:val="18"/>
        </w:rPr>
      </w:pPr>
    </w:p>
    <w:p w14:paraId="57F958ED" w14:textId="5432E89E" w:rsidR="00AD238F" w:rsidRPr="00A74D23" w:rsidRDefault="00AD238F" w:rsidP="009D6EE5">
      <w:pPr>
        <w:pStyle w:val="Style1"/>
        <w:numPr>
          <w:ilvl w:val="0"/>
          <w:numId w:val="0"/>
        </w:numPr>
        <w:tabs>
          <w:tab w:val="clear" w:pos="2010"/>
          <w:tab w:val="left" w:pos="426"/>
        </w:tabs>
        <w:spacing w:after="240" w:line="22" w:lineRule="atLeast"/>
        <w:contextualSpacing w:val="0"/>
        <w:jc w:val="both"/>
        <w:rPr>
          <w:rFonts w:cs="Open Sans"/>
          <w:i w:val="0"/>
          <w:iCs w:val="0"/>
          <w:color w:val="000000" w:themeColor="text1"/>
          <w:sz w:val="18"/>
          <w:szCs w:val="18"/>
        </w:rPr>
      </w:pPr>
    </w:p>
    <w:p w14:paraId="13D560CE" w14:textId="77777777" w:rsidR="00AD238F" w:rsidRPr="00A74D23" w:rsidRDefault="00AD238F" w:rsidP="009D6EE5">
      <w:pPr>
        <w:pStyle w:val="Style1"/>
        <w:numPr>
          <w:ilvl w:val="0"/>
          <w:numId w:val="0"/>
        </w:numPr>
        <w:tabs>
          <w:tab w:val="clear" w:pos="2010"/>
          <w:tab w:val="left" w:pos="903"/>
        </w:tabs>
        <w:spacing w:after="240" w:line="22" w:lineRule="atLeast"/>
        <w:contextualSpacing w:val="0"/>
        <w:jc w:val="both"/>
        <w:rPr>
          <w:rFonts w:cs="Open Sans"/>
          <w:i w:val="0"/>
          <w:iCs w:val="0"/>
          <w:color w:val="000000" w:themeColor="text1"/>
          <w:sz w:val="18"/>
          <w:szCs w:val="18"/>
        </w:rPr>
      </w:pPr>
      <w:r w:rsidRPr="00A74D23">
        <w:rPr>
          <w:rFonts w:cs="Open Sans"/>
          <w:i w:val="0"/>
          <w:iCs w:val="0"/>
          <w:color w:val="000000" w:themeColor="text1"/>
          <w:sz w:val="18"/>
          <w:szCs w:val="18"/>
        </w:rPr>
        <w:tab/>
      </w:r>
    </w:p>
    <w:p w14:paraId="7BEF771B" w14:textId="77777777" w:rsidR="00AD238F" w:rsidRPr="00A74D23" w:rsidRDefault="00AD238F" w:rsidP="009D6EE5">
      <w:pPr>
        <w:pStyle w:val="Style1"/>
        <w:numPr>
          <w:ilvl w:val="0"/>
          <w:numId w:val="0"/>
        </w:numPr>
        <w:tabs>
          <w:tab w:val="clear" w:pos="2010"/>
          <w:tab w:val="left" w:pos="426"/>
        </w:tabs>
        <w:spacing w:after="240" w:line="22" w:lineRule="atLeast"/>
        <w:contextualSpacing w:val="0"/>
        <w:jc w:val="both"/>
        <w:rPr>
          <w:rFonts w:cs="Open Sans"/>
          <w:i w:val="0"/>
          <w:iCs w:val="0"/>
          <w:color w:val="000000" w:themeColor="text1"/>
          <w:sz w:val="18"/>
          <w:szCs w:val="18"/>
        </w:rPr>
      </w:pPr>
    </w:p>
    <w:p w14:paraId="2CB93076" w14:textId="77777777" w:rsidR="00AD238F" w:rsidRPr="00A74D23" w:rsidRDefault="00AD238F" w:rsidP="009D6EE5">
      <w:pPr>
        <w:pStyle w:val="Style1"/>
        <w:numPr>
          <w:ilvl w:val="0"/>
          <w:numId w:val="0"/>
        </w:numPr>
        <w:tabs>
          <w:tab w:val="clear" w:pos="2010"/>
          <w:tab w:val="left" w:pos="426"/>
        </w:tabs>
        <w:spacing w:after="240" w:line="22" w:lineRule="atLeast"/>
        <w:contextualSpacing w:val="0"/>
        <w:jc w:val="both"/>
        <w:rPr>
          <w:rFonts w:cs="Open Sans"/>
          <w:i w:val="0"/>
          <w:iCs w:val="0"/>
          <w:color w:val="000000" w:themeColor="text1"/>
          <w:sz w:val="18"/>
          <w:szCs w:val="18"/>
        </w:rPr>
      </w:pPr>
    </w:p>
    <w:p w14:paraId="5784D6D6" w14:textId="77777777" w:rsidR="00AD238F" w:rsidRPr="00A74D23" w:rsidRDefault="00AD238F" w:rsidP="009D6EE5">
      <w:pPr>
        <w:pStyle w:val="Style1"/>
        <w:numPr>
          <w:ilvl w:val="0"/>
          <w:numId w:val="0"/>
        </w:numPr>
        <w:tabs>
          <w:tab w:val="clear" w:pos="2010"/>
          <w:tab w:val="left" w:pos="426"/>
        </w:tabs>
        <w:spacing w:after="240" w:line="22" w:lineRule="atLeast"/>
        <w:contextualSpacing w:val="0"/>
        <w:jc w:val="both"/>
        <w:rPr>
          <w:rFonts w:cs="Open Sans"/>
          <w:i w:val="0"/>
          <w:iCs w:val="0"/>
          <w:color w:val="000000" w:themeColor="text1"/>
          <w:sz w:val="18"/>
          <w:szCs w:val="18"/>
        </w:rPr>
      </w:pPr>
    </w:p>
    <w:p w14:paraId="1E32C3E2" w14:textId="77777777" w:rsidR="00AD238F" w:rsidRPr="00A74D23" w:rsidRDefault="00AD238F" w:rsidP="009D6EE5">
      <w:pPr>
        <w:pStyle w:val="Style1"/>
        <w:numPr>
          <w:ilvl w:val="0"/>
          <w:numId w:val="0"/>
        </w:numPr>
        <w:tabs>
          <w:tab w:val="clear" w:pos="2010"/>
          <w:tab w:val="left" w:pos="426"/>
        </w:tabs>
        <w:spacing w:after="240" w:line="22" w:lineRule="atLeast"/>
        <w:contextualSpacing w:val="0"/>
        <w:jc w:val="both"/>
        <w:rPr>
          <w:rFonts w:cs="Open Sans"/>
          <w:i w:val="0"/>
          <w:iCs w:val="0"/>
          <w:color w:val="000000" w:themeColor="text1"/>
          <w:sz w:val="18"/>
          <w:szCs w:val="18"/>
        </w:rPr>
      </w:pPr>
    </w:p>
    <w:p w14:paraId="1C917D69" w14:textId="77777777" w:rsidR="00AD238F" w:rsidRPr="00A74D23" w:rsidRDefault="00AD238F" w:rsidP="009D6EE5">
      <w:pPr>
        <w:pStyle w:val="Style1"/>
        <w:numPr>
          <w:ilvl w:val="0"/>
          <w:numId w:val="0"/>
        </w:numPr>
        <w:tabs>
          <w:tab w:val="clear" w:pos="2010"/>
          <w:tab w:val="left" w:pos="426"/>
        </w:tabs>
        <w:spacing w:after="240" w:line="22" w:lineRule="atLeast"/>
        <w:contextualSpacing w:val="0"/>
        <w:jc w:val="both"/>
        <w:rPr>
          <w:rFonts w:cs="Open Sans"/>
          <w:i w:val="0"/>
          <w:iCs w:val="0"/>
          <w:color w:val="000000" w:themeColor="text1"/>
          <w:sz w:val="18"/>
          <w:szCs w:val="18"/>
        </w:rPr>
      </w:pPr>
    </w:p>
    <w:p w14:paraId="1484E37D" w14:textId="77777777" w:rsidR="00AD238F" w:rsidRPr="00A74D23" w:rsidRDefault="00AD238F" w:rsidP="009D6EE5">
      <w:pPr>
        <w:pStyle w:val="Style1"/>
        <w:numPr>
          <w:ilvl w:val="0"/>
          <w:numId w:val="0"/>
        </w:numPr>
        <w:tabs>
          <w:tab w:val="clear" w:pos="2010"/>
          <w:tab w:val="left" w:pos="426"/>
        </w:tabs>
        <w:spacing w:after="240" w:line="22" w:lineRule="atLeast"/>
        <w:contextualSpacing w:val="0"/>
        <w:jc w:val="both"/>
        <w:rPr>
          <w:rFonts w:cs="Open Sans"/>
          <w:i w:val="0"/>
          <w:iCs w:val="0"/>
          <w:color w:val="000000" w:themeColor="text1"/>
          <w:sz w:val="18"/>
          <w:szCs w:val="18"/>
        </w:rPr>
      </w:pPr>
    </w:p>
    <w:p w14:paraId="4917EAAE" w14:textId="77777777" w:rsidR="00AD238F" w:rsidRPr="00A74D23" w:rsidRDefault="00AD238F" w:rsidP="009D6EE5">
      <w:pPr>
        <w:pStyle w:val="Style1"/>
        <w:numPr>
          <w:ilvl w:val="0"/>
          <w:numId w:val="0"/>
        </w:numPr>
        <w:tabs>
          <w:tab w:val="clear" w:pos="2010"/>
          <w:tab w:val="left" w:pos="426"/>
        </w:tabs>
        <w:spacing w:after="240" w:line="22" w:lineRule="atLeast"/>
        <w:contextualSpacing w:val="0"/>
        <w:jc w:val="both"/>
        <w:rPr>
          <w:rFonts w:cs="Open Sans"/>
          <w:i w:val="0"/>
          <w:iCs w:val="0"/>
          <w:color w:val="000000" w:themeColor="text1"/>
          <w:sz w:val="18"/>
          <w:szCs w:val="18"/>
        </w:rPr>
      </w:pPr>
    </w:p>
    <w:p w14:paraId="3592FEDC" w14:textId="77777777" w:rsidR="00AD238F" w:rsidRPr="00A74D23" w:rsidRDefault="00AD238F" w:rsidP="009D6EE5">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18"/>
          <w:szCs w:val="18"/>
        </w:rPr>
      </w:pPr>
    </w:p>
    <w:p w14:paraId="40F5FC01" w14:textId="77777777" w:rsidR="006E6ACB" w:rsidRPr="00A74D23" w:rsidRDefault="006E6ACB" w:rsidP="009D6EE5">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18"/>
          <w:szCs w:val="18"/>
        </w:rPr>
      </w:pPr>
    </w:p>
    <w:p w14:paraId="4297D5B7" w14:textId="77777777" w:rsidR="006E6ACB" w:rsidRPr="00A74D23" w:rsidRDefault="006E6ACB" w:rsidP="009D6EE5">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18"/>
          <w:szCs w:val="18"/>
        </w:rPr>
      </w:pPr>
    </w:p>
    <w:p w14:paraId="3BD289AD" w14:textId="77777777" w:rsidR="006E6ACB" w:rsidRPr="00A74D23" w:rsidRDefault="006E6ACB" w:rsidP="009D6EE5">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18"/>
          <w:szCs w:val="18"/>
        </w:rPr>
      </w:pPr>
    </w:p>
    <w:p w14:paraId="7463FBB0" w14:textId="77777777" w:rsidR="00AD238F" w:rsidRPr="00A74D23" w:rsidRDefault="00AD238F" w:rsidP="009D6EE5">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20"/>
        </w:rPr>
      </w:pPr>
    </w:p>
    <w:p w14:paraId="69CFA6DC" w14:textId="77777777" w:rsidR="00061A24" w:rsidRPr="00A74D23" w:rsidRDefault="00AD238F" w:rsidP="00A21FC6">
      <w:pPr>
        <w:autoSpaceDE w:val="0"/>
        <w:autoSpaceDN w:val="0"/>
        <w:adjustRightInd w:val="0"/>
        <w:spacing w:line="22" w:lineRule="atLeast"/>
        <w:jc w:val="both"/>
        <w:rPr>
          <w:rFonts w:asciiTheme="minorHAnsi" w:hAnsiTheme="minorHAnsi" w:cs="Open Sans"/>
          <w:b/>
          <w:bCs/>
          <w:lang w:val="fr-FR"/>
        </w:rPr>
      </w:pPr>
      <w:r w:rsidRPr="00A74D23">
        <w:rPr>
          <w:rFonts w:asciiTheme="minorHAnsi" w:hAnsiTheme="minorHAnsi" w:cs="Open Sans"/>
          <w:b/>
          <w:bCs/>
          <w:lang w:val="fr-FR"/>
        </w:rPr>
        <w:t xml:space="preserve">Classification SFDR des Unités des Compte commercialisées à fin 2025 </w:t>
      </w:r>
    </w:p>
    <w:p w14:paraId="3ABB967C" w14:textId="3F2782BF" w:rsidR="00AD238F" w:rsidRPr="00A74D23" w:rsidRDefault="00AD238F" w:rsidP="009D6EE5">
      <w:pPr>
        <w:pStyle w:val="Paragraphedeliste"/>
        <w:autoSpaceDE w:val="0"/>
        <w:autoSpaceDN w:val="0"/>
        <w:adjustRightInd w:val="0"/>
        <w:spacing w:line="22" w:lineRule="atLeast"/>
        <w:jc w:val="both"/>
        <w:rPr>
          <w:rFonts w:cs="Open Sans"/>
          <w:b/>
          <w:bCs/>
          <w:sz w:val="20"/>
        </w:rPr>
      </w:pPr>
      <w:r w:rsidRPr="00A74D23">
        <w:rPr>
          <w:noProof/>
        </w:rPr>
        <w:drawing>
          <wp:anchor distT="0" distB="0" distL="114300" distR="114300" simplePos="0" relativeHeight="251560960" behindDoc="0" locked="0" layoutInCell="1" allowOverlap="1" wp14:anchorId="6BA559A5" wp14:editId="2C3CBA1F">
            <wp:simplePos x="0" y="0"/>
            <wp:positionH relativeFrom="column">
              <wp:posOffset>3041015</wp:posOffset>
            </wp:positionH>
            <wp:positionV relativeFrom="paragraph">
              <wp:posOffset>195580</wp:posOffset>
            </wp:positionV>
            <wp:extent cx="3010535" cy="2268220"/>
            <wp:effectExtent l="0" t="0" r="18415" b="17780"/>
            <wp:wrapSquare wrapText="bothSides"/>
            <wp:docPr id="2112634077" name="Graphique 2">
              <a:extLst xmlns:a="http://schemas.openxmlformats.org/drawingml/2006/main">
                <a:ext uri="{FF2B5EF4-FFF2-40B4-BE49-F238E27FC236}">
                  <a16:creationId xmlns:a16="http://schemas.microsoft.com/office/drawing/2014/main" id="{DD9FBD43-AAAA-4D55-95C1-307CFC3121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sidRPr="00A74D23">
        <w:rPr>
          <w:noProof/>
        </w:rPr>
        <w:drawing>
          <wp:anchor distT="0" distB="0" distL="114300" distR="114300" simplePos="0" relativeHeight="251563008" behindDoc="0" locked="0" layoutInCell="1" allowOverlap="1" wp14:anchorId="0CA935B2" wp14:editId="30BCF1A2">
            <wp:simplePos x="0" y="0"/>
            <wp:positionH relativeFrom="margin">
              <wp:align>left</wp:align>
            </wp:positionH>
            <wp:positionV relativeFrom="paragraph">
              <wp:posOffset>214880</wp:posOffset>
            </wp:positionV>
            <wp:extent cx="2684780" cy="2268220"/>
            <wp:effectExtent l="0" t="0" r="1270" b="17780"/>
            <wp:wrapSquare wrapText="bothSides"/>
            <wp:docPr id="849805200" name="Graphique 1">
              <a:extLst xmlns:a="http://schemas.openxmlformats.org/drawingml/2006/main">
                <a:ext uri="{FF2B5EF4-FFF2-40B4-BE49-F238E27FC236}">
                  <a16:creationId xmlns:a16="http://schemas.microsoft.com/office/drawing/2014/main" id="{C0FD2533-D4C8-426A-B209-55DA32607B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p w14:paraId="4988DD27" w14:textId="77777777" w:rsidR="00AD238F" w:rsidRPr="00A74D23" w:rsidRDefault="00AD238F" w:rsidP="009D6EE5">
      <w:pPr>
        <w:pStyle w:val="Style1"/>
        <w:numPr>
          <w:ilvl w:val="0"/>
          <w:numId w:val="0"/>
        </w:numPr>
        <w:tabs>
          <w:tab w:val="left" w:pos="426"/>
        </w:tabs>
        <w:spacing w:line="22" w:lineRule="atLeast"/>
        <w:jc w:val="both"/>
        <w:rPr>
          <w:rFonts w:cs="Open Sans"/>
          <w:bCs/>
          <w:i w:val="0"/>
          <w:iCs w:val="0"/>
          <w:color w:val="000000"/>
          <w:sz w:val="20"/>
        </w:rPr>
      </w:pPr>
    </w:p>
    <w:p w14:paraId="3BC65A4A" w14:textId="77777777" w:rsidR="00061A24" w:rsidRPr="00A74D23" w:rsidRDefault="00061A24" w:rsidP="009D6EE5">
      <w:pPr>
        <w:pStyle w:val="Style1"/>
        <w:numPr>
          <w:ilvl w:val="0"/>
          <w:numId w:val="0"/>
        </w:numPr>
        <w:tabs>
          <w:tab w:val="clear" w:pos="2010"/>
          <w:tab w:val="left" w:pos="426"/>
        </w:tabs>
        <w:spacing w:line="22" w:lineRule="atLeast"/>
        <w:jc w:val="both"/>
        <w:rPr>
          <w:rFonts w:cs="Open Sans"/>
          <w:color w:val="000000" w:themeColor="text1"/>
          <w:sz w:val="18"/>
          <w:szCs w:val="18"/>
        </w:rPr>
      </w:pPr>
      <w:r w:rsidRPr="00A74D23">
        <w:rPr>
          <w:rFonts w:cs="Open Sans"/>
          <w:color w:val="000000" w:themeColor="text1"/>
          <w:sz w:val="18"/>
          <w:szCs w:val="18"/>
        </w:rPr>
        <w:t>Périmètre : Unités de Compte, Abeille Assurances et AFER, 31/12/2025 (hors UC en titres vifs et produits structurés), UC commercialisées</w:t>
      </w:r>
    </w:p>
    <w:p w14:paraId="6D6A6973" w14:textId="1513B3BE" w:rsidR="00AD238F" w:rsidRPr="00A74D23" w:rsidRDefault="00061A24" w:rsidP="00A21FC6">
      <w:pPr>
        <w:pStyle w:val="Style1"/>
        <w:numPr>
          <w:ilvl w:val="0"/>
          <w:numId w:val="0"/>
        </w:numPr>
        <w:tabs>
          <w:tab w:val="clear" w:pos="2010"/>
          <w:tab w:val="left" w:pos="426"/>
        </w:tabs>
        <w:spacing w:line="22" w:lineRule="atLeast"/>
        <w:jc w:val="both"/>
        <w:rPr>
          <w:rFonts w:cs="Open Sans"/>
          <w:color w:val="000000" w:themeColor="text1"/>
          <w:sz w:val="18"/>
          <w:szCs w:val="18"/>
        </w:rPr>
      </w:pPr>
      <w:r w:rsidRPr="00A74D23">
        <w:rPr>
          <w:rFonts w:cs="Open Sans"/>
          <w:color w:val="000000" w:themeColor="text1"/>
          <w:sz w:val="18"/>
          <w:szCs w:val="18"/>
        </w:rPr>
        <w:t>Source : Abeille Assurances</w:t>
      </w:r>
    </w:p>
    <w:p w14:paraId="4D2236E4" w14:textId="77777777" w:rsidR="006D309E" w:rsidRDefault="006D309E" w:rsidP="00A21FC6">
      <w:pPr>
        <w:pStyle w:val="Style1"/>
        <w:numPr>
          <w:ilvl w:val="0"/>
          <w:numId w:val="0"/>
        </w:numPr>
        <w:tabs>
          <w:tab w:val="clear" w:pos="2010"/>
          <w:tab w:val="left" w:pos="426"/>
        </w:tabs>
        <w:spacing w:line="22" w:lineRule="atLeast"/>
        <w:jc w:val="both"/>
        <w:rPr>
          <w:rFonts w:cs="Open Sans"/>
          <w:color w:val="000000" w:themeColor="text1"/>
          <w:sz w:val="18"/>
          <w:szCs w:val="18"/>
        </w:rPr>
      </w:pPr>
    </w:p>
    <w:p w14:paraId="2F9752A8" w14:textId="77777777" w:rsidR="00343FD7" w:rsidRDefault="00343FD7" w:rsidP="00A21FC6">
      <w:pPr>
        <w:pStyle w:val="Style1"/>
        <w:numPr>
          <w:ilvl w:val="0"/>
          <w:numId w:val="0"/>
        </w:numPr>
        <w:tabs>
          <w:tab w:val="clear" w:pos="2010"/>
          <w:tab w:val="left" w:pos="426"/>
        </w:tabs>
        <w:spacing w:line="22" w:lineRule="atLeast"/>
        <w:jc w:val="both"/>
        <w:rPr>
          <w:rFonts w:cs="Open Sans"/>
          <w:color w:val="000000" w:themeColor="text1"/>
          <w:sz w:val="18"/>
          <w:szCs w:val="18"/>
        </w:rPr>
      </w:pPr>
    </w:p>
    <w:p w14:paraId="61802476" w14:textId="77777777" w:rsidR="00343FD7" w:rsidRDefault="00343FD7" w:rsidP="00A21FC6">
      <w:pPr>
        <w:pStyle w:val="Style1"/>
        <w:numPr>
          <w:ilvl w:val="0"/>
          <w:numId w:val="0"/>
        </w:numPr>
        <w:tabs>
          <w:tab w:val="clear" w:pos="2010"/>
          <w:tab w:val="left" w:pos="426"/>
        </w:tabs>
        <w:spacing w:line="22" w:lineRule="atLeast"/>
        <w:jc w:val="both"/>
        <w:rPr>
          <w:rFonts w:cs="Open Sans"/>
          <w:color w:val="000000" w:themeColor="text1"/>
          <w:sz w:val="18"/>
          <w:szCs w:val="18"/>
        </w:rPr>
      </w:pPr>
    </w:p>
    <w:p w14:paraId="063D0847" w14:textId="77777777" w:rsidR="00343FD7" w:rsidRPr="00A74D23" w:rsidRDefault="00343FD7" w:rsidP="00A21FC6">
      <w:pPr>
        <w:pStyle w:val="Style1"/>
        <w:numPr>
          <w:ilvl w:val="0"/>
          <w:numId w:val="0"/>
        </w:numPr>
        <w:tabs>
          <w:tab w:val="clear" w:pos="2010"/>
          <w:tab w:val="left" w:pos="426"/>
        </w:tabs>
        <w:spacing w:line="22" w:lineRule="atLeast"/>
        <w:jc w:val="both"/>
        <w:rPr>
          <w:rFonts w:cs="Open Sans"/>
          <w:color w:val="000000" w:themeColor="text1"/>
          <w:sz w:val="18"/>
          <w:szCs w:val="18"/>
        </w:rPr>
      </w:pPr>
    </w:p>
    <w:tbl>
      <w:tblPr>
        <w:tblW w:w="5949" w:type="dxa"/>
        <w:tblCellMar>
          <w:left w:w="70" w:type="dxa"/>
          <w:right w:w="70" w:type="dxa"/>
        </w:tblCellMar>
        <w:tblLook w:val="04A0" w:firstRow="1" w:lastRow="0" w:firstColumn="1" w:lastColumn="0" w:noHBand="0" w:noVBand="1"/>
      </w:tblPr>
      <w:tblGrid>
        <w:gridCol w:w="3080"/>
        <w:gridCol w:w="2869"/>
      </w:tblGrid>
      <w:tr w:rsidR="0052796D" w:rsidRPr="00A74D23" w14:paraId="46AF6769" w14:textId="77777777" w:rsidTr="0052796D">
        <w:trPr>
          <w:trHeight w:val="260"/>
        </w:trPr>
        <w:tc>
          <w:tcPr>
            <w:tcW w:w="3080" w:type="dxa"/>
            <w:tcBorders>
              <w:top w:val="single" w:sz="4" w:space="0" w:color="auto"/>
              <w:left w:val="single" w:sz="4" w:space="0" w:color="auto"/>
              <w:bottom w:val="single" w:sz="4" w:space="0" w:color="auto"/>
              <w:right w:val="single" w:sz="4" w:space="0" w:color="auto"/>
            </w:tcBorders>
            <w:shd w:val="clear" w:color="auto" w:fill="FFD400" w:themeFill="accent1"/>
            <w:noWrap/>
            <w:vAlign w:val="bottom"/>
            <w:hideMark/>
          </w:tcPr>
          <w:p w14:paraId="01D02DBE" w14:textId="77777777" w:rsidR="0052796D" w:rsidRPr="00A74D23" w:rsidRDefault="0052796D" w:rsidP="009D6EE5">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Classification SFDR</w:t>
            </w:r>
          </w:p>
        </w:tc>
        <w:tc>
          <w:tcPr>
            <w:tcW w:w="2869" w:type="dxa"/>
            <w:tcBorders>
              <w:top w:val="single" w:sz="4" w:space="0" w:color="auto"/>
              <w:left w:val="nil"/>
              <w:bottom w:val="single" w:sz="4" w:space="0" w:color="auto"/>
              <w:right w:val="single" w:sz="4" w:space="0" w:color="auto"/>
            </w:tcBorders>
            <w:shd w:val="clear" w:color="auto" w:fill="FFD400" w:themeFill="accent1"/>
            <w:noWrap/>
            <w:vAlign w:val="bottom"/>
            <w:hideMark/>
          </w:tcPr>
          <w:p w14:paraId="467D0ED9" w14:textId="77777777" w:rsidR="0052796D" w:rsidRPr="00A74D23" w:rsidRDefault="0052796D" w:rsidP="009D6EE5">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Valeur de marché (m€)</w:t>
            </w:r>
          </w:p>
        </w:tc>
      </w:tr>
      <w:tr w:rsidR="0052796D" w:rsidRPr="00A74D23" w14:paraId="63CEDACE" w14:textId="77777777" w:rsidTr="0052796D">
        <w:trPr>
          <w:trHeight w:val="250"/>
        </w:trPr>
        <w:tc>
          <w:tcPr>
            <w:tcW w:w="308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21EF30C" w14:textId="77777777" w:rsidR="0052796D" w:rsidRPr="00A74D23" w:rsidRDefault="0052796D" w:rsidP="009D6EE5">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Article 6</w:t>
            </w:r>
          </w:p>
        </w:tc>
        <w:tc>
          <w:tcPr>
            <w:tcW w:w="2869" w:type="dxa"/>
            <w:tcBorders>
              <w:top w:val="nil"/>
              <w:left w:val="nil"/>
              <w:bottom w:val="single" w:sz="4" w:space="0" w:color="auto"/>
              <w:right w:val="single" w:sz="4" w:space="0" w:color="auto"/>
            </w:tcBorders>
            <w:noWrap/>
            <w:vAlign w:val="bottom"/>
            <w:hideMark/>
          </w:tcPr>
          <w:p w14:paraId="3CC16F12" w14:textId="77777777" w:rsidR="0052796D" w:rsidRPr="00A74D23" w:rsidRDefault="0052796D" w:rsidP="009D6EE5">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12 255</w:t>
            </w:r>
          </w:p>
        </w:tc>
      </w:tr>
      <w:tr w:rsidR="0052796D" w:rsidRPr="00A74D23" w14:paraId="78656261" w14:textId="77777777" w:rsidTr="0052796D">
        <w:trPr>
          <w:trHeight w:val="250"/>
        </w:trPr>
        <w:tc>
          <w:tcPr>
            <w:tcW w:w="308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1AD05CD" w14:textId="77777777" w:rsidR="0052796D" w:rsidRPr="00A74D23" w:rsidRDefault="0052796D" w:rsidP="009D6EE5">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Article 8</w:t>
            </w:r>
          </w:p>
        </w:tc>
        <w:tc>
          <w:tcPr>
            <w:tcW w:w="2869" w:type="dxa"/>
            <w:tcBorders>
              <w:top w:val="nil"/>
              <w:left w:val="nil"/>
              <w:bottom w:val="single" w:sz="4" w:space="0" w:color="auto"/>
              <w:right w:val="single" w:sz="4" w:space="0" w:color="auto"/>
            </w:tcBorders>
            <w:noWrap/>
            <w:vAlign w:val="bottom"/>
            <w:hideMark/>
          </w:tcPr>
          <w:p w14:paraId="477F4420" w14:textId="77777777" w:rsidR="0052796D" w:rsidRPr="00A74D23" w:rsidRDefault="0052796D" w:rsidP="009D6EE5">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10 440</w:t>
            </w:r>
          </w:p>
        </w:tc>
      </w:tr>
      <w:tr w:rsidR="0052796D" w:rsidRPr="00A74D23" w14:paraId="477BC0A7" w14:textId="77777777" w:rsidTr="0052796D">
        <w:trPr>
          <w:trHeight w:val="250"/>
        </w:trPr>
        <w:tc>
          <w:tcPr>
            <w:tcW w:w="308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47C0C83" w14:textId="77777777" w:rsidR="0052796D" w:rsidRPr="00A74D23" w:rsidRDefault="0052796D" w:rsidP="009D6EE5">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Article 9</w:t>
            </w:r>
          </w:p>
        </w:tc>
        <w:tc>
          <w:tcPr>
            <w:tcW w:w="2869" w:type="dxa"/>
            <w:tcBorders>
              <w:top w:val="nil"/>
              <w:left w:val="nil"/>
              <w:bottom w:val="single" w:sz="4" w:space="0" w:color="auto"/>
              <w:right w:val="single" w:sz="4" w:space="0" w:color="auto"/>
            </w:tcBorders>
            <w:noWrap/>
            <w:vAlign w:val="bottom"/>
            <w:hideMark/>
          </w:tcPr>
          <w:p w14:paraId="379E1AED" w14:textId="77777777" w:rsidR="0052796D" w:rsidRPr="00A74D23" w:rsidRDefault="0052796D" w:rsidP="009D6EE5">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346</w:t>
            </w:r>
          </w:p>
        </w:tc>
      </w:tr>
      <w:tr w:rsidR="0052796D" w:rsidRPr="00A74D23" w14:paraId="7AE9E23A" w14:textId="77777777" w:rsidTr="0052796D">
        <w:trPr>
          <w:trHeight w:val="250"/>
        </w:trPr>
        <w:tc>
          <w:tcPr>
            <w:tcW w:w="3080" w:type="dxa"/>
            <w:tcBorders>
              <w:top w:val="nil"/>
              <w:left w:val="single" w:sz="4" w:space="0" w:color="auto"/>
              <w:bottom w:val="single" w:sz="4" w:space="0" w:color="auto"/>
              <w:right w:val="single" w:sz="4" w:space="0" w:color="auto"/>
            </w:tcBorders>
            <w:shd w:val="clear" w:color="auto" w:fill="FFD400" w:themeFill="accent1"/>
            <w:noWrap/>
            <w:vAlign w:val="bottom"/>
            <w:hideMark/>
          </w:tcPr>
          <w:p w14:paraId="719A963D" w14:textId="77777777" w:rsidR="0052796D" w:rsidRPr="00A74D23" w:rsidRDefault="0052796D" w:rsidP="009D6EE5">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Total</w:t>
            </w:r>
          </w:p>
        </w:tc>
        <w:tc>
          <w:tcPr>
            <w:tcW w:w="2869" w:type="dxa"/>
            <w:tcBorders>
              <w:top w:val="nil"/>
              <w:left w:val="nil"/>
              <w:bottom w:val="single" w:sz="4" w:space="0" w:color="auto"/>
              <w:right w:val="single" w:sz="4" w:space="0" w:color="auto"/>
            </w:tcBorders>
            <w:shd w:val="clear" w:color="auto" w:fill="FFD400" w:themeFill="accent1"/>
            <w:noWrap/>
            <w:vAlign w:val="bottom"/>
            <w:hideMark/>
          </w:tcPr>
          <w:p w14:paraId="780BE1FF" w14:textId="77777777" w:rsidR="0052796D" w:rsidRPr="00A74D23" w:rsidRDefault="0052796D" w:rsidP="009D6EE5">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23 041</w:t>
            </w:r>
          </w:p>
        </w:tc>
      </w:tr>
    </w:tbl>
    <w:p w14:paraId="1AE89EC2" w14:textId="77777777" w:rsidR="00AD238F" w:rsidRPr="00A74D23" w:rsidRDefault="00AD238F" w:rsidP="009D6EE5">
      <w:pPr>
        <w:pStyle w:val="Style1"/>
        <w:numPr>
          <w:ilvl w:val="0"/>
          <w:numId w:val="0"/>
        </w:numPr>
        <w:tabs>
          <w:tab w:val="clear" w:pos="2010"/>
          <w:tab w:val="left" w:pos="426"/>
        </w:tabs>
        <w:spacing w:line="22" w:lineRule="atLeast"/>
        <w:jc w:val="both"/>
        <w:rPr>
          <w:rFonts w:cs="Open Sans"/>
          <w:color w:val="000000" w:themeColor="text1"/>
          <w:sz w:val="18"/>
          <w:szCs w:val="18"/>
        </w:rPr>
      </w:pPr>
      <w:r w:rsidRPr="00A74D23">
        <w:rPr>
          <w:rFonts w:cs="Open Sans"/>
          <w:color w:val="000000" w:themeColor="text1"/>
          <w:sz w:val="18"/>
          <w:szCs w:val="18"/>
        </w:rPr>
        <w:t>Périmètre : Unités de Compte, Abeille Assurances et AFER, 31/12/2025 (hors UC en titres vifs et produits structurés), UC commercialisées</w:t>
      </w:r>
    </w:p>
    <w:p w14:paraId="691F432E" w14:textId="77777777" w:rsidR="00AD238F" w:rsidRPr="00A74D23" w:rsidRDefault="00AD238F" w:rsidP="009D6EE5">
      <w:pPr>
        <w:pStyle w:val="Style1"/>
        <w:numPr>
          <w:ilvl w:val="0"/>
          <w:numId w:val="0"/>
        </w:numPr>
        <w:tabs>
          <w:tab w:val="clear" w:pos="2010"/>
          <w:tab w:val="left" w:pos="426"/>
        </w:tabs>
        <w:spacing w:line="22" w:lineRule="atLeast"/>
        <w:jc w:val="both"/>
        <w:rPr>
          <w:rFonts w:cs="Open Sans"/>
          <w:color w:val="000000" w:themeColor="text1"/>
          <w:sz w:val="18"/>
          <w:szCs w:val="18"/>
        </w:rPr>
      </w:pPr>
      <w:r w:rsidRPr="00A74D23">
        <w:rPr>
          <w:rFonts w:cs="Open Sans"/>
          <w:color w:val="000000" w:themeColor="text1"/>
          <w:sz w:val="18"/>
          <w:szCs w:val="18"/>
        </w:rPr>
        <w:t>Source : Abeille Assurances</w:t>
      </w:r>
    </w:p>
    <w:p w14:paraId="66A4D64C" w14:textId="77777777" w:rsidR="00AD238F" w:rsidRPr="00A74D23" w:rsidRDefault="00AD238F" w:rsidP="009D6EE5">
      <w:pPr>
        <w:pStyle w:val="Style1"/>
        <w:numPr>
          <w:ilvl w:val="0"/>
          <w:numId w:val="0"/>
        </w:numPr>
        <w:tabs>
          <w:tab w:val="left" w:pos="426"/>
        </w:tabs>
        <w:spacing w:line="22" w:lineRule="atLeast"/>
        <w:jc w:val="both"/>
        <w:rPr>
          <w:rFonts w:cs="Open Sans"/>
          <w:bCs/>
          <w:i w:val="0"/>
          <w:iCs w:val="0"/>
          <w:color w:val="000000"/>
          <w:sz w:val="20"/>
        </w:rPr>
      </w:pPr>
    </w:p>
    <w:p w14:paraId="5CBE093C" w14:textId="08ACB535" w:rsidR="00AD238F" w:rsidRPr="00A74D23" w:rsidRDefault="00CC5CE6" w:rsidP="009D6EE5">
      <w:pPr>
        <w:pStyle w:val="Style1"/>
        <w:numPr>
          <w:ilvl w:val="0"/>
          <w:numId w:val="0"/>
        </w:numPr>
        <w:tabs>
          <w:tab w:val="left" w:pos="426"/>
        </w:tabs>
        <w:spacing w:line="22" w:lineRule="atLeast"/>
        <w:jc w:val="both"/>
        <w:rPr>
          <w:rFonts w:cs="Open Sans"/>
          <w:bCs/>
          <w:i w:val="0"/>
          <w:iCs w:val="0"/>
          <w:color w:val="000000"/>
          <w:sz w:val="20"/>
        </w:rPr>
      </w:pPr>
      <w:r>
        <w:rPr>
          <w:noProof/>
        </w:rPr>
        <w:drawing>
          <wp:inline distT="0" distB="0" distL="0" distR="0" wp14:anchorId="64B0571E" wp14:editId="5C0B01D3">
            <wp:extent cx="4594225" cy="2657475"/>
            <wp:effectExtent l="0" t="0" r="15875" b="9525"/>
            <wp:docPr id="684560371" name="Graphique 1">
              <a:extLst xmlns:a="http://schemas.openxmlformats.org/drawingml/2006/main">
                <a:ext uri="{FF2B5EF4-FFF2-40B4-BE49-F238E27FC236}">
                  <a16:creationId xmlns:a16="http://schemas.microsoft.com/office/drawing/2014/main" id="{8196CEC1-1A02-E897-DEFF-D90052BE06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17524A8" w14:textId="184456C5" w:rsidR="00AD238F" w:rsidRPr="00A74D23" w:rsidRDefault="00AD238F" w:rsidP="009D6EE5">
      <w:pPr>
        <w:pStyle w:val="Style1"/>
        <w:numPr>
          <w:ilvl w:val="0"/>
          <w:numId w:val="0"/>
        </w:numPr>
        <w:tabs>
          <w:tab w:val="clear" w:pos="2010"/>
          <w:tab w:val="left" w:pos="426"/>
        </w:tabs>
        <w:spacing w:line="22" w:lineRule="atLeast"/>
        <w:jc w:val="both"/>
        <w:rPr>
          <w:rFonts w:cs="Open Sans"/>
          <w:color w:val="000000" w:themeColor="text1"/>
          <w:sz w:val="18"/>
          <w:szCs w:val="18"/>
        </w:rPr>
      </w:pPr>
      <w:r w:rsidRPr="00A74D23">
        <w:rPr>
          <w:rFonts w:cs="Open Sans"/>
          <w:color w:val="000000" w:themeColor="text1"/>
          <w:sz w:val="18"/>
          <w:szCs w:val="18"/>
        </w:rPr>
        <w:t>Périmètre : Unités de Compte, Abeille Assurances et AFER, 31/12/2025 (hors UC en titres vifs et produits structurés), UC commercialisées</w:t>
      </w:r>
    </w:p>
    <w:p w14:paraId="060BFD0D" w14:textId="488FDBF8" w:rsidR="00AD238F" w:rsidRPr="00A74D23" w:rsidRDefault="00AD238F" w:rsidP="009D6EE5">
      <w:pPr>
        <w:pStyle w:val="Style1"/>
        <w:numPr>
          <w:ilvl w:val="0"/>
          <w:numId w:val="0"/>
        </w:numPr>
        <w:tabs>
          <w:tab w:val="clear" w:pos="2010"/>
          <w:tab w:val="left" w:pos="426"/>
        </w:tabs>
        <w:spacing w:line="22" w:lineRule="atLeast"/>
        <w:jc w:val="both"/>
        <w:rPr>
          <w:rFonts w:cs="Open Sans"/>
          <w:color w:val="000000" w:themeColor="text1"/>
          <w:sz w:val="18"/>
          <w:szCs w:val="18"/>
        </w:rPr>
      </w:pPr>
      <w:r w:rsidRPr="00A74D23">
        <w:rPr>
          <w:rFonts w:cs="Open Sans"/>
          <w:color w:val="000000" w:themeColor="text1"/>
          <w:sz w:val="18"/>
          <w:szCs w:val="18"/>
        </w:rPr>
        <w:t>Source : Abeille Assurances</w:t>
      </w:r>
    </w:p>
    <w:p w14:paraId="14F7A229" w14:textId="2E6BE8AF" w:rsidR="00AD238F" w:rsidRPr="00A74D23" w:rsidRDefault="00AD238F" w:rsidP="009D6EE5">
      <w:pPr>
        <w:pStyle w:val="Style1"/>
        <w:numPr>
          <w:ilvl w:val="0"/>
          <w:numId w:val="0"/>
        </w:numPr>
        <w:tabs>
          <w:tab w:val="left" w:pos="426"/>
        </w:tabs>
        <w:spacing w:line="22" w:lineRule="atLeast"/>
        <w:jc w:val="both"/>
        <w:rPr>
          <w:rFonts w:cs="Open Sans"/>
          <w:bCs/>
          <w:i w:val="0"/>
          <w:iCs w:val="0"/>
          <w:color w:val="000000"/>
          <w:sz w:val="20"/>
        </w:rPr>
      </w:pPr>
    </w:p>
    <w:p w14:paraId="7B14B3F9" w14:textId="6755DF81" w:rsidR="00AD238F" w:rsidRPr="00A74D23" w:rsidRDefault="00AD238F" w:rsidP="009D6EE5">
      <w:pPr>
        <w:autoSpaceDE w:val="0"/>
        <w:autoSpaceDN w:val="0"/>
        <w:adjustRightInd w:val="0"/>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La liste des produits financiers mentionnés en vertu de l’article 8 et de l’article 9 du règlement (UE) 2019/2088 du Parlement européen et du Conseil du 27 novembre 2019 peut être retrouvée en annexe.</w:t>
      </w:r>
    </w:p>
    <w:p w14:paraId="6449576A" w14:textId="5CDABEC4" w:rsidR="00AD238F" w:rsidRPr="00A74D23" w:rsidRDefault="00AD238F" w:rsidP="009D6EE5">
      <w:pPr>
        <w:pStyle w:val="Style1"/>
        <w:numPr>
          <w:ilvl w:val="0"/>
          <w:numId w:val="0"/>
        </w:numPr>
        <w:tabs>
          <w:tab w:val="left" w:pos="426"/>
        </w:tabs>
        <w:spacing w:line="22" w:lineRule="atLeast"/>
        <w:jc w:val="both"/>
        <w:rPr>
          <w:rFonts w:cs="Open Sans"/>
          <w:bCs/>
          <w:i w:val="0"/>
          <w:iCs w:val="0"/>
          <w:color w:val="000000"/>
          <w:sz w:val="20"/>
        </w:rPr>
      </w:pPr>
    </w:p>
    <w:p w14:paraId="6CAB6894" w14:textId="4ED5476F" w:rsidR="00AD238F" w:rsidRPr="00A74D23" w:rsidRDefault="00A21FC6" w:rsidP="009D6EE5">
      <w:pPr>
        <w:pStyle w:val="Style1"/>
        <w:numPr>
          <w:ilvl w:val="0"/>
          <w:numId w:val="0"/>
        </w:numPr>
        <w:tabs>
          <w:tab w:val="left" w:pos="426"/>
        </w:tabs>
        <w:spacing w:line="22" w:lineRule="atLeast"/>
        <w:jc w:val="both"/>
        <w:rPr>
          <w:rFonts w:cs="Open Sans"/>
          <w:bCs/>
          <w:i w:val="0"/>
          <w:iCs w:val="0"/>
          <w:color w:val="000000"/>
          <w:sz w:val="20"/>
        </w:rPr>
      </w:pPr>
      <w:r w:rsidRPr="00A74D23">
        <w:rPr>
          <w:rFonts w:cs="Open Sans"/>
          <w:bCs/>
          <w:i w:val="0"/>
          <w:iCs w:val="0"/>
          <w:noProof/>
          <w:color w:val="000000"/>
          <w:sz w:val="20"/>
        </w:rPr>
        <mc:AlternateContent>
          <mc:Choice Requires="wps">
            <w:drawing>
              <wp:anchor distT="0" distB="0" distL="114300" distR="114300" simplePos="0" relativeHeight="251652096" behindDoc="0" locked="0" layoutInCell="1" allowOverlap="1" wp14:anchorId="4111CCF0" wp14:editId="2B6E2420">
                <wp:simplePos x="0" y="0"/>
                <wp:positionH relativeFrom="margin">
                  <wp:align>center</wp:align>
                </wp:positionH>
                <wp:positionV relativeFrom="paragraph">
                  <wp:posOffset>9597</wp:posOffset>
                </wp:positionV>
                <wp:extent cx="5882005" cy="312420"/>
                <wp:effectExtent l="0" t="0" r="4445" b="0"/>
                <wp:wrapNone/>
                <wp:docPr id="2064209752" name="Rectangle 1"/>
                <wp:cNvGraphicFramePr/>
                <a:graphic xmlns:a="http://schemas.openxmlformats.org/drawingml/2006/main">
                  <a:graphicData uri="http://schemas.microsoft.com/office/word/2010/wordprocessingShape">
                    <wps:wsp>
                      <wps:cNvSpPr/>
                      <wps:spPr>
                        <a:xfrm>
                          <a:off x="0" y="0"/>
                          <a:ext cx="5882005" cy="31242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61DE00" w14:textId="77777777" w:rsidR="00432B9A" w:rsidRPr="00432B9A" w:rsidRDefault="00432B9A" w:rsidP="00432B9A">
                            <w:pPr>
                              <w:pStyle w:val="Style1"/>
                              <w:numPr>
                                <w:ilvl w:val="0"/>
                                <w:numId w:val="0"/>
                              </w:numPr>
                              <w:tabs>
                                <w:tab w:val="left" w:pos="426"/>
                              </w:tabs>
                              <w:spacing w:line="276" w:lineRule="auto"/>
                              <w:jc w:val="center"/>
                              <w:rPr>
                                <w:rFonts w:cs="Open Sans"/>
                                <w:bCs/>
                                <w:i w:val="0"/>
                                <w:iCs w:val="0"/>
                                <w:color w:val="000000"/>
                                <w:sz w:val="22"/>
                                <w:szCs w:val="22"/>
                              </w:rPr>
                            </w:pPr>
                            <w:r w:rsidRPr="00432B9A">
                              <w:rPr>
                                <w:rFonts w:cs="Open Sans"/>
                                <w:b/>
                                <w:i w:val="0"/>
                                <w:iCs w:val="0"/>
                                <w:color w:val="000000"/>
                                <w:sz w:val="22"/>
                                <w:szCs w:val="22"/>
                              </w:rPr>
                              <w:t>18% des fonds proposés en Unités de Compte sont labelisés</w:t>
                            </w:r>
                            <w:r w:rsidRPr="00432B9A">
                              <w:rPr>
                                <w:rFonts w:cs="Open Sans"/>
                                <w:bCs/>
                                <w:i w:val="0"/>
                                <w:iCs w:val="0"/>
                                <w:color w:val="000000"/>
                                <w:sz w:val="22"/>
                                <w:szCs w:val="22"/>
                              </w:rPr>
                              <w:t xml:space="preserve"> (ISR, Greenfin, Finansol ou autre).</w:t>
                            </w:r>
                          </w:p>
                          <w:p w14:paraId="4246AFF7" w14:textId="77777777" w:rsidR="00432B9A" w:rsidRPr="00432B9A" w:rsidRDefault="00432B9A" w:rsidP="00432B9A">
                            <w:pPr>
                              <w:jc w:val="center"/>
                              <w:rPr>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11CCF0" id="Rectangle 1" o:spid="_x0000_s1052" style="position:absolute;left:0;text-align:left;margin-left:0;margin-top:.75pt;width:463.15pt;height:24.6pt;z-index:251652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" fillcolor="#ffd400 [3204]" stroked="f" strokeweight="1pt">
                <v:textbox>
                  <w:txbxContent>
                    <w:p w14:paraId="2A61DE00" w14:textId="77777777" w:rsidR="00432B9A" w:rsidRPr="00432B9A" w:rsidRDefault="00432B9A" w:rsidP="00432B9A">
                      <w:pPr>
                        <w:pStyle w:val="Style1"/>
                        <w:numPr>
                          <w:ilvl w:val="0"/>
                          <w:numId w:val="0"/>
                        </w:numPr>
                        <w:tabs>
                          <w:tab w:val="left" w:pos="426"/>
                        </w:tabs>
                        <w:spacing w:line="276" w:lineRule="auto"/>
                        <w:jc w:val="center"/>
                        <w:rPr>
                          <w:rFonts w:cs="Open Sans"/>
                          <w:bCs/>
                          <w:i w:val="0"/>
                          <w:iCs w:val="0"/>
                          <w:color w:val="000000"/>
                          <w:sz w:val="22"/>
                          <w:szCs w:val="22"/>
                        </w:rPr>
                      </w:pPr>
                      <w:r w:rsidRPr="00432B9A">
                        <w:rPr>
                          <w:rFonts w:cs="Open Sans"/>
                          <w:b/>
                          <w:i w:val="0"/>
                          <w:iCs w:val="0"/>
                          <w:color w:val="000000"/>
                          <w:sz w:val="22"/>
                          <w:szCs w:val="22"/>
                        </w:rPr>
                        <w:t>18% des fonds proposés en Unités de Compte sont labelisés</w:t>
                      </w:r>
                      <w:r w:rsidRPr="00432B9A">
                        <w:rPr>
                          <w:rFonts w:cs="Open Sans"/>
                          <w:bCs/>
                          <w:i w:val="0"/>
                          <w:iCs w:val="0"/>
                          <w:color w:val="000000"/>
                          <w:sz w:val="22"/>
                          <w:szCs w:val="22"/>
                        </w:rPr>
                        <w:t xml:space="preserve"> (ISR, Greenfin, Finansol ou autre).</w:t>
                      </w:r>
                    </w:p>
                    <w:p w14:paraId="4246AFF7" w14:textId="77777777" w:rsidR="00432B9A" w:rsidRPr="00432B9A" w:rsidRDefault="00432B9A" w:rsidP="00432B9A">
                      <w:pPr>
                        <w:jc w:val="center"/>
                        <w:rPr>
                          <w:lang w:val="fr-FR"/>
                        </w:rPr>
                      </w:pPr>
                    </w:p>
                  </w:txbxContent>
                </v:textbox>
                <w10:wrap anchorx="margin"/>
              </v:rect>
            </w:pict>
          </mc:Fallback>
        </mc:AlternateContent>
      </w:r>
    </w:p>
    <w:p w14:paraId="07803F57" w14:textId="77777777" w:rsidR="00A21FC6" w:rsidRPr="00A74D23" w:rsidRDefault="00A21FC6" w:rsidP="009D6EE5">
      <w:pPr>
        <w:pStyle w:val="Style1"/>
        <w:numPr>
          <w:ilvl w:val="0"/>
          <w:numId w:val="0"/>
        </w:numPr>
        <w:tabs>
          <w:tab w:val="clear" w:pos="2010"/>
          <w:tab w:val="left" w:pos="284"/>
        </w:tabs>
        <w:spacing w:after="0" w:line="22" w:lineRule="atLeast"/>
        <w:jc w:val="both"/>
        <w:rPr>
          <w:rFonts w:cs="Open Sans"/>
          <w:b/>
          <w:bCs/>
          <w:i w:val="0"/>
          <w:color w:val="000000" w:themeColor="text1"/>
          <w:sz w:val="24"/>
          <w:szCs w:val="32"/>
        </w:rPr>
      </w:pPr>
    </w:p>
    <w:p w14:paraId="1B3FB966" w14:textId="77777777" w:rsidR="00AD238F" w:rsidRPr="00A74D23" w:rsidRDefault="00AD238F" w:rsidP="009D6EE5">
      <w:pPr>
        <w:pStyle w:val="Style1"/>
        <w:numPr>
          <w:ilvl w:val="0"/>
          <w:numId w:val="0"/>
        </w:numPr>
        <w:tabs>
          <w:tab w:val="clear" w:pos="2010"/>
          <w:tab w:val="left" w:pos="426"/>
        </w:tabs>
        <w:spacing w:after="0" w:line="22" w:lineRule="atLeast"/>
        <w:jc w:val="both"/>
        <w:rPr>
          <w:rFonts w:cs="Open Sans"/>
          <w:b/>
          <w:i w:val="0"/>
          <w:color w:val="000000" w:themeColor="text1"/>
          <w:sz w:val="18"/>
          <w:szCs w:val="18"/>
        </w:rPr>
      </w:pPr>
    </w:p>
    <w:p w14:paraId="76B84FCC" w14:textId="77777777" w:rsidR="00AD238F" w:rsidRPr="00A74D23" w:rsidRDefault="00AD238F" w:rsidP="009D6EE5">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18"/>
          <w:szCs w:val="18"/>
        </w:rPr>
      </w:pPr>
    </w:p>
    <w:p w14:paraId="7F452B28" w14:textId="77777777" w:rsidR="00730525" w:rsidRPr="00A74D23" w:rsidRDefault="00730525" w:rsidP="00A21FC6">
      <w:pPr>
        <w:pStyle w:val="Style1"/>
        <w:numPr>
          <w:ilvl w:val="0"/>
          <w:numId w:val="0"/>
        </w:numPr>
        <w:tabs>
          <w:tab w:val="clear" w:pos="2010"/>
          <w:tab w:val="left" w:pos="426"/>
        </w:tabs>
        <w:spacing w:after="0" w:line="22" w:lineRule="atLeast"/>
        <w:jc w:val="both"/>
        <w:rPr>
          <w:rFonts w:cs="Open Sans"/>
          <w:b/>
          <w:i w:val="0"/>
          <w:color w:val="000000" w:themeColor="text1"/>
          <w:sz w:val="18"/>
          <w:szCs w:val="18"/>
        </w:rPr>
      </w:pPr>
    </w:p>
    <w:p w14:paraId="17DA4BD5" w14:textId="11A450A4" w:rsidR="00AD238F" w:rsidRPr="00A74D23" w:rsidRDefault="00AD238F" w:rsidP="009D6EE5">
      <w:pPr>
        <w:pStyle w:val="pf0"/>
        <w:spacing w:before="0" w:beforeAutospacing="0" w:after="0" w:afterAutospacing="0" w:line="22" w:lineRule="atLeast"/>
        <w:jc w:val="both"/>
        <w:rPr>
          <w:rFonts w:asciiTheme="minorHAnsi" w:hAnsiTheme="minorHAnsi" w:cs="Open Sans"/>
          <w:sz w:val="18"/>
          <w:szCs w:val="18"/>
        </w:rPr>
      </w:pPr>
      <w:r w:rsidRPr="00A74D23">
        <w:rPr>
          <w:rFonts w:asciiTheme="minorHAnsi" w:hAnsiTheme="minorHAnsi" w:cs="Open Sans"/>
          <w:b/>
          <w:bCs/>
          <w:noProof/>
          <w:sz w:val="18"/>
          <w:szCs w:val="18"/>
        </w:rPr>
        <mc:AlternateContent>
          <mc:Choice Requires="wps">
            <w:drawing>
              <wp:anchor distT="0" distB="0" distL="114300" distR="114300" simplePos="0" relativeHeight="251579392" behindDoc="0" locked="0" layoutInCell="1" allowOverlap="1" wp14:anchorId="396132C3" wp14:editId="793AF012">
                <wp:simplePos x="0" y="0"/>
                <wp:positionH relativeFrom="margin">
                  <wp:posOffset>2155310</wp:posOffset>
                </wp:positionH>
                <wp:positionV relativeFrom="paragraph">
                  <wp:posOffset>10795</wp:posOffset>
                </wp:positionV>
                <wp:extent cx="1927153" cy="287111"/>
                <wp:effectExtent l="0" t="0" r="0" b="0"/>
                <wp:wrapNone/>
                <wp:docPr id="1986832900" name="Rectangle : coins arrondis 1"/>
                <wp:cNvGraphicFramePr/>
                <a:graphic xmlns:a="http://schemas.openxmlformats.org/drawingml/2006/main">
                  <a:graphicData uri="http://schemas.microsoft.com/office/word/2010/wordprocessingShape">
                    <wps:wsp>
                      <wps:cNvSpPr/>
                      <wps:spPr>
                        <a:xfrm>
                          <a:off x="0" y="0"/>
                          <a:ext cx="1927153" cy="287111"/>
                        </a:xfrm>
                        <a:prstGeom prst="round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1DBF5C" w14:textId="0845186F" w:rsidR="00AD238F" w:rsidRPr="00A9024F" w:rsidRDefault="00AD238F" w:rsidP="00AD238F">
                            <w:pPr>
                              <w:jc w:val="center"/>
                              <w:rPr>
                                <w:rFonts w:asciiTheme="minorHAnsi" w:hAnsiTheme="minorHAnsi"/>
                                <w:b/>
                                <w:bCs/>
                                <w:color w:val="000000" w:themeColor="text1"/>
                              </w:rPr>
                            </w:pPr>
                            <w:r w:rsidRPr="00A9024F">
                              <w:rPr>
                                <w:rFonts w:asciiTheme="minorHAnsi" w:hAnsiTheme="minorHAnsi"/>
                                <w:b/>
                                <w:bCs/>
                                <w:color w:val="000000" w:themeColor="text1"/>
                              </w:rPr>
                              <w:t>En conclusion</w:t>
                            </w:r>
                            <w:r w:rsidR="00A21FC6">
                              <w:rPr>
                                <w:rFonts w:asciiTheme="minorHAnsi" w:hAnsiTheme="minorHAnsi"/>
                                <w:b/>
                                <w:bCs/>
                                <w:color w:val="000000" w:themeColor="text1"/>
                              </w:rPr>
                              <w:t xml:space="preserve"> sur les UC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6132C3" id="Rectangle : coins arrondis 1" o:spid="_x0000_s1053" style="position:absolute;left:0;text-align:left;margin-left:169.7pt;margin-top:.85pt;width:151.75pt;height:22.6pt;z-index:25157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" fillcolor="#ffd400 [3204]" stroked="f" strokeweight="1pt">
                <v:stroke joinstyle="miter"/>
                <v:textbox>
                  <w:txbxContent>
                    <w:p w14:paraId="391DBF5C" w14:textId="0845186F" w:rsidR="00AD238F" w:rsidRPr="00A9024F" w:rsidRDefault="00AD238F" w:rsidP="00AD238F">
                      <w:pPr>
                        <w:jc w:val="center"/>
                        <w:rPr>
                          <w:rFonts w:asciiTheme="minorHAnsi" w:hAnsiTheme="minorHAnsi"/>
                          <w:b/>
                          <w:bCs/>
                          <w:color w:val="000000" w:themeColor="text1"/>
                        </w:rPr>
                      </w:pPr>
                      <w:r w:rsidRPr="00A9024F">
                        <w:rPr>
                          <w:rFonts w:asciiTheme="minorHAnsi" w:hAnsiTheme="minorHAnsi"/>
                          <w:b/>
                          <w:bCs/>
                          <w:color w:val="000000" w:themeColor="text1"/>
                        </w:rPr>
                        <w:t>En conclusion</w:t>
                      </w:r>
                      <w:r w:rsidR="00A21FC6">
                        <w:rPr>
                          <w:rFonts w:asciiTheme="minorHAnsi" w:hAnsiTheme="minorHAnsi"/>
                          <w:b/>
                          <w:bCs/>
                          <w:color w:val="000000" w:themeColor="text1"/>
                        </w:rPr>
                        <w:t xml:space="preserve"> sur les UC</w:t>
                      </w:r>
                    </w:p>
                  </w:txbxContent>
                </v:textbox>
                <w10:wrap anchorx="margin"/>
              </v:roundrect>
            </w:pict>
          </mc:Fallback>
        </mc:AlternateContent>
      </w:r>
    </w:p>
    <w:p w14:paraId="2C9BF4A2" w14:textId="29B20ACD" w:rsidR="00AD238F" w:rsidRPr="00A74D23" w:rsidRDefault="00B663F7" w:rsidP="009D6EE5">
      <w:pPr>
        <w:pStyle w:val="Style1"/>
        <w:numPr>
          <w:ilvl w:val="0"/>
          <w:numId w:val="0"/>
        </w:numPr>
        <w:tabs>
          <w:tab w:val="clear" w:pos="2010"/>
          <w:tab w:val="left" w:pos="1134"/>
        </w:tabs>
        <w:spacing w:line="22" w:lineRule="atLeast"/>
        <w:ind w:firstLine="284"/>
        <w:jc w:val="both"/>
        <w:rPr>
          <w:rFonts w:cs="Open Sans"/>
          <w:i w:val="0"/>
          <w:color w:val="auto"/>
          <w:sz w:val="18"/>
          <w:szCs w:val="18"/>
        </w:rPr>
      </w:pPr>
      <w:r w:rsidRPr="00A74D23">
        <w:rPr>
          <w:rFonts w:eastAsia="Calibri" w:cs="Open Sans"/>
          <w:i w:val="0"/>
          <w:iCs w:val="0"/>
          <w:noProof/>
          <w:color w:val="auto"/>
          <w:sz w:val="18"/>
          <w:szCs w:val="18"/>
          <w:lang w:eastAsia="fr-FR"/>
        </w:rPr>
        <mc:AlternateContent>
          <mc:Choice Requires="wpg">
            <w:drawing>
              <wp:anchor distT="0" distB="0" distL="114300" distR="114300" simplePos="0" relativeHeight="251573248" behindDoc="0" locked="0" layoutInCell="1" allowOverlap="1" wp14:anchorId="755A2DB2" wp14:editId="2523E717">
                <wp:simplePos x="0" y="0"/>
                <wp:positionH relativeFrom="margin">
                  <wp:posOffset>5942634</wp:posOffset>
                </wp:positionH>
                <wp:positionV relativeFrom="paragraph">
                  <wp:posOffset>1709394</wp:posOffset>
                </wp:positionV>
                <wp:extent cx="389890" cy="281305"/>
                <wp:effectExtent l="0" t="0" r="10160" b="23495"/>
                <wp:wrapNone/>
                <wp:docPr id="1884987165" name="Groupe 132"/>
                <wp:cNvGraphicFramePr/>
                <a:graphic xmlns:a="http://schemas.openxmlformats.org/drawingml/2006/main">
                  <a:graphicData uri="http://schemas.microsoft.com/office/word/2010/wordprocessingGroup">
                    <wpg:wgp>
                      <wpg:cNvGrpSpPr/>
                      <wpg:grpSpPr>
                        <a:xfrm flipH="1">
                          <a:off x="0" y="0"/>
                          <a:ext cx="389890" cy="281305"/>
                          <a:chOff x="0" y="0"/>
                          <a:chExt cx="480287" cy="346688"/>
                        </a:xfrm>
                      </wpg:grpSpPr>
                      <wps:wsp>
                        <wps:cNvPr id="1739212118"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1431958804"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611499BF" id="Groupe 132" o:spid="_x0000_s1026" style="position:absolute;margin-left:467.9pt;margin-top:134.6pt;width:30.7pt;height:22.15pt;flip:x;z-index:251573248;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r w:rsidRPr="00A74D23">
        <w:rPr>
          <w:rFonts w:cs="Open Sans"/>
          <w:noProof/>
          <w:sz w:val="18"/>
          <w:szCs w:val="18"/>
        </w:rPr>
        <mc:AlternateContent>
          <mc:Choice Requires="wps">
            <w:drawing>
              <wp:anchor distT="0" distB="0" distL="114300" distR="114300" simplePos="0" relativeHeight="251569152" behindDoc="0" locked="0" layoutInCell="1" allowOverlap="1" wp14:anchorId="5261B2E5" wp14:editId="59950CB4">
                <wp:simplePos x="0" y="0"/>
                <wp:positionH relativeFrom="column">
                  <wp:posOffset>474040</wp:posOffset>
                </wp:positionH>
                <wp:positionV relativeFrom="paragraph">
                  <wp:posOffset>32207</wp:posOffset>
                </wp:positionV>
                <wp:extent cx="5520055" cy="2077517"/>
                <wp:effectExtent l="0" t="0" r="4445" b="0"/>
                <wp:wrapNone/>
                <wp:docPr id="843403110" name="Zone de texte 843403110"/>
                <wp:cNvGraphicFramePr/>
                <a:graphic xmlns:a="http://schemas.openxmlformats.org/drawingml/2006/main">
                  <a:graphicData uri="http://schemas.microsoft.com/office/word/2010/wordprocessingShape">
                    <wps:wsp>
                      <wps:cNvSpPr txBox="1"/>
                      <wps:spPr>
                        <a:xfrm>
                          <a:off x="0" y="0"/>
                          <a:ext cx="5520055" cy="2077517"/>
                        </a:xfrm>
                        <a:prstGeom prst="rect">
                          <a:avLst/>
                        </a:prstGeom>
                        <a:solidFill>
                          <a:schemeClr val="lt1"/>
                        </a:solidFill>
                        <a:ln w="6350">
                          <a:noFill/>
                        </a:ln>
                      </wps:spPr>
                      <wps:txbx>
                        <w:txbxContent>
                          <w:p w14:paraId="4542EC09" w14:textId="77777777" w:rsidR="00AD238F" w:rsidRDefault="00AD238F" w:rsidP="00AD238F">
                            <w:pPr>
                              <w:pStyle w:val="Style1"/>
                              <w:numPr>
                                <w:ilvl w:val="0"/>
                                <w:numId w:val="0"/>
                              </w:numPr>
                              <w:tabs>
                                <w:tab w:val="left" w:pos="426"/>
                              </w:tabs>
                              <w:jc w:val="both"/>
                              <w:rPr>
                                <w:rFonts w:ascii="Source Sans Pro" w:hAnsi="Source Sans Pro"/>
                                <w:i w:val="0"/>
                                <w:iCs w:val="0"/>
                                <w:color w:val="000000" w:themeColor="text1"/>
                                <w:sz w:val="20"/>
                              </w:rPr>
                            </w:pPr>
                            <w:r>
                              <w:rPr>
                                <w:rFonts w:ascii="Source Sans Pro" w:hAnsi="Source Sans Pro"/>
                                <w:i w:val="0"/>
                                <w:iCs w:val="0"/>
                                <w:color w:val="000000" w:themeColor="text1"/>
                                <w:sz w:val="20"/>
                              </w:rPr>
                              <w:t xml:space="preserve">              </w:t>
                            </w:r>
                          </w:p>
                          <w:p w14:paraId="458AED40" w14:textId="2ADDBA4B" w:rsidR="00AD238F" w:rsidRPr="00511F70" w:rsidRDefault="00AD238F" w:rsidP="00AD238F">
                            <w:pPr>
                              <w:pStyle w:val="Style1"/>
                              <w:numPr>
                                <w:ilvl w:val="0"/>
                                <w:numId w:val="0"/>
                              </w:numPr>
                              <w:tabs>
                                <w:tab w:val="left" w:pos="426"/>
                              </w:tabs>
                              <w:jc w:val="both"/>
                              <w:rPr>
                                <w:rFonts w:ascii="Source Sans Pro" w:hAnsi="Source Sans Pro"/>
                                <w:i w:val="0"/>
                                <w:iCs w:val="0"/>
                                <w:color w:val="000000" w:themeColor="text1"/>
                                <w:sz w:val="20"/>
                              </w:rPr>
                            </w:pPr>
                            <w:r w:rsidRPr="00730525">
                              <w:rPr>
                                <w:rFonts w:ascii="Source Sans Pro" w:hAnsi="Source Sans Pro"/>
                                <w:i w:val="0"/>
                                <w:iCs w:val="0"/>
                                <w:color w:val="000000" w:themeColor="text1"/>
                                <w:sz w:val="20"/>
                              </w:rPr>
                              <w:t xml:space="preserve">En tant qu’assureur, nous disposons d’une marge de manœuvre réelle pour référencer des Unités de Compte alignées avec les préférences de durabilité de nos clients. C’est pourquoi une part très significative de l’offre proposée est durable, avec aujourd’hui environ 83 % de supports Article 8 ou 9. </w:t>
                            </w:r>
                            <w:r w:rsidR="00CB60C8">
                              <w:rPr>
                                <w:rFonts w:ascii="Source Sans Pro" w:hAnsi="Source Sans Pro"/>
                                <w:i w:val="0"/>
                                <w:iCs w:val="0"/>
                                <w:color w:val="000000" w:themeColor="text1"/>
                                <w:sz w:val="20"/>
                              </w:rPr>
                              <w:t>Nous avons aussi un</w:t>
                            </w:r>
                            <w:r w:rsidR="006D309E">
                              <w:rPr>
                                <w:rFonts w:ascii="Source Sans Pro" w:hAnsi="Source Sans Pro"/>
                                <w:i w:val="0"/>
                                <w:iCs w:val="0"/>
                                <w:color w:val="000000" w:themeColor="text1"/>
                                <w:sz w:val="20"/>
                              </w:rPr>
                              <w:t xml:space="preserve"> </w:t>
                            </w:r>
                            <w:r w:rsidRPr="00730525">
                              <w:rPr>
                                <w:rFonts w:ascii="Source Sans Pro" w:hAnsi="Source Sans Pro"/>
                                <w:i w:val="0"/>
                                <w:iCs w:val="0"/>
                                <w:color w:val="000000" w:themeColor="text1"/>
                                <w:sz w:val="20"/>
                              </w:rPr>
                              <w:t>rôle d’orientation et de sensibilisation</w:t>
                            </w:r>
                            <w:r w:rsidR="00CB60C8">
                              <w:rPr>
                                <w:rFonts w:ascii="Source Sans Pro" w:hAnsi="Source Sans Pro"/>
                                <w:i w:val="0"/>
                                <w:iCs w:val="0"/>
                                <w:color w:val="000000" w:themeColor="text1"/>
                                <w:sz w:val="20"/>
                              </w:rPr>
                              <w:t xml:space="preserve"> de nos réseaux de distribution</w:t>
                            </w:r>
                            <w:r w:rsidRPr="00730525">
                              <w:rPr>
                                <w:rFonts w:ascii="Source Sans Pro" w:hAnsi="Source Sans Pro"/>
                                <w:i w:val="0"/>
                                <w:iCs w:val="0"/>
                                <w:color w:val="000000" w:themeColor="text1"/>
                                <w:sz w:val="20"/>
                              </w:rPr>
                              <w:t>. La progression significative d</w:t>
                            </w:r>
                            <w:r w:rsidR="00CB60C8">
                              <w:rPr>
                                <w:rFonts w:ascii="Source Sans Pro" w:hAnsi="Source Sans Pro"/>
                                <w:i w:val="0"/>
                                <w:iCs w:val="0"/>
                                <w:color w:val="000000" w:themeColor="text1"/>
                                <w:sz w:val="20"/>
                              </w:rPr>
                              <w:t>es Unités de compte proposant une part d'investissement durable, ainsi que des</w:t>
                            </w:r>
                            <w:r w:rsidRPr="00730525">
                              <w:rPr>
                                <w:rFonts w:ascii="Source Sans Pro" w:hAnsi="Source Sans Pro"/>
                                <w:i w:val="0"/>
                                <w:iCs w:val="0"/>
                                <w:color w:val="000000" w:themeColor="text1"/>
                                <w:sz w:val="20"/>
                              </w:rPr>
                              <w:t xml:space="preserve"> encours couverts en article 8 et 9 depuis 2023 illustre l’efficacité des efforts engagés ces dernières années</w:t>
                            </w:r>
                            <w:r w:rsidR="00CB60C8">
                              <w:rPr>
                                <w:rFonts w:ascii="Source Sans Pro" w:hAnsi="Source Sans Pro"/>
                                <w:i w:val="0"/>
                                <w:iCs w:val="0"/>
                                <w:color w:val="000000" w:themeColor="text1"/>
                                <w:sz w:val="20"/>
                              </w:rPr>
                              <w:t>.</w:t>
                            </w:r>
                          </w:p>
                          <w:p w14:paraId="7DBC7BC6" w14:textId="4422916E" w:rsidR="00AD238F" w:rsidRDefault="004159F7" w:rsidP="00AD238F">
                            <w:pPr>
                              <w:pStyle w:val="Style1"/>
                              <w:numPr>
                                <w:ilvl w:val="0"/>
                                <w:numId w:val="0"/>
                              </w:numPr>
                              <w:ind w:left="26"/>
                            </w:pPr>
                            <w:r>
                              <w:rPr>
                                <w:noProof/>
                              </w:rPr>
                              <w:drawing>
                                <wp:inline distT="0" distB="0" distL="0" distR="0" wp14:anchorId="7D31F7C8" wp14:editId="00FBB729">
                                  <wp:extent cx="549985" cy="534239"/>
                                  <wp:effectExtent l="0" t="0" r="2540" b="0"/>
                                  <wp:docPr id="83691356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32145" name="Image 3"/>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0927" cy="535154"/>
                                          </a:xfrm>
                                          <a:prstGeom prst="rect">
                                            <a:avLst/>
                                          </a:prstGeom>
                                          <a:noFill/>
                                          <a:ln>
                                            <a:noFill/>
                                          </a:ln>
                                        </pic:spPr>
                                      </pic:pic>
                                    </a:graphicData>
                                  </a:graphic>
                                </wp:inline>
                              </w:drawing>
                            </w:r>
                            <w:r w:rsidR="00AD238F">
                              <w:rPr>
                                <w:rFonts w:ascii="Source Sans Pro" w:hAnsi="Source Sans Pro"/>
                                <w:b/>
                                <w:i w:val="0"/>
                                <w:color w:val="000000" w:themeColor="text1"/>
                                <w:sz w:val="20"/>
                              </w:rPr>
                              <w:t>Julia BERTUZZI, Analyste senior du pôle ISR d’Abeille Assurances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1B2E5" id="Zone de texte 843403110" o:spid="_x0000_s1054" type="#_x0000_t202" style="position:absolute;left:0;text-align:left;margin-left:37.35pt;margin-top:2.55pt;width:434.65pt;height:163.6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" fillcolor="white [3201]" stroked="f" strokeweight=".5pt">
                <v:textbox>
                  <w:txbxContent>
                    <w:p w14:paraId="4542EC09" w14:textId="77777777" w:rsidR="00AD238F" w:rsidRDefault="00AD238F" w:rsidP="00AD238F">
                      <w:pPr>
                        <w:pStyle w:val="Style1"/>
                        <w:numPr>
                          <w:ilvl w:val="0"/>
                          <w:numId w:val="0"/>
                        </w:numPr>
                        <w:tabs>
                          <w:tab w:val="left" w:pos="426"/>
                        </w:tabs>
                        <w:jc w:val="both"/>
                        <w:rPr>
                          <w:rFonts w:ascii="Source Sans Pro" w:hAnsi="Source Sans Pro"/>
                          <w:i w:val="0"/>
                          <w:iCs w:val="0"/>
                          <w:color w:val="000000" w:themeColor="text1"/>
                          <w:sz w:val="20"/>
                        </w:rPr>
                      </w:pPr>
                      <w:r>
                        <w:rPr>
                          <w:rFonts w:ascii="Source Sans Pro" w:hAnsi="Source Sans Pro"/>
                          <w:i w:val="0"/>
                          <w:iCs w:val="0"/>
                          <w:color w:val="000000" w:themeColor="text1"/>
                          <w:sz w:val="20"/>
                        </w:rPr>
                        <w:t xml:space="preserve">              </w:t>
                      </w:r>
                    </w:p>
                    <w:p w14:paraId="458AED40" w14:textId="2ADDBA4B" w:rsidR="00AD238F" w:rsidRPr="00511F70" w:rsidRDefault="00AD238F" w:rsidP="00AD238F">
                      <w:pPr>
                        <w:pStyle w:val="Style1"/>
                        <w:numPr>
                          <w:ilvl w:val="0"/>
                          <w:numId w:val="0"/>
                        </w:numPr>
                        <w:tabs>
                          <w:tab w:val="left" w:pos="426"/>
                        </w:tabs>
                        <w:jc w:val="both"/>
                        <w:rPr>
                          <w:rFonts w:ascii="Source Sans Pro" w:hAnsi="Source Sans Pro"/>
                          <w:i w:val="0"/>
                          <w:iCs w:val="0"/>
                          <w:color w:val="000000" w:themeColor="text1"/>
                          <w:sz w:val="20"/>
                        </w:rPr>
                      </w:pPr>
                      <w:r w:rsidRPr="00730525">
                        <w:rPr>
                          <w:rFonts w:ascii="Source Sans Pro" w:hAnsi="Source Sans Pro"/>
                          <w:i w:val="0"/>
                          <w:iCs w:val="0"/>
                          <w:color w:val="000000" w:themeColor="text1"/>
                          <w:sz w:val="20"/>
                        </w:rPr>
                        <w:t xml:space="preserve">En tant qu’assureur, nous disposons d’une marge de manœuvre réelle pour référencer des Unités de Compte alignées avec les préférences de durabilité de nos clients. C’est pourquoi une part très significative de l’offre proposée est durable, avec aujourd’hui environ 83 % de supports Article 8 ou 9. </w:t>
                      </w:r>
                      <w:r w:rsidR="00CB60C8">
                        <w:rPr>
                          <w:rFonts w:ascii="Source Sans Pro" w:hAnsi="Source Sans Pro"/>
                          <w:i w:val="0"/>
                          <w:iCs w:val="0"/>
                          <w:color w:val="000000" w:themeColor="text1"/>
                          <w:sz w:val="20"/>
                        </w:rPr>
                        <w:t>Nous avons aussi un</w:t>
                      </w:r>
                      <w:r w:rsidR="006D309E">
                        <w:rPr>
                          <w:rFonts w:ascii="Source Sans Pro" w:hAnsi="Source Sans Pro"/>
                          <w:i w:val="0"/>
                          <w:iCs w:val="0"/>
                          <w:color w:val="000000" w:themeColor="text1"/>
                          <w:sz w:val="20"/>
                        </w:rPr>
                        <w:t xml:space="preserve"> </w:t>
                      </w:r>
                      <w:r w:rsidRPr="00730525">
                        <w:rPr>
                          <w:rFonts w:ascii="Source Sans Pro" w:hAnsi="Source Sans Pro"/>
                          <w:i w:val="0"/>
                          <w:iCs w:val="0"/>
                          <w:color w:val="000000" w:themeColor="text1"/>
                          <w:sz w:val="20"/>
                        </w:rPr>
                        <w:t>rôle d’orientation et de sensibilisation</w:t>
                      </w:r>
                      <w:r w:rsidR="00CB60C8">
                        <w:rPr>
                          <w:rFonts w:ascii="Source Sans Pro" w:hAnsi="Source Sans Pro"/>
                          <w:i w:val="0"/>
                          <w:iCs w:val="0"/>
                          <w:color w:val="000000" w:themeColor="text1"/>
                          <w:sz w:val="20"/>
                        </w:rPr>
                        <w:t xml:space="preserve"> de nos réseaux de distribution</w:t>
                      </w:r>
                      <w:r w:rsidRPr="00730525">
                        <w:rPr>
                          <w:rFonts w:ascii="Source Sans Pro" w:hAnsi="Source Sans Pro"/>
                          <w:i w:val="0"/>
                          <w:iCs w:val="0"/>
                          <w:color w:val="000000" w:themeColor="text1"/>
                          <w:sz w:val="20"/>
                        </w:rPr>
                        <w:t>. La progression significative d</w:t>
                      </w:r>
                      <w:r w:rsidR="00CB60C8">
                        <w:rPr>
                          <w:rFonts w:ascii="Source Sans Pro" w:hAnsi="Source Sans Pro"/>
                          <w:i w:val="0"/>
                          <w:iCs w:val="0"/>
                          <w:color w:val="000000" w:themeColor="text1"/>
                          <w:sz w:val="20"/>
                        </w:rPr>
                        <w:t>es Unités de compte proposant une part d'investissement durable, ainsi que des</w:t>
                      </w:r>
                      <w:r w:rsidRPr="00730525">
                        <w:rPr>
                          <w:rFonts w:ascii="Source Sans Pro" w:hAnsi="Source Sans Pro"/>
                          <w:i w:val="0"/>
                          <w:iCs w:val="0"/>
                          <w:color w:val="000000" w:themeColor="text1"/>
                          <w:sz w:val="20"/>
                        </w:rPr>
                        <w:t xml:space="preserve"> encours couverts en article 8 et 9 depuis 2023 illustre l’efficacité des efforts engagés ces dernières années</w:t>
                      </w:r>
                      <w:r w:rsidR="00CB60C8">
                        <w:rPr>
                          <w:rFonts w:ascii="Source Sans Pro" w:hAnsi="Source Sans Pro"/>
                          <w:i w:val="0"/>
                          <w:iCs w:val="0"/>
                          <w:color w:val="000000" w:themeColor="text1"/>
                          <w:sz w:val="20"/>
                        </w:rPr>
                        <w:t>.</w:t>
                      </w:r>
                    </w:p>
                    <w:p w14:paraId="7DBC7BC6" w14:textId="4422916E" w:rsidR="00AD238F" w:rsidRDefault="004159F7" w:rsidP="00AD238F">
                      <w:pPr>
                        <w:pStyle w:val="Style1"/>
                        <w:numPr>
                          <w:ilvl w:val="0"/>
                          <w:numId w:val="0"/>
                        </w:numPr>
                        <w:ind w:left="26"/>
                      </w:pPr>
                      <w:r>
                        <w:rPr>
                          <w:noProof/>
                        </w:rPr>
                        <w:drawing>
                          <wp:inline distT="0" distB="0" distL="0" distR="0" wp14:anchorId="7D31F7C8" wp14:editId="00FBB729">
                            <wp:extent cx="549985" cy="534239"/>
                            <wp:effectExtent l="0" t="0" r="2540" b="0"/>
                            <wp:docPr id="83691356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32145" name="Image 3"/>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0927" cy="535154"/>
                                    </a:xfrm>
                                    <a:prstGeom prst="rect">
                                      <a:avLst/>
                                    </a:prstGeom>
                                    <a:noFill/>
                                    <a:ln>
                                      <a:noFill/>
                                    </a:ln>
                                  </pic:spPr>
                                </pic:pic>
                              </a:graphicData>
                            </a:graphic>
                          </wp:inline>
                        </w:drawing>
                      </w:r>
                      <w:r w:rsidR="00AD238F">
                        <w:rPr>
                          <w:rFonts w:ascii="Source Sans Pro" w:hAnsi="Source Sans Pro"/>
                          <w:b/>
                          <w:i w:val="0"/>
                          <w:color w:val="000000" w:themeColor="text1"/>
                          <w:sz w:val="20"/>
                        </w:rPr>
                        <w:t>Julia BERTUZZI, Analyste senior du pôle ISR d’Abeille Assurances</w:t>
                      </w:r>
                    </w:p>
                  </w:txbxContent>
                </v:textbox>
              </v:shape>
            </w:pict>
          </mc:Fallback>
        </mc:AlternateContent>
      </w:r>
      <w:r w:rsidR="00AD238F" w:rsidRPr="00A74D23">
        <w:rPr>
          <w:rFonts w:eastAsia="Calibri" w:cs="Open Sans"/>
          <w:i w:val="0"/>
          <w:iCs w:val="0"/>
          <w:noProof/>
          <w:color w:val="auto"/>
          <w:sz w:val="18"/>
          <w:szCs w:val="18"/>
          <w:lang w:eastAsia="fr-FR"/>
        </w:rPr>
        <mc:AlternateContent>
          <mc:Choice Requires="wpg">
            <w:drawing>
              <wp:anchor distT="0" distB="0" distL="114300" distR="114300" simplePos="0" relativeHeight="251575296" behindDoc="0" locked="0" layoutInCell="1" allowOverlap="1" wp14:anchorId="1A12F5AC" wp14:editId="66754BF2">
                <wp:simplePos x="0" y="0"/>
                <wp:positionH relativeFrom="margin">
                  <wp:posOffset>42300</wp:posOffset>
                </wp:positionH>
                <wp:positionV relativeFrom="paragraph">
                  <wp:posOffset>154305</wp:posOffset>
                </wp:positionV>
                <wp:extent cx="390025" cy="281534"/>
                <wp:effectExtent l="0" t="0" r="10160" b="23495"/>
                <wp:wrapNone/>
                <wp:docPr id="1207510874" name="Groupe 132"/>
                <wp:cNvGraphicFramePr/>
                <a:graphic xmlns:a="http://schemas.openxmlformats.org/drawingml/2006/main">
                  <a:graphicData uri="http://schemas.microsoft.com/office/word/2010/wordprocessingGroup">
                    <wpg:wgp>
                      <wpg:cNvGrpSpPr/>
                      <wpg:grpSpPr>
                        <a:xfrm>
                          <a:off x="0" y="0"/>
                          <a:ext cx="390025" cy="281534"/>
                          <a:chOff x="0" y="0"/>
                          <a:chExt cx="480287" cy="346688"/>
                        </a:xfrm>
                      </wpg:grpSpPr>
                      <wps:wsp>
                        <wps:cNvPr id="49487720"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1835222477"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552FB396" id="Groupe 132" o:spid="_x0000_s1026" style="position:absolute;margin-left:3.35pt;margin-top:12.15pt;width:30.7pt;height:22.15pt;z-index:251575296;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r w:rsidR="00AD238F" w:rsidRPr="00A74D23">
        <w:rPr>
          <w:rFonts w:cs="Open Sans"/>
          <w:noProof/>
          <w:sz w:val="18"/>
          <w:szCs w:val="18"/>
        </w:rPr>
        <mc:AlternateContent>
          <mc:Choice Requires="wps">
            <w:drawing>
              <wp:inline distT="0" distB="0" distL="0" distR="0" wp14:anchorId="225D330E" wp14:editId="041C340C">
                <wp:extent cx="5934974" cy="2128724"/>
                <wp:effectExtent l="0" t="0" r="27940" b="24130"/>
                <wp:docPr id="1880468081" name="Rectangle : coins arrondis 1880468081"/>
                <wp:cNvGraphicFramePr/>
                <a:graphic xmlns:a="http://schemas.openxmlformats.org/drawingml/2006/main">
                  <a:graphicData uri="http://schemas.microsoft.com/office/word/2010/wordprocessingShape">
                    <wps:wsp>
                      <wps:cNvSpPr/>
                      <wps:spPr>
                        <a:xfrm>
                          <a:off x="0" y="0"/>
                          <a:ext cx="5934974" cy="2128724"/>
                        </a:xfrm>
                        <a:prstGeom prst="roundRect">
                          <a:avLst>
                            <a:gd name="adj" fmla="val 889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E55EBB" w14:textId="77777777" w:rsidR="00AD238F" w:rsidRPr="006209BA" w:rsidRDefault="00AD238F" w:rsidP="00AD238F">
                            <w:pPr>
                              <w:pStyle w:val="Citation0"/>
                              <w:rPr>
                                <w:color w:val="auto"/>
                              </w:rPr>
                            </w:pPr>
                          </w:p>
                        </w:txbxContent>
                      </wps:txbx>
                      <wps:bodyPr rot="0" spcFirstLastPara="0" vertOverflow="overflow" horzOverflow="overflow" vert="horz" wrap="square" lIns="180000" tIns="108000" rIns="180000" bIns="108000" numCol="1" spcCol="0" rtlCol="0" fromWordArt="0" anchor="ctr" anchorCtr="0" forceAA="0" compatLnSpc="1">
                        <a:prstTxWarp prst="textNoShape">
                          <a:avLst/>
                        </a:prstTxWarp>
                        <a:noAutofit/>
                      </wps:bodyPr>
                    </wps:wsp>
                  </a:graphicData>
                </a:graphic>
              </wp:inline>
            </w:drawing>
          </mc:Choice>
          <mc:Fallback>
            <w:pict>
              <v:roundrect w14:anchorId="225D330E" id="Rectangle : coins arrondis 1880468081" o:spid="_x0000_s1055" style="width:467.3pt;height:167.6pt;visibility:visible;mso-wrap-style:square;mso-left-percent:-10001;mso-top-percent:-10001;mso-position-horizontal:absolute;mso-position-horizontal-relative:char;mso-position-vertical:absolute;mso-position-vertical-relative:line;mso-left-percent:-10001;mso-top-percent:-10001;v-text-anchor:middle" arcsize="58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" fillcolor="white [3212]" strokecolor="black [3213]" strokeweight="1pt">
                <v:stroke joinstyle="miter"/>
                <v:textbox inset="5mm,3mm,5mm,3mm">
                  <w:txbxContent>
                    <w:p w14:paraId="42E55EBB" w14:textId="77777777" w:rsidR="00AD238F" w:rsidRPr="006209BA" w:rsidRDefault="00AD238F" w:rsidP="00AD238F">
                      <w:pPr>
                        <w:pStyle w:val="Citation0"/>
                        <w:rPr>
                          <w:color w:val="auto"/>
                        </w:rPr>
                      </w:pPr>
                    </w:p>
                  </w:txbxContent>
                </v:textbox>
                <w10:anchorlock/>
              </v:roundrect>
            </w:pict>
          </mc:Fallback>
        </mc:AlternateContent>
      </w:r>
    </w:p>
    <w:p w14:paraId="7604C4EA" w14:textId="29C34B0A" w:rsidR="00AD238F" w:rsidRPr="00A74D23" w:rsidRDefault="00AD238F" w:rsidP="009D6EE5">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18"/>
          <w:szCs w:val="18"/>
        </w:rPr>
      </w:pPr>
    </w:p>
    <w:p w14:paraId="30032B96" w14:textId="6095A940" w:rsidR="00AD238F" w:rsidRDefault="00AD238F" w:rsidP="009D6EE5">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20"/>
        </w:rPr>
      </w:pPr>
    </w:p>
    <w:p w14:paraId="55607679" w14:textId="77777777" w:rsidR="00343FD7" w:rsidRDefault="00343FD7" w:rsidP="009D6EE5">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20"/>
        </w:rPr>
      </w:pPr>
    </w:p>
    <w:p w14:paraId="57FF3EFD" w14:textId="77777777" w:rsidR="00343FD7" w:rsidRDefault="00343FD7" w:rsidP="009D6EE5">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20"/>
        </w:rPr>
      </w:pPr>
    </w:p>
    <w:p w14:paraId="50949298" w14:textId="77777777" w:rsidR="00343FD7" w:rsidRDefault="00343FD7" w:rsidP="009D6EE5">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20"/>
        </w:rPr>
      </w:pPr>
    </w:p>
    <w:p w14:paraId="11FEDE31" w14:textId="77777777" w:rsidR="00B663F7" w:rsidRPr="00A74D23" w:rsidRDefault="00B663F7" w:rsidP="009D6EE5">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20"/>
        </w:rPr>
      </w:pPr>
    </w:p>
    <w:p w14:paraId="04ABE699" w14:textId="74089CAF" w:rsidR="00AD238F" w:rsidRPr="00A74D23" w:rsidRDefault="006D565E" w:rsidP="009D6EE5">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20"/>
        </w:rPr>
      </w:pPr>
      <w:r w:rsidRPr="00A74D23">
        <w:rPr>
          <w:rFonts w:cs="Open Sans"/>
          <w:noProof/>
          <w:sz w:val="18"/>
          <w:szCs w:val="18"/>
        </w:rPr>
        <mc:AlternateContent>
          <mc:Choice Requires="wps">
            <w:drawing>
              <wp:anchor distT="0" distB="0" distL="114300" distR="114300" simplePos="0" relativeHeight="251660288" behindDoc="0" locked="0" layoutInCell="1" allowOverlap="1" wp14:anchorId="2FCAA13E" wp14:editId="252F2E68">
                <wp:simplePos x="0" y="0"/>
                <wp:positionH relativeFrom="margin">
                  <wp:align>center</wp:align>
                </wp:positionH>
                <wp:positionV relativeFrom="paragraph">
                  <wp:posOffset>89535</wp:posOffset>
                </wp:positionV>
                <wp:extent cx="2667635" cy="250825"/>
                <wp:effectExtent l="0" t="0" r="0" b="0"/>
                <wp:wrapNone/>
                <wp:docPr id="1118375246" name="Rectangle : coins arrondis 1118375246"/>
                <wp:cNvGraphicFramePr/>
                <a:graphic xmlns:a="http://schemas.openxmlformats.org/drawingml/2006/main">
                  <a:graphicData uri="http://schemas.microsoft.com/office/word/2010/wordprocessingShape">
                    <wps:wsp>
                      <wps:cNvSpPr/>
                      <wps:spPr>
                        <a:xfrm>
                          <a:off x="0" y="0"/>
                          <a:ext cx="2667635" cy="250825"/>
                        </a:xfrm>
                        <a:prstGeom prst="roundRect">
                          <a:avLst>
                            <a:gd name="adj" fmla="val 0"/>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531B85" w14:textId="03889F15" w:rsidR="006E0F11" w:rsidRPr="006D565E" w:rsidRDefault="006E0F11" w:rsidP="006E0F11">
                            <w:pPr>
                              <w:jc w:val="center"/>
                              <w:rPr>
                                <w:b/>
                                <w:bCs/>
                                <w:color w:val="000000" w:themeColor="text1"/>
                                <w:sz w:val="32"/>
                                <w:szCs w:val="32"/>
                              </w:rPr>
                            </w:pPr>
                            <w:r w:rsidRPr="006D565E">
                              <w:rPr>
                                <w:rFonts w:ascii="Source Sans Pro" w:hAnsi="Source Sans Pro"/>
                                <w:b/>
                                <w:bCs/>
                                <w:color w:val="000000" w:themeColor="text1"/>
                              </w:rPr>
                              <w:t>Plan d’amélioration 2026</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CAA13E" id="Rectangle : coins arrondis 1118375246" o:spid="_x0000_s1056" style="position:absolute;left:0;text-align:left;margin-left:0;margin-top:7.05pt;width:210.05pt;height:19.75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" fillcolor="#d5685f [1941]" stroked="f" strokeweight="1pt">
                <v:stroke joinstyle="miter"/>
                <v:textbox inset="2.5mm,1mm,2.5mm,1mm">
                  <w:txbxContent>
                    <w:p w14:paraId="30531B85" w14:textId="03889F15" w:rsidR="006E0F11" w:rsidRPr="006D565E" w:rsidRDefault="006E0F11" w:rsidP="006E0F11">
                      <w:pPr>
                        <w:jc w:val="center"/>
                        <w:rPr>
                          <w:b/>
                          <w:bCs/>
                          <w:color w:val="000000" w:themeColor="text1"/>
                          <w:sz w:val="32"/>
                          <w:szCs w:val="32"/>
                        </w:rPr>
                      </w:pPr>
                      <w:r w:rsidRPr="006D565E">
                        <w:rPr>
                          <w:rFonts w:ascii="Source Sans Pro" w:hAnsi="Source Sans Pro"/>
                          <w:b/>
                          <w:bCs/>
                          <w:color w:val="000000" w:themeColor="text1"/>
                        </w:rPr>
                        <w:t>Plan d’amélioration 2026</w:t>
                      </w:r>
                    </w:p>
                  </w:txbxContent>
                </v:textbox>
                <w10:wrap anchorx="margin"/>
              </v:roundrect>
            </w:pict>
          </mc:Fallback>
        </mc:AlternateContent>
      </w:r>
      <w:r w:rsidR="006E0F11" w:rsidRPr="00A74D23">
        <w:rPr>
          <w:rFonts w:cs="Open Sans"/>
          <w:noProof/>
          <w:sz w:val="18"/>
          <w:szCs w:val="18"/>
        </w:rPr>
        <mc:AlternateContent>
          <mc:Choice Requires="wps">
            <w:drawing>
              <wp:anchor distT="0" distB="0" distL="114300" distR="114300" simplePos="0" relativeHeight="251656192" behindDoc="1" locked="0" layoutInCell="1" allowOverlap="1" wp14:anchorId="6ABEEADE" wp14:editId="55263C7A">
                <wp:simplePos x="0" y="0"/>
                <wp:positionH relativeFrom="margin">
                  <wp:posOffset>42545</wp:posOffset>
                </wp:positionH>
                <wp:positionV relativeFrom="paragraph">
                  <wp:posOffset>186690</wp:posOffset>
                </wp:positionV>
                <wp:extent cx="5901690" cy="762000"/>
                <wp:effectExtent l="0" t="0" r="3810" b="0"/>
                <wp:wrapNone/>
                <wp:docPr id="2143293742" name="Rectangle : coins arrondis 2143293742"/>
                <wp:cNvGraphicFramePr/>
                <a:graphic xmlns:a="http://schemas.openxmlformats.org/drawingml/2006/main">
                  <a:graphicData uri="http://schemas.microsoft.com/office/word/2010/wordprocessingShape">
                    <wps:wsp>
                      <wps:cNvSpPr/>
                      <wps:spPr>
                        <a:xfrm>
                          <a:off x="0" y="0"/>
                          <a:ext cx="5901690" cy="762000"/>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F757C0" w14:textId="77777777" w:rsidR="006E0F11" w:rsidRPr="00FA2D10" w:rsidRDefault="006E0F11" w:rsidP="006E0F11">
                            <w:pPr>
                              <w:tabs>
                                <w:tab w:val="left" w:pos="426"/>
                                <w:tab w:val="left" w:pos="8931"/>
                              </w:tabs>
                              <w:ind w:left="218" w:right="426" w:hanging="360"/>
                              <w:jc w:val="both"/>
                              <w:rPr>
                                <w:sz w:val="20"/>
                                <w:szCs w:val="20"/>
                              </w:rPr>
                            </w:pPr>
                          </w:p>
                          <w:p w14:paraId="4D197818" w14:textId="7673204A" w:rsidR="006E0F11" w:rsidRPr="00FA2D10" w:rsidRDefault="005A28C5" w:rsidP="00590DD1">
                            <w:pPr>
                              <w:pStyle w:val="Style1"/>
                              <w:numPr>
                                <w:ilvl w:val="0"/>
                                <w:numId w:val="85"/>
                              </w:numPr>
                              <w:tabs>
                                <w:tab w:val="clear" w:pos="2010"/>
                                <w:tab w:val="left" w:pos="426"/>
                                <w:tab w:val="left" w:pos="8931"/>
                              </w:tabs>
                              <w:spacing w:after="0" w:line="240" w:lineRule="auto"/>
                              <w:ind w:left="284" w:right="15"/>
                              <w:rPr>
                                <w:rFonts w:ascii="Source Sans Pro" w:hAnsi="Source Sans Pro"/>
                                <w:bCs/>
                                <w:i w:val="0"/>
                                <w:color w:val="000000" w:themeColor="text1"/>
                                <w:sz w:val="20"/>
                                <w:szCs w:val="20"/>
                              </w:rPr>
                            </w:pPr>
                            <w:r w:rsidRPr="005A28C5">
                              <w:rPr>
                                <w:rFonts w:ascii="Source Sans Pro" w:hAnsi="Source Sans Pro"/>
                                <w:bCs/>
                                <w:i w:val="0"/>
                                <w:color w:val="000000" w:themeColor="text1"/>
                                <w:sz w:val="20"/>
                                <w:szCs w:val="20"/>
                              </w:rPr>
                              <w:t>Poursuivre le référencement d’Unités de Compte durables au sein de la gamme, en intégrant les enseignements issus de l’analyse des préférences de durabilité recueillies en 2025.</w:t>
                            </w:r>
                            <w:r w:rsidR="006E0F11" w:rsidRPr="00FA2D10">
                              <w:rPr>
                                <w:rFonts w:ascii="Source Sans Pro" w:hAnsi="Source Sans Pro"/>
                                <w:bCs/>
                                <w:i w:val="0"/>
                                <w:color w:val="000000" w:themeColor="text1"/>
                                <w:sz w:val="20"/>
                                <w:szCs w:val="20"/>
                              </w:rPr>
                              <w:br/>
                            </w:r>
                          </w:p>
                          <w:p w14:paraId="65210456" w14:textId="77777777" w:rsidR="006E0F11" w:rsidRPr="00FA2D10" w:rsidRDefault="006E0F11" w:rsidP="006E0F11">
                            <w:pPr>
                              <w:pStyle w:val="Style1"/>
                              <w:numPr>
                                <w:ilvl w:val="0"/>
                                <w:numId w:val="0"/>
                              </w:numPr>
                              <w:tabs>
                                <w:tab w:val="clear" w:pos="2010"/>
                                <w:tab w:val="left" w:pos="426"/>
                                <w:tab w:val="left" w:pos="8931"/>
                              </w:tabs>
                              <w:spacing w:after="0" w:line="240" w:lineRule="auto"/>
                              <w:ind w:left="6314" w:right="15" w:hanging="360"/>
                              <w:jc w:val="both"/>
                              <w:rPr>
                                <w:rFonts w:ascii="Source Sans Pro" w:hAnsi="Source Sans Pro"/>
                                <w:bCs/>
                                <w:i w:val="0"/>
                                <w:color w:val="000000" w:themeColor="text1"/>
                                <w:sz w:val="20"/>
                                <w:szCs w:val="20"/>
                              </w:rPr>
                            </w:pPr>
                          </w:p>
                          <w:p w14:paraId="3EB04C5B" w14:textId="77777777" w:rsidR="006E0F11" w:rsidRPr="00FA2D10" w:rsidRDefault="006E0F11" w:rsidP="006E0F11">
                            <w:pPr>
                              <w:pStyle w:val="Style1"/>
                              <w:numPr>
                                <w:ilvl w:val="0"/>
                                <w:numId w:val="0"/>
                              </w:numPr>
                              <w:tabs>
                                <w:tab w:val="clear" w:pos="2010"/>
                                <w:tab w:val="left" w:pos="426"/>
                                <w:tab w:val="left" w:pos="8931"/>
                              </w:tabs>
                              <w:spacing w:after="0" w:line="240" w:lineRule="auto"/>
                              <w:ind w:left="6314" w:right="15" w:hanging="360"/>
                              <w:jc w:val="both"/>
                              <w:rPr>
                                <w:rFonts w:ascii="Source Sans Pro" w:hAnsi="Source Sans Pro"/>
                                <w:bCs/>
                                <w:i w:val="0"/>
                                <w:color w:val="000000" w:themeColor="text1"/>
                                <w:sz w:val="20"/>
                                <w:szCs w:val="20"/>
                              </w:rPr>
                            </w:pPr>
                          </w:p>
                          <w:p w14:paraId="0C6E153B" w14:textId="77777777" w:rsidR="006E0F11" w:rsidRPr="00FA2D10" w:rsidRDefault="006E0F11" w:rsidP="006E0F11">
                            <w:pPr>
                              <w:pStyle w:val="Style1"/>
                              <w:numPr>
                                <w:ilvl w:val="0"/>
                                <w:numId w:val="0"/>
                              </w:numPr>
                              <w:tabs>
                                <w:tab w:val="clear" w:pos="2010"/>
                                <w:tab w:val="left" w:pos="426"/>
                                <w:tab w:val="left" w:pos="8931"/>
                              </w:tabs>
                              <w:spacing w:after="0" w:line="240" w:lineRule="auto"/>
                              <w:ind w:left="6314" w:right="15" w:hanging="360"/>
                              <w:jc w:val="both"/>
                              <w:rPr>
                                <w:rFonts w:ascii="Source Sans Pro" w:hAnsi="Source Sans Pro"/>
                                <w:bCs/>
                                <w:i w:val="0"/>
                                <w:color w:val="000000" w:themeColor="text1"/>
                                <w:sz w:val="20"/>
                                <w:szCs w:val="20"/>
                              </w:rPr>
                            </w:pPr>
                          </w:p>
                          <w:p w14:paraId="7631278F" w14:textId="77777777" w:rsidR="006E0F11" w:rsidRPr="00FA2D10" w:rsidRDefault="006E0F11" w:rsidP="006E0F11">
                            <w:pPr>
                              <w:pStyle w:val="Style1"/>
                              <w:numPr>
                                <w:ilvl w:val="0"/>
                                <w:numId w:val="0"/>
                              </w:numPr>
                              <w:tabs>
                                <w:tab w:val="clear" w:pos="2010"/>
                                <w:tab w:val="left" w:pos="426"/>
                                <w:tab w:val="left" w:pos="8931"/>
                              </w:tabs>
                              <w:spacing w:after="0" w:line="240" w:lineRule="auto"/>
                              <w:ind w:left="6314" w:right="15" w:hanging="360"/>
                              <w:jc w:val="both"/>
                              <w:rPr>
                                <w:rFonts w:ascii="Source Sans Pro" w:hAnsi="Source Sans Pro"/>
                                <w:bCs/>
                                <w:i w:val="0"/>
                                <w:color w:val="000000" w:themeColor="text1"/>
                                <w:sz w:val="20"/>
                                <w:szCs w:val="20"/>
                              </w:rPr>
                            </w:pPr>
                          </w:p>
                          <w:p w14:paraId="56C7A2D1" w14:textId="77777777" w:rsidR="006E0F11" w:rsidRPr="00FA2D10" w:rsidRDefault="006E0F11" w:rsidP="006E0F11">
                            <w:pPr>
                              <w:pStyle w:val="Style1"/>
                              <w:numPr>
                                <w:ilvl w:val="0"/>
                                <w:numId w:val="0"/>
                              </w:numPr>
                              <w:tabs>
                                <w:tab w:val="clear" w:pos="2010"/>
                                <w:tab w:val="left" w:pos="426"/>
                                <w:tab w:val="left" w:pos="8931"/>
                              </w:tabs>
                              <w:spacing w:after="0" w:line="240" w:lineRule="auto"/>
                              <w:ind w:left="6314" w:right="15" w:hanging="360"/>
                              <w:jc w:val="both"/>
                              <w:rPr>
                                <w:rFonts w:ascii="Source Sans Pro" w:hAnsi="Source Sans Pro"/>
                                <w:bCs/>
                                <w:i w:val="0"/>
                                <w:color w:val="000000" w:themeColor="text1"/>
                                <w:sz w:val="20"/>
                                <w:szCs w:val="20"/>
                              </w:rPr>
                            </w:pPr>
                          </w:p>
                          <w:p w14:paraId="43BE0E28" w14:textId="77777777" w:rsidR="006E0F11" w:rsidRPr="00FA2D10" w:rsidRDefault="006E0F11" w:rsidP="006E0F11">
                            <w:pPr>
                              <w:pStyle w:val="Style1"/>
                              <w:numPr>
                                <w:ilvl w:val="0"/>
                                <w:numId w:val="0"/>
                              </w:numPr>
                              <w:tabs>
                                <w:tab w:val="clear" w:pos="2010"/>
                                <w:tab w:val="left" w:pos="426"/>
                                <w:tab w:val="left" w:pos="8931"/>
                              </w:tabs>
                              <w:spacing w:after="0" w:line="240" w:lineRule="auto"/>
                              <w:ind w:left="6314" w:right="15" w:hanging="360"/>
                              <w:jc w:val="both"/>
                              <w:rPr>
                                <w:color w:val="000000" w:themeColor="text1"/>
                                <w:sz w:val="20"/>
                                <w:szCs w:val="20"/>
                              </w:rPr>
                            </w:pPr>
                          </w:p>
                        </w:txbxContent>
                      </wps:txbx>
                      <wps:bodyPr rot="0" spcFirstLastPara="0" vertOverflow="overflow" horzOverflow="overflow" vert="horz" wrap="square" lIns="180000" tIns="72000" rIns="180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BEEADE" id="Rectangle : coins arrondis 2143293742" o:spid="_x0000_s1057" style="position:absolute;left:0;text-align:left;margin-left:3.35pt;margin-top:14.7pt;width:464.7pt;height:60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" fillcolor="#d8d8d8 [2732]" stroked="f" strokeweight="1pt">
                <v:stroke joinstyle="miter"/>
                <v:textbox inset="5mm,2mm,5mm,3mm">
                  <w:txbxContent>
                    <w:p w14:paraId="2DF757C0" w14:textId="77777777" w:rsidR="006E0F11" w:rsidRPr="00FA2D10" w:rsidRDefault="006E0F11" w:rsidP="006E0F11">
                      <w:pPr>
                        <w:tabs>
                          <w:tab w:val="left" w:pos="426"/>
                          <w:tab w:val="left" w:pos="8931"/>
                        </w:tabs>
                        <w:ind w:left="218" w:right="426" w:hanging="360"/>
                        <w:jc w:val="both"/>
                        <w:rPr>
                          <w:sz w:val="20"/>
                          <w:szCs w:val="20"/>
                        </w:rPr>
                      </w:pPr>
                    </w:p>
                    <w:p w14:paraId="4D197818" w14:textId="7673204A" w:rsidR="006E0F11" w:rsidRPr="00FA2D10" w:rsidRDefault="005A28C5" w:rsidP="00590DD1">
                      <w:pPr>
                        <w:pStyle w:val="Style1"/>
                        <w:numPr>
                          <w:ilvl w:val="0"/>
                          <w:numId w:val="85"/>
                        </w:numPr>
                        <w:tabs>
                          <w:tab w:val="clear" w:pos="2010"/>
                          <w:tab w:val="left" w:pos="426"/>
                          <w:tab w:val="left" w:pos="8931"/>
                        </w:tabs>
                        <w:spacing w:after="0" w:line="240" w:lineRule="auto"/>
                        <w:ind w:left="284" w:right="15"/>
                        <w:rPr>
                          <w:rFonts w:ascii="Source Sans Pro" w:hAnsi="Source Sans Pro"/>
                          <w:bCs/>
                          <w:i w:val="0"/>
                          <w:color w:val="000000" w:themeColor="text1"/>
                          <w:sz w:val="20"/>
                          <w:szCs w:val="20"/>
                        </w:rPr>
                      </w:pPr>
                      <w:r w:rsidRPr="005A28C5">
                        <w:rPr>
                          <w:rFonts w:ascii="Source Sans Pro" w:hAnsi="Source Sans Pro"/>
                          <w:bCs/>
                          <w:i w:val="0"/>
                          <w:color w:val="000000" w:themeColor="text1"/>
                          <w:sz w:val="20"/>
                          <w:szCs w:val="20"/>
                        </w:rPr>
                        <w:t>Poursuivre le référencement d’Unités de Compte durables au sein de la gamme, en intégrant les enseignements issus de l’analyse des préférences de durabilité recueillies en 2025.</w:t>
                      </w:r>
                      <w:r w:rsidR="006E0F11" w:rsidRPr="00FA2D10">
                        <w:rPr>
                          <w:rFonts w:ascii="Source Sans Pro" w:hAnsi="Source Sans Pro"/>
                          <w:bCs/>
                          <w:i w:val="0"/>
                          <w:color w:val="000000" w:themeColor="text1"/>
                          <w:sz w:val="20"/>
                          <w:szCs w:val="20"/>
                        </w:rPr>
                        <w:br/>
                      </w:r>
                    </w:p>
                    <w:p w14:paraId="65210456" w14:textId="77777777" w:rsidR="006E0F11" w:rsidRPr="00FA2D10" w:rsidRDefault="006E0F11" w:rsidP="006E0F11">
                      <w:pPr>
                        <w:pStyle w:val="Style1"/>
                        <w:numPr>
                          <w:ilvl w:val="0"/>
                          <w:numId w:val="0"/>
                        </w:numPr>
                        <w:tabs>
                          <w:tab w:val="clear" w:pos="2010"/>
                          <w:tab w:val="left" w:pos="426"/>
                          <w:tab w:val="left" w:pos="8931"/>
                        </w:tabs>
                        <w:spacing w:after="0" w:line="240" w:lineRule="auto"/>
                        <w:ind w:left="6314" w:right="15" w:hanging="360"/>
                        <w:jc w:val="both"/>
                        <w:rPr>
                          <w:rFonts w:ascii="Source Sans Pro" w:hAnsi="Source Sans Pro"/>
                          <w:bCs/>
                          <w:i w:val="0"/>
                          <w:color w:val="000000" w:themeColor="text1"/>
                          <w:sz w:val="20"/>
                          <w:szCs w:val="20"/>
                        </w:rPr>
                      </w:pPr>
                    </w:p>
                    <w:p w14:paraId="3EB04C5B" w14:textId="77777777" w:rsidR="006E0F11" w:rsidRPr="00FA2D10" w:rsidRDefault="006E0F11" w:rsidP="006E0F11">
                      <w:pPr>
                        <w:pStyle w:val="Style1"/>
                        <w:numPr>
                          <w:ilvl w:val="0"/>
                          <w:numId w:val="0"/>
                        </w:numPr>
                        <w:tabs>
                          <w:tab w:val="clear" w:pos="2010"/>
                          <w:tab w:val="left" w:pos="426"/>
                          <w:tab w:val="left" w:pos="8931"/>
                        </w:tabs>
                        <w:spacing w:after="0" w:line="240" w:lineRule="auto"/>
                        <w:ind w:left="6314" w:right="15" w:hanging="360"/>
                        <w:jc w:val="both"/>
                        <w:rPr>
                          <w:rFonts w:ascii="Source Sans Pro" w:hAnsi="Source Sans Pro"/>
                          <w:bCs/>
                          <w:i w:val="0"/>
                          <w:color w:val="000000" w:themeColor="text1"/>
                          <w:sz w:val="20"/>
                          <w:szCs w:val="20"/>
                        </w:rPr>
                      </w:pPr>
                    </w:p>
                    <w:p w14:paraId="0C6E153B" w14:textId="77777777" w:rsidR="006E0F11" w:rsidRPr="00FA2D10" w:rsidRDefault="006E0F11" w:rsidP="006E0F11">
                      <w:pPr>
                        <w:pStyle w:val="Style1"/>
                        <w:numPr>
                          <w:ilvl w:val="0"/>
                          <w:numId w:val="0"/>
                        </w:numPr>
                        <w:tabs>
                          <w:tab w:val="clear" w:pos="2010"/>
                          <w:tab w:val="left" w:pos="426"/>
                          <w:tab w:val="left" w:pos="8931"/>
                        </w:tabs>
                        <w:spacing w:after="0" w:line="240" w:lineRule="auto"/>
                        <w:ind w:left="6314" w:right="15" w:hanging="360"/>
                        <w:jc w:val="both"/>
                        <w:rPr>
                          <w:rFonts w:ascii="Source Sans Pro" w:hAnsi="Source Sans Pro"/>
                          <w:bCs/>
                          <w:i w:val="0"/>
                          <w:color w:val="000000" w:themeColor="text1"/>
                          <w:sz w:val="20"/>
                          <w:szCs w:val="20"/>
                        </w:rPr>
                      </w:pPr>
                    </w:p>
                    <w:p w14:paraId="7631278F" w14:textId="77777777" w:rsidR="006E0F11" w:rsidRPr="00FA2D10" w:rsidRDefault="006E0F11" w:rsidP="006E0F11">
                      <w:pPr>
                        <w:pStyle w:val="Style1"/>
                        <w:numPr>
                          <w:ilvl w:val="0"/>
                          <w:numId w:val="0"/>
                        </w:numPr>
                        <w:tabs>
                          <w:tab w:val="clear" w:pos="2010"/>
                          <w:tab w:val="left" w:pos="426"/>
                          <w:tab w:val="left" w:pos="8931"/>
                        </w:tabs>
                        <w:spacing w:after="0" w:line="240" w:lineRule="auto"/>
                        <w:ind w:left="6314" w:right="15" w:hanging="360"/>
                        <w:jc w:val="both"/>
                        <w:rPr>
                          <w:rFonts w:ascii="Source Sans Pro" w:hAnsi="Source Sans Pro"/>
                          <w:bCs/>
                          <w:i w:val="0"/>
                          <w:color w:val="000000" w:themeColor="text1"/>
                          <w:sz w:val="20"/>
                          <w:szCs w:val="20"/>
                        </w:rPr>
                      </w:pPr>
                    </w:p>
                    <w:p w14:paraId="56C7A2D1" w14:textId="77777777" w:rsidR="006E0F11" w:rsidRPr="00FA2D10" w:rsidRDefault="006E0F11" w:rsidP="006E0F11">
                      <w:pPr>
                        <w:pStyle w:val="Style1"/>
                        <w:numPr>
                          <w:ilvl w:val="0"/>
                          <w:numId w:val="0"/>
                        </w:numPr>
                        <w:tabs>
                          <w:tab w:val="clear" w:pos="2010"/>
                          <w:tab w:val="left" w:pos="426"/>
                          <w:tab w:val="left" w:pos="8931"/>
                        </w:tabs>
                        <w:spacing w:after="0" w:line="240" w:lineRule="auto"/>
                        <w:ind w:left="6314" w:right="15" w:hanging="360"/>
                        <w:jc w:val="both"/>
                        <w:rPr>
                          <w:rFonts w:ascii="Source Sans Pro" w:hAnsi="Source Sans Pro"/>
                          <w:bCs/>
                          <w:i w:val="0"/>
                          <w:color w:val="000000" w:themeColor="text1"/>
                          <w:sz w:val="20"/>
                          <w:szCs w:val="20"/>
                        </w:rPr>
                      </w:pPr>
                    </w:p>
                    <w:p w14:paraId="43BE0E28" w14:textId="77777777" w:rsidR="006E0F11" w:rsidRPr="00FA2D10" w:rsidRDefault="006E0F11" w:rsidP="006E0F11">
                      <w:pPr>
                        <w:pStyle w:val="Style1"/>
                        <w:numPr>
                          <w:ilvl w:val="0"/>
                          <w:numId w:val="0"/>
                        </w:numPr>
                        <w:tabs>
                          <w:tab w:val="clear" w:pos="2010"/>
                          <w:tab w:val="left" w:pos="426"/>
                          <w:tab w:val="left" w:pos="8931"/>
                        </w:tabs>
                        <w:spacing w:after="0" w:line="240" w:lineRule="auto"/>
                        <w:ind w:left="6314" w:right="15" w:hanging="360"/>
                        <w:jc w:val="both"/>
                        <w:rPr>
                          <w:color w:val="000000" w:themeColor="text1"/>
                          <w:sz w:val="20"/>
                          <w:szCs w:val="20"/>
                        </w:rPr>
                      </w:pPr>
                    </w:p>
                  </w:txbxContent>
                </v:textbox>
                <w10:wrap anchorx="margin"/>
              </v:roundrect>
            </w:pict>
          </mc:Fallback>
        </mc:AlternateContent>
      </w:r>
    </w:p>
    <w:p w14:paraId="51BA2B89" w14:textId="056F3097" w:rsidR="00AD238F" w:rsidRPr="00A74D23" w:rsidRDefault="00AD238F" w:rsidP="009D6EE5">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20"/>
        </w:rPr>
      </w:pPr>
    </w:p>
    <w:p w14:paraId="5B530941" w14:textId="63633B6B" w:rsidR="006E0F11" w:rsidRPr="00A74D23" w:rsidRDefault="006E0F11" w:rsidP="009D6EE5">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20"/>
        </w:rPr>
      </w:pPr>
    </w:p>
    <w:p w14:paraId="092ED64D" w14:textId="537513A9" w:rsidR="006E0F11" w:rsidRDefault="006E0F11" w:rsidP="009D6EE5">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20"/>
        </w:rPr>
      </w:pPr>
    </w:p>
    <w:p w14:paraId="225A3B81" w14:textId="77777777" w:rsidR="00343FD7" w:rsidRDefault="00343FD7" w:rsidP="009D6EE5">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20"/>
        </w:rPr>
      </w:pPr>
    </w:p>
    <w:p w14:paraId="54E378CA" w14:textId="77777777" w:rsidR="00343FD7" w:rsidRPr="00A74D23" w:rsidRDefault="00343FD7" w:rsidP="009D6EE5">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20"/>
        </w:rPr>
      </w:pPr>
    </w:p>
    <w:p w14:paraId="05FB7F3E" w14:textId="77777777" w:rsidR="006E0F11" w:rsidRPr="00A74D23" w:rsidRDefault="006E0F11" w:rsidP="006D565E">
      <w:pPr>
        <w:pStyle w:val="Style1"/>
        <w:numPr>
          <w:ilvl w:val="0"/>
          <w:numId w:val="0"/>
        </w:numPr>
        <w:tabs>
          <w:tab w:val="clear" w:pos="2010"/>
          <w:tab w:val="left" w:pos="426"/>
        </w:tabs>
        <w:spacing w:after="0" w:line="22" w:lineRule="atLeast"/>
        <w:jc w:val="both"/>
        <w:rPr>
          <w:rFonts w:cs="Open Sans"/>
          <w:b/>
          <w:i w:val="0"/>
          <w:color w:val="000000" w:themeColor="text1"/>
          <w:sz w:val="20"/>
        </w:rPr>
      </w:pPr>
    </w:p>
    <w:p w14:paraId="2DD64911" w14:textId="6FD45571" w:rsidR="00DD7B7C" w:rsidRPr="002B3742" w:rsidRDefault="00DD7B7C" w:rsidP="00A21FC6">
      <w:pPr>
        <w:pStyle w:val="Style1"/>
        <w:numPr>
          <w:ilvl w:val="0"/>
          <w:numId w:val="0"/>
        </w:numPr>
        <w:spacing w:line="22" w:lineRule="atLeast"/>
        <w:ind w:firstLine="3"/>
        <w:jc w:val="both"/>
        <w:rPr>
          <w:rFonts w:cs="Open Sans"/>
          <w:color w:val="8A2C24" w:themeColor="accent2"/>
          <w:sz w:val="28"/>
          <w:szCs w:val="28"/>
        </w:rPr>
      </w:pPr>
      <w:r w:rsidRPr="002B3742">
        <w:rPr>
          <w:rFonts w:cs="Open Sans"/>
          <w:color w:val="8A2C24" w:themeColor="accent2"/>
          <w:sz w:val="28"/>
          <w:szCs w:val="28"/>
        </w:rPr>
        <w:t>2.</w:t>
      </w:r>
      <w:r w:rsidR="006D309E" w:rsidRPr="002B3742">
        <w:rPr>
          <w:rFonts w:cs="Open Sans"/>
          <w:color w:val="8A2C24" w:themeColor="accent2"/>
          <w:sz w:val="28"/>
          <w:szCs w:val="28"/>
        </w:rPr>
        <w:t>2</w:t>
      </w:r>
      <w:r w:rsidRPr="002B3742">
        <w:rPr>
          <w:rFonts w:cs="Open Sans"/>
          <w:color w:val="8A2C24" w:themeColor="accent2"/>
          <w:sz w:val="28"/>
          <w:szCs w:val="28"/>
        </w:rPr>
        <w:t xml:space="preserve">.2. </w:t>
      </w:r>
      <w:r w:rsidRPr="002B3742">
        <w:rPr>
          <w:rFonts w:cs="Open Sans"/>
          <w:b/>
          <w:bCs/>
          <w:color w:val="8A2C24" w:themeColor="accent2"/>
          <w:sz w:val="28"/>
          <w:szCs w:val="28"/>
        </w:rPr>
        <w:t>OPC détenus dans les mandats :</w:t>
      </w:r>
      <w:r w:rsidRPr="002B3742">
        <w:rPr>
          <w:rFonts w:cs="Open Sans"/>
          <w:color w:val="8A2C24" w:themeColor="accent2"/>
          <w:sz w:val="28"/>
          <w:szCs w:val="28"/>
        </w:rPr>
        <w:t xml:space="preserve"> notre prise en compte de critères de durabilité dans le processus de sélection et suivi de la performance</w:t>
      </w:r>
    </w:p>
    <w:p w14:paraId="1E0521CB" w14:textId="77777777" w:rsidR="00AD238F" w:rsidRPr="00A74D23" w:rsidRDefault="00AD238F" w:rsidP="009D6EE5">
      <w:pPr>
        <w:pStyle w:val="Style1"/>
        <w:numPr>
          <w:ilvl w:val="0"/>
          <w:numId w:val="0"/>
        </w:numPr>
        <w:tabs>
          <w:tab w:val="clear" w:pos="2010"/>
          <w:tab w:val="left" w:pos="426"/>
        </w:tabs>
        <w:spacing w:after="0" w:line="22" w:lineRule="atLeast"/>
        <w:jc w:val="both"/>
        <w:rPr>
          <w:rFonts w:cs="Open Sans"/>
          <w:b/>
          <w:i w:val="0"/>
          <w:color w:val="000000" w:themeColor="text1"/>
          <w:sz w:val="20"/>
        </w:rPr>
      </w:pPr>
    </w:p>
    <w:p w14:paraId="45EE2583" w14:textId="77777777" w:rsidR="00AD238F" w:rsidRPr="00A74D23" w:rsidRDefault="00AD238F" w:rsidP="009D6EE5">
      <w:pPr>
        <w:pStyle w:val="Style1"/>
        <w:numPr>
          <w:ilvl w:val="0"/>
          <w:numId w:val="0"/>
        </w:numPr>
        <w:tabs>
          <w:tab w:val="clear" w:pos="2010"/>
          <w:tab w:val="left" w:pos="426"/>
        </w:tabs>
        <w:spacing w:after="0" w:line="22" w:lineRule="atLeast"/>
        <w:jc w:val="both"/>
        <w:rPr>
          <w:rFonts w:cs="Open Sans"/>
          <w:b/>
          <w:i w:val="0"/>
          <w:color w:val="000000" w:themeColor="text1"/>
          <w:sz w:val="20"/>
        </w:rPr>
      </w:pPr>
    </w:p>
    <w:p w14:paraId="71D5BD46" w14:textId="77777777" w:rsidR="00AF008A" w:rsidRPr="00A74D23" w:rsidRDefault="00AF008A" w:rsidP="00AF008A">
      <w:pPr>
        <w:pStyle w:val="Style1"/>
        <w:numPr>
          <w:ilvl w:val="0"/>
          <w:numId w:val="0"/>
        </w:numPr>
        <w:tabs>
          <w:tab w:val="clear" w:pos="2010"/>
          <w:tab w:val="left" w:pos="426"/>
        </w:tabs>
        <w:spacing w:after="0" w:line="22" w:lineRule="atLeast"/>
        <w:jc w:val="both"/>
        <w:rPr>
          <w:rFonts w:cs="Open Sans"/>
          <w:b/>
          <w:bCs/>
          <w:i w:val="0"/>
          <w:color w:val="000000" w:themeColor="text1"/>
          <w:sz w:val="24"/>
          <w:szCs w:val="32"/>
        </w:rPr>
      </w:pPr>
      <w:r w:rsidRPr="00A74D23">
        <w:rPr>
          <w:rFonts w:cs="Open Sans"/>
          <w:b/>
          <w:bCs/>
          <w:i w:val="0"/>
          <w:color w:val="000000" w:themeColor="text1"/>
          <w:sz w:val="24"/>
          <w:szCs w:val="32"/>
        </w:rPr>
        <w:t xml:space="preserve">Classification SFDR des OPC des mandats d’investissement d’Abeille </w:t>
      </w:r>
      <w:r>
        <w:rPr>
          <w:rFonts w:cs="Open Sans"/>
          <w:b/>
          <w:bCs/>
          <w:i w:val="0"/>
          <w:color w:val="000000" w:themeColor="text1"/>
          <w:sz w:val="24"/>
          <w:szCs w:val="32"/>
        </w:rPr>
        <w:t>Retraite Professionnelle</w:t>
      </w:r>
      <w:r w:rsidRPr="00A74D23">
        <w:rPr>
          <w:rFonts w:cs="Open Sans"/>
          <w:b/>
          <w:bCs/>
          <w:i w:val="0"/>
          <w:color w:val="000000" w:themeColor="text1"/>
          <w:sz w:val="24"/>
          <w:szCs w:val="32"/>
        </w:rPr>
        <w:t xml:space="preserve"> à fin 2025</w:t>
      </w:r>
    </w:p>
    <w:p w14:paraId="2FCB22D0" w14:textId="77777777" w:rsidR="00AF008A" w:rsidRPr="00A74D23" w:rsidRDefault="00AF008A" w:rsidP="00AF008A">
      <w:pPr>
        <w:autoSpaceDE w:val="0"/>
        <w:autoSpaceDN w:val="0"/>
        <w:adjustRightInd w:val="0"/>
        <w:spacing w:after="120" w:line="22" w:lineRule="atLeast"/>
        <w:jc w:val="both"/>
        <w:rPr>
          <w:rFonts w:asciiTheme="minorHAnsi" w:hAnsiTheme="minorHAnsi" w:cs="Open Sans"/>
          <w:b/>
          <w:bCs/>
          <w:sz w:val="18"/>
          <w:szCs w:val="18"/>
          <w:lang w:val="fr-FR"/>
        </w:rPr>
      </w:pPr>
    </w:p>
    <w:tbl>
      <w:tblPr>
        <w:tblW w:w="8818" w:type="dxa"/>
        <w:tblCellMar>
          <w:left w:w="70" w:type="dxa"/>
          <w:right w:w="70" w:type="dxa"/>
        </w:tblCellMar>
        <w:tblLook w:val="04A0" w:firstRow="1" w:lastRow="0" w:firstColumn="1" w:lastColumn="0" w:noHBand="0" w:noVBand="1"/>
      </w:tblPr>
      <w:tblGrid>
        <w:gridCol w:w="3080"/>
        <w:gridCol w:w="2869"/>
        <w:gridCol w:w="2869"/>
      </w:tblGrid>
      <w:tr w:rsidR="00AF008A" w:rsidRPr="00A74D23" w14:paraId="64EF1F23" w14:textId="77777777" w:rsidTr="003B24BE">
        <w:trPr>
          <w:trHeight w:val="260"/>
        </w:trPr>
        <w:tc>
          <w:tcPr>
            <w:tcW w:w="3080" w:type="dxa"/>
            <w:tcBorders>
              <w:top w:val="single" w:sz="4" w:space="0" w:color="auto"/>
              <w:left w:val="single" w:sz="4" w:space="0" w:color="auto"/>
              <w:bottom w:val="single" w:sz="4" w:space="0" w:color="auto"/>
              <w:right w:val="single" w:sz="4" w:space="0" w:color="auto"/>
            </w:tcBorders>
            <w:shd w:val="clear" w:color="auto" w:fill="FFD400" w:themeFill="accent1"/>
            <w:noWrap/>
            <w:vAlign w:val="bottom"/>
            <w:hideMark/>
          </w:tcPr>
          <w:p w14:paraId="1F034D1F" w14:textId="77777777" w:rsidR="00AF008A" w:rsidRPr="00A74D23" w:rsidRDefault="00AF008A" w:rsidP="003B24BE">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Classification SFDR</w:t>
            </w:r>
          </w:p>
        </w:tc>
        <w:tc>
          <w:tcPr>
            <w:tcW w:w="2869" w:type="dxa"/>
            <w:tcBorders>
              <w:top w:val="single" w:sz="4" w:space="0" w:color="auto"/>
              <w:left w:val="nil"/>
              <w:bottom w:val="single" w:sz="4" w:space="0" w:color="auto"/>
              <w:right w:val="nil"/>
            </w:tcBorders>
            <w:shd w:val="clear" w:color="auto" w:fill="FFD400" w:themeFill="accent1"/>
            <w:vAlign w:val="bottom"/>
          </w:tcPr>
          <w:p w14:paraId="5CB263A5" w14:textId="77777777" w:rsidR="00AF008A" w:rsidRPr="00A74D23" w:rsidRDefault="00AF008A" w:rsidP="003B24BE">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Valeur de marché (m€)</w:t>
            </w:r>
          </w:p>
        </w:tc>
        <w:tc>
          <w:tcPr>
            <w:tcW w:w="2869" w:type="dxa"/>
            <w:tcBorders>
              <w:top w:val="single" w:sz="4" w:space="0" w:color="auto"/>
              <w:left w:val="nil"/>
              <w:bottom w:val="single" w:sz="4" w:space="0" w:color="auto"/>
              <w:right w:val="single" w:sz="4" w:space="0" w:color="auto"/>
            </w:tcBorders>
            <w:shd w:val="clear" w:color="auto" w:fill="FFD400" w:themeFill="accent1"/>
            <w:noWrap/>
            <w:vAlign w:val="bottom"/>
            <w:hideMark/>
          </w:tcPr>
          <w:p w14:paraId="42A5926C" w14:textId="77777777" w:rsidR="00AF008A" w:rsidRPr="00A74D23" w:rsidRDefault="00AF008A" w:rsidP="003B24BE">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w:t>
            </w:r>
          </w:p>
        </w:tc>
      </w:tr>
      <w:tr w:rsidR="00AF008A" w:rsidRPr="00A74D23" w14:paraId="1736F89F" w14:textId="77777777" w:rsidTr="003B24BE">
        <w:trPr>
          <w:trHeight w:val="250"/>
        </w:trPr>
        <w:tc>
          <w:tcPr>
            <w:tcW w:w="308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48A5CC1" w14:textId="77777777" w:rsidR="00AF008A" w:rsidRPr="00A74D23" w:rsidRDefault="00AF008A" w:rsidP="003B24BE">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Article 6</w:t>
            </w:r>
          </w:p>
        </w:tc>
        <w:tc>
          <w:tcPr>
            <w:tcW w:w="2869" w:type="dxa"/>
            <w:tcBorders>
              <w:top w:val="nil"/>
              <w:left w:val="nil"/>
              <w:bottom w:val="single" w:sz="4" w:space="0" w:color="auto"/>
              <w:right w:val="nil"/>
            </w:tcBorders>
            <w:vAlign w:val="center"/>
          </w:tcPr>
          <w:p w14:paraId="0B152631" w14:textId="77777777" w:rsidR="00AF008A" w:rsidRPr="00931858" w:rsidRDefault="00AF008A" w:rsidP="003B24BE">
            <w:pPr>
              <w:spacing w:line="22" w:lineRule="atLeast"/>
              <w:jc w:val="both"/>
              <w:rPr>
                <w:rFonts w:asciiTheme="minorHAnsi" w:hAnsiTheme="minorHAnsi" w:cs="Open Sans"/>
                <w:color w:val="000000" w:themeColor="text1"/>
                <w:sz w:val="18"/>
                <w:szCs w:val="18"/>
              </w:rPr>
            </w:pPr>
            <w:r w:rsidRPr="00931858">
              <w:rPr>
                <w:rFonts w:ascii="Source Sans Pro" w:hAnsi="Source Sans Pro" w:cs="Arial"/>
                <w:color w:val="000000" w:themeColor="text1"/>
                <w:sz w:val="18"/>
                <w:szCs w:val="18"/>
              </w:rPr>
              <w:t>461</w:t>
            </w:r>
          </w:p>
        </w:tc>
        <w:tc>
          <w:tcPr>
            <w:tcW w:w="2869" w:type="dxa"/>
            <w:tcBorders>
              <w:top w:val="nil"/>
              <w:left w:val="nil"/>
              <w:bottom w:val="single" w:sz="4" w:space="0" w:color="auto"/>
              <w:right w:val="single" w:sz="4" w:space="0" w:color="auto"/>
            </w:tcBorders>
            <w:noWrap/>
            <w:vAlign w:val="center"/>
            <w:hideMark/>
          </w:tcPr>
          <w:p w14:paraId="4566E39E" w14:textId="77777777" w:rsidR="00AF008A" w:rsidRPr="00931858" w:rsidRDefault="00AF008A" w:rsidP="003B24BE">
            <w:pPr>
              <w:spacing w:line="22" w:lineRule="atLeast"/>
              <w:jc w:val="both"/>
              <w:rPr>
                <w:rFonts w:asciiTheme="minorHAnsi" w:hAnsiTheme="minorHAnsi" w:cs="Open Sans"/>
                <w:color w:val="000000" w:themeColor="text1"/>
                <w:sz w:val="18"/>
                <w:szCs w:val="18"/>
                <w:lang w:eastAsia="fr-FR"/>
              </w:rPr>
            </w:pPr>
            <w:r w:rsidRPr="00931858">
              <w:rPr>
                <w:rFonts w:ascii="Source Sans Pro" w:hAnsi="Source Sans Pro" w:cs="Arial"/>
                <w:color w:val="000000" w:themeColor="text1"/>
                <w:sz w:val="18"/>
                <w:szCs w:val="18"/>
              </w:rPr>
              <w:t>42%</w:t>
            </w:r>
          </w:p>
        </w:tc>
      </w:tr>
      <w:tr w:rsidR="00AF008A" w:rsidRPr="00A74D23" w14:paraId="618550D2" w14:textId="77777777" w:rsidTr="003B24BE">
        <w:trPr>
          <w:trHeight w:val="250"/>
        </w:trPr>
        <w:tc>
          <w:tcPr>
            <w:tcW w:w="308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2ECA588" w14:textId="77777777" w:rsidR="00AF008A" w:rsidRPr="00A74D23" w:rsidRDefault="00AF008A" w:rsidP="003B24BE">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Article 8</w:t>
            </w:r>
          </w:p>
        </w:tc>
        <w:tc>
          <w:tcPr>
            <w:tcW w:w="2869" w:type="dxa"/>
            <w:tcBorders>
              <w:top w:val="nil"/>
              <w:left w:val="nil"/>
              <w:bottom w:val="single" w:sz="4" w:space="0" w:color="auto"/>
              <w:right w:val="nil"/>
            </w:tcBorders>
            <w:vAlign w:val="center"/>
          </w:tcPr>
          <w:p w14:paraId="3B972DF8" w14:textId="77777777" w:rsidR="00AF008A" w:rsidRPr="00931858" w:rsidRDefault="00AF008A" w:rsidP="003B24BE">
            <w:pPr>
              <w:spacing w:line="22" w:lineRule="atLeast"/>
              <w:jc w:val="both"/>
              <w:rPr>
                <w:rFonts w:asciiTheme="minorHAnsi" w:hAnsiTheme="minorHAnsi" w:cs="Open Sans"/>
                <w:color w:val="000000" w:themeColor="text1"/>
                <w:sz w:val="18"/>
                <w:szCs w:val="18"/>
              </w:rPr>
            </w:pPr>
            <w:r w:rsidRPr="00931858">
              <w:rPr>
                <w:rFonts w:ascii="Source Sans Pro" w:hAnsi="Source Sans Pro" w:cs="Arial"/>
                <w:color w:val="000000" w:themeColor="text1"/>
                <w:sz w:val="18"/>
                <w:szCs w:val="18"/>
              </w:rPr>
              <w:t>608</w:t>
            </w:r>
          </w:p>
        </w:tc>
        <w:tc>
          <w:tcPr>
            <w:tcW w:w="2869" w:type="dxa"/>
            <w:tcBorders>
              <w:top w:val="nil"/>
              <w:left w:val="nil"/>
              <w:bottom w:val="single" w:sz="4" w:space="0" w:color="auto"/>
              <w:right w:val="single" w:sz="4" w:space="0" w:color="auto"/>
            </w:tcBorders>
            <w:noWrap/>
            <w:vAlign w:val="center"/>
            <w:hideMark/>
          </w:tcPr>
          <w:p w14:paraId="31CB5B96" w14:textId="77777777" w:rsidR="00AF008A" w:rsidRPr="00931858" w:rsidRDefault="00AF008A" w:rsidP="003B24BE">
            <w:pPr>
              <w:spacing w:line="22" w:lineRule="atLeast"/>
              <w:jc w:val="both"/>
              <w:rPr>
                <w:rFonts w:asciiTheme="minorHAnsi" w:hAnsiTheme="minorHAnsi" w:cs="Open Sans"/>
                <w:color w:val="000000" w:themeColor="text1"/>
                <w:sz w:val="18"/>
                <w:szCs w:val="18"/>
                <w:lang w:eastAsia="fr-FR"/>
              </w:rPr>
            </w:pPr>
            <w:r w:rsidRPr="00931858">
              <w:rPr>
                <w:rFonts w:ascii="Source Sans Pro" w:hAnsi="Source Sans Pro" w:cs="Arial"/>
                <w:color w:val="000000" w:themeColor="text1"/>
                <w:sz w:val="18"/>
                <w:szCs w:val="18"/>
              </w:rPr>
              <w:t>55%</w:t>
            </w:r>
          </w:p>
        </w:tc>
      </w:tr>
      <w:tr w:rsidR="00AF008A" w:rsidRPr="00A74D23" w14:paraId="1121CDF4" w14:textId="77777777" w:rsidTr="003B24BE">
        <w:trPr>
          <w:trHeight w:val="250"/>
        </w:trPr>
        <w:tc>
          <w:tcPr>
            <w:tcW w:w="308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27A857E" w14:textId="77777777" w:rsidR="00AF008A" w:rsidRPr="00A74D23" w:rsidRDefault="00AF008A" w:rsidP="003B24BE">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Article 9</w:t>
            </w:r>
          </w:p>
        </w:tc>
        <w:tc>
          <w:tcPr>
            <w:tcW w:w="2869" w:type="dxa"/>
            <w:tcBorders>
              <w:top w:val="nil"/>
              <w:left w:val="nil"/>
              <w:bottom w:val="single" w:sz="4" w:space="0" w:color="auto"/>
              <w:right w:val="nil"/>
            </w:tcBorders>
            <w:vAlign w:val="center"/>
          </w:tcPr>
          <w:p w14:paraId="4160209E" w14:textId="77777777" w:rsidR="00AF008A" w:rsidRPr="00931858" w:rsidRDefault="00AF008A" w:rsidP="003B24BE">
            <w:pPr>
              <w:spacing w:line="22" w:lineRule="atLeast"/>
              <w:jc w:val="both"/>
              <w:rPr>
                <w:rFonts w:asciiTheme="minorHAnsi" w:hAnsiTheme="minorHAnsi" w:cs="Open Sans"/>
                <w:color w:val="000000" w:themeColor="text1"/>
                <w:sz w:val="18"/>
                <w:szCs w:val="18"/>
              </w:rPr>
            </w:pPr>
            <w:r w:rsidRPr="00931858">
              <w:rPr>
                <w:rFonts w:ascii="Source Sans Pro" w:hAnsi="Source Sans Pro" w:cs="Arial"/>
                <w:color w:val="000000" w:themeColor="text1"/>
                <w:sz w:val="18"/>
                <w:szCs w:val="18"/>
              </w:rPr>
              <w:t>28</w:t>
            </w:r>
          </w:p>
        </w:tc>
        <w:tc>
          <w:tcPr>
            <w:tcW w:w="2869" w:type="dxa"/>
            <w:tcBorders>
              <w:top w:val="nil"/>
              <w:left w:val="nil"/>
              <w:bottom w:val="single" w:sz="4" w:space="0" w:color="auto"/>
              <w:right w:val="single" w:sz="4" w:space="0" w:color="auto"/>
            </w:tcBorders>
            <w:noWrap/>
            <w:vAlign w:val="center"/>
            <w:hideMark/>
          </w:tcPr>
          <w:p w14:paraId="1FD0322E" w14:textId="77777777" w:rsidR="00AF008A" w:rsidRPr="00931858" w:rsidRDefault="00AF008A" w:rsidP="003B24BE">
            <w:pPr>
              <w:spacing w:line="22" w:lineRule="atLeast"/>
              <w:jc w:val="both"/>
              <w:rPr>
                <w:rFonts w:asciiTheme="minorHAnsi" w:hAnsiTheme="minorHAnsi" w:cs="Open Sans"/>
                <w:color w:val="000000" w:themeColor="text1"/>
                <w:sz w:val="18"/>
                <w:szCs w:val="18"/>
                <w:lang w:eastAsia="fr-FR"/>
              </w:rPr>
            </w:pPr>
            <w:r w:rsidRPr="00931858">
              <w:rPr>
                <w:rFonts w:ascii="Source Sans Pro" w:hAnsi="Source Sans Pro" w:cs="Arial"/>
                <w:color w:val="000000" w:themeColor="text1"/>
                <w:sz w:val="18"/>
                <w:szCs w:val="18"/>
              </w:rPr>
              <w:t>3%</w:t>
            </w:r>
          </w:p>
        </w:tc>
      </w:tr>
      <w:tr w:rsidR="00AF008A" w:rsidRPr="00A74D23" w14:paraId="20A93CD2" w14:textId="77777777" w:rsidTr="003B24BE">
        <w:trPr>
          <w:trHeight w:val="250"/>
        </w:trPr>
        <w:tc>
          <w:tcPr>
            <w:tcW w:w="3080" w:type="dxa"/>
            <w:tcBorders>
              <w:top w:val="nil"/>
              <w:left w:val="single" w:sz="4" w:space="0" w:color="auto"/>
              <w:bottom w:val="single" w:sz="4" w:space="0" w:color="auto"/>
              <w:right w:val="single" w:sz="4" w:space="0" w:color="auto"/>
            </w:tcBorders>
            <w:shd w:val="clear" w:color="auto" w:fill="FFD400" w:themeFill="accent1"/>
            <w:noWrap/>
            <w:vAlign w:val="bottom"/>
            <w:hideMark/>
          </w:tcPr>
          <w:p w14:paraId="58E6C8CE" w14:textId="77777777" w:rsidR="00AF008A" w:rsidRPr="00A74D23" w:rsidRDefault="00AF008A" w:rsidP="003B24BE">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Total</w:t>
            </w:r>
          </w:p>
        </w:tc>
        <w:tc>
          <w:tcPr>
            <w:tcW w:w="2869" w:type="dxa"/>
            <w:tcBorders>
              <w:top w:val="nil"/>
              <w:left w:val="nil"/>
              <w:bottom w:val="single" w:sz="4" w:space="0" w:color="auto"/>
              <w:right w:val="nil"/>
            </w:tcBorders>
            <w:shd w:val="clear" w:color="auto" w:fill="FFD400" w:themeFill="accent1"/>
          </w:tcPr>
          <w:p w14:paraId="28B26566" w14:textId="77777777" w:rsidR="00AF008A" w:rsidRPr="00A74D23" w:rsidRDefault="00AF008A" w:rsidP="003B24BE">
            <w:pPr>
              <w:spacing w:line="22" w:lineRule="atLeast"/>
              <w:jc w:val="both"/>
              <w:rPr>
                <w:rFonts w:asciiTheme="minorHAnsi" w:hAnsiTheme="minorHAnsi" w:cs="Open Sans"/>
                <w:color w:val="000000"/>
                <w:sz w:val="18"/>
                <w:szCs w:val="18"/>
                <w:lang w:eastAsia="fr-FR"/>
              </w:rPr>
            </w:pPr>
            <w:r>
              <w:rPr>
                <w:rFonts w:asciiTheme="minorHAnsi" w:hAnsiTheme="minorHAnsi" w:cs="Open Sans"/>
                <w:sz w:val="18"/>
                <w:szCs w:val="18"/>
              </w:rPr>
              <w:t>1097</w:t>
            </w:r>
          </w:p>
        </w:tc>
        <w:tc>
          <w:tcPr>
            <w:tcW w:w="2869" w:type="dxa"/>
            <w:tcBorders>
              <w:top w:val="nil"/>
              <w:left w:val="nil"/>
              <w:bottom w:val="single" w:sz="4" w:space="0" w:color="auto"/>
              <w:right w:val="single" w:sz="4" w:space="0" w:color="auto"/>
            </w:tcBorders>
            <w:shd w:val="clear" w:color="auto" w:fill="FFD400" w:themeFill="accent1"/>
            <w:noWrap/>
            <w:hideMark/>
          </w:tcPr>
          <w:p w14:paraId="5EE8B65F" w14:textId="77777777" w:rsidR="00AF008A" w:rsidRPr="00A74D23" w:rsidRDefault="00AF008A" w:rsidP="003B24BE">
            <w:pPr>
              <w:spacing w:line="22" w:lineRule="atLeast"/>
              <w:jc w:val="both"/>
              <w:rPr>
                <w:rFonts w:asciiTheme="minorHAnsi" w:hAnsiTheme="minorHAnsi" w:cs="Open Sans"/>
                <w:color w:val="000000"/>
                <w:sz w:val="18"/>
                <w:szCs w:val="18"/>
                <w:lang w:eastAsia="fr-FR"/>
              </w:rPr>
            </w:pPr>
          </w:p>
        </w:tc>
      </w:tr>
    </w:tbl>
    <w:p w14:paraId="178F03C2" w14:textId="77777777" w:rsidR="00AF008A" w:rsidRPr="00A74D23" w:rsidRDefault="00AF008A" w:rsidP="00AF008A">
      <w:pPr>
        <w:pStyle w:val="Style1"/>
        <w:numPr>
          <w:ilvl w:val="0"/>
          <w:numId w:val="0"/>
        </w:numPr>
        <w:tabs>
          <w:tab w:val="clear" w:pos="2010"/>
          <w:tab w:val="left" w:pos="426"/>
        </w:tabs>
        <w:spacing w:line="22" w:lineRule="atLeast"/>
        <w:jc w:val="both"/>
        <w:rPr>
          <w:rFonts w:cs="Open Sans"/>
          <w:color w:val="000000" w:themeColor="text1"/>
          <w:sz w:val="18"/>
          <w:szCs w:val="18"/>
        </w:rPr>
      </w:pPr>
      <w:r w:rsidRPr="00A74D23">
        <w:rPr>
          <w:rFonts w:cs="Open Sans"/>
          <w:color w:val="000000" w:themeColor="text1"/>
          <w:sz w:val="18"/>
          <w:szCs w:val="18"/>
        </w:rPr>
        <w:t xml:space="preserve">Périmètre : OPC d’Abeille </w:t>
      </w:r>
      <w:r>
        <w:rPr>
          <w:rFonts w:cs="Open Sans"/>
          <w:color w:val="000000" w:themeColor="text1"/>
          <w:sz w:val="18"/>
          <w:szCs w:val="18"/>
        </w:rPr>
        <w:t>Retraite Professionnelle</w:t>
      </w:r>
      <w:r w:rsidRPr="00A74D23">
        <w:rPr>
          <w:rFonts w:cs="Open Sans"/>
          <w:color w:val="000000" w:themeColor="text1"/>
          <w:sz w:val="18"/>
          <w:szCs w:val="18"/>
        </w:rPr>
        <w:t xml:space="preserve"> au 31/12/2025</w:t>
      </w:r>
    </w:p>
    <w:p w14:paraId="648FD72E" w14:textId="77777777" w:rsidR="00AF008A" w:rsidRPr="00A74D23" w:rsidRDefault="00AF008A" w:rsidP="00AF008A">
      <w:pPr>
        <w:pStyle w:val="Style1"/>
        <w:numPr>
          <w:ilvl w:val="0"/>
          <w:numId w:val="0"/>
        </w:numPr>
        <w:tabs>
          <w:tab w:val="clear" w:pos="2010"/>
          <w:tab w:val="left" w:pos="426"/>
        </w:tabs>
        <w:spacing w:line="22" w:lineRule="atLeast"/>
        <w:jc w:val="both"/>
        <w:rPr>
          <w:rFonts w:cs="Open Sans"/>
          <w:color w:val="000000" w:themeColor="text1"/>
          <w:sz w:val="18"/>
          <w:szCs w:val="18"/>
        </w:rPr>
      </w:pPr>
      <w:r w:rsidRPr="00A74D23">
        <w:rPr>
          <w:rFonts w:cs="Open Sans"/>
          <w:color w:val="000000" w:themeColor="text1"/>
          <w:sz w:val="18"/>
          <w:szCs w:val="18"/>
        </w:rPr>
        <w:t>Source : Abeille Assurances</w:t>
      </w:r>
    </w:p>
    <w:p w14:paraId="7D3EF844" w14:textId="77777777" w:rsidR="00AF008A" w:rsidRPr="00A74D23" w:rsidRDefault="00AF008A" w:rsidP="00AF008A">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18"/>
          <w:szCs w:val="18"/>
        </w:rPr>
      </w:pPr>
    </w:p>
    <w:p w14:paraId="73C752DE" w14:textId="77777777" w:rsidR="00AF008A" w:rsidRPr="00A74D23" w:rsidRDefault="00AF008A" w:rsidP="00AF008A">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18"/>
          <w:szCs w:val="18"/>
        </w:rPr>
      </w:pPr>
      <w:r w:rsidRPr="00A74D23">
        <w:rPr>
          <w:rFonts w:cs="Open Sans"/>
          <w:bCs/>
          <w:i w:val="0"/>
          <w:iCs w:val="0"/>
          <w:noProof/>
          <w:color w:val="000000"/>
          <w:sz w:val="20"/>
        </w:rPr>
        <mc:AlternateContent>
          <mc:Choice Requires="wps">
            <w:drawing>
              <wp:anchor distT="0" distB="0" distL="114300" distR="114300" simplePos="0" relativeHeight="252045312" behindDoc="0" locked="0" layoutInCell="1" allowOverlap="1" wp14:anchorId="77E772F8" wp14:editId="05327A13">
                <wp:simplePos x="0" y="0"/>
                <wp:positionH relativeFrom="margin">
                  <wp:align>center</wp:align>
                </wp:positionH>
                <wp:positionV relativeFrom="paragraph">
                  <wp:posOffset>10795</wp:posOffset>
                </wp:positionV>
                <wp:extent cx="5882477" cy="444500"/>
                <wp:effectExtent l="0" t="0" r="4445" b="0"/>
                <wp:wrapNone/>
                <wp:docPr id="1509855235" name="Rectangle 1"/>
                <wp:cNvGraphicFramePr/>
                <a:graphic xmlns:a="http://schemas.openxmlformats.org/drawingml/2006/main">
                  <a:graphicData uri="http://schemas.microsoft.com/office/word/2010/wordprocessingShape">
                    <wps:wsp>
                      <wps:cNvSpPr/>
                      <wps:spPr>
                        <a:xfrm>
                          <a:off x="0" y="0"/>
                          <a:ext cx="5882477" cy="4445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89F055" w14:textId="77777777" w:rsidR="00AF008A" w:rsidRPr="00432B9A" w:rsidRDefault="00AF008A" w:rsidP="00AF008A">
                            <w:pPr>
                              <w:jc w:val="center"/>
                              <w:rPr>
                                <w:lang w:val="fr-FR"/>
                              </w:rPr>
                            </w:pPr>
                            <w:r w:rsidRPr="00931858">
                              <w:rPr>
                                <w:rFonts w:asciiTheme="minorHAnsi" w:eastAsiaTheme="minorHAnsi" w:hAnsiTheme="minorHAnsi" w:cs="Open Sans"/>
                                <w:b/>
                                <w:color w:val="000000"/>
                                <w:sz w:val="22"/>
                                <w:szCs w:val="22"/>
                                <w:lang w:val="fr-FR"/>
                              </w:rPr>
                              <w:t>58</w:t>
                            </w:r>
                            <w:r w:rsidRPr="00DD7B7C">
                              <w:rPr>
                                <w:rFonts w:asciiTheme="minorHAnsi" w:eastAsiaTheme="minorHAnsi" w:hAnsiTheme="minorHAnsi" w:cs="Open Sans"/>
                                <w:b/>
                                <w:color w:val="000000"/>
                                <w:sz w:val="22"/>
                                <w:szCs w:val="22"/>
                                <w:lang w:val="fr-FR"/>
                              </w:rPr>
                              <w:t xml:space="preserve">% des encours détenus via des OPC dans les mandats de gestion d’Abeille </w:t>
                            </w:r>
                            <w:r>
                              <w:rPr>
                                <w:rFonts w:asciiTheme="minorHAnsi" w:eastAsiaTheme="minorHAnsi" w:hAnsiTheme="minorHAnsi" w:cs="Open Sans"/>
                                <w:b/>
                                <w:color w:val="000000"/>
                                <w:sz w:val="22"/>
                                <w:szCs w:val="22"/>
                                <w:lang w:val="fr-FR"/>
                              </w:rPr>
                              <w:t>Retraite Professionnelle</w:t>
                            </w:r>
                            <w:r w:rsidRPr="00DD7B7C">
                              <w:rPr>
                                <w:rFonts w:asciiTheme="minorHAnsi" w:eastAsiaTheme="minorHAnsi" w:hAnsiTheme="minorHAnsi" w:cs="Open Sans"/>
                                <w:b/>
                                <w:color w:val="000000"/>
                                <w:sz w:val="22"/>
                                <w:szCs w:val="22"/>
                                <w:lang w:val="fr-FR"/>
                              </w:rPr>
                              <w:t xml:space="preserve"> sont classifiés article 8 ou 9 SFDR.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772F8" id="_x0000_s1058" style="position:absolute;left:0;text-align:left;margin-left:0;margin-top:.85pt;width:463.2pt;height:35pt;z-index:252045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" fillcolor="#ffd400 [3204]" stroked="f" strokeweight="1pt">
                <v:textbox>
                  <w:txbxContent>
                    <w:p w14:paraId="2789F055" w14:textId="77777777" w:rsidR="00AF008A" w:rsidRPr="00432B9A" w:rsidRDefault="00AF008A" w:rsidP="00AF008A">
                      <w:pPr>
                        <w:jc w:val="center"/>
                        <w:rPr>
                          <w:lang w:val="fr-FR"/>
                        </w:rPr>
                      </w:pPr>
                      <w:r w:rsidRPr="00931858">
                        <w:rPr>
                          <w:rFonts w:asciiTheme="minorHAnsi" w:eastAsiaTheme="minorHAnsi" w:hAnsiTheme="minorHAnsi" w:cs="Open Sans"/>
                          <w:b/>
                          <w:color w:val="000000"/>
                          <w:sz w:val="22"/>
                          <w:szCs w:val="22"/>
                          <w:lang w:val="fr-FR"/>
                        </w:rPr>
                        <w:t>58</w:t>
                      </w:r>
                      <w:r w:rsidRPr="00DD7B7C">
                        <w:rPr>
                          <w:rFonts w:asciiTheme="minorHAnsi" w:eastAsiaTheme="minorHAnsi" w:hAnsiTheme="minorHAnsi" w:cs="Open Sans"/>
                          <w:b/>
                          <w:color w:val="000000"/>
                          <w:sz w:val="22"/>
                          <w:szCs w:val="22"/>
                          <w:lang w:val="fr-FR"/>
                        </w:rPr>
                        <w:t xml:space="preserve">% des encours détenus via des OPC dans les mandats de gestion d’Abeille </w:t>
                      </w:r>
                      <w:r>
                        <w:rPr>
                          <w:rFonts w:asciiTheme="minorHAnsi" w:eastAsiaTheme="minorHAnsi" w:hAnsiTheme="minorHAnsi" w:cs="Open Sans"/>
                          <w:b/>
                          <w:color w:val="000000"/>
                          <w:sz w:val="22"/>
                          <w:szCs w:val="22"/>
                          <w:lang w:val="fr-FR"/>
                        </w:rPr>
                        <w:t>Retraite Professionnelle</w:t>
                      </w:r>
                      <w:r w:rsidRPr="00DD7B7C">
                        <w:rPr>
                          <w:rFonts w:asciiTheme="minorHAnsi" w:eastAsiaTheme="minorHAnsi" w:hAnsiTheme="minorHAnsi" w:cs="Open Sans"/>
                          <w:b/>
                          <w:color w:val="000000"/>
                          <w:sz w:val="22"/>
                          <w:szCs w:val="22"/>
                          <w:lang w:val="fr-FR"/>
                        </w:rPr>
                        <w:t xml:space="preserve"> sont classifiés article 8 ou 9 SFDR.</w:t>
                      </w:r>
                    </w:p>
                  </w:txbxContent>
                </v:textbox>
                <w10:wrap anchorx="margin"/>
              </v:rect>
            </w:pict>
          </mc:Fallback>
        </mc:AlternateContent>
      </w:r>
    </w:p>
    <w:p w14:paraId="40C30CC1" w14:textId="77777777" w:rsidR="00AF008A" w:rsidRPr="00A74D23" w:rsidRDefault="00AF008A" w:rsidP="00AF008A">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18"/>
          <w:szCs w:val="18"/>
        </w:rPr>
      </w:pPr>
    </w:p>
    <w:p w14:paraId="15CD1691" w14:textId="77777777" w:rsidR="00AF008A" w:rsidRPr="00A74D23" w:rsidRDefault="00AF008A" w:rsidP="00AF008A">
      <w:pPr>
        <w:pStyle w:val="Style1"/>
        <w:numPr>
          <w:ilvl w:val="0"/>
          <w:numId w:val="0"/>
        </w:numPr>
        <w:tabs>
          <w:tab w:val="clear" w:pos="2010"/>
          <w:tab w:val="left" w:pos="426"/>
        </w:tabs>
        <w:spacing w:after="0" w:line="22" w:lineRule="atLeast"/>
        <w:ind w:left="5954" w:hanging="5954"/>
        <w:jc w:val="both"/>
        <w:rPr>
          <w:rFonts w:cs="Open Sans"/>
          <w:b/>
          <w:i w:val="0"/>
          <w:color w:val="000000" w:themeColor="text1"/>
          <w:sz w:val="18"/>
          <w:szCs w:val="18"/>
        </w:rPr>
      </w:pPr>
    </w:p>
    <w:p w14:paraId="75309806" w14:textId="77777777" w:rsidR="00DD7B7C" w:rsidRPr="00A74D23" w:rsidRDefault="00DD7B7C" w:rsidP="009D6EE5">
      <w:pPr>
        <w:pStyle w:val="Style1"/>
        <w:numPr>
          <w:ilvl w:val="0"/>
          <w:numId w:val="0"/>
        </w:numPr>
        <w:tabs>
          <w:tab w:val="clear" w:pos="2010"/>
          <w:tab w:val="left" w:pos="426"/>
        </w:tabs>
        <w:spacing w:after="0" w:line="22" w:lineRule="atLeast"/>
        <w:jc w:val="both"/>
        <w:rPr>
          <w:rFonts w:cs="Open Sans"/>
          <w:bCs/>
          <w:i w:val="0"/>
          <w:color w:val="000000" w:themeColor="text1"/>
          <w:sz w:val="18"/>
          <w:szCs w:val="18"/>
        </w:rPr>
      </w:pPr>
    </w:p>
    <w:p w14:paraId="4AE2C136" w14:textId="77777777" w:rsidR="00213114" w:rsidRPr="00A74D23" w:rsidRDefault="00AD238F" w:rsidP="009D6EE5">
      <w:pPr>
        <w:pStyle w:val="Style1"/>
        <w:numPr>
          <w:ilvl w:val="0"/>
          <w:numId w:val="0"/>
        </w:numPr>
        <w:tabs>
          <w:tab w:val="clear" w:pos="2010"/>
          <w:tab w:val="left" w:pos="426"/>
        </w:tabs>
        <w:spacing w:after="0" w:line="22" w:lineRule="atLeast"/>
        <w:jc w:val="both"/>
        <w:rPr>
          <w:rFonts w:cs="Open Sans"/>
          <w:bCs/>
          <w:i w:val="0"/>
          <w:color w:val="000000" w:themeColor="text1"/>
          <w:sz w:val="20"/>
          <w:szCs w:val="20"/>
        </w:rPr>
      </w:pPr>
      <w:r w:rsidRPr="00A74D23">
        <w:rPr>
          <w:rFonts w:cs="Open Sans"/>
          <w:bCs/>
          <w:i w:val="0"/>
          <w:color w:val="000000" w:themeColor="text1"/>
          <w:sz w:val="20"/>
          <w:szCs w:val="20"/>
        </w:rPr>
        <w:t xml:space="preserve">Abeille Assurances intègre pleinement les enjeux de durabilité dans la sélection et la gestion des OPC au sein de ses mandats. </w:t>
      </w:r>
    </w:p>
    <w:p w14:paraId="461ECACE" w14:textId="00900AC0" w:rsidR="00213114" w:rsidRPr="00A74D23" w:rsidRDefault="00AD238F" w:rsidP="00590DD1">
      <w:pPr>
        <w:pStyle w:val="Style1"/>
        <w:numPr>
          <w:ilvl w:val="0"/>
          <w:numId w:val="84"/>
        </w:numPr>
        <w:tabs>
          <w:tab w:val="clear" w:pos="2010"/>
          <w:tab w:val="left" w:pos="426"/>
        </w:tabs>
        <w:spacing w:after="0" w:line="22" w:lineRule="atLeast"/>
        <w:jc w:val="both"/>
        <w:rPr>
          <w:rFonts w:cs="Open Sans"/>
          <w:bCs/>
          <w:i w:val="0"/>
          <w:color w:val="000000" w:themeColor="text1"/>
          <w:sz w:val="20"/>
          <w:szCs w:val="20"/>
        </w:rPr>
      </w:pPr>
      <w:r w:rsidRPr="00A74D23">
        <w:rPr>
          <w:rFonts w:cs="Open Sans"/>
          <w:bCs/>
          <w:i w:val="0"/>
          <w:color w:val="000000" w:themeColor="text1"/>
          <w:sz w:val="20"/>
          <w:szCs w:val="20"/>
        </w:rPr>
        <w:t xml:space="preserve">Pour les OPC gérés par </w:t>
      </w:r>
      <w:r w:rsidR="00495330" w:rsidRPr="00A74D23">
        <w:rPr>
          <w:rFonts w:cs="Open Sans"/>
          <w:bCs/>
          <w:i w:val="0"/>
          <w:color w:val="000000" w:themeColor="text1"/>
          <w:sz w:val="20"/>
          <w:szCs w:val="20"/>
        </w:rPr>
        <w:t>Ofi</w:t>
      </w:r>
      <w:r w:rsidRPr="00A74D23">
        <w:rPr>
          <w:rFonts w:cs="Open Sans"/>
          <w:bCs/>
          <w:i w:val="0"/>
          <w:color w:val="000000" w:themeColor="text1"/>
          <w:sz w:val="20"/>
          <w:szCs w:val="20"/>
        </w:rPr>
        <w:t xml:space="preserve"> Invest Asset Management, cette intégration s’inscrit naturellement dans les processus de gestion du groupe. </w:t>
      </w:r>
    </w:p>
    <w:p w14:paraId="196745E3" w14:textId="4E203F07" w:rsidR="00AD238F" w:rsidRPr="00A74D23" w:rsidRDefault="00AD238F" w:rsidP="00590DD1">
      <w:pPr>
        <w:pStyle w:val="Style1"/>
        <w:numPr>
          <w:ilvl w:val="0"/>
          <w:numId w:val="84"/>
        </w:numPr>
        <w:tabs>
          <w:tab w:val="clear" w:pos="2010"/>
          <w:tab w:val="left" w:pos="426"/>
        </w:tabs>
        <w:spacing w:after="0" w:line="22" w:lineRule="atLeast"/>
        <w:jc w:val="both"/>
        <w:rPr>
          <w:rFonts w:cs="Open Sans"/>
          <w:bCs/>
          <w:i w:val="0"/>
          <w:color w:val="000000" w:themeColor="text1"/>
          <w:sz w:val="20"/>
          <w:szCs w:val="20"/>
        </w:rPr>
      </w:pPr>
      <w:r w:rsidRPr="00A74D23">
        <w:rPr>
          <w:rFonts w:cs="Open Sans"/>
          <w:bCs/>
          <w:i w:val="0"/>
          <w:color w:val="000000" w:themeColor="text1"/>
          <w:sz w:val="20"/>
          <w:szCs w:val="20"/>
        </w:rPr>
        <w:t>Pour les OPC gérés par des sociétés de gestion tierces, les critères de durabilité font l’objet d’analyses approfondies lors de la sélection, puis d’un suivi régulier de la performance ESG, afin de s’assurer du maintien des exigences définies dans la durée.</w:t>
      </w:r>
    </w:p>
    <w:p w14:paraId="5EE02ECA" w14:textId="77777777" w:rsidR="00380B52" w:rsidRDefault="00380B52" w:rsidP="009D6EE5">
      <w:pPr>
        <w:spacing w:after="240" w:line="22" w:lineRule="atLeast"/>
        <w:ind w:left="360"/>
        <w:jc w:val="both"/>
        <w:rPr>
          <w:rFonts w:asciiTheme="minorHAnsi" w:hAnsiTheme="minorHAnsi" w:cs="Open Sans"/>
          <w:sz w:val="18"/>
          <w:szCs w:val="18"/>
          <w:lang w:val="fr-FR"/>
        </w:rPr>
      </w:pPr>
    </w:p>
    <w:p w14:paraId="5C4C511C" w14:textId="7FC17447" w:rsidR="0077789D" w:rsidRPr="00FA2D10" w:rsidRDefault="0077789D" w:rsidP="0077789D">
      <w:pPr>
        <w:pStyle w:val="Style1"/>
        <w:numPr>
          <w:ilvl w:val="0"/>
          <w:numId w:val="0"/>
        </w:numPr>
        <w:tabs>
          <w:tab w:val="clear" w:pos="2010"/>
          <w:tab w:val="left" w:pos="426"/>
          <w:tab w:val="left" w:pos="8931"/>
        </w:tabs>
        <w:spacing w:after="0" w:line="240" w:lineRule="auto"/>
        <w:ind w:right="15"/>
        <w:rPr>
          <w:rFonts w:ascii="Source Sans Pro" w:hAnsi="Source Sans Pro"/>
          <w:bCs/>
          <w:i w:val="0"/>
          <w:color w:val="000000" w:themeColor="text1"/>
          <w:sz w:val="20"/>
          <w:szCs w:val="20"/>
        </w:rPr>
      </w:pPr>
      <w:r>
        <w:rPr>
          <w:rFonts w:ascii="Source Sans Pro" w:hAnsi="Source Sans Pro"/>
          <w:bCs/>
          <w:i w:val="0"/>
          <w:color w:val="000000" w:themeColor="text1"/>
          <w:sz w:val="20"/>
          <w:szCs w:val="20"/>
        </w:rPr>
        <w:t xml:space="preserve">En 2025, Abeille Assurances a affiné ses critères d’analyse du niveau de durabilité des OPC par classe d’actif (equity, dette, actif coté versus non coté). Cette analyse est désormais conduite avant chaque investissement sur le périmètre des OPC détenus dans les fonds euros et les fonds propres.  </w:t>
      </w:r>
    </w:p>
    <w:p w14:paraId="38DA728E" w14:textId="77777777" w:rsidR="0077789D" w:rsidRDefault="0077789D" w:rsidP="009D6EE5">
      <w:pPr>
        <w:spacing w:after="240" w:line="22" w:lineRule="atLeast"/>
        <w:ind w:left="360"/>
        <w:jc w:val="both"/>
        <w:rPr>
          <w:rFonts w:asciiTheme="minorHAnsi" w:hAnsiTheme="minorHAnsi" w:cs="Open Sans"/>
          <w:sz w:val="18"/>
          <w:szCs w:val="18"/>
          <w:lang w:val="fr-FR"/>
        </w:rPr>
      </w:pPr>
    </w:p>
    <w:p w14:paraId="393487A7" w14:textId="77777777" w:rsidR="0077789D" w:rsidRDefault="0077789D" w:rsidP="009D6EE5">
      <w:pPr>
        <w:spacing w:after="240" w:line="22" w:lineRule="atLeast"/>
        <w:ind w:left="360"/>
        <w:jc w:val="both"/>
        <w:rPr>
          <w:rFonts w:asciiTheme="minorHAnsi" w:hAnsiTheme="minorHAnsi" w:cs="Open Sans"/>
          <w:sz w:val="18"/>
          <w:szCs w:val="18"/>
          <w:lang w:val="fr-FR"/>
        </w:rPr>
      </w:pPr>
    </w:p>
    <w:p w14:paraId="20A25957" w14:textId="77777777" w:rsidR="0098193F" w:rsidRPr="00A74D23" w:rsidRDefault="0098193F" w:rsidP="00A21FC6">
      <w:pPr>
        <w:spacing w:after="240" w:line="22" w:lineRule="atLeast"/>
        <w:jc w:val="both"/>
        <w:rPr>
          <w:rFonts w:asciiTheme="minorHAnsi" w:hAnsiTheme="minorHAnsi" w:cs="Open Sans"/>
          <w:sz w:val="18"/>
          <w:szCs w:val="18"/>
          <w:lang w:val="fr-FR"/>
        </w:rPr>
      </w:pPr>
    </w:p>
    <w:p w14:paraId="29F78688" w14:textId="77777777" w:rsidR="0098193F" w:rsidRPr="00A74D23" w:rsidRDefault="0098193F" w:rsidP="009D6EE5">
      <w:pPr>
        <w:spacing w:after="240" w:line="22" w:lineRule="atLeast"/>
        <w:ind w:left="360"/>
        <w:jc w:val="both"/>
        <w:rPr>
          <w:rFonts w:asciiTheme="minorHAnsi" w:hAnsiTheme="minorHAnsi" w:cs="Open Sans"/>
          <w:sz w:val="18"/>
          <w:szCs w:val="18"/>
          <w:lang w:val="fr-FR"/>
        </w:rPr>
      </w:pPr>
    </w:p>
    <w:p w14:paraId="54A6FCD3" w14:textId="401C186F" w:rsidR="00380B52" w:rsidRPr="00A74D23" w:rsidRDefault="001F565E" w:rsidP="009D6EE5">
      <w:pPr>
        <w:spacing w:after="240" w:line="22" w:lineRule="atLeast"/>
        <w:ind w:left="360"/>
        <w:jc w:val="both"/>
        <w:rPr>
          <w:rFonts w:asciiTheme="minorHAnsi" w:hAnsiTheme="minorHAnsi" w:cs="Open Sans"/>
          <w:b/>
          <w:bCs/>
          <w:sz w:val="32"/>
          <w:szCs w:val="32"/>
          <w:lang w:val="fr-FR"/>
        </w:rPr>
      </w:pPr>
      <w:r w:rsidRPr="00A74D23">
        <w:rPr>
          <w:rFonts w:asciiTheme="minorHAnsi" w:hAnsiTheme="minorHAnsi" w:cs="Open Sans"/>
          <w:b/>
          <w:bCs/>
          <w:sz w:val="32"/>
          <w:szCs w:val="32"/>
          <w:lang w:val="fr-FR"/>
        </w:rPr>
        <w:t>2.</w:t>
      </w:r>
      <w:r w:rsidR="00312FE2" w:rsidRPr="00A74D23">
        <w:rPr>
          <w:rFonts w:asciiTheme="minorHAnsi" w:hAnsiTheme="minorHAnsi" w:cs="Open Sans"/>
          <w:b/>
          <w:bCs/>
          <w:sz w:val="32"/>
          <w:szCs w:val="32"/>
          <w:lang w:val="fr-FR"/>
        </w:rPr>
        <w:t>3</w:t>
      </w:r>
      <w:r w:rsidR="00D00708" w:rsidRPr="00A74D23">
        <w:rPr>
          <w:rFonts w:asciiTheme="minorHAnsi" w:hAnsiTheme="minorHAnsi" w:cs="Open Sans"/>
          <w:b/>
          <w:bCs/>
          <w:sz w:val="32"/>
          <w:szCs w:val="32"/>
          <w:lang w:val="fr-FR"/>
        </w:rPr>
        <w:t xml:space="preserve">. </w:t>
      </w:r>
      <w:r w:rsidRPr="00A74D23">
        <w:rPr>
          <w:rFonts w:asciiTheme="minorHAnsi" w:hAnsiTheme="minorHAnsi" w:cs="Open Sans"/>
          <w:b/>
          <w:bCs/>
          <w:sz w:val="32"/>
          <w:szCs w:val="32"/>
          <w:lang w:val="fr-FR"/>
        </w:rPr>
        <w:t xml:space="preserve"> </w:t>
      </w:r>
      <w:r w:rsidR="008A0819" w:rsidRPr="00A74D23">
        <w:rPr>
          <w:rFonts w:asciiTheme="minorHAnsi" w:hAnsiTheme="minorHAnsi" w:cs="Open Sans"/>
          <w:b/>
          <w:bCs/>
          <w:sz w:val="32"/>
          <w:szCs w:val="32"/>
          <w:lang w:val="fr-FR"/>
        </w:rPr>
        <w:t>Nos investissements durables</w:t>
      </w:r>
    </w:p>
    <w:p w14:paraId="5000740B" w14:textId="6DD8DC66" w:rsidR="00AD238F" w:rsidRPr="002B3742" w:rsidRDefault="008A0819" w:rsidP="00A21FC6">
      <w:pPr>
        <w:pStyle w:val="Style1"/>
        <w:numPr>
          <w:ilvl w:val="0"/>
          <w:numId w:val="0"/>
        </w:numPr>
        <w:spacing w:line="22" w:lineRule="atLeast"/>
        <w:ind w:firstLine="3"/>
        <w:jc w:val="both"/>
        <w:rPr>
          <w:rFonts w:cs="Open Sans"/>
          <w:color w:val="8A2C24" w:themeColor="accent2"/>
          <w:sz w:val="28"/>
          <w:szCs w:val="28"/>
        </w:rPr>
      </w:pPr>
      <w:r w:rsidRPr="002B3742">
        <w:rPr>
          <w:rFonts w:cs="Open Sans"/>
          <w:color w:val="8A2C24" w:themeColor="accent2"/>
          <w:sz w:val="28"/>
          <w:szCs w:val="28"/>
        </w:rPr>
        <w:t>2.</w:t>
      </w:r>
      <w:r w:rsidR="00312FE2" w:rsidRPr="002B3742">
        <w:rPr>
          <w:rFonts w:cs="Open Sans"/>
          <w:color w:val="8A2C24" w:themeColor="accent2"/>
          <w:sz w:val="28"/>
          <w:szCs w:val="28"/>
        </w:rPr>
        <w:t>3</w:t>
      </w:r>
      <w:r w:rsidRPr="002B3742">
        <w:rPr>
          <w:rFonts w:cs="Open Sans"/>
          <w:color w:val="8A2C24" w:themeColor="accent2"/>
          <w:sz w:val="28"/>
          <w:szCs w:val="28"/>
        </w:rPr>
        <w:t>.1. Notre définition d’investissement durable répondant à la réglementation européenne SFD</w:t>
      </w:r>
      <w:r w:rsidR="00A21FC6" w:rsidRPr="002B3742">
        <w:rPr>
          <w:rFonts w:cs="Open Sans"/>
          <w:color w:val="8A2C24" w:themeColor="accent2"/>
          <w:sz w:val="28"/>
          <w:szCs w:val="28"/>
        </w:rPr>
        <w:t>R</w:t>
      </w:r>
    </w:p>
    <w:p w14:paraId="56489DA4" w14:textId="081E55A7" w:rsidR="00AD238F" w:rsidRPr="00A74D23" w:rsidRDefault="00AD238F" w:rsidP="009D6EE5">
      <w:pPr>
        <w:pStyle w:val="Style1"/>
        <w:numPr>
          <w:ilvl w:val="0"/>
          <w:numId w:val="0"/>
        </w:numPr>
        <w:tabs>
          <w:tab w:val="clear" w:pos="2010"/>
          <w:tab w:val="left" w:pos="426"/>
          <w:tab w:val="left" w:pos="8931"/>
        </w:tabs>
        <w:spacing w:after="0" w:line="22" w:lineRule="atLeast"/>
        <w:ind w:right="426"/>
        <w:jc w:val="both"/>
        <w:rPr>
          <w:rFonts w:cs="Open Sans"/>
          <w:i w:val="0"/>
          <w:iCs w:val="0"/>
          <w:color w:val="000000" w:themeColor="text1"/>
          <w:sz w:val="18"/>
          <w:szCs w:val="18"/>
        </w:rPr>
      </w:pPr>
    </w:p>
    <w:p w14:paraId="3AD48195" w14:textId="67C624F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szCs w:val="20"/>
        </w:rPr>
      </w:pPr>
      <w:r w:rsidRPr="00A74D23">
        <w:rPr>
          <w:rFonts w:cs="Open Sans"/>
          <w:i w:val="0"/>
          <w:color w:val="000000" w:themeColor="text1"/>
          <w:sz w:val="20"/>
          <w:szCs w:val="20"/>
        </w:rPr>
        <w:t>L’article 2.17 du règlement SFDR définit l’investissement durable comme un investissement contribuant soit à un objectif environnemental</w:t>
      </w:r>
      <w:r w:rsidR="00A21FC6" w:rsidRPr="00A74D23">
        <w:rPr>
          <w:rFonts w:cs="Open Sans"/>
          <w:i w:val="0"/>
          <w:color w:val="000000" w:themeColor="text1"/>
          <w:sz w:val="20"/>
          <w:szCs w:val="20"/>
        </w:rPr>
        <w:t xml:space="preserve">, </w:t>
      </w:r>
      <w:r w:rsidRPr="00A74D23">
        <w:rPr>
          <w:rFonts w:cs="Open Sans"/>
          <w:i w:val="0"/>
          <w:color w:val="000000" w:themeColor="text1"/>
          <w:sz w:val="20"/>
          <w:szCs w:val="20"/>
        </w:rPr>
        <w:t>évalué notamment à travers des indicateurs liés à l’efficacité des ressources, aux émissions de gaz à effet de serre, à la biodiversité ou à l’économie circulaire</w:t>
      </w:r>
      <w:r w:rsidR="00A21FC6" w:rsidRPr="00A74D23">
        <w:rPr>
          <w:rFonts w:cs="Open Sans"/>
          <w:i w:val="0"/>
          <w:color w:val="000000" w:themeColor="text1"/>
          <w:sz w:val="20"/>
          <w:szCs w:val="20"/>
        </w:rPr>
        <w:t xml:space="preserve">, </w:t>
      </w:r>
      <w:r w:rsidRPr="00A74D23">
        <w:rPr>
          <w:rFonts w:cs="Open Sans"/>
          <w:i w:val="0"/>
          <w:color w:val="000000" w:themeColor="text1"/>
          <w:sz w:val="20"/>
          <w:szCs w:val="20"/>
        </w:rPr>
        <w:t>soit à un objectif social, tel que la réduction des inégalités, la cohésion et l’inclusion sociales, les relations de travail ou le soutien aux communautés défavorisées. Ces investissements doivent par ailleurs ne causer aucun préjudice significatif à ces objectifs (principe de «</w:t>
      </w:r>
      <w:r w:rsidRPr="00A74D23">
        <w:rPr>
          <w:rFonts w:cs="Arial"/>
          <w:i w:val="0"/>
          <w:color w:val="000000" w:themeColor="text1"/>
          <w:sz w:val="20"/>
          <w:szCs w:val="20"/>
        </w:rPr>
        <w:t> </w:t>
      </w:r>
      <w:r w:rsidRPr="00A74D23">
        <w:rPr>
          <w:rFonts w:cs="Open Sans"/>
          <w:i w:val="0"/>
          <w:color w:val="000000" w:themeColor="text1"/>
          <w:sz w:val="20"/>
          <w:szCs w:val="20"/>
        </w:rPr>
        <w:t>Do No Significant Harm</w:t>
      </w:r>
      <w:r w:rsidRPr="00A74D23">
        <w:rPr>
          <w:rFonts w:cs="Arial"/>
          <w:i w:val="0"/>
          <w:color w:val="000000" w:themeColor="text1"/>
          <w:sz w:val="20"/>
          <w:szCs w:val="20"/>
        </w:rPr>
        <w:t> </w:t>
      </w:r>
      <w:r w:rsidRPr="00A74D23">
        <w:rPr>
          <w:rFonts w:cs="Open Sans"/>
          <w:i w:val="0"/>
          <w:color w:val="000000" w:themeColor="text1"/>
          <w:sz w:val="20"/>
          <w:szCs w:val="20"/>
        </w:rPr>
        <w:t xml:space="preserve">») et les entités bénéficiaires doivent appliquer des pratiques de bonne gouvernance. </w:t>
      </w:r>
    </w:p>
    <w:p w14:paraId="0498BA6E" w14:textId="03C15A6C" w:rsidR="0006189A" w:rsidRPr="00A74D23" w:rsidRDefault="0006189A" w:rsidP="009D6EE5">
      <w:pPr>
        <w:pStyle w:val="Style1"/>
        <w:numPr>
          <w:ilvl w:val="0"/>
          <w:numId w:val="0"/>
        </w:numPr>
        <w:tabs>
          <w:tab w:val="clear" w:pos="2010"/>
          <w:tab w:val="left" w:pos="426"/>
        </w:tabs>
        <w:spacing w:line="22" w:lineRule="atLeast"/>
        <w:contextualSpacing w:val="0"/>
        <w:jc w:val="both"/>
        <w:rPr>
          <w:rFonts w:cs="Open Sans"/>
          <w:b/>
          <w:bCs/>
          <w:i w:val="0"/>
          <w:color w:val="000000" w:themeColor="text1"/>
          <w:sz w:val="20"/>
          <w:szCs w:val="20"/>
        </w:rPr>
      </w:pPr>
      <w:r w:rsidRPr="00A74D23">
        <w:rPr>
          <w:rFonts w:cs="Open Sans"/>
          <w:b/>
          <w:bCs/>
          <w:i w:val="0"/>
          <w:color w:val="000000" w:themeColor="text1"/>
          <w:sz w:val="20"/>
          <w:szCs w:val="20"/>
        </w:rPr>
        <w:t xml:space="preserve">En 2025, d’importants travaux ont été engagés afin de renforcer la définition de l’investissement durable, accompagnés de la fixation d’un objectif annuel de </w:t>
      </w:r>
      <w:r w:rsidR="00B30F96" w:rsidRPr="00A74D23">
        <w:rPr>
          <w:rFonts w:cs="Open Sans"/>
          <w:b/>
          <w:bCs/>
          <w:i w:val="0"/>
          <w:color w:val="000000" w:themeColor="text1"/>
          <w:sz w:val="20"/>
          <w:szCs w:val="20"/>
        </w:rPr>
        <w:t>5</w:t>
      </w:r>
      <w:r w:rsidRPr="00A74D23">
        <w:rPr>
          <w:rFonts w:cs="Open Sans"/>
          <w:b/>
          <w:bCs/>
          <w:i w:val="0"/>
          <w:color w:val="000000" w:themeColor="text1"/>
          <w:sz w:val="20"/>
          <w:szCs w:val="20"/>
        </w:rPr>
        <w:t>00 M€ d’investissements durables sur le périmètre sous mandat.</w:t>
      </w:r>
    </w:p>
    <w:p w14:paraId="5E7AF0A6" w14:textId="7234BC90" w:rsidR="00B5082C"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szCs w:val="20"/>
        </w:rPr>
      </w:pPr>
      <w:r w:rsidRPr="00A74D23">
        <w:rPr>
          <w:rFonts w:cs="Open Sans"/>
          <w:i w:val="0"/>
          <w:color w:val="000000" w:themeColor="text1"/>
          <w:sz w:val="20"/>
          <w:szCs w:val="20"/>
        </w:rPr>
        <w:t xml:space="preserve">Le tableau ci-dessous résume l’approche adoptée par Abeille Assurances, et du Groupe Aéma dans son ensemble, pour qualifier un investissement de durable au sens SFDR à travers les différentes classes d’actifs. </w:t>
      </w:r>
    </w:p>
    <w:p w14:paraId="0272D1E8" w14:textId="5EB00ED7" w:rsidR="00AD238F" w:rsidRPr="00A74D23" w:rsidRDefault="00B5082C"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r w:rsidRPr="00A74D23">
        <w:rPr>
          <w:rFonts w:cs="Open Sans"/>
          <w:b/>
          <w:bCs/>
          <w:i w:val="0"/>
          <w:noProof/>
          <w:color w:val="000000" w:themeColor="text1"/>
          <w:sz w:val="20"/>
        </w:rPr>
        <mc:AlternateContent>
          <mc:Choice Requires="wps">
            <w:drawing>
              <wp:anchor distT="0" distB="0" distL="114300" distR="114300" simplePos="0" relativeHeight="251597824" behindDoc="0" locked="0" layoutInCell="1" allowOverlap="1" wp14:anchorId="7BCC0862" wp14:editId="0688E48F">
                <wp:simplePos x="0" y="0"/>
                <wp:positionH relativeFrom="margin">
                  <wp:align>left</wp:align>
                </wp:positionH>
                <wp:positionV relativeFrom="paragraph">
                  <wp:posOffset>11918</wp:posOffset>
                </wp:positionV>
                <wp:extent cx="5698369" cy="491490"/>
                <wp:effectExtent l="19050" t="19050" r="17145" b="22860"/>
                <wp:wrapSquare wrapText="bothSides"/>
                <wp:docPr id="1265053505" name="Rectangle 7"/>
                <wp:cNvGraphicFramePr/>
                <a:graphic xmlns:a="http://schemas.openxmlformats.org/drawingml/2006/main">
                  <a:graphicData uri="http://schemas.microsoft.com/office/word/2010/wordprocessingShape">
                    <wps:wsp>
                      <wps:cNvSpPr/>
                      <wps:spPr>
                        <a:xfrm>
                          <a:off x="0" y="0"/>
                          <a:ext cx="5698369" cy="491490"/>
                        </a:xfrm>
                        <a:prstGeom prst="rect">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3E3654" id="Rectangle 7" o:spid="_x0000_s1026" style="position:absolute;margin-left:0;margin-top:.95pt;width:448.7pt;height:38.7pt;z-index:25159782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" filled="f" strokecolor="#ffd400 [3204]" strokeweight="3pt">
                <w10:wrap type="square" anchorx="margin"/>
              </v:rect>
            </w:pict>
          </mc:Fallback>
        </mc:AlternateContent>
      </w:r>
      <w:r w:rsidR="00AD238F" w:rsidRPr="00A74D23">
        <w:rPr>
          <w:rFonts w:cs="Open Sans"/>
          <w:i w:val="0"/>
          <w:noProof/>
          <w:color w:val="000000" w:themeColor="text1"/>
          <w:sz w:val="20"/>
        </w:rPr>
        <mc:AlternateContent>
          <mc:Choice Requires="wps">
            <w:drawing>
              <wp:anchor distT="0" distB="0" distL="114300" distR="114300" simplePos="0" relativeHeight="251583488" behindDoc="0" locked="0" layoutInCell="1" allowOverlap="1" wp14:anchorId="5AF2E6BD" wp14:editId="38A592EA">
                <wp:simplePos x="0" y="0"/>
                <wp:positionH relativeFrom="margin">
                  <wp:posOffset>3779520</wp:posOffset>
                </wp:positionH>
                <wp:positionV relativeFrom="paragraph">
                  <wp:posOffset>96520</wp:posOffset>
                </wp:positionV>
                <wp:extent cx="1715770" cy="336550"/>
                <wp:effectExtent l="0" t="0" r="0" b="6350"/>
                <wp:wrapSquare wrapText="bothSides"/>
                <wp:docPr id="1885322726" name="Rectangle 3"/>
                <wp:cNvGraphicFramePr/>
                <a:graphic xmlns:a="http://schemas.openxmlformats.org/drawingml/2006/main">
                  <a:graphicData uri="http://schemas.microsoft.com/office/word/2010/wordprocessingShape">
                    <wps:wsp>
                      <wps:cNvSpPr/>
                      <wps:spPr>
                        <a:xfrm>
                          <a:off x="0" y="0"/>
                          <a:ext cx="1715770" cy="336550"/>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6FF2E3" w14:textId="77777777" w:rsidR="00AD238F" w:rsidRPr="00474EE1" w:rsidRDefault="00AD238F" w:rsidP="00AD238F">
                            <w:pPr>
                              <w:jc w:val="center"/>
                              <w:rPr>
                                <w:rFonts w:asciiTheme="minorHAnsi" w:hAnsiTheme="minorHAnsi"/>
                                <w:sz w:val="16"/>
                                <w:szCs w:val="16"/>
                                <w:lang w:val="fr-FR"/>
                              </w:rPr>
                            </w:pPr>
                            <w:r w:rsidRPr="00474EE1">
                              <w:rPr>
                                <w:rFonts w:asciiTheme="minorHAnsi" w:hAnsiTheme="minorHAnsi"/>
                                <w:sz w:val="16"/>
                                <w:szCs w:val="16"/>
                                <w:lang w:val="fr-FR"/>
                              </w:rPr>
                              <w:t xml:space="preserve">Pratiques de bonne gouvernance </w:t>
                            </w:r>
                            <w:r w:rsidRPr="00474EE1">
                              <w:rPr>
                                <w:rFonts w:asciiTheme="minorHAnsi" w:hAnsiTheme="minorHAnsi"/>
                                <w:i/>
                                <w:iCs/>
                                <w:sz w:val="16"/>
                                <w:szCs w:val="16"/>
                                <w:lang w:val="fr-FR"/>
                              </w:rPr>
                              <w:t>(minimum social safeguards)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F2E6BD" id="Rectangle 3" o:spid="_x0000_s1059" style="position:absolute;left:0;text-align:left;margin-left:297.6pt;margin-top:7.6pt;width:135.1pt;height:26.5pt;z-index:25158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" fillcolor="#4b6497 [1609]" stroked="f" strokeweight="1pt">
                <v:textbox>
                  <w:txbxContent>
                    <w:p w14:paraId="746FF2E3" w14:textId="77777777" w:rsidR="00AD238F" w:rsidRPr="00474EE1" w:rsidRDefault="00AD238F" w:rsidP="00AD238F">
                      <w:pPr>
                        <w:jc w:val="center"/>
                        <w:rPr>
                          <w:rFonts w:asciiTheme="minorHAnsi" w:hAnsiTheme="minorHAnsi"/>
                          <w:sz w:val="16"/>
                          <w:szCs w:val="16"/>
                          <w:lang w:val="fr-FR"/>
                        </w:rPr>
                      </w:pPr>
                      <w:r w:rsidRPr="00474EE1">
                        <w:rPr>
                          <w:rFonts w:asciiTheme="minorHAnsi" w:hAnsiTheme="minorHAnsi"/>
                          <w:sz w:val="16"/>
                          <w:szCs w:val="16"/>
                          <w:lang w:val="fr-FR"/>
                        </w:rPr>
                        <w:t xml:space="preserve">Pratiques de bonne gouvernance </w:t>
                      </w:r>
                      <w:r w:rsidRPr="00474EE1">
                        <w:rPr>
                          <w:rFonts w:asciiTheme="minorHAnsi" w:hAnsiTheme="minorHAnsi"/>
                          <w:i/>
                          <w:iCs/>
                          <w:sz w:val="16"/>
                          <w:szCs w:val="16"/>
                          <w:lang w:val="fr-FR"/>
                        </w:rPr>
                        <w:t>(minimum social safeguards)</w:t>
                      </w:r>
                    </w:p>
                  </w:txbxContent>
                </v:textbox>
                <w10:wrap type="square" anchorx="margin"/>
              </v:rect>
            </w:pict>
          </mc:Fallback>
        </mc:AlternateContent>
      </w:r>
      <w:r w:rsidR="00AD238F" w:rsidRPr="00A74D23">
        <w:rPr>
          <w:rFonts w:cs="Open Sans"/>
          <w:i w:val="0"/>
          <w:noProof/>
          <w:color w:val="000000" w:themeColor="text1"/>
          <w:sz w:val="20"/>
        </w:rPr>
        <mc:AlternateContent>
          <mc:Choice Requires="wps">
            <w:drawing>
              <wp:anchor distT="0" distB="0" distL="114300" distR="114300" simplePos="0" relativeHeight="251581440" behindDoc="0" locked="0" layoutInCell="1" allowOverlap="1" wp14:anchorId="7051C1EE" wp14:editId="46DA1D5F">
                <wp:simplePos x="0" y="0"/>
                <wp:positionH relativeFrom="margin">
                  <wp:posOffset>1950720</wp:posOffset>
                </wp:positionH>
                <wp:positionV relativeFrom="paragraph">
                  <wp:posOffset>104140</wp:posOffset>
                </wp:positionV>
                <wp:extent cx="1715770" cy="336550"/>
                <wp:effectExtent l="0" t="0" r="0" b="6350"/>
                <wp:wrapSquare wrapText="bothSides"/>
                <wp:docPr id="606714864" name="Rectangle 3"/>
                <wp:cNvGraphicFramePr/>
                <a:graphic xmlns:a="http://schemas.openxmlformats.org/drawingml/2006/main">
                  <a:graphicData uri="http://schemas.microsoft.com/office/word/2010/wordprocessingShape">
                    <wps:wsp>
                      <wps:cNvSpPr/>
                      <wps:spPr>
                        <a:xfrm>
                          <a:off x="0" y="0"/>
                          <a:ext cx="1715770" cy="336550"/>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05C5EF32" w14:textId="77777777" w:rsidR="00AD238F" w:rsidRPr="00A9024F" w:rsidRDefault="00AD238F" w:rsidP="00AD238F">
                            <w:pPr>
                              <w:jc w:val="center"/>
                              <w:rPr>
                                <w:rFonts w:asciiTheme="minorHAnsi" w:hAnsiTheme="minorHAnsi"/>
                                <w:sz w:val="16"/>
                                <w:szCs w:val="16"/>
                              </w:rPr>
                            </w:pPr>
                            <w:r w:rsidRPr="00A9024F">
                              <w:rPr>
                                <w:rFonts w:asciiTheme="minorHAnsi" w:hAnsiTheme="minorHAnsi"/>
                                <w:sz w:val="16"/>
                                <w:szCs w:val="16"/>
                              </w:rPr>
                              <w:t>Do Not Significant Harm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1C1EE" id="_x0000_s1060" style="position:absolute;left:0;text-align:left;margin-left:153.6pt;margin-top:8.2pt;width:135.1pt;height:26.5pt;z-index:25158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" fillcolor="#8a2c24 [3205]" stroked="f">
                <v:textbox>
                  <w:txbxContent>
                    <w:p w14:paraId="05C5EF32" w14:textId="77777777" w:rsidR="00AD238F" w:rsidRPr="00A9024F" w:rsidRDefault="00AD238F" w:rsidP="00AD238F">
                      <w:pPr>
                        <w:jc w:val="center"/>
                        <w:rPr>
                          <w:rFonts w:asciiTheme="minorHAnsi" w:hAnsiTheme="minorHAnsi"/>
                          <w:sz w:val="16"/>
                          <w:szCs w:val="16"/>
                        </w:rPr>
                      </w:pPr>
                      <w:r w:rsidRPr="00A9024F">
                        <w:rPr>
                          <w:rFonts w:asciiTheme="minorHAnsi" w:hAnsiTheme="minorHAnsi"/>
                          <w:sz w:val="16"/>
                          <w:szCs w:val="16"/>
                        </w:rPr>
                        <w:t>Do Not Significant Harm</w:t>
                      </w:r>
                    </w:p>
                  </w:txbxContent>
                </v:textbox>
                <w10:wrap type="square" anchorx="margin"/>
              </v:rect>
            </w:pict>
          </mc:Fallback>
        </mc:AlternateContent>
      </w:r>
      <w:r w:rsidR="00AD238F" w:rsidRPr="00A74D23">
        <w:rPr>
          <w:rFonts w:cs="Open Sans"/>
          <w:i w:val="0"/>
          <w:noProof/>
          <w:color w:val="000000" w:themeColor="text1"/>
          <w:sz w:val="20"/>
        </w:rPr>
        <mc:AlternateContent>
          <mc:Choice Requires="wps">
            <w:drawing>
              <wp:anchor distT="0" distB="0" distL="114300" distR="114300" simplePos="0" relativeHeight="251585536" behindDoc="0" locked="0" layoutInCell="1" allowOverlap="1" wp14:anchorId="3F47BBE2" wp14:editId="4301E6D6">
                <wp:simplePos x="0" y="0"/>
                <wp:positionH relativeFrom="margin">
                  <wp:posOffset>128905</wp:posOffset>
                </wp:positionH>
                <wp:positionV relativeFrom="paragraph">
                  <wp:posOffset>96520</wp:posOffset>
                </wp:positionV>
                <wp:extent cx="1715770" cy="336550"/>
                <wp:effectExtent l="0" t="0" r="0" b="6350"/>
                <wp:wrapSquare wrapText="bothSides"/>
                <wp:docPr id="731974263" name="Rectangle 3"/>
                <wp:cNvGraphicFramePr/>
                <a:graphic xmlns:a="http://schemas.openxmlformats.org/drawingml/2006/main">
                  <a:graphicData uri="http://schemas.microsoft.com/office/word/2010/wordprocessingShape">
                    <wps:wsp>
                      <wps:cNvSpPr/>
                      <wps:spPr>
                        <a:xfrm>
                          <a:off x="0" y="0"/>
                          <a:ext cx="1715770" cy="336550"/>
                        </a:xfrm>
                        <a:prstGeom prst="rect">
                          <a:avLst/>
                        </a:prstGeom>
                        <a:solidFill>
                          <a:srgbClr val="92D050"/>
                        </a:solidFill>
                        <a:ln>
                          <a:noFill/>
                        </a:ln>
                      </wps:spPr>
                      <wps:style>
                        <a:lnRef idx="0">
                          <a:scrgbClr r="0" g="0" b="0"/>
                        </a:lnRef>
                        <a:fillRef idx="0">
                          <a:scrgbClr r="0" g="0" b="0"/>
                        </a:fillRef>
                        <a:effectRef idx="0">
                          <a:scrgbClr r="0" g="0" b="0"/>
                        </a:effectRef>
                        <a:fontRef idx="minor">
                          <a:schemeClr val="lt1"/>
                        </a:fontRef>
                      </wps:style>
                      <wps:txbx>
                        <w:txbxContent>
                          <w:p w14:paraId="1576070A" w14:textId="77777777" w:rsidR="00AD238F" w:rsidRPr="00474EE1" w:rsidRDefault="00AD238F" w:rsidP="00AD238F">
                            <w:pPr>
                              <w:jc w:val="center"/>
                              <w:rPr>
                                <w:rFonts w:asciiTheme="minorHAnsi" w:hAnsiTheme="minorHAnsi"/>
                                <w:sz w:val="16"/>
                                <w:szCs w:val="16"/>
                                <w:lang w:val="fr-FR"/>
                              </w:rPr>
                            </w:pPr>
                            <w:r w:rsidRPr="00474EE1">
                              <w:rPr>
                                <w:rFonts w:asciiTheme="minorHAnsi" w:hAnsiTheme="minorHAnsi"/>
                                <w:sz w:val="16"/>
                                <w:szCs w:val="16"/>
                                <w:lang w:val="fr-FR"/>
                              </w:rPr>
                              <w:t>Contribution à un objectif E&amp;S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7BBE2" id="_x0000_s1061" style="position:absolute;left:0;text-align:left;margin-left:10.15pt;margin-top:7.6pt;width:135.1pt;height:26.5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" fillcolor="#92d050" stroked="f">
                <v:textbox>
                  <w:txbxContent>
                    <w:p w14:paraId="1576070A" w14:textId="77777777" w:rsidR="00AD238F" w:rsidRPr="00474EE1" w:rsidRDefault="00AD238F" w:rsidP="00AD238F">
                      <w:pPr>
                        <w:jc w:val="center"/>
                        <w:rPr>
                          <w:rFonts w:asciiTheme="minorHAnsi" w:hAnsiTheme="minorHAnsi"/>
                          <w:sz w:val="16"/>
                          <w:szCs w:val="16"/>
                          <w:lang w:val="fr-FR"/>
                        </w:rPr>
                      </w:pPr>
                      <w:r w:rsidRPr="00474EE1">
                        <w:rPr>
                          <w:rFonts w:asciiTheme="minorHAnsi" w:hAnsiTheme="minorHAnsi"/>
                          <w:sz w:val="16"/>
                          <w:szCs w:val="16"/>
                          <w:lang w:val="fr-FR"/>
                        </w:rPr>
                        <w:t>Contribution à un objectif E&amp;S</w:t>
                      </w:r>
                    </w:p>
                  </w:txbxContent>
                </v:textbox>
                <w10:wrap type="square" anchorx="margin"/>
              </v:rect>
            </w:pict>
          </mc:Fallback>
        </mc:AlternateContent>
      </w:r>
    </w:p>
    <w:p w14:paraId="09EB630A"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26433220"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7AE6AA04"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b/>
          <w:bCs/>
          <w:i w:val="0"/>
          <w:color w:val="000000" w:themeColor="text1"/>
          <w:sz w:val="20"/>
        </w:rPr>
      </w:pPr>
      <w:r w:rsidRPr="00A74D23">
        <w:rPr>
          <w:rFonts w:cs="Open Sans"/>
          <w:b/>
          <w:bCs/>
          <w:i w:val="0"/>
          <w:noProof/>
          <w:color w:val="000000" w:themeColor="text1"/>
          <w:sz w:val="20"/>
        </w:rPr>
        <mc:AlternateContent>
          <mc:Choice Requires="wps">
            <w:drawing>
              <wp:anchor distT="0" distB="0" distL="114300" distR="114300" simplePos="0" relativeHeight="251614208" behindDoc="0" locked="0" layoutInCell="1" allowOverlap="1" wp14:anchorId="124CED64" wp14:editId="6A779257">
                <wp:simplePos x="0" y="0"/>
                <wp:positionH relativeFrom="margin">
                  <wp:align>left</wp:align>
                </wp:positionH>
                <wp:positionV relativeFrom="paragraph">
                  <wp:posOffset>200025</wp:posOffset>
                </wp:positionV>
                <wp:extent cx="2781300" cy="0"/>
                <wp:effectExtent l="0" t="0" r="0" b="0"/>
                <wp:wrapNone/>
                <wp:docPr id="1771656273" name="Connecteur droit 2"/>
                <wp:cNvGraphicFramePr/>
                <a:graphic xmlns:a="http://schemas.openxmlformats.org/drawingml/2006/main">
                  <a:graphicData uri="http://schemas.microsoft.com/office/word/2010/wordprocessingShape">
                    <wps:wsp>
                      <wps:cNvCnPr/>
                      <wps:spPr>
                        <a:xfrm flipV="1">
                          <a:off x="0" y="0"/>
                          <a:ext cx="278130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326680" id="Connecteur droit 2" o:spid="_x0000_s1026" style="position:absolute;flip:y;z-index:251614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5.75pt" to="219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" strokecolor="#ffd400 [3204]" strokeweight="1.5pt">
                <v:stroke joinstyle="miter"/>
                <w10:wrap anchorx="margin"/>
              </v:line>
            </w:pict>
          </mc:Fallback>
        </mc:AlternateContent>
      </w:r>
      <w:r w:rsidRPr="00A74D23">
        <w:rPr>
          <w:rFonts w:cs="Open Sans"/>
          <w:b/>
          <w:bCs/>
          <w:i w:val="0"/>
          <w:color w:val="000000" w:themeColor="text1"/>
          <w:sz w:val="20"/>
        </w:rPr>
        <w:t>Méthodologie sur les actions et obligations cotées</w:t>
      </w:r>
    </w:p>
    <w:p w14:paraId="7E155283" w14:textId="0B6FC7D6"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130B5D8F" w14:textId="5A521E3A" w:rsidR="00AD238F" w:rsidRPr="00A74D23" w:rsidRDefault="00A16167"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r w:rsidRPr="00A74D23">
        <w:rPr>
          <w:rFonts w:cs="Open Sans"/>
          <w:i w:val="0"/>
          <w:noProof/>
          <w:color w:val="000000" w:themeColor="text1"/>
          <w:sz w:val="20"/>
        </w:rPr>
        <mc:AlternateContent>
          <mc:Choice Requires="wps">
            <w:drawing>
              <wp:anchor distT="0" distB="0" distL="114300" distR="114300" simplePos="0" relativeHeight="251587584" behindDoc="0" locked="0" layoutInCell="1" allowOverlap="1" wp14:anchorId="0EF79CF7" wp14:editId="3B0172B0">
                <wp:simplePos x="0" y="0"/>
                <wp:positionH relativeFrom="column">
                  <wp:posOffset>709420</wp:posOffset>
                </wp:positionH>
                <wp:positionV relativeFrom="paragraph">
                  <wp:posOffset>12506</wp:posOffset>
                </wp:positionV>
                <wp:extent cx="4638861" cy="274320"/>
                <wp:effectExtent l="0" t="0" r="9525" b="0"/>
                <wp:wrapNone/>
                <wp:docPr id="651788680" name="Rectangle 6"/>
                <wp:cNvGraphicFramePr/>
                <a:graphic xmlns:a="http://schemas.openxmlformats.org/drawingml/2006/main">
                  <a:graphicData uri="http://schemas.microsoft.com/office/word/2010/wordprocessingShape">
                    <wps:wsp>
                      <wps:cNvSpPr/>
                      <wps:spPr>
                        <a:xfrm>
                          <a:off x="0" y="0"/>
                          <a:ext cx="4638861" cy="27432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F8D51C" w14:textId="096A2EB5" w:rsidR="00AD238F" w:rsidRPr="00A21FC6" w:rsidRDefault="00AD238F" w:rsidP="00AD238F">
                            <w:pPr>
                              <w:jc w:val="center"/>
                              <w:rPr>
                                <w:rFonts w:asciiTheme="minorHAnsi" w:hAnsiTheme="minorHAnsi" w:cs="Open Sans"/>
                                <w:b/>
                                <w:bCs/>
                                <w:color w:val="000000" w:themeColor="text1"/>
                                <w:sz w:val="20"/>
                                <w:szCs w:val="20"/>
                                <w:lang w:val="fr-FR"/>
                              </w:rPr>
                            </w:pPr>
                            <w:r w:rsidRPr="00A21FC6">
                              <w:rPr>
                                <w:rFonts w:asciiTheme="minorHAnsi" w:hAnsiTheme="minorHAnsi" w:cs="Open Sans"/>
                                <w:color w:val="000000" w:themeColor="text1"/>
                                <w:sz w:val="20"/>
                                <w:szCs w:val="20"/>
                                <w:lang w:val="fr-FR"/>
                              </w:rPr>
                              <w:t xml:space="preserve">Green, Social et Sustainable Bonds </w:t>
                            </w:r>
                            <w:r w:rsidRPr="00A21FC6">
                              <w:rPr>
                                <w:rFonts w:asciiTheme="minorHAnsi" w:hAnsiTheme="minorHAnsi" w:cs="Open Sans"/>
                                <w:b/>
                                <w:bCs/>
                                <w:color w:val="000000" w:themeColor="text1"/>
                                <w:sz w:val="20"/>
                                <w:szCs w:val="20"/>
                                <w:lang w:val="fr-FR"/>
                              </w:rPr>
                              <w:t>sur des émetteurs privés</w:t>
                            </w:r>
                            <w:r w:rsidR="00A16167">
                              <w:rPr>
                                <w:rFonts w:asciiTheme="minorHAnsi" w:hAnsiTheme="minorHAnsi" w:cs="Open Sans"/>
                                <w:b/>
                                <w:bCs/>
                                <w:color w:val="000000" w:themeColor="text1"/>
                                <w:sz w:val="20"/>
                                <w:szCs w:val="20"/>
                                <w:lang w:val="fr-FR"/>
                              </w:rPr>
                              <w:t xml:space="preserve"> (entreprises)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EF79CF7" id="Rectangle 6" o:spid="_x0000_s1062" style="position:absolute;left:0;text-align:left;margin-left:55.85pt;margin-top:1pt;width:365.25pt;height:21.6pt;z-index:25158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" fillcolor="#ffd400 [3204]" stroked="f" strokeweight="1pt">
                <v:textbox>
                  <w:txbxContent>
                    <w:p w14:paraId="6BF8D51C" w14:textId="096A2EB5" w:rsidR="00AD238F" w:rsidRPr="00A21FC6" w:rsidRDefault="00AD238F" w:rsidP="00AD238F">
                      <w:pPr>
                        <w:jc w:val="center"/>
                        <w:rPr>
                          <w:rFonts w:asciiTheme="minorHAnsi" w:hAnsiTheme="minorHAnsi" w:cs="Open Sans"/>
                          <w:b/>
                          <w:bCs/>
                          <w:color w:val="000000" w:themeColor="text1"/>
                          <w:sz w:val="20"/>
                          <w:szCs w:val="20"/>
                          <w:lang w:val="fr-FR"/>
                        </w:rPr>
                      </w:pPr>
                      <w:r w:rsidRPr="00A21FC6">
                        <w:rPr>
                          <w:rFonts w:asciiTheme="minorHAnsi" w:hAnsiTheme="minorHAnsi" w:cs="Open Sans"/>
                          <w:color w:val="000000" w:themeColor="text1"/>
                          <w:sz w:val="20"/>
                          <w:szCs w:val="20"/>
                          <w:lang w:val="fr-FR"/>
                        </w:rPr>
                        <w:t xml:space="preserve">Green, Social et Sustainable Bonds </w:t>
                      </w:r>
                      <w:r w:rsidRPr="00A21FC6">
                        <w:rPr>
                          <w:rFonts w:asciiTheme="minorHAnsi" w:hAnsiTheme="minorHAnsi" w:cs="Open Sans"/>
                          <w:b/>
                          <w:bCs/>
                          <w:color w:val="000000" w:themeColor="text1"/>
                          <w:sz w:val="20"/>
                          <w:szCs w:val="20"/>
                          <w:lang w:val="fr-FR"/>
                        </w:rPr>
                        <w:t>sur des émetteurs privés</w:t>
                      </w:r>
                      <w:r w:rsidR="00A16167">
                        <w:rPr>
                          <w:rFonts w:asciiTheme="minorHAnsi" w:hAnsiTheme="minorHAnsi" w:cs="Open Sans"/>
                          <w:b/>
                          <w:bCs/>
                          <w:color w:val="000000" w:themeColor="text1"/>
                          <w:sz w:val="20"/>
                          <w:szCs w:val="20"/>
                          <w:lang w:val="fr-FR"/>
                        </w:rPr>
                        <w:t xml:space="preserve"> (entreprises)</w:t>
                      </w:r>
                    </w:p>
                  </w:txbxContent>
                </v:textbox>
              </v:rect>
            </w:pict>
          </mc:Fallback>
        </mc:AlternateContent>
      </w:r>
    </w:p>
    <w:p w14:paraId="3610F511" w14:textId="72918C9A" w:rsidR="00AD238F" w:rsidRPr="00A74D23" w:rsidRDefault="00312FE2"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r w:rsidRPr="00A74D23">
        <w:rPr>
          <w:rFonts w:cs="Open Sans"/>
          <w:i w:val="0"/>
          <w:noProof/>
          <w:color w:val="000000" w:themeColor="text1"/>
          <w:sz w:val="20"/>
        </w:rPr>
        <mc:AlternateContent>
          <mc:Choice Requires="wps">
            <w:drawing>
              <wp:anchor distT="0" distB="0" distL="114300" distR="114300" simplePos="0" relativeHeight="251591680" behindDoc="0" locked="0" layoutInCell="1" allowOverlap="1" wp14:anchorId="3F45CECA" wp14:editId="3E9CF5EC">
                <wp:simplePos x="0" y="0"/>
                <wp:positionH relativeFrom="margin">
                  <wp:posOffset>3734711</wp:posOffset>
                </wp:positionH>
                <wp:positionV relativeFrom="paragraph">
                  <wp:posOffset>72030</wp:posOffset>
                </wp:positionV>
                <wp:extent cx="1715770" cy="1041621"/>
                <wp:effectExtent l="0" t="0" r="0" b="6350"/>
                <wp:wrapNone/>
                <wp:docPr id="102616137" name="Rectangle 3"/>
                <wp:cNvGraphicFramePr/>
                <a:graphic xmlns:a="http://schemas.openxmlformats.org/drawingml/2006/main">
                  <a:graphicData uri="http://schemas.microsoft.com/office/word/2010/wordprocessingShape">
                    <wps:wsp>
                      <wps:cNvSpPr/>
                      <wps:spPr>
                        <a:xfrm>
                          <a:off x="0" y="0"/>
                          <a:ext cx="1715770" cy="1041621"/>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29E044" w14:textId="0BA8CA71" w:rsidR="00AD238F" w:rsidRPr="00312FE2" w:rsidRDefault="00AD238F" w:rsidP="00AD238F">
                            <w:pPr>
                              <w:jc w:val="center"/>
                              <w:rPr>
                                <w:rFonts w:asciiTheme="minorHAnsi" w:hAnsiTheme="minorHAnsi" w:cs="Open Sans"/>
                                <w:lang w:val="fr-FR"/>
                              </w:rPr>
                            </w:pPr>
                            <w:r w:rsidRPr="00312FE2">
                              <w:rPr>
                                <w:rFonts w:asciiTheme="minorHAnsi" w:hAnsiTheme="minorHAnsi" w:cs="Open Sans"/>
                                <w:lang w:val="fr-FR"/>
                              </w:rPr>
                              <w:t>Note pilier gouvernance</w:t>
                            </w:r>
                            <w:r w:rsidR="00BB1381" w:rsidRPr="00312FE2">
                              <w:rPr>
                                <w:rFonts w:asciiTheme="minorHAnsi" w:hAnsiTheme="minorHAnsi" w:cs="Open Sans"/>
                                <w:lang w:val="fr-FR"/>
                              </w:rPr>
                              <w:t xml:space="preserve"> doit être</w:t>
                            </w:r>
                            <w:r w:rsidRPr="00312FE2">
                              <w:rPr>
                                <w:rFonts w:asciiTheme="minorHAnsi" w:hAnsiTheme="minorHAnsi" w:cs="Open Sans"/>
                                <w:lang w:val="fr-FR"/>
                              </w:rPr>
                              <w:t xml:space="preserve"> &gt;= 5/10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5CECA" id="_x0000_s1063" style="position:absolute;left:0;text-align:left;margin-left:294.05pt;margin-top:5.65pt;width:135.1pt;height:82pt;z-index:25159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" fillcolor="#4b6497 [1609]" stroked="f" strokeweight="1pt">
                <v:textbox>
                  <w:txbxContent>
                    <w:p w14:paraId="3C29E044" w14:textId="0BA8CA71" w:rsidR="00AD238F" w:rsidRPr="00312FE2" w:rsidRDefault="00AD238F" w:rsidP="00AD238F">
                      <w:pPr>
                        <w:jc w:val="center"/>
                        <w:rPr>
                          <w:rFonts w:asciiTheme="minorHAnsi" w:hAnsiTheme="minorHAnsi" w:cs="Open Sans"/>
                          <w:lang w:val="fr-FR"/>
                        </w:rPr>
                      </w:pPr>
                      <w:r w:rsidRPr="00312FE2">
                        <w:rPr>
                          <w:rFonts w:asciiTheme="minorHAnsi" w:hAnsiTheme="minorHAnsi" w:cs="Open Sans"/>
                          <w:lang w:val="fr-FR"/>
                        </w:rPr>
                        <w:t>Note pilier gouvernance</w:t>
                      </w:r>
                      <w:r w:rsidR="00BB1381" w:rsidRPr="00312FE2">
                        <w:rPr>
                          <w:rFonts w:asciiTheme="minorHAnsi" w:hAnsiTheme="minorHAnsi" w:cs="Open Sans"/>
                          <w:lang w:val="fr-FR"/>
                        </w:rPr>
                        <w:t xml:space="preserve"> doit être</w:t>
                      </w:r>
                      <w:r w:rsidRPr="00312FE2">
                        <w:rPr>
                          <w:rFonts w:asciiTheme="minorHAnsi" w:hAnsiTheme="minorHAnsi" w:cs="Open Sans"/>
                          <w:lang w:val="fr-FR"/>
                        </w:rPr>
                        <w:t xml:space="preserve"> &gt;= 5/10</w:t>
                      </w:r>
                    </w:p>
                  </w:txbxContent>
                </v:textbox>
                <w10:wrap anchorx="margin"/>
              </v:rect>
            </w:pict>
          </mc:Fallback>
        </mc:AlternateContent>
      </w:r>
      <w:r w:rsidRPr="00A74D23">
        <w:rPr>
          <w:rFonts w:cs="Open Sans"/>
          <w:i w:val="0"/>
          <w:noProof/>
          <w:color w:val="000000" w:themeColor="text1"/>
          <w:sz w:val="20"/>
        </w:rPr>
        <mc:AlternateContent>
          <mc:Choice Requires="wps">
            <w:drawing>
              <wp:anchor distT="0" distB="0" distL="114300" distR="114300" simplePos="0" relativeHeight="251593728" behindDoc="0" locked="0" layoutInCell="1" allowOverlap="1" wp14:anchorId="46DA18ED" wp14:editId="269330DC">
                <wp:simplePos x="0" y="0"/>
                <wp:positionH relativeFrom="margin">
                  <wp:posOffset>53257</wp:posOffset>
                </wp:positionH>
                <wp:positionV relativeFrom="paragraph">
                  <wp:posOffset>72031</wp:posOffset>
                </wp:positionV>
                <wp:extent cx="1715770" cy="1072846"/>
                <wp:effectExtent l="0" t="0" r="0" b="0"/>
                <wp:wrapNone/>
                <wp:docPr id="2134302341" name="Rectangle 3"/>
                <wp:cNvGraphicFramePr/>
                <a:graphic xmlns:a="http://schemas.openxmlformats.org/drawingml/2006/main">
                  <a:graphicData uri="http://schemas.microsoft.com/office/word/2010/wordprocessingShape">
                    <wps:wsp>
                      <wps:cNvSpPr/>
                      <wps:spPr>
                        <a:xfrm>
                          <a:off x="0" y="0"/>
                          <a:ext cx="1715770" cy="1072846"/>
                        </a:xfrm>
                        <a:prstGeom prst="rect">
                          <a:avLst/>
                        </a:prstGeom>
                        <a:solidFill>
                          <a:srgbClr val="92D050"/>
                        </a:solidFill>
                        <a:ln>
                          <a:noFill/>
                        </a:ln>
                      </wps:spPr>
                      <wps:style>
                        <a:lnRef idx="0">
                          <a:scrgbClr r="0" g="0" b="0"/>
                        </a:lnRef>
                        <a:fillRef idx="0">
                          <a:scrgbClr r="0" g="0" b="0"/>
                        </a:fillRef>
                        <a:effectRef idx="0">
                          <a:scrgbClr r="0" g="0" b="0"/>
                        </a:effectRef>
                        <a:fontRef idx="minor">
                          <a:schemeClr val="lt1"/>
                        </a:fontRef>
                      </wps:style>
                      <wps:txbx>
                        <w:txbxContent>
                          <w:p w14:paraId="2D8D77BB" w14:textId="598C0FC5" w:rsidR="00AD238F" w:rsidRPr="00312FE2" w:rsidRDefault="00AD238F" w:rsidP="00AD238F">
                            <w:pPr>
                              <w:jc w:val="center"/>
                              <w:rPr>
                                <w:rFonts w:asciiTheme="minorHAnsi" w:hAnsiTheme="minorHAnsi" w:cs="Open Sans"/>
                                <w:lang w:val="fr-FR"/>
                              </w:rPr>
                            </w:pPr>
                            <w:r w:rsidRPr="00312FE2">
                              <w:rPr>
                                <w:rFonts w:asciiTheme="minorHAnsi" w:hAnsiTheme="minorHAnsi" w:cs="Open Sans"/>
                                <w:lang w:val="fr-FR"/>
                              </w:rPr>
                              <w:t xml:space="preserve">100% de l’actif net </w:t>
                            </w:r>
                            <w:r w:rsidRPr="00312FE2">
                              <w:rPr>
                                <w:rFonts w:asciiTheme="minorHAnsi" w:hAnsiTheme="minorHAnsi" w:cs="Open Sans"/>
                                <w:lang w:val="fr-FR"/>
                              </w:rPr>
                              <w:br/>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A18ED" id="_x0000_s1064" style="position:absolute;left:0;text-align:left;margin-left:4.2pt;margin-top:5.65pt;width:135.1pt;height:84.5pt;z-index:25159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" fillcolor="#92d050" stroked="f">
                <v:textbox>
                  <w:txbxContent>
                    <w:p w14:paraId="2D8D77BB" w14:textId="598C0FC5" w:rsidR="00AD238F" w:rsidRPr="00312FE2" w:rsidRDefault="00AD238F" w:rsidP="00AD238F">
                      <w:pPr>
                        <w:jc w:val="center"/>
                        <w:rPr>
                          <w:rFonts w:asciiTheme="minorHAnsi" w:hAnsiTheme="minorHAnsi" w:cs="Open Sans"/>
                          <w:lang w:val="fr-FR"/>
                        </w:rPr>
                      </w:pPr>
                      <w:r w:rsidRPr="00312FE2">
                        <w:rPr>
                          <w:rFonts w:asciiTheme="minorHAnsi" w:hAnsiTheme="minorHAnsi" w:cs="Open Sans"/>
                          <w:lang w:val="fr-FR"/>
                        </w:rPr>
                        <w:t xml:space="preserve">100% de l’actif net </w:t>
                      </w:r>
                      <w:r w:rsidRPr="00312FE2">
                        <w:rPr>
                          <w:rFonts w:asciiTheme="minorHAnsi" w:hAnsiTheme="minorHAnsi" w:cs="Open Sans"/>
                          <w:lang w:val="fr-FR"/>
                        </w:rPr>
                        <w:br/>
                      </w:r>
                    </w:p>
                  </w:txbxContent>
                </v:textbox>
                <w10:wrap anchorx="margin"/>
              </v:rect>
            </w:pict>
          </mc:Fallback>
        </mc:AlternateContent>
      </w:r>
      <w:r w:rsidR="00AD238F" w:rsidRPr="00A74D23">
        <w:rPr>
          <w:rFonts w:cs="Open Sans"/>
          <w:i w:val="0"/>
          <w:noProof/>
          <w:color w:val="000000" w:themeColor="text1"/>
          <w:sz w:val="20"/>
        </w:rPr>
        <mc:AlternateContent>
          <mc:Choice Requires="wps">
            <w:drawing>
              <wp:anchor distT="0" distB="0" distL="114300" distR="114300" simplePos="0" relativeHeight="251589632" behindDoc="0" locked="0" layoutInCell="1" allowOverlap="1" wp14:anchorId="5081D2D0" wp14:editId="4199A6B3">
                <wp:simplePos x="0" y="0"/>
                <wp:positionH relativeFrom="margin">
                  <wp:posOffset>1937716</wp:posOffset>
                </wp:positionH>
                <wp:positionV relativeFrom="paragraph">
                  <wp:posOffset>79982</wp:posOffset>
                </wp:positionV>
                <wp:extent cx="1715770" cy="1065475"/>
                <wp:effectExtent l="0" t="0" r="0" b="1905"/>
                <wp:wrapNone/>
                <wp:docPr id="721021095" name="Rectangle 3"/>
                <wp:cNvGraphicFramePr/>
                <a:graphic xmlns:a="http://schemas.openxmlformats.org/drawingml/2006/main">
                  <a:graphicData uri="http://schemas.microsoft.com/office/word/2010/wordprocessingShape">
                    <wps:wsp>
                      <wps:cNvSpPr/>
                      <wps:spPr>
                        <a:xfrm>
                          <a:off x="0" y="0"/>
                          <a:ext cx="1715770" cy="1065475"/>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44148224" w14:textId="1B04AB95" w:rsidR="00AD238F" w:rsidRPr="001A3CD7" w:rsidRDefault="00A16167" w:rsidP="00590DD1">
                            <w:pPr>
                              <w:pStyle w:val="Paragraphedeliste"/>
                              <w:numPr>
                                <w:ilvl w:val="0"/>
                                <w:numId w:val="79"/>
                              </w:numPr>
                              <w:ind w:left="142" w:hanging="218"/>
                              <w:rPr>
                                <w:rFonts w:cs="Open Sans"/>
                                <w:sz w:val="18"/>
                                <w:szCs w:val="18"/>
                              </w:rPr>
                            </w:pPr>
                            <w:r>
                              <w:rPr>
                                <w:rFonts w:cs="Open Sans"/>
                                <w:sz w:val="18"/>
                                <w:szCs w:val="18"/>
                              </w:rPr>
                              <w:t>Exclusion des projets ne respectant pas les</w:t>
                            </w:r>
                            <w:r w:rsidR="00BB1381">
                              <w:rPr>
                                <w:rFonts w:cs="Open Sans"/>
                                <w:sz w:val="18"/>
                                <w:szCs w:val="18"/>
                              </w:rPr>
                              <w:t xml:space="preserve"> p</w:t>
                            </w:r>
                            <w:r w:rsidR="00AD238F" w:rsidRPr="001A3CD7">
                              <w:rPr>
                                <w:rFonts w:cs="Open Sans"/>
                                <w:sz w:val="18"/>
                                <w:szCs w:val="18"/>
                              </w:rPr>
                              <w:t xml:space="preserve">olitiques sectorielles </w:t>
                            </w:r>
                            <w:r>
                              <w:rPr>
                                <w:rFonts w:cs="Open Sans"/>
                                <w:sz w:val="18"/>
                                <w:szCs w:val="18"/>
                              </w:rPr>
                              <w:t>d’Abeille Assurances</w:t>
                            </w:r>
                            <w:r w:rsidRPr="001A3CD7">
                              <w:rPr>
                                <w:rFonts w:cs="Open Sans"/>
                                <w:sz w:val="18"/>
                                <w:szCs w:val="18"/>
                              </w:rPr>
                              <w:t xml:space="preserve"> </w:t>
                            </w:r>
                            <w:r w:rsidR="00AD238F" w:rsidRPr="001A3CD7">
                              <w:rPr>
                                <w:rFonts w:cs="Open Sans"/>
                                <w:sz w:val="18"/>
                                <w:szCs w:val="18"/>
                              </w:rPr>
                              <w:t>OU</w:t>
                            </w:r>
                          </w:p>
                          <w:p w14:paraId="61D1795D" w14:textId="103F98C0" w:rsidR="00AD238F" w:rsidRPr="001A3CD7" w:rsidRDefault="00AD238F" w:rsidP="00590DD1">
                            <w:pPr>
                              <w:pStyle w:val="Paragraphedeliste"/>
                              <w:numPr>
                                <w:ilvl w:val="0"/>
                                <w:numId w:val="79"/>
                              </w:numPr>
                              <w:ind w:left="142" w:hanging="218"/>
                              <w:rPr>
                                <w:rFonts w:cs="Open Sans"/>
                                <w:sz w:val="18"/>
                                <w:szCs w:val="18"/>
                              </w:rPr>
                            </w:pPr>
                            <w:r w:rsidRPr="001A3CD7">
                              <w:rPr>
                                <w:rFonts w:cs="Open Sans"/>
                                <w:sz w:val="18"/>
                                <w:szCs w:val="18"/>
                              </w:rPr>
                              <w:t xml:space="preserve">Controverses </w:t>
                            </w:r>
                            <w:r w:rsidR="002870C5">
                              <w:rPr>
                                <w:rFonts w:cs="Open Sans"/>
                                <w:sz w:val="18"/>
                                <w:szCs w:val="18"/>
                              </w:rPr>
                              <w:t>de niveau très élevé (</w:t>
                            </w:r>
                            <w:r w:rsidRPr="001A3CD7">
                              <w:rPr>
                                <w:rFonts w:cs="Open Sans"/>
                                <w:sz w:val="18"/>
                                <w:szCs w:val="18"/>
                              </w:rPr>
                              <w:t>niveau 4</w:t>
                            </w:r>
                            <w:r w:rsidR="00312FE2">
                              <w:rPr>
                                <w:rFonts w:cs="Open Sans"/>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81D2D0" id="_x0000_s1065" style="position:absolute;left:0;text-align:left;margin-left:152.6pt;margin-top:6.3pt;width:135.1pt;height:83.9pt;z-index:25158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" fillcolor="#8a2c24 [3205]" stroked="f">
                <v:textbox>
                  <w:txbxContent>
                    <w:p w14:paraId="44148224" w14:textId="1B04AB95" w:rsidR="00AD238F" w:rsidRPr="001A3CD7" w:rsidRDefault="00A16167" w:rsidP="00590DD1">
                      <w:pPr>
                        <w:pStyle w:val="Paragraphedeliste"/>
                        <w:numPr>
                          <w:ilvl w:val="0"/>
                          <w:numId w:val="79"/>
                        </w:numPr>
                        <w:ind w:left="142" w:hanging="218"/>
                        <w:rPr>
                          <w:rFonts w:cs="Open Sans"/>
                          <w:sz w:val="18"/>
                          <w:szCs w:val="18"/>
                        </w:rPr>
                      </w:pPr>
                      <w:r>
                        <w:rPr>
                          <w:rFonts w:cs="Open Sans"/>
                          <w:sz w:val="18"/>
                          <w:szCs w:val="18"/>
                        </w:rPr>
                        <w:t>Exclusion des projets ne respectant pas les</w:t>
                      </w:r>
                      <w:r w:rsidR="00BB1381">
                        <w:rPr>
                          <w:rFonts w:cs="Open Sans"/>
                          <w:sz w:val="18"/>
                          <w:szCs w:val="18"/>
                        </w:rPr>
                        <w:t xml:space="preserve"> p</w:t>
                      </w:r>
                      <w:r w:rsidR="00AD238F" w:rsidRPr="001A3CD7">
                        <w:rPr>
                          <w:rFonts w:cs="Open Sans"/>
                          <w:sz w:val="18"/>
                          <w:szCs w:val="18"/>
                        </w:rPr>
                        <w:t xml:space="preserve">olitiques sectorielles </w:t>
                      </w:r>
                      <w:r>
                        <w:rPr>
                          <w:rFonts w:cs="Open Sans"/>
                          <w:sz w:val="18"/>
                          <w:szCs w:val="18"/>
                        </w:rPr>
                        <w:t>d’Abeille Assurances</w:t>
                      </w:r>
                      <w:r w:rsidRPr="001A3CD7">
                        <w:rPr>
                          <w:rFonts w:cs="Open Sans"/>
                          <w:sz w:val="18"/>
                          <w:szCs w:val="18"/>
                        </w:rPr>
                        <w:t xml:space="preserve"> </w:t>
                      </w:r>
                      <w:r w:rsidR="00AD238F" w:rsidRPr="001A3CD7">
                        <w:rPr>
                          <w:rFonts w:cs="Open Sans"/>
                          <w:sz w:val="18"/>
                          <w:szCs w:val="18"/>
                        </w:rPr>
                        <w:t>OU</w:t>
                      </w:r>
                    </w:p>
                    <w:p w14:paraId="61D1795D" w14:textId="103F98C0" w:rsidR="00AD238F" w:rsidRPr="001A3CD7" w:rsidRDefault="00AD238F" w:rsidP="00590DD1">
                      <w:pPr>
                        <w:pStyle w:val="Paragraphedeliste"/>
                        <w:numPr>
                          <w:ilvl w:val="0"/>
                          <w:numId w:val="79"/>
                        </w:numPr>
                        <w:ind w:left="142" w:hanging="218"/>
                        <w:rPr>
                          <w:rFonts w:cs="Open Sans"/>
                          <w:sz w:val="18"/>
                          <w:szCs w:val="18"/>
                        </w:rPr>
                      </w:pPr>
                      <w:r w:rsidRPr="001A3CD7">
                        <w:rPr>
                          <w:rFonts w:cs="Open Sans"/>
                          <w:sz w:val="18"/>
                          <w:szCs w:val="18"/>
                        </w:rPr>
                        <w:t xml:space="preserve">Controverses </w:t>
                      </w:r>
                      <w:r w:rsidR="002870C5">
                        <w:rPr>
                          <w:rFonts w:cs="Open Sans"/>
                          <w:sz w:val="18"/>
                          <w:szCs w:val="18"/>
                        </w:rPr>
                        <w:t>de niveau très élevé (</w:t>
                      </w:r>
                      <w:r w:rsidRPr="001A3CD7">
                        <w:rPr>
                          <w:rFonts w:cs="Open Sans"/>
                          <w:sz w:val="18"/>
                          <w:szCs w:val="18"/>
                        </w:rPr>
                        <w:t>niveau 4</w:t>
                      </w:r>
                      <w:r w:rsidR="00312FE2">
                        <w:rPr>
                          <w:rFonts w:cs="Open Sans"/>
                          <w:sz w:val="18"/>
                          <w:szCs w:val="18"/>
                        </w:rPr>
                        <w:t>)</w:t>
                      </w:r>
                    </w:p>
                  </w:txbxContent>
                </v:textbox>
                <w10:wrap anchorx="margin"/>
              </v:rect>
            </w:pict>
          </mc:Fallback>
        </mc:AlternateContent>
      </w:r>
    </w:p>
    <w:p w14:paraId="439656E8"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7990D1ED"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43D27486" w14:textId="3FC57076"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57758162" w14:textId="77777777" w:rsidR="00312FE2" w:rsidRPr="00A74D23" w:rsidRDefault="00312FE2"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1D6C04C6" w14:textId="77777777" w:rsidR="00312FE2" w:rsidRPr="00A74D23" w:rsidRDefault="00312FE2"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7BCD033B" w14:textId="2811C647" w:rsidR="00AD238F" w:rsidRPr="00A74D23" w:rsidRDefault="002870C5"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r w:rsidRPr="00A74D23">
        <w:rPr>
          <w:rFonts w:cs="Open Sans"/>
          <w:i w:val="0"/>
          <w:noProof/>
          <w:color w:val="000000" w:themeColor="text1"/>
          <w:sz w:val="20"/>
        </w:rPr>
        <mc:AlternateContent>
          <mc:Choice Requires="wps">
            <w:drawing>
              <wp:anchor distT="0" distB="0" distL="114300" distR="114300" simplePos="0" relativeHeight="251599872" behindDoc="0" locked="0" layoutInCell="1" allowOverlap="1" wp14:anchorId="125B7BE8" wp14:editId="4CB4E9BC">
                <wp:simplePos x="0" y="0"/>
                <wp:positionH relativeFrom="margin">
                  <wp:posOffset>1948426</wp:posOffset>
                </wp:positionH>
                <wp:positionV relativeFrom="paragraph">
                  <wp:posOffset>260894</wp:posOffset>
                </wp:positionV>
                <wp:extent cx="1715770" cy="1179390"/>
                <wp:effectExtent l="0" t="0" r="0" b="1905"/>
                <wp:wrapNone/>
                <wp:docPr id="1647042638" name="Rectangle 3"/>
                <wp:cNvGraphicFramePr/>
                <a:graphic xmlns:a="http://schemas.openxmlformats.org/drawingml/2006/main">
                  <a:graphicData uri="http://schemas.microsoft.com/office/word/2010/wordprocessingShape">
                    <wps:wsp>
                      <wps:cNvSpPr/>
                      <wps:spPr>
                        <a:xfrm>
                          <a:off x="0" y="0"/>
                          <a:ext cx="1715770" cy="1179390"/>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4E350C00" w14:textId="34926409" w:rsidR="00AD238F" w:rsidRPr="001A3CD7" w:rsidRDefault="002870C5" w:rsidP="00590DD1">
                            <w:pPr>
                              <w:pStyle w:val="Paragraphedeliste"/>
                              <w:numPr>
                                <w:ilvl w:val="0"/>
                                <w:numId w:val="79"/>
                              </w:numPr>
                              <w:spacing w:after="0"/>
                              <w:ind w:left="142" w:hanging="218"/>
                              <w:rPr>
                                <w:sz w:val="18"/>
                                <w:szCs w:val="18"/>
                              </w:rPr>
                            </w:pPr>
                            <w:r>
                              <w:rPr>
                                <w:sz w:val="18"/>
                                <w:szCs w:val="18"/>
                              </w:rPr>
                              <w:t xml:space="preserve">Exclusion des pays n’ayant pas </w:t>
                            </w:r>
                            <w:r w:rsidR="00BB1381">
                              <w:rPr>
                                <w:sz w:val="18"/>
                                <w:szCs w:val="18"/>
                              </w:rPr>
                              <w:t>r</w:t>
                            </w:r>
                            <w:r w:rsidR="00AD238F" w:rsidRPr="00574243">
                              <w:rPr>
                                <w:sz w:val="18"/>
                                <w:szCs w:val="18"/>
                              </w:rPr>
                              <w:t>ati</w:t>
                            </w:r>
                            <w:r>
                              <w:rPr>
                                <w:sz w:val="18"/>
                                <w:szCs w:val="18"/>
                              </w:rPr>
                              <w:t>fié</w:t>
                            </w:r>
                            <w:r w:rsidR="00AD238F" w:rsidRPr="00574243">
                              <w:rPr>
                                <w:sz w:val="18"/>
                                <w:szCs w:val="18"/>
                              </w:rPr>
                              <w:t xml:space="preserve"> des traités sur les bombes à sous munition et mines antipersonnel</w:t>
                            </w:r>
                            <w:r w:rsidR="00BB1381">
                              <w:rPr>
                                <w:sz w:val="18"/>
                                <w:szCs w:val="18"/>
                              </w:rPr>
                              <w:t xml:space="preserve"> OU </w:t>
                            </w:r>
                            <w:r w:rsidR="00AD238F" w:rsidRPr="001A3CD7">
                              <w:rPr>
                                <w:sz w:val="18"/>
                                <w:szCs w:val="18"/>
                              </w:rPr>
                              <w:t xml:space="preserve">du protocole de Kyoto </w:t>
                            </w:r>
                            <w:r w:rsidR="00BB1381">
                              <w:rPr>
                                <w:sz w:val="18"/>
                                <w:szCs w:val="18"/>
                              </w:rPr>
                              <w:t>OU</w:t>
                            </w:r>
                            <w:r w:rsidR="00AD238F" w:rsidRPr="001A3CD7">
                              <w:rPr>
                                <w:sz w:val="18"/>
                                <w:szCs w:val="18"/>
                              </w:rPr>
                              <w:t xml:space="preserve"> de l’Accord de Paris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5B7BE8" id="_x0000_s1066" style="position:absolute;left:0;text-align:left;margin-left:153.4pt;margin-top:20.55pt;width:135.1pt;height:92.85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" fillcolor="#8a2c24 [3205]" stroked="f">
                <v:textbox>
                  <w:txbxContent>
                    <w:p w14:paraId="4E350C00" w14:textId="34926409" w:rsidR="00AD238F" w:rsidRPr="001A3CD7" w:rsidRDefault="002870C5" w:rsidP="00590DD1">
                      <w:pPr>
                        <w:pStyle w:val="Paragraphedeliste"/>
                        <w:numPr>
                          <w:ilvl w:val="0"/>
                          <w:numId w:val="79"/>
                        </w:numPr>
                        <w:spacing w:after="0"/>
                        <w:ind w:left="142" w:hanging="218"/>
                        <w:rPr>
                          <w:sz w:val="18"/>
                          <w:szCs w:val="18"/>
                        </w:rPr>
                      </w:pPr>
                      <w:r>
                        <w:rPr>
                          <w:sz w:val="18"/>
                          <w:szCs w:val="18"/>
                        </w:rPr>
                        <w:t xml:space="preserve">Exclusion des pays n’ayant pas </w:t>
                      </w:r>
                      <w:r w:rsidR="00BB1381">
                        <w:rPr>
                          <w:sz w:val="18"/>
                          <w:szCs w:val="18"/>
                        </w:rPr>
                        <w:t>r</w:t>
                      </w:r>
                      <w:r w:rsidR="00AD238F" w:rsidRPr="00574243">
                        <w:rPr>
                          <w:sz w:val="18"/>
                          <w:szCs w:val="18"/>
                        </w:rPr>
                        <w:t>ati</w:t>
                      </w:r>
                      <w:r>
                        <w:rPr>
                          <w:sz w:val="18"/>
                          <w:szCs w:val="18"/>
                        </w:rPr>
                        <w:t>fié</w:t>
                      </w:r>
                      <w:r w:rsidR="00AD238F" w:rsidRPr="00574243">
                        <w:rPr>
                          <w:sz w:val="18"/>
                          <w:szCs w:val="18"/>
                        </w:rPr>
                        <w:t xml:space="preserve"> des traités sur les bombes à sous munition et mines antipersonnel</w:t>
                      </w:r>
                      <w:r w:rsidR="00BB1381">
                        <w:rPr>
                          <w:sz w:val="18"/>
                          <w:szCs w:val="18"/>
                        </w:rPr>
                        <w:t xml:space="preserve"> OU </w:t>
                      </w:r>
                      <w:r w:rsidR="00AD238F" w:rsidRPr="001A3CD7">
                        <w:rPr>
                          <w:sz w:val="18"/>
                          <w:szCs w:val="18"/>
                        </w:rPr>
                        <w:t xml:space="preserve">du protocole de Kyoto </w:t>
                      </w:r>
                      <w:r w:rsidR="00BB1381">
                        <w:rPr>
                          <w:sz w:val="18"/>
                          <w:szCs w:val="18"/>
                        </w:rPr>
                        <w:t>OU</w:t>
                      </w:r>
                      <w:r w:rsidR="00AD238F" w:rsidRPr="001A3CD7">
                        <w:rPr>
                          <w:sz w:val="18"/>
                          <w:szCs w:val="18"/>
                        </w:rPr>
                        <w:t xml:space="preserve"> de l’Accord de Paris</w:t>
                      </w:r>
                    </w:p>
                  </w:txbxContent>
                </v:textbox>
                <w10:wrap anchorx="margin"/>
              </v:rect>
            </w:pict>
          </mc:Fallback>
        </mc:AlternateContent>
      </w:r>
      <w:r w:rsidR="00A16167" w:rsidRPr="00A74D23">
        <w:rPr>
          <w:rFonts w:cs="Open Sans"/>
          <w:i w:val="0"/>
          <w:noProof/>
          <w:color w:val="000000" w:themeColor="text1"/>
          <w:sz w:val="20"/>
        </w:rPr>
        <mc:AlternateContent>
          <mc:Choice Requires="wps">
            <w:drawing>
              <wp:anchor distT="0" distB="0" distL="114300" distR="114300" simplePos="0" relativeHeight="251595776" behindDoc="0" locked="0" layoutInCell="1" allowOverlap="1" wp14:anchorId="35C7B265" wp14:editId="77C61E64">
                <wp:simplePos x="0" y="0"/>
                <wp:positionH relativeFrom="column">
                  <wp:posOffset>739179</wp:posOffset>
                </wp:positionH>
                <wp:positionV relativeFrom="paragraph">
                  <wp:posOffset>-52614</wp:posOffset>
                </wp:positionV>
                <wp:extent cx="4519748" cy="274881"/>
                <wp:effectExtent l="0" t="0" r="0" b="0"/>
                <wp:wrapNone/>
                <wp:docPr id="771876486" name="Rectangle 6"/>
                <wp:cNvGraphicFramePr/>
                <a:graphic xmlns:a="http://schemas.openxmlformats.org/drawingml/2006/main">
                  <a:graphicData uri="http://schemas.microsoft.com/office/word/2010/wordprocessingShape">
                    <wps:wsp>
                      <wps:cNvSpPr/>
                      <wps:spPr>
                        <a:xfrm>
                          <a:off x="0" y="0"/>
                          <a:ext cx="4519748" cy="274881"/>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371169" w14:textId="69E9E54D" w:rsidR="00AD238F" w:rsidRPr="00A21FC6" w:rsidRDefault="00AD238F" w:rsidP="00AD238F">
                            <w:pPr>
                              <w:jc w:val="center"/>
                              <w:rPr>
                                <w:rFonts w:asciiTheme="minorHAnsi" w:hAnsiTheme="minorHAnsi"/>
                                <w:b/>
                                <w:bCs/>
                                <w:color w:val="000000" w:themeColor="text1"/>
                                <w:sz w:val="20"/>
                                <w:szCs w:val="20"/>
                                <w:lang w:val="fr-FR"/>
                              </w:rPr>
                            </w:pPr>
                            <w:r w:rsidRPr="00A21FC6">
                              <w:rPr>
                                <w:rFonts w:asciiTheme="minorHAnsi" w:hAnsiTheme="minorHAnsi"/>
                                <w:color w:val="000000" w:themeColor="text1"/>
                                <w:sz w:val="20"/>
                                <w:szCs w:val="20"/>
                                <w:lang w:val="fr-FR"/>
                              </w:rPr>
                              <w:t xml:space="preserve">Green, Social et Sustainable Bonds </w:t>
                            </w:r>
                            <w:r w:rsidRPr="00A21FC6">
                              <w:rPr>
                                <w:rFonts w:asciiTheme="minorHAnsi" w:hAnsiTheme="minorHAnsi"/>
                                <w:b/>
                                <w:bCs/>
                                <w:color w:val="000000" w:themeColor="text1"/>
                                <w:sz w:val="20"/>
                                <w:szCs w:val="20"/>
                                <w:lang w:val="fr-FR"/>
                              </w:rPr>
                              <w:t>sur des émetteurs publics</w:t>
                            </w:r>
                            <w:r w:rsidR="00A16167">
                              <w:rPr>
                                <w:rFonts w:asciiTheme="minorHAnsi" w:hAnsiTheme="minorHAnsi"/>
                                <w:b/>
                                <w:bCs/>
                                <w:color w:val="000000" w:themeColor="text1"/>
                                <w:sz w:val="20"/>
                                <w:szCs w:val="20"/>
                                <w:lang w:val="fr-FR"/>
                              </w:rPr>
                              <w:t xml:space="preserve"> (souverains)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5C7B265" id="_x0000_s1067" style="position:absolute;left:0;text-align:left;margin-left:58.2pt;margin-top:-4.15pt;width:355.9pt;height:21.65pt;z-index:251595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" fillcolor="#ffd400 [3204]" stroked="f" strokeweight="1pt">
                <v:textbox>
                  <w:txbxContent>
                    <w:p w14:paraId="27371169" w14:textId="69E9E54D" w:rsidR="00AD238F" w:rsidRPr="00A21FC6" w:rsidRDefault="00AD238F" w:rsidP="00AD238F">
                      <w:pPr>
                        <w:jc w:val="center"/>
                        <w:rPr>
                          <w:rFonts w:asciiTheme="minorHAnsi" w:hAnsiTheme="minorHAnsi"/>
                          <w:b/>
                          <w:bCs/>
                          <w:color w:val="000000" w:themeColor="text1"/>
                          <w:sz w:val="20"/>
                          <w:szCs w:val="20"/>
                          <w:lang w:val="fr-FR"/>
                        </w:rPr>
                      </w:pPr>
                      <w:r w:rsidRPr="00A21FC6">
                        <w:rPr>
                          <w:rFonts w:asciiTheme="minorHAnsi" w:hAnsiTheme="minorHAnsi"/>
                          <w:color w:val="000000" w:themeColor="text1"/>
                          <w:sz w:val="20"/>
                          <w:szCs w:val="20"/>
                          <w:lang w:val="fr-FR"/>
                        </w:rPr>
                        <w:t xml:space="preserve">Green, Social et Sustainable Bonds </w:t>
                      </w:r>
                      <w:r w:rsidRPr="00A21FC6">
                        <w:rPr>
                          <w:rFonts w:asciiTheme="minorHAnsi" w:hAnsiTheme="minorHAnsi"/>
                          <w:b/>
                          <w:bCs/>
                          <w:color w:val="000000" w:themeColor="text1"/>
                          <w:sz w:val="20"/>
                          <w:szCs w:val="20"/>
                          <w:lang w:val="fr-FR"/>
                        </w:rPr>
                        <w:t>sur des émetteurs publics</w:t>
                      </w:r>
                      <w:r w:rsidR="00A16167">
                        <w:rPr>
                          <w:rFonts w:asciiTheme="minorHAnsi" w:hAnsiTheme="minorHAnsi"/>
                          <w:b/>
                          <w:bCs/>
                          <w:color w:val="000000" w:themeColor="text1"/>
                          <w:sz w:val="20"/>
                          <w:szCs w:val="20"/>
                          <w:lang w:val="fr-FR"/>
                        </w:rPr>
                        <w:t xml:space="preserve"> (souverains)</w:t>
                      </w:r>
                    </w:p>
                  </w:txbxContent>
                </v:textbox>
              </v:rect>
            </w:pict>
          </mc:Fallback>
        </mc:AlternateContent>
      </w:r>
      <w:r w:rsidR="00564CFF" w:rsidRPr="00A74D23">
        <w:rPr>
          <w:rFonts w:cs="Open Sans"/>
          <w:i w:val="0"/>
          <w:noProof/>
          <w:color w:val="000000" w:themeColor="text1"/>
          <w:sz w:val="20"/>
        </w:rPr>
        <mc:AlternateContent>
          <mc:Choice Requires="wps">
            <w:drawing>
              <wp:anchor distT="0" distB="0" distL="114300" distR="114300" simplePos="0" relativeHeight="251601920" behindDoc="0" locked="0" layoutInCell="1" allowOverlap="1" wp14:anchorId="43AE445E" wp14:editId="5377BC72">
                <wp:simplePos x="0" y="0"/>
                <wp:positionH relativeFrom="margin">
                  <wp:posOffset>3750945</wp:posOffset>
                </wp:positionH>
                <wp:positionV relativeFrom="paragraph">
                  <wp:posOffset>286384</wp:posOffset>
                </wp:positionV>
                <wp:extent cx="1715770" cy="1167771"/>
                <wp:effectExtent l="0" t="0" r="0" b="0"/>
                <wp:wrapNone/>
                <wp:docPr id="2068914456" name="Rectangle 3"/>
                <wp:cNvGraphicFramePr/>
                <a:graphic xmlns:a="http://schemas.openxmlformats.org/drawingml/2006/main">
                  <a:graphicData uri="http://schemas.microsoft.com/office/word/2010/wordprocessingShape">
                    <wps:wsp>
                      <wps:cNvSpPr/>
                      <wps:spPr>
                        <a:xfrm>
                          <a:off x="0" y="0"/>
                          <a:ext cx="1715770" cy="1167771"/>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1A481F" w14:textId="3E025CD5" w:rsidR="00AD238F" w:rsidRPr="001A3CD7" w:rsidRDefault="00AD238F" w:rsidP="00590DD1">
                            <w:pPr>
                              <w:pStyle w:val="Paragraphedeliste"/>
                              <w:numPr>
                                <w:ilvl w:val="0"/>
                                <w:numId w:val="79"/>
                              </w:numPr>
                              <w:ind w:left="142" w:hanging="218"/>
                              <w:rPr>
                                <w:sz w:val="18"/>
                                <w:szCs w:val="18"/>
                              </w:rPr>
                            </w:pPr>
                            <w:r w:rsidRPr="001A3CD7">
                              <w:rPr>
                                <w:sz w:val="18"/>
                                <w:szCs w:val="18"/>
                              </w:rPr>
                              <w:t xml:space="preserve">Etats </w:t>
                            </w:r>
                            <w:r w:rsidR="00564CFF">
                              <w:rPr>
                                <w:sz w:val="18"/>
                                <w:szCs w:val="18"/>
                              </w:rPr>
                              <w:t xml:space="preserve">ne </w:t>
                            </w:r>
                            <w:r w:rsidRPr="001A3CD7">
                              <w:rPr>
                                <w:sz w:val="18"/>
                                <w:szCs w:val="18"/>
                              </w:rPr>
                              <w:t>figurant sur la liste de Freedom House</w:t>
                            </w:r>
                          </w:p>
                          <w:p w14:paraId="5F4DAB38" w14:textId="4304F530" w:rsidR="00AD238F" w:rsidRPr="00574243" w:rsidRDefault="00AD238F" w:rsidP="00590DD1">
                            <w:pPr>
                              <w:pStyle w:val="Paragraphedeliste"/>
                              <w:numPr>
                                <w:ilvl w:val="0"/>
                                <w:numId w:val="79"/>
                              </w:numPr>
                              <w:ind w:left="142" w:hanging="218"/>
                              <w:rPr>
                                <w:sz w:val="18"/>
                                <w:szCs w:val="18"/>
                              </w:rPr>
                            </w:pPr>
                            <w:r w:rsidRPr="00574243">
                              <w:rPr>
                                <w:sz w:val="18"/>
                                <w:szCs w:val="18"/>
                              </w:rPr>
                              <w:t xml:space="preserve">Score </w:t>
                            </w:r>
                            <w:r w:rsidR="00564CFF">
                              <w:rPr>
                                <w:sz w:val="18"/>
                                <w:szCs w:val="18"/>
                              </w:rPr>
                              <w:t>&gt;</w:t>
                            </w:r>
                            <w:r w:rsidRPr="00574243">
                              <w:rPr>
                                <w:sz w:val="18"/>
                                <w:szCs w:val="18"/>
                              </w:rPr>
                              <w:t xml:space="preserve"> 40 sur l’indice de corruption de Transparency International</w:t>
                            </w:r>
                          </w:p>
                          <w:p w14:paraId="41AE7B01" w14:textId="6B167745" w:rsidR="00AD238F" w:rsidRPr="00574243" w:rsidRDefault="00564CFF" w:rsidP="00590DD1">
                            <w:pPr>
                              <w:pStyle w:val="Paragraphedeliste"/>
                              <w:numPr>
                                <w:ilvl w:val="0"/>
                                <w:numId w:val="79"/>
                              </w:numPr>
                              <w:ind w:left="142" w:hanging="218"/>
                              <w:rPr>
                                <w:sz w:val="18"/>
                                <w:szCs w:val="18"/>
                              </w:rPr>
                            </w:pPr>
                            <w:r>
                              <w:rPr>
                                <w:sz w:val="18"/>
                                <w:szCs w:val="18"/>
                              </w:rPr>
                              <w:t>Non a</w:t>
                            </w:r>
                            <w:r w:rsidR="00AD238F" w:rsidRPr="00574243">
                              <w:rPr>
                                <w:sz w:val="18"/>
                                <w:szCs w:val="18"/>
                              </w:rPr>
                              <w:t>bolition de la peine de mort</w:t>
                            </w:r>
                          </w:p>
                          <w:p w14:paraId="5DB1B246" w14:textId="77777777" w:rsidR="00AD238F" w:rsidRPr="00474EE1" w:rsidRDefault="00AD238F" w:rsidP="00AD238F">
                            <w:pPr>
                              <w:rPr>
                                <w:rFonts w:asciiTheme="minorHAnsi" w:hAnsiTheme="minorHAnsi"/>
                                <w:sz w:val="18"/>
                                <w:szCs w:val="18"/>
                                <w:lang w:val="fr-FR"/>
                              </w:rPr>
                            </w:pPr>
                          </w:p>
                          <w:p w14:paraId="05110A44" w14:textId="77777777" w:rsidR="00AD238F" w:rsidRPr="00474EE1" w:rsidRDefault="00AD238F" w:rsidP="00AD238F">
                            <w:pPr>
                              <w:jc w:val="center"/>
                              <w:rPr>
                                <w:rFonts w:asciiTheme="minorHAnsi" w:hAnsiTheme="minorHAnsi"/>
                                <w:i/>
                                <w:iCs/>
                                <w:sz w:val="18"/>
                                <w:szCs w:val="18"/>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AE445E" id="_x0000_s1068" style="position:absolute;left:0;text-align:left;margin-left:295.35pt;margin-top:22.55pt;width:135.1pt;height:91.95pt;z-index:25160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" fillcolor="#4b6497 [1609]" stroked="f" strokeweight="1pt">
                <v:textbox>
                  <w:txbxContent>
                    <w:p w14:paraId="641A481F" w14:textId="3E025CD5" w:rsidR="00AD238F" w:rsidRPr="001A3CD7" w:rsidRDefault="00AD238F" w:rsidP="00590DD1">
                      <w:pPr>
                        <w:pStyle w:val="Paragraphedeliste"/>
                        <w:numPr>
                          <w:ilvl w:val="0"/>
                          <w:numId w:val="79"/>
                        </w:numPr>
                        <w:ind w:left="142" w:hanging="218"/>
                        <w:rPr>
                          <w:sz w:val="18"/>
                          <w:szCs w:val="18"/>
                        </w:rPr>
                      </w:pPr>
                      <w:r w:rsidRPr="001A3CD7">
                        <w:rPr>
                          <w:sz w:val="18"/>
                          <w:szCs w:val="18"/>
                        </w:rPr>
                        <w:t xml:space="preserve">Etats </w:t>
                      </w:r>
                      <w:r w:rsidR="00564CFF">
                        <w:rPr>
                          <w:sz w:val="18"/>
                          <w:szCs w:val="18"/>
                        </w:rPr>
                        <w:t xml:space="preserve">ne </w:t>
                      </w:r>
                      <w:r w:rsidRPr="001A3CD7">
                        <w:rPr>
                          <w:sz w:val="18"/>
                          <w:szCs w:val="18"/>
                        </w:rPr>
                        <w:t>figurant sur la liste de Freedom House</w:t>
                      </w:r>
                    </w:p>
                    <w:p w14:paraId="5F4DAB38" w14:textId="4304F530" w:rsidR="00AD238F" w:rsidRPr="00574243" w:rsidRDefault="00AD238F" w:rsidP="00590DD1">
                      <w:pPr>
                        <w:pStyle w:val="Paragraphedeliste"/>
                        <w:numPr>
                          <w:ilvl w:val="0"/>
                          <w:numId w:val="79"/>
                        </w:numPr>
                        <w:ind w:left="142" w:hanging="218"/>
                        <w:rPr>
                          <w:sz w:val="18"/>
                          <w:szCs w:val="18"/>
                        </w:rPr>
                      </w:pPr>
                      <w:r w:rsidRPr="00574243">
                        <w:rPr>
                          <w:sz w:val="18"/>
                          <w:szCs w:val="18"/>
                        </w:rPr>
                        <w:t xml:space="preserve">Score </w:t>
                      </w:r>
                      <w:r w:rsidR="00564CFF">
                        <w:rPr>
                          <w:sz w:val="18"/>
                          <w:szCs w:val="18"/>
                        </w:rPr>
                        <w:t>&gt;</w:t>
                      </w:r>
                      <w:r w:rsidRPr="00574243">
                        <w:rPr>
                          <w:sz w:val="18"/>
                          <w:szCs w:val="18"/>
                        </w:rPr>
                        <w:t xml:space="preserve"> 40 sur l’indice de corruption de Transparency International</w:t>
                      </w:r>
                    </w:p>
                    <w:p w14:paraId="41AE7B01" w14:textId="6B167745" w:rsidR="00AD238F" w:rsidRPr="00574243" w:rsidRDefault="00564CFF" w:rsidP="00590DD1">
                      <w:pPr>
                        <w:pStyle w:val="Paragraphedeliste"/>
                        <w:numPr>
                          <w:ilvl w:val="0"/>
                          <w:numId w:val="79"/>
                        </w:numPr>
                        <w:ind w:left="142" w:hanging="218"/>
                        <w:rPr>
                          <w:sz w:val="18"/>
                          <w:szCs w:val="18"/>
                        </w:rPr>
                      </w:pPr>
                      <w:r>
                        <w:rPr>
                          <w:sz w:val="18"/>
                          <w:szCs w:val="18"/>
                        </w:rPr>
                        <w:t>Non a</w:t>
                      </w:r>
                      <w:r w:rsidR="00AD238F" w:rsidRPr="00574243">
                        <w:rPr>
                          <w:sz w:val="18"/>
                          <w:szCs w:val="18"/>
                        </w:rPr>
                        <w:t>bolition de la peine de mort</w:t>
                      </w:r>
                    </w:p>
                    <w:p w14:paraId="5DB1B246" w14:textId="77777777" w:rsidR="00AD238F" w:rsidRPr="00474EE1" w:rsidRDefault="00AD238F" w:rsidP="00AD238F">
                      <w:pPr>
                        <w:rPr>
                          <w:rFonts w:asciiTheme="minorHAnsi" w:hAnsiTheme="minorHAnsi"/>
                          <w:sz w:val="18"/>
                          <w:szCs w:val="18"/>
                          <w:lang w:val="fr-FR"/>
                        </w:rPr>
                      </w:pPr>
                    </w:p>
                    <w:p w14:paraId="05110A44" w14:textId="77777777" w:rsidR="00AD238F" w:rsidRPr="00474EE1" w:rsidRDefault="00AD238F" w:rsidP="00AD238F">
                      <w:pPr>
                        <w:jc w:val="center"/>
                        <w:rPr>
                          <w:rFonts w:asciiTheme="minorHAnsi" w:hAnsiTheme="minorHAnsi"/>
                          <w:i/>
                          <w:iCs/>
                          <w:sz w:val="18"/>
                          <w:szCs w:val="18"/>
                          <w:lang w:val="fr-FR"/>
                        </w:rPr>
                      </w:pPr>
                    </w:p>
                  </w:txbxContent>
                </v:textbox>
                <w10:wrap anchorx="margin"/>
              </v:rect>
            </w:pict>
          </mc:Fallback>
        </mc:AlternateContent>
      </w:r>
    </w:p>
    <w:p w14:paraId="0301E460" w14:textId="76409E9C"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r w:rsidRPr="00A74D23">
        <w:rPr>
          <w:rFonts w:cs="Open Sans"/>
          <w:i w:val="0"/>
          <w:noProof/>
          <w:color w:val="000000" w:themeColor="text1"/>
          <w:sz w:val="20"/>
        </w:rPr>
        <mc:AlternateContent>
          <mc:Choice Requires="wps">
            <w:drawing>
              <wp:anchor distT="0" distB="0" distL="114300" distR="114300" simplePos="0" relativeHeight="251603968" behindDoc="0" locked="0" layoutInCell="1" allowOverlap="1" wp14:anchorId="7B43752A" wp14:editId="33853183">
                <wp:simplePos x="0" y="0"/>
                <wp:positionH relativeFrom="margin">
                  <wp:posOffset>67945</wp:posOffset>
                </wp:positionH>
                <wp:positionV relativeFrom="paragraph">
                  <wp:posOffset>1270</wp:posOffset>
                </wp:positionV>
                <wp:extent cx="1715770" cy="1193800"/>
                <wp:effectExtent l="0" t="0" r="0" b="6350"/>
                <wp:wrapNone/>
                <wp:docPr id="2011835189" name="Rectangle 3"/>
                <wp:cNvGraphicFramePr/>
                <a:graphic xmlns:a="http://schemas.openxmlformats.org/drawingml/2006/main">
                  <a:graphicData uri="http://schemas.microsoft.com/office/word/2010/wordprocessingShape">
                    <wps:wsp>
                      <wps:cNvSpPr/>
                      <wps:spPr>
                        <a:xfrm>
                          <a:off x="0" y="0"/>
                          <a:ext cx="1715770" cy="1193800"/>
                        </a:xfrm>
                        <a:prstGeom prst="rect">
                          <a:avLst/>
                        </a:prstGeom>
                        <a:solidFill>
                          <a:srgbClr val="92D050"/>
                        </a:solidFill>
                        <a:ln>
                          <a:noFill/>
                        </a:ln>
                      </wps:spPr>
                      <wps:style>
                        <a:lnRef idx="0">
                          <a:scrgbClr r="0" g="0" b="0"/>
                        </a:lnRef>
                        <a:fillRef idx="0">
                          <a:scrgbClr r="0" g="0" b="0"/>
                        </a:fillRef>
                        <a:effectRef idx="0">
                          <a:scrgbClr r="0" g="0" b="0"/>
                        </a:effectRef>
                        <a:fontRef idx="minor">
                          <a:schemeClr val="lt1"/>
                        </a:fontRef>
                      </wps:style>
                      <wps:txbx>
                        <w:txbxContent>
                          <w:p w14:paraId="79C37637" w14:textId="7DA2F537" w:rsidR="00AD238F" w:rsidRPr="00C13CF1" w:rsidRDefault="00AD238F" w:rsidP="00AD238F">
                            <w:pPr>
                              <w:jc w:val="center"/>
                              <w:rPr>
                                <w:rFonts w:asciiTheme="minorHAnsi" w:hAnsiTheme="minorHAnsi"/>
                                <w:lang w:val="fr-FR"/>
                              </w:rPr>
                            </w:pPr>
                            <w:r w:rsidRPr="00C13CF1">
                              <w:rPr>
                                <w:rFonts w:asciiTheme="minorHAnsi" w:hAnsiTheme="minorHAnsi"/>
                                <w:lang w:val="fr-FR"/>
                              </w:rPr>
                              <w:t xml:space="preserve">100% de l’actif net </w:t>
                            </w:r>
                            <w:r w:rsidRPr="00C13CF1">
                              <w:rPr>
                                <w:rFonts w:asciiTheme="minorHAnsi" w:hAnsiTheme="minorHAnsi"/>
                                <w:lang w:val="fr-FR"/>
                              </w:rPr>
                              <w:br/>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43752A" id="_x0000_s1069" style="position:absolute;left:0;text-align:left;margin-left:5.35pt;margin-top:.1pt;width:135.1pt;height:94pt;z-index:25160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" fillcolor="#92d050" stroked="f">
                <v:textbox>
                  <w:txbxContent>
                    <w:p w14:paraId="79C37637" w14:textId="7DA2F537" w:rsidR="00AD238F" w:rsidRPr="00C13CF1" w:rsidRDefault="00AD238F" w:rsidP="00AD238F">
                      <w:pPr>
                        <w:jc w:val="center"/>
                        <w:rPr>
                          <w:rFonts w:asciiTheme="minorHAnsi" w:hAnsiTheme="minorHAnsi"/>
                          <w:lang w:val="fr-FR"/>
                        </w:rPr>
                      </w:pPr>
                      <w:r w:rsidRPr="00C13CF1">
                        <w:rPr>
                          <w:rFonts w:asciiTheme="minorHAnsi" w:hAnsiTheme="minorHAnsi"/>
                          <w:lang w:val="fr-FR"/>
                        </w:rPr>
                        <w:t xml:space="preserve">100% de l’actif net </w:t>
                      </w:r>
                      <w:r w:rsidRPr="00C13CF1">
                        <w:rPr>
                          <w:rFonts w:asciiTheme="minorHAnsi" w:hAnsiTheme="minorHAnsi"/>
                          <w:lang w:val="fr-FR"/>
                        </w:rPr>
                        <w:br/>
                      </w:r>
                    </w:p>
                  </w:txbxContent>
                </v:textbox>
                <w10:wrap anchorx="margin"/>
              </v:rect>
            </w:pict>
          </mc:Fallback>
        </mc:AlternateContent>
      </w:r>
    </w:p>
    <w:p w14:paraId="7AA2E6C0"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567B5693"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54B53BDD"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6B3E5F5F" w14:textId="77777777" w:rsidR="00312FE2" w:rsidRPr="00A74D23" w:rsidRDefault="00312FE2"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1218F545" w14:textId="3E5DEE3F"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r w:rsidRPr="00A74D23">
        <w:rPr>
          <w:rFonts w:cs="Open Sans"/>
          <w:i w:val="0"/>
          <w:noProof/>
          <w:color w:val="000000" w:themeColor="text1"/>
          <w:sz w:val="20"/>
        </w:rPr>
        <mc:AlternateContent>
          <mc:Choice Requires="wps">
            <w:drawing>
              <wp:anchor distT="0" distB="0" distL="114300" distR="114300" simplePos="0" relativeHeight="251606016" behindDoc="0" locked="0" layoutInCell="1" allowOverlap="1" wp14:anchorId="2F63D390" wp14:editId="17C94F1A">
                <wp:simplePos x="0" y="0"/>
                <wp:positionH relativeFrom="column">
                  <wp:posOffset>1278642</wp:posOffset>
                </wp:positionH>
                <wp:positionV relativeFrom="paragraph">
                  <wp:posOffset>120015</wp:posOffset>
                </wp:positionV>
                <wp:extent cx="3498574" cy="274320"/>
                <wp:effectExtent l="0" t="0" r="6985" b="0"/>
                <wp:wrapNone/>
                <wp:docPr id="1312458477" name="Rectangle 6"/>
                <wp:cNvGraphicFramePr/>
                <a:graphic xmlns:a="http://schemas.openxmlformats.org/drawingml/2006/main">
                  <a:graphicData uri="http://schemas.microsoft.com/office/word/2010/wordprocessingShape">
                    <wps:wsp>
                      <wps:cNvSpPr/>
                      <wps:spPr>
                        <a:xfrm>
                          <a:off x="0" y="0"/>
                          <a:ext cx="3498574" cy="27432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9B1FEE" w14:textId="63D6932A" w:rsidR="00AD238F" w:rsidRPr="00A21FC6" w:rsidRDefault="00AD238F" w:rsidP="00AD238F">
                            <w:pPr>
                              <w:jc w:val="center"/>
                              <w:rPr>
                                <w:rFonts w:asciiTheme="minorHAnsi" w:hAnsiTheme="minorHAnsi"/>
                                <w:b/>
                                <w:bCs/>
                                <w:color w:val="000000" w:themeColor="text1"/>
                                <w:sz w:val="20"/>
                                <w:szCs w:val="20"/>
                                <w:lang w:val="fr-FR"/>
                              </w:rPr>
                            </w:pPr>
                            <w:r w:rsidRPr="00A21FC6">
                              <w:rPr>
                                <w:rFonts w:asciiTheme="minorHAnsi" w:hAnsiTheme="minorHAnsi"/>
                                <w:color w:val="000000" w:themeColor="text1"/>
                                <w:sz w:val="20"/>
                                <w:szCs w:val="20"/>
                                <w:lang w:val="fr-FR"/>
                              </w:rPr>
                              <w:t xml:space="preserve">Autres – actions et obligations </w:t>
                            </w:r>
                            <w:r w:rsidR="002870C5">
                              <w:rPr>
                                <w:rFonts w:asciiTheme="minorHAnsi" w:hAnsiTheme="minorHAnsi"/>
                                <w:color w:val="000000" w:themeColor="text1"/>
                                <w:sz w:val="20"/>
                                <w:szCs w:val="20"/>
                                <w:lang w:val="fr-FR"/>
                              </w:rPr>
                              <w:t xml:space="preserve">détenues </w:t>
                            </w:r>
                            <w:r w:rsidRPr="00A21FC6">
                              <w:rPr>
                                <w:rFonts w:asciiTheme="minorHAnsi" w:hAnsiTheme="minorHAnsi"/>
                                <w:color w:val="000000" w:themeColor="text1"/>
                                <w:sz w:val="20"/>
                                <w:szCs w:val="20"/>
                                <w:lang w:val="fr-FR"/>
                              </w:rPr>
                              <w:t>en direct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63D390" id="_x0000_s1070" style="position:absolute;left:0;text-align:left;margin-left:100.7pt;margin-top:9.45pt;width:275.5pt;height:21.6pt;z-index:251606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" fillcolor="#ffd400 [3204]" stroked="f" strokeweight="1pt">
                <v:textbox>
                  <w:txbxContent>
                    <w:p w14:paraId="5A9B1FEE" w14:textId="63D6932A" w:rsidR="00AD238F" w:rsidRPr="00A21FC6" w:rsidRDefault="00AD238F" w:rsidP="00AD238F">
                      <w:pPr>
                        <w:jc w:val="center"/>
                        <w:rPr>
                          <w:rFonts w:asciiTheme="minorHAnsi" w:hAnsiTheme="minorHAnsi"/>
                          <w:b/>
                          <w:bCs/>
                          <w:color w:val="000000" w:themeColor="text1"/>
                          <w:sz w:val="20"/>
                          <w:szCs w:val="20"/>
                          <w:lang w:val="fr-FR"/>
                        </w:rPr>
                      </w:pPr>
                      <w:r w:rsidRPr="00A21FC6">
                        <w:rPr>
                          <w:rFonts w:asciiTheme="minorHAnsi" w:hAnsiTheme="minorHAnsi"/>
                          <w:color w:val="000000" w:themeColor="text1"/>
                          <w:sz w:val="20"/>
                          <w:szCs w:val="20"/>
                          <w:lang w:val="fr-FR"/>
                        </w:rPr>
                        <w:t xml:space="preserve">Autres – actions et obligations </w:t>
                      </w:r>
                      <w:r w:rsidR="002870C5">
                        <w:rPr>
                          <w:rFonts w:asciiTheme="minorHAnsi" w:hAnsiTheme="minorHAnsi"/>
                          <w:color w:val="000000" w:themeColor="text1"/>
                          <w:sz w:val="20"/>
                          <w:szCs w:val="20"/>
                          <w:lang w:val="fr-FR"/>
                        </w:rPr>
                        <w:t xml:space="preserve">détenues </w:t>
                      </w:r>
                      <w:r w:rsidRPr="00A21FC6">
                        <w:rPr>
                          <w:rFonts w:asciiTheme="minorHAnsi" w:hAnsiTheme="minorHAnsi"/>
                          <w:color w:val="000000" w:themeColor="text1"/>
                          <w:sz w:val="20"/>
                          <w:szCs w:val="20"/>
                          <w:lang w:val="fr-FR"/>
                        </w:rPr>
                        <w:t>en direct</w:t>
                      </w:r>
                    </w:p>
                  </w:txbxContent>
                </v:textbox>
              </v:rect>
            </w:pict>
          </mc:Fallback>
        </mc:AlternateContent>
      </w:r>
    </w:p>
    <w:p w14:paraId="62862145" w14:textId="547B382D" w:rsidR="00AD238F" w:rsidRPr="00A74D23" w:rsidRDefault="00C13CF1"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r w:rsidRPr="00A74D23">
        <w:rPr>
          <w:rFonts w:cs="Open Sans"/>
          <w:i w:val="0"/>
          <w:noProof/>
          <w:color w:val="000000" w:themeColor="text1"/>
          <w:sz w:val="20"/>
        </w:rPr>
        <mc:AlternateContent>
          <mc:Choice Requires="wps">
            <w:drawing>
              <wp:anchor distT="0" distB="0" distL="114300" distR="114300" simplePos="0" relativeHeight="251612160" behindDoc="0" locked="0" layoutInCell="1" allowOverlap="1" wp14:anchorId="4E150911" wp14:editId="0DE377CC">
                <wp:simplePos x="0" y="0"/>
                <wp:positionH relativeFrom="margin">
                  <wp:posOffset>131445</wp:posOffset>
                </wp:positionH>
                <wp:positionV relativeFrom="paragraph">
                  <wp:posOffset>216747</wp:posOffset>
                </wp:positionV>
                <wp:extent cx="1715770" cy="1642533"/>
                <wp:effectExtent l="0" t="0" r="0" b="0"/>
                <wp:wrapNone/>
                <wp:docPr id="1305860529" name="Rectangle 3"/>
                <wp:cNvGraphicFramePr/>
                <a:graphic xmlns:a="http://schemas.openxmlformats.org/drawingml/2006/main">
                  <a:graphicData uri="http://schemas.microsoft.com/office/word/2010/wordprocessingShape">
                    <wps:wsp>
                      <wps:cNvSpPr/>
                      <wps:spPr>
                        <a:xfrm>
                          <a:off x="0" y="0"/>
                          <a:ext cx="1715770" cy="1642533"/>
                        </a:xfrm>
                        <a:prstGeom prst="rect">
                          <a:avLst/>
                        </a:prstGeom>
                        <a:solidFill>
                          <a:srgbClr val="92D050"/>
                        </a:solidFill>
                        <a:ln>
                          <a:noFill/>
                        </a:ln>
                      </wps:spPr>
                      <wps:style>
                        <a:lnRef idx="0">
                          <a:scrgbClr r="0" g="0" b="0"/>
                        </a:lnRef>
                        <a:fillRef idx="0">
                          <a:scrgbClr r="0" g="0" b="0"/>
                        </a:fillRef>
                        <a:effectRef idx="0">
                          <a:scrgbClr r="0" g="0" b="0"/>
                        </a:effectRef>
                        <a:fontRef idx="minor">
                          <a:schemeClr val="lt1"/>
                        </a:fontRef>
                      </wps:style>
                      <wps:txbx>
                        <w:txbxContent>
                          <w:p w14:paraId="69365913" w14:textId="61F4A4A5" w:rsidR="00AD238F" w:rsidRPr="00C13CF1" w:rsidRDefault="00C13CF1" w:rsidP="00AD238F">
                            <w:pPr>
                              <w:jc w:val="center"/>
                              <w:rPr>
                                <w:rFonts w:asciiTheme="minorHAnsi" w:hAnsiTheme="minorHAnsi"/>
                                <w:sz w:val="18"/>
                                <w:szCs w:val="18"/>
                                <w:lang w:val="fr-FR"/>
                              </w:rPr>
                            </w:pPr>
                            <w:r>
                              <w:rPr>
                                <w:rFonts w:asciiTheme="minorHAnsi" w:hAnsiTheme="minorHAnsi"/>
                                <w:sz w:val="18"/>
                                <w:szCs w:val="18"/>
                                <w:lang w:val="fr-FR"/>
                              </w:rPr>
                              <w:t>M</w:t>
                            </w:r>
                            <w:r w:rsidR="00AD238F" w:rsidRPr="00C13CF1">
                              <w:rPr>
                                <w:rFonts w:asciiTheme="minorHAnsi" w:hAnsiTheme="minorHAnsi"/>
                                <w:sz w:val="18"/>
                                <w:szCs w:val="18"/>
                                <w:lang w:val="fr-FR"/>
                              </w:rPr>
                              <w:t>aximum entre le %</w:t>
                            </w:r>
                            <w:r w:rsidR="002870C5">
                              <w:rPr>
                                <w:rFonts w:asciiTheme="minorHAnsi" w:hAnsiTheme="minorHAnsi"/>
                                <w:sz w:val="18"/>
                                <w:szCs w:val="18"/>
                                <w:lang w:val="fr-FR"/>
                              </w:rPr>
                              <w:t xml:space="preserve"> de chiffre d’affaires </w:t>
                            </w:r>
                            <w:r w:rsidR="00AD238F" w:rsidRPr="00C13CF1">
                              <w:rPr>
                                <w:rFonts w:asciiTheme="minorHAnsi" w:hAnsiTheme="minorHAnsi"/>
                                <w:sz w:val="18"/>
                                <w:szCs w:val="18"/>
                                <w:lang w:val="fr-FR"/>
                              </w:rPr>
                              <w:t>et le %</w:t>
                            </w:r>
                            <w:r w:rsidR="002870C5">
                              <w:rPr>
                                <w:rFonts w:asciiTheme="minorHAnsi" w:hAnsiTheme="minorHAnsi"/>
                                <w:sz w:val="18"/>
                                <w:szCs w:val="18"/>
                                <w:lang w:val="fr-FR"/>
                              </w:rPr>
                              <w:t xml:space="preserve"> des dépenses d’investissement (</w:t>
                            </w:r>
                            <w:r w:rsidR="00AD238F" w:rsidRPr="00C13CF1">
                              <w:rPr>
                                <w:rFonts w:asciiTheme="minorHAnsi" w:hAnsiTheme="minorHAnsi"/>
                                <w:sz w:val="18"/>
                                <w:szCs w:val="18"/>
                                <w:lang w:val="fr-FR"/>
                              </w:rPr>
                              <w:t>CAPEX</w:t>
                            </w:r>
                            <w:r>
                              <w:rPr>
                                <w:rFonts w:asciiTheme="minorHAnsi" w:hAnsiTheme="minorHAnsi"/>
                                <w:sz w:val="18"/>
                                <w:szCs w:val="18"/>
                                <w:lang w:val="fr-FR"/>
                              </w:rPr>
                              <w:t>)</w:t>
                            </w:r>
                            <w:r w:rsidR="00AD238F" w:rsidRPr="00C13CF1">
                              <w:rPr>
                                <w:rFonts w:asciiTheme="minorHAnsi" w:hAnsiTheme="minorHAnsi"/>
                                <w:sz w:val="18"/>
                                <w:szCs w:val="18"/>
                                <w:lang w:val="fr-FR"/>
                              </w:rPr>
                              <w:t xml:space="preserve"> align</w:t>
                            </w:r>
                            <w:r w:rsidR="00AD238F" w:rsidRPr="00C13CF1">
                              <w:rPr>
                                <w:rFonts w:asciiTheme="minorHAnsi" w:hAnsiTheme="minorHAnsi" w:hint="eastAsia"/>
                                <w:sz w:val="18"/>
                                <w:szCs w:val="18"/>
                                <w:lang w:val="fr-FR"/>
                              </w:rPr>
                              <w:t>é</w:t>
                            </w:r>
                            <w:r w:rsidR="00AD238F" w:rsidRPr="00C13CF1">
                              <w:rPr>
                                <w:rFonts w:asciiTheme="minorHAnsi" w:hAnsiTheme="minorHAnsi"/>
                                <w:sz w:val="18"/>
                                <w:szCs w:val="18"/>
                                <w:lang w:val="fr-FR"/>
                              </w:rPr>
                              <w:t xml:space="preserve"> </w:t>
                            </w:r>
                            <w:r w:rsidR="00AD238F" w:rsidRPr="00C13CF1">
                              <w:rPr>
                                <w:rFonts w:asciiTheme="minorHAnsi" w:hAnsiTheme="minorHAnsi" w:hint="eastAsia"/>
                                <w:sz w:val="18"/>
                                <w:szCs w:val="18"/>
                                <w:lang w:val="fr-FR"/>
                              </w:rPr>
                              <w:t>à</w:t>
                            </w:r>
                            <w:r w:rsidR="00AD238F" w:rsidRPr="00C13CF1">
                              <w:rPr>
                                <w:rFonts w:asciiTheme="minorHAnsi" w:hAnsiTheme="minorHAnsi"/>
                                <w:sz w:val="18"/>
                                <w:szCs w:val="18"/>
                                <w:lang w:val="fr-FR"/>
                              </w:rPr>
                              <w:t xml:space="preserve"> la taxonomie UE</w:t>
                            </w:r>
                            <w:r w:rsidR="00234C96">
                              <w:rPr>
                                <w:rFonts w:asciiTheme="minorHAnsi" w:hAnsiTheme="minorHAnsi"/>
                                <w:sz w:val="18"/>
                                <w:szCs w:val="18"/>
                                <w:lang w:val="fr-FR"/>
                              </w:rPr>
                              <w:t>, comptabilisé au prorata de l'actif net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150911" id="_x0000_s1071" style="position:absolute;left:0;text-align:left;margin-left:10.35pt;margin-top:17.05pt;width:135.1pt;height:129.35pt;z-index:25161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" fillcolor="#92d050" stroked="f">
                <v:textbox>
                  <w:txbxContent>
                    <w:p w14:paraId="69365913" w14:textId="61F4A4A5" w:rsidR="00AD238F" w:rsidRPr="00C13CF1" w:rsidRDefault="00C13CF1" w:rsidP="00AD238F">
                      <w:pPr>
                        <w:jc w:val="center"/>
                        <w:rPr>
                          <w:rFonts w:asciiTheme="minorHAnsi" w:hAnsiTheme="minorHAnsi"/>
                          <w:sz w:val="18"/>
                          <w:szCs w:val="18"/>
                          <w:lang w:val="fr-FR"/>
                        </w:rPr>
                      </w:pPr>
                      <w:r>
                        <w:rPr>
                          <w:rFonts w:asciiTheme="minorHAnsi" w:hAnsiTheme="minorHAnsi"/>
                          <w:sz w:val="18"/>
                          <w:szCs w:val="18"/>
                          <w:lang w:val="fr-FR"/>
                        </w:rPr>
                        <w:t>M</w:t>
                      </w:r>
                      <w:r w:rsidR="00AD238F" w:rsidRPr="00C13CF1">
                        <w:rPr>
                          <w:rFonts w:asciiTheme="minorHAnsi" w:hAnsiTheme="minorHAnsi"/>
                          <w:sz w:val="18"/>
                          <w:szCs w:val="18"/>
                          <w:lang w:val="fr-FR"/>
                        </w:rPr>
                        <w:t>aximum entre le %</w:t>
                      </w:r>
                      <w:r w:rsidR="002870C5">
                        <w:rPr>
                          <w:rFonts w:asciiTheme="minorHAnsi" w:hAnsiTheme="minorHAnsi"/>
                          <w:sz w:val="18"/>
                          <w:szCs w:val="18"/>
                          <w:lang w:val="fr-FR"/>
                        </w:rPr>
                        <w:t xml:space="preserve"> de chiffre d’affaires </w:t>
                      </w:r>
                      <w:r w:rsidR="00AD238F" w:rsidRPr="00C13CF1">
                        <w:rPr>
                          <w:rFonts w:asciiTheme="minorHAnsi" w:hAnsiTheme="minorHAnsi"/>
                          <w:sz w:val="18"/>
                          <w:szCs w:val="18"/>
                          <w:lang w:val="fr-FR"/>
                        </w:rPr>
                        <w:t>et le %</w:t>
                      </w:r>
                      <w:r w:rsidR="002870C5">
                        <w:rPr>
                          <w:rFonts w:asciiTheme="minorHAnsi" w:hAnsiTheme="minorHAnsi"/>
                          <w:sz w:val="18"/>
                          <w:szCs w:val="18"/>
                          <w:lang w:val="fr-FR"/>
                        </w:rPr>
                        <w:t xml:space="preserve"> des dépenses d’investissement (</w:t>
                      </w:r>
                      <w:r w:rsidR="00AD238F" w:rsidRPr="00C13CF1">
                        <w:rPr>
                          <w:rFonts w:asciiTheme="minorHAnsi" w:hAnsiTheme="minorHAnsi"/>
                          <w:sz w:val="18"/>
                          <w:szCs w:val="18"/>
                          <w:lang w:val="fr-FR"/>
                        </w:rPr>
                        <w:t>CAPEX</w:t>
                      </w:r>
                      <w:r>
                        <w:rPr>
                          <w:rFonts w:asciiTheme="minorHAnsi" w:hAnsiTheme="minorHAnsi"/>
                          <w:sz w:val="18"/>
                          <w:szCs w:val="18"/>
                          <w:lang w:val="fr-FR"/>
                        </w:rPr>
                        <w:t>)</w:t>
                      </w:r>
                      <w:r w:rsidR="00AD238F" w:rsidRPr="00C13CF1">
                        <w:rPr>
                          <w:rFonts w:asciiTheme="minorHAnsi" w:hAnsiTheme="minorHAnsi"/>
                          <w:sz w:val="18"/>
                          <w:szCs w:val="18"/>
                          <w:lang w:val="fr-FR"/>
                        </w:rPr>
                        <w:t xml:space="preserve"> align</w:t>
                      </w:r>
                      <w:r w:rsidR="00AD238F" w:rsidRPr="00C13CF1">
                        <w:rPr>
                          <w:rFonts w:asciiTheme="minorHAnsi" w:hAnsiTheme="minorHAnsi" w:hint="eastAsia"/>
                          <w:sz w:val="18"/>
                          <w:szCs w:val="18"/>
                          <w:lang w:val="fr-FR"/>
                        </w:rPr>
                        <w:t>é</w:t>
                      </w:r>
                      <w:r w:rsidR="00AD238F" w:rsidRPr="00C13CF1">
                        <w:rPr>
                          <w:rFonts w:asciiTheme="minorHAnsi" w:hAnsiTheme="minorHAnsi"/>
                          <w:sz w:val="18"/>
                          <w:szCs w:val="18"/>
                          <w:lang w:val="fr-FR"/>
                        </w:rPr>
                        <w:t xml:space="preserve"> </w:t>
                      </w:r>
                      <w:r w:rsidR="00AD238F" w:rsidRPr="00C13CF1">
                        <w:rPr>
                          <w:rFonts w:asciiTheme="minorHAnsi" w:hAnsiTheme="minorHAnsi" w:hint="eastAsia"/>
                          <w:sz w:val="18"/>
                          <w:szCs w:val="18"/>
                          <w:lang w:val="fr-FR"/>
                        </w:rPr>
                        <w:t>à</w:t>
                      </w:r>
                      <w:r w:rsidR="00AD238F" w:rsidRPr="00C13CF1">
                        <w:rPr>
                          <w:rFonts w:asciiTheme="minorHAnsi" w:hAnsiTheme="minorHAnsi"/>
                          <w:sz w:val="18"/>
                          <w:szCs w:val="18"/>
                          <w:lang w:val="fr-FR"/>
                        </w:rPr>
                        <w:t xml:space="preserve"> la taxonomie UE</w:t>
                      </w:r>
                      <w:r w:rsidR="00234C96">
                        <w:rPr>
                          <w:rFonts w:asciiTheme="minorHAnsi" w:hAnsiTheme="minorHAnsi"/>
                          <w:sz w:val="18"/>
                          <w:szCs w:val="18"/>
                          <w:lang w:val="fr-FR"/>
                        </w:rPr>
                        <w:t>, comptabilisé au prorata de l'actif net</w:t>
                      </w:r>
                    </w:p>
                  </w:txbxContent>
                </v:textbox>
                <w10:wrap anchorx="margin"/>
              </v:rect>
            </w:pict>
          </mc:Fallback>
        </mc:AlternateContent>
      </w:r>
      <w:r w:rsidRPr="00A74D23">
        <w:rPr>
          <w:rFonts w:cs="Open Sans"/>
          <w:i w:val="0"/>
          <w:noProof/>
          <w:color w:val="000000" w:themeColor="text1"/>
          <w:sz w:val="20"/>
        </w:rPr>
        <mc:AlternateContent>
          <mc:Choice Requires="wps">
            <w:drawing>
              <wp:anchor distT="0" distB="0" distL="114300" distR="114300" simplePos="0" relativeHeight="251610112" behindDoc="0" locked="0" layoutInCell="1" allowOverlap="1" wp14:anchorId="660DC1FD" wp14:editId="23E47183">
                <wp:simplePos x="0" y="0"/>
                <wp:positionH relativeFrom="margin">
                  <wp:posOffset>3822912</wp:posOffset>
                </wp:positionH>
                <wp:positionV relativeFrom="paragraph">
                  <wp:posOffset>216747</wp:posOffset>
                </wp:positionV>
                <wp:extent cx="1715770" cy="1642533"/>
                <wp:effectExtent l="0" t="0" r="0" b="0"/>
                <wp:wrapNone/>
                <wp:docPr id="374641748" name="Rectangle 3"/>
                <wp:cNvGraphicFramePr/>
                <a:graphic xmlns:a="http://schemas.openxmlformats.org/drawingml/2006/main">
                  <a:graphicData uri="http://schemas.microsoft.com/office/word/2010/wordprocessingShape">
                    <wps:wsp>
                      <wps:cNvSpPr/>
                      <wps:spPr>
                        <a:xfrm>
                          <a:off x="0" y="0"/>
                          <a:ext cx="1715770" cy="1642533"/>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24C25C" w14:textId="548B8BD2" w:rsidR="00AD238F" w:rsidRPr="0040426F" w:rsidRDefault="00AD238F" w:rsidP="00590DD1">
                            <w:pPr>
                              <w:pStyle w:val="Paragraphedeliste"/>
                              <w:numPr>
                                <w:ilvl w:val="0"/>
                                <w:numId w:val="79"/>
                              </w:numPr>
                              <w:ind w:left="142" w:hanging="207"/>
                              <w:rPr>
                                <w:sz w:val="18"/>
                                <w:szCs w:val="18"/>
                              </w:rPr>
                            </w:pPr>
                            <w:r w:rsidRPr="0040426F">
                              <w:rPr>
                                <w:sz w:val="18"/>
                                <w:szCs w:val="18"/>
                              </w:rPr>
                              <w:t xml:space="preserve">Note pilier gouvernance </w:t>
                            </w:r>
                            <w:r w:rsidR="0040426F" w:rsidRPr="0040426F">
                              <w:rPr>
                                <w:sz w:val="18"/>
                                <w:szCs w:val="18"/>
                              </w:rPr>
                              <w:t xml:space="preserve">doit être </w:t>
                            </w:r>
                            <w:r w:rsidRPr="0040426F">
                              <w:rPr>
                                <w:sz w:val="18"/>
                                <w:szCs w:val="18"/>
                              </w:rPr>
                              <w:t>&gt;= 5/10</w:t>
                            </w:r>
                          </w:p>
                          <w:p w14:paraId="7940EF2D" w14:textId="7D9DB0E2" w:rsidR="00AD238F" w:rsidRPr="0040426F" w:rsidRDefault="00AD238F" w:rsidP="00590DD1">
                            <w:pPr>
                              <w:pStyle w:val="Paragraphedeliste"/>
                              <w:numPr>
                                <w:ilvl w:val="0"/>
                                <w:numId w:val="79"/>
                              </w:numPr>
                              <w:ind w:left="142" w:hanging="207"/>
                              <w:rPr>
                                <w:sz w:val="18"/>
                                <w:szCs w:val="18"/>
                              </w:rPr>
                            </w:pPr>
                            <w:r w:rsidRPr="0040426F">
                              <w:rPr>
                                <w:sz w:val="18"/>
                                <w:szCs w:val="18"/>
                              </w:rPr>
                              <w:t xml:space="preserve">Pas de controverse de niveau </w:t>
                            </w:r>
                            <w:r w:rsidR="00602B66">
                              <w:rPr>
                                <w:sz w:val="18"/>
                                <w:szCs w:val="18"/>
                              </w:rPr>
                              <w:t xml:space="preserve">haut (niveau </w:t>
                            </w:r>
                            <w:r w:rsidRPr="0040426F">
                              <w:rPr>
                                <w:sz w:val="18"/>
                                <w:szCs w:val="18"/>
                              </w:rPr>
                              <w:t>3</w:t>
                            </w:r>
                            <w:r w:rsidR="00602B66">
                              <w:rPr>
                                <w:sz w:val="18"/>
                                <w:szCs w:val="18"/>
                              </w:rPr>
                              <w:t>)</w:t>
                            </w:r>
                            <w:r w:rsidRPr="0040426F">
                              <w:rPr>
                                <w:sz w:val="18"/>
                                <w:szCs w:val="18"/>
                              </w:rPr>
                              <w:t xml:space="preserve"> sur </w:t>
                            </w:r>
                            <w:r w:rsidR="00602B66">
                              <w:rPr>
                                <w:sz w:val="18"/>
                                <w:szCs w:val="18"/>
                              </w:rPr>
                              <w:t xml:space="preserve">le pilier </w:t>
                            </w:r>
                            <w:r w:rsidRPr="0040426F">
                              <w:rPr>
                                <w:sz w:val="18"/>
                                <w:szCs w:val="18"/>
                              </w:rPr>
                              <w:t>social ou gouvernance</w:t>
                            </w:r>
                          </w:p>
                          <w:p w14:paraId="4B24948C" w14:textId="77777777" w:rsidR="00AD238F" w:rsidRPr="0040426F" w:rsidRDefault="00AD238F" w:rsidP="00590DD1">
                            <w:pPr>
                              <w:pStyle w:val="Paragraphedeliste"/>
                              <w:numPr>
                                <w:ilvl w:val="0"/>
                                <w:numId w:val="79"/>
                              </w:numPr>
                              <w:ind w:left="142" w:hanging="207"/>
                              <w:rPr>
                                <w:sz w:val="18"/>
                                <w:szCs w:val="18"/>
                              </w:rPr>
                            </w:pPr>
                            <w:r w:rsidRPr="0040426F">
                              <w:rPr>
                                <w:sz w:val="18"/>
                                <w:szCs w:val="18"/>
                              </w:rPr>
                              <w:t>Score capital humain ou relations sociales &gt; 4/10</w:t>
                            </w:r>
                          </w:p>
                          <w:p w14:paraId="55639ACC" w14:textId="77777777" w:rsidR="00AD238F" w:rsidRPr="00474EE1" w:rsidRDefault="00AD238F" w:rsidP="00AD238F">
                            <w:pPr>
                              <w:ind w:left="142" w:hanging="207"/>
                              <w:rPr>
                                <w:rFonts w:asciiTheme="minorHAnsi" w:hAnsiTheme="minorHAnsi"/>
                                <w:i/>
                                <w:iCs/>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DC1FD" id="_x0000_s1072" style="position:absolute;left:0;text-align:left;margin-left:301pt;margin-top:17.05pt;width:135.1pt;height:129.3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" fillcolor="#4b6497 [1609]" stroked="f" strokeweight="1pt">
                <v:textbox>
                  <w:txbxContent>
                    <w:p w14:paraId="0C24C25C" w14:textId="548B8BD2" w:rsidR="00AD238F" w:rsidRPr="0040426F" w:rsidRDefault="00AD238F" w:rsidP="00590DD1">
                      <w:pPr>
                        <w:pStyle w:val="Paragraphedeliste"/>
                        <w:numPr>
                          <w:ilvl w:val="0"/>
                          <w:numId w:val="79"/>
                        </w:numPr>
                        <w:ind w:left="142" w:hanging="207"/>
                        <w:rPr>
                          <w:sz w:val="18"/>
                          <w:szCs w:val="18"/>
                        </w:rPr>
                      </w:pPr>
                      <w:r w:rsidRPr="0040426F">
                        <w:rPr>
                          <w:sz w:val="18"/>
                          <w:szCs w:val="18"/>
                        </w:rPr>
                        <w:t xml:space="preserve">Note pilier gouvernance </w:t>
                      </w:r>
                      <w:r w:rsidR="0040426F" w:rsidRPr="0040426F">
                        <w:rPr>
                          <w:sz w:val="18"/>
                          <w:szCs w:val="18"/>
                        </w:rPr>
                        <w:t xml:space="preserve">doit être </w:t>
                      </w:r>
                      <w:r w:rsidRPr="0040426F">
                        <w:rPr>
                          <w:sz w:val="18"/>
                          <w:szCs w:val="18"/>
                        </w:rPr>
                        <w:t>&gt;= 5/10</w:t>
                      </w:r>
                    </w:p>
                    <w:p w14:paraId="7940EF2D" w14:textId="7D9DB0E2" w:rsidR="00AD238F" w:rsidRPr="0040426F" w:rsidRDefault="00AD238F" w:rsidP="00590DD1">
                      <w:pPr>
                        <w:pStyle w:val="Paragraphedeliste"/>
                        <w:numPr>
                          <w:ilvl w:val="0"/>
                          <w:numId w:val="79"/>
                        </w:numPr>
                        <w:ind w:left="142" w:hanging="207"/>
                        <w:rPr>
                          <w:sz w:val="18"/>
                          <w:szCs w:val="18"/>
                        </w:rPr>
                      </w:pPr>
                      <w:r w:rsidRPr="0040426F">
                        <w:rPr>
                          <w:sz w:val="18"/>
                          <w:szCs w:val="18"/>
                        </w:rPr>
                        <w:t xml:space="preserve">Pas de controverse de niveau </w:t>
                      </w:r>
                      <w:r w:rsidR="00602B66">
                        <w:rPr>
                          <w:sz w:val="18"/>
                          <w:szCs w:val="18"/>
                        </w:rPr>
                        <w:t xml:space="preserve">haut (niveau </w:t>
                      </w:r>
                      <w:r w:rsidRPr="0040426F">
                        <w:rPr>
                          <w:sz w:val="18"/>
                          <w:szCs w:val="18"/>
                        </w:rPr>
                        <w:t>3</w:t>
                      </w:r>
                      <w:r w:rsidR="00602B66">
                        <w:rPr>
                          <w:sz w:val="18"/>
                          <w:szCs w:val="18"/>
                        </w:rPr>
                        <w:t>)</w:t>
                      </w:r>
                      <w:r w:rsidRPr="0040426F">
                        <w:rPr>
                          <w:sz w:val="18"/>
                          <w:szCs w:val="18"/>
                        </w:rPr>
                        <w:t xml:space="preserve"> sur </w:t>
                      </w:r>
                      <w:r w:rsidR="00602B66">
                        <w:rPr>
                          <w:sz w:val="18"/>
                          <w:szCs w:val="18"/>
                        </w:rPr>
                        <w:t xml:space="preserve">le pilier </w:t>
                      </w:r>
                      <w:r w:rsidRPr="0040426F">
                        <w:rPr>
                          <w:sz w:val="18"/>
                          <w:szCs w:val="18"/>
                        </w:rPr>
                        <w:t>social ou gouvernance</w:t>
                      </w:r>
                    </w:p>
                    <w:p w14:paraId="4B24948C" w14:textId="77777777" w:rsidR="00AD238F" w:rsidRPr="0040426F" w:rsidRDefault="00AD238F" w:rsidP="00590DD1">
                      <w:pPr>
                        <w:pStyle w:val="Paragraphedeliste"/>
                        <w:numPr>
                          <w:ilvl w:val="0"/>
                          <w:numId w:val="79"/>
                        </w:numPr>
                        <w:ind w:left="142" w:hanging="207"/>
                        <w:rPr>
                          <w:sz w:val="18"/>
                          <w:szCs w:val="18"/>
                        </w:rPr>
                      </w:pPr>
                      <w:r w:rsidRPr="0040426F">
                        <w:rPr>
                          <w:sz w:val="18"/>
                          <w:szCs w:val="18"/>
                        </w:rPr>
                        <w:t>Score capital humain ou relations sociales &gt; 4/10</w:t>
                      </w:r>
                    </w:p>
                    <w:p w14:paraId="55639ACC" w14:textId="77777777" w:rsidR="00AD238F" w:rsidRPr="00474EE1" w:rsidRDefault="00AD238F" w:rsidP="00AD238F">
                      <w:pPr>
                        <w:ind w:left="142" w:hanging="207"/>
                        <w:rPr>
                          <w:rFonts w:asciiTheme="minorHAnsi" w:hAnsiTheme="minorHAnsi"/>
                          <w:i/>
                          <w:iCs/>
                          <w:lang w:val="fr-FR"/>
                        </w:rPr>
                      </w:pPr>
                    </w:p>
                  </w:txbxContent>
                </v:textbox>
                <w10:wrap anchorx="margin"/>
              </v:rect>
            </w:pict>
          </mc:Fallback>
        </mc:AlternateContent>
      </w:r>
      <w:r w:rsidR="00234C96" w:rsidRPr="00A74D23">
        <w:rPr>
          <w:rFonts w:cs="Open Sans"/>
          <w:i w:val="0"/>
          <w:noProof/>
          <w:color w:val="000000" w:themeColor="text1"/>
          <w:sz w:val="20"/>
        </w:rPr>
        <mc:AlternateContent>
          <mc:Choice Requires="wps">
            <w:drawing>
              <wp:anchor distT="0" distB="0" distL="114300" distR="114300" simplePos="0" relativeHeight="251608064" behindDoc="0" locked="0" layoutInCell="1" allowOverlap="1" wp14:anchorId="465165DB" wp14:editId="20EC4A20">
                <wp:simplePos x="0" y="0"/>
                <wp:positionH relativeFrom="margin">
                  <wp:posOffset>2019512</wp:posOffset>
                </wp:positionH>
                <wp:positionV relativeFrom="paragraph">
                  <wp:posOffset>212513</wp:posOffset>
                </wp:positionV>
                <wp:extent cx="1715770" cy="1655240"/>
                <wp:effectExtent l="0" t="0" r="0" b="2540"/>
                <wp:wrapNone/>
                <wp:docPr id="1143928347" name="Rectangle 3"/>
                <wp:cNvGraphicFramePr/>
                <a:graphic xmlns:a="http://schemas.openxmlformats.org/drawingml/2006/main">
                  <a:graphicData uri="http://schemas.microsoft.com/office/word/2010/wordprocessingShape">
                    <wps:wsp>
                      <wps:cNvSpPr/>
                      <wps:spPr>
                        <a:xfrm>
                          <a:off x="0" y="0"/>
                          <a:ext cx="1715770" cy="1655240"/>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65042D5A" w14:textId="7084BC6D" w:rsidR="00AD238F" w:rsidRPr="001A3CD7" w:rsidRDefault="00234C96" w:rsidP="00590DD1">
                            <w:pPr>
                              <w:pStyle w:val="Paragraphedeliste"/>
                              <w:numPr>
                                <w:ilvl w:val="0"/>
                                <w:numId w:val="79"/>
                              </w:numPr>
                              <w:spacing w:after="0"/>
                              <w:ind w:left="142" w:hanging="218"/>
                              <w:rPr>
                                <w:sz w:val="18"/>
                                <w:szCs w:val="18"/>
                              </w:rPr>
                            </w:pPr>
                            <w:r>
                              <w:rPr>
                                <w:sz w:val="18"/>
                                <w:szCs w:val="18"/>
                              </w:rPr>
                              <w:t xml:space="preserve">Exclusion des entreprises qui n’appliquent pas </w:t>
                            </w:r>
                            <w:r w:rsidR="00C13CF1">
                              <w:rPr>
                                <w:sz w:val="18"/>
                                <w:szCs w:val="18"/>
                              </w:rPr>
                              <w:t>l</w:t>
                            </w:r>
                            <w:r w:rsidR="0040426F">
                              <w:rPr>
                                <w:sz w:val="18"/>
                                <w:szCs w:val="18"/>
                              </w:rPr>
                              <w:t>es p</w:t>
                            </w:r>
                            <w:r w:rsidR="00AD238F" w:rsidRPr="001A3CD7">
                              <w:rPr>
                                <w:sz w:val="18"/>
                                <w:szCs w:val="18"/>
                              </w:rPr>
                              <w:t>olitiques sectoriellesOU</w:t>
                            </w:r>
                          </w:p>
                          <w:p w14:paraId="6C4CD4C5" w14:textId="56625FBB" w:rsidR="00AD238F" w:rsidRPr="001A3CD7" w:rsidRDefault="00AD238F" w:rsidP="00590DD1">
                            <w:pPr>
                              <w:pStyle w:val="Paragraphedeliste"/>
                              <w:numPr>
                                <w:ilvl w:val="0"/>
                                <w:numId w:val="79"/>
                              </w:numPr>
                              <w:spacing w:after="0"/>
                              <w:ind w:left="142" w:hanging="218"/>
                              <w:rPr>
                                <w:sz w:val="18"/>
                                <w:szCs w:val="18"/>
                              </w:rPr>
                            </w:pPr>
                            <w:r w:rsidRPr="001A3CD7">
                              <w:rPr>
                                <w:sz w:val="18"/>
                                <w:szCs w:val="18"/>
                              </w:rPr>
                              <w:t>Controverse de niveau</w:t>
                            </w:r>
                            <w:r w:rsidR="00234C96">
                              <w:rPr>
                                <w:sz w:val="18"/>
                                <w:szCs w:val="18"/>
                              </w:rPr>
                              <w:t xml:space="preserve"> élevé (niveau</w:t>
                            </w:r>
                            <w:r w:rsidRPr="001A3CD7">
                              <w:rPr>
                                <w:sz w:val="18"/>
                                <w:szCs w:val="18"/>
                              </w:rPr>
                              <w:t xml:space="preserve"> 4</w:t>
                            </w:r>
                            <w:r w:rsidR="00234C96">
                              <w:rPr>
                                <w:sz w:val="18"/>
                                <w:szCs w:val="18"/>
                              </w:rPr>
                              <w:t>)</w:t>
                            </w:r>
                            <w:r w:rsidRPr="001A3CD7">
                              <w:rPr>
                                <w:sz w:val="18"/>
                                <w:szCs w:val="18"/>
                              </w:rPr>
                              <w:t xml:space="preserve"> OU</w:t>
                            </w:r>
                          </w:p>
                          <w:p w14:paraId="5A8B8C2A" w14:textId="77777777" w:rsidR="00AD238F" w:rsidRPr="001A3CD7" w:rsidRDefault="00AD238F" w:rsidP="00590DD1">
                            <w:pPr>
                              <w:pStyle w:val="Paragraphedeliste"/>
                              <w:numPr>
                                <w:ilvl w:val="0"/>
                                <w:numId w:val="79"/>
                              </w:numPr>
                              <w:spacing w:after="0"/>
                              <w:ind w:left="142" w:hanging="218"/>
                              <w:rPr>
                                <w:sz w:val="18"/>
                                <w:szCs w:val="18"/>
                              </w:rPr>
                            </w:pPr>
                            <w:r w:rsidRPr="001A3CD7">
                              <w:rPr>
                                <w:sz w:val="18"/>
                                <w:szCs w:val="18"/>
                              </w:rPr>
                              <w:t>Entreprise active sur le PAI 4 (exposition aux combustibles fossiles), PAI 10 (Pacte Mondial ONU), PAI 14 (armes controversées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5165DB" id="_x0000_s1073" style="position:absolute;left:0;text-align:left;margin-left:159pt;margin-top:16.75pt;width:135.1pt;height:130.35pt;z-index:25160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" fillcolor="#8a2c24 [3205]" stroked="f">
                <v:textbox>
                  <w:txbxContent>
                    <w:p w14:paraId="65042D5A" w14:textId="7084BC6D" w:rsidR="00AD238F" w:rsidRPr="001A3CD7" w:rsidRDefault="00234C96" w:rsidP="00590DD1">
                      <w:pPr>
                        <w:pStyle w:val="Paragraphedeliste"/>
                        <w:numPr>
                          <w:ilvl w:val="0"/>
                          <w:numId w:val="79"/>
                        </w:numPr>
                        <w:spacing w:after="0"/>
                        <w:ind w:left="142" w:hanging="218"/>
                        <w:rPr>
                          <w:sz w:val="18"/>
                          <w:szCs w:val="18"/>
                        </w:rPr>
                      </w:pPr>
                      <w:r>
                        <w:rPr>
                          <w:sz w:val="18"/>
                          <w:szCs w:val="18"/>
                        </w:rPr>
                        <w:t xml:space="preserve">Exclusion des entreprises qui n’appliquent pas </w:t>
                      </w:r>
                      <w:r w:rsidR="00C13CF1">
                        <w:rPr>
                          <w:sz w:val="18"/>
                          <w:szCs w:val="18"/>
                        </w:rPr>
                        <w:t>l</w:t>
                      </w:r>
                      <w:r w:rsidR="0040426F">
                        <w:rPr>
                          <w:sz w:val="18"/>
                          <w:szCs w:val="18"/>
                        </w:rPr>
                        <w:t>es p</w:t>
                      </w:r>
                      <w:r w:rsidR="00AD238F" w:rsidRPr="001A3CD7">
                        <w:rPr>
                          <w:sz w:val="18"/>
                          <w:szCs w:val="18"/>
                        </w:rPr>
                        <w:t>olitiques sectoriellesOU</w:t>
                      </w:r>
                    </w:p>
                    <w:p w14:paraId="6C4CD4C5" w14:textId="56625FBB" w:rsidR="00AD238F" w:rsidRPr="001A3CD7" w:rsidRDefault="00AD238F" w:rsidP="00590DD1">
                      <w:pPr>
                        <w:pStyle w:val="Paragraphedeliste"/>
                        <w:numPr>
                          <w:ilvl w:val="0"/>
                          <w:numId w:val="79"/>
                        </w:numPr>
                        <w:spacing w:after="0"/>
                        <w:ind w:left="142" w:hanging="218"/>
                        <w:rPr>
                          <w:sz w:val="18"/>
                          <w:szCs w:val="18"/>
                        </w:rPr>
                      </w:pPr>
                      <w:r w:rsidRPr="001A3CD7">
                        <w:rPr>
                          <w:sz w:val="18"/>
                          <w:szCs w:val="18"/>
                        </w:rPr>
                        <w:t>Controverse de niveau</w:t>
                      </w:r>
                      <w:r w:rsidR="00234C96">
                        <w:rPr>
                          <w:sz w:val="18"/>
                          <w:szCs w:val="18"/>
                        </w:rPr>
                        <w:t xml:space="preserve"> élevé (niveau</w:t>
                      </w:r>
                      <w:r w:rsidRPr="001A3CD7">
                        <w:rPr>
                          <w:sz w:val="18"/>
                          <w:szCs w:val="18"/>
                        </w:rPr>
                        <w:t xml:space="preserve"> 4</w:t>
                      </w:r>
                      <w:r w:rsidR="00234C96">
                        <w:rPr>
                          <w:sz w:val="18"/>
                          <w:szCs w:val="18"/>
                        </w:rPr>
                        <w:t>)</w:t>
                      </w:r>
                      <w:r w:rsidRPr="001A3CD7">
                        <w:rPr>
                          <w:sz w:val="18"/>
                          <w:szCs w:val="18"/>
                        </w:rPr>
                        <w:t xml:space="preserve"> OU</w:t>
                      </w:r>
                    </w:p>
                    <w:p w14:paraId="5A8B8C2A" w14:textId="77777777" w:rsidR="00AD238F" w:rsidRPr="001A3CD7" w:rsidRDefault="00AD238F" w:rsidP="00590DD1">
                      <w:pPr>
                        <w:pStyle w:val="Paragraphedeliste"/>
                        <w:numPr>
                          <w:ilvl w:val="0"/>
                          <w:numId w:val="79"/>
                        </w:numPr>
                        <w:spacing w:after="0"/>
                        <w:ind w:left="142" w:hanging="218"/>
                        <w:rPr>
                          <w:sz w:val="18"/>
                          <w:szCs w:val="18"/>
                        </w:rPr>
                      </w:pPr>
                      <w:r w:rsidRPr="001A3CD7">
                        <w:rPr>
                          <w:sz w:val="18"/>
                          <w:szCs w:val="18"/>
                        </w:rPr>
                        <w:t>Entreprise active sur le PAI 4 (exposition aux combustibles fossiles), PAI 10 (Pacte Mondial ONU), PAI 14 (armes controversées</w:t>
                      </w:r>
                    </w:p>
                  </w:txbxContent>
                </v:textbox>
                <w10:wrap anchorx="margin"/>
              </v:rect>
            </w:pict>
          </mc:Fallback>
        </mc:AlternateContent>
      </w:r>
    </w:p>
    <w:p w14:paraId="4EB73FAA"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6712304D"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3FD3E81E"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3F7CA130"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2B40838F"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0B555E2B" w14:textId="77777777" w:rsidR="00A21FC6" w:rsidRDefault="00A21FC6"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030445AB" w14:textId="77777777" w:rsidR="001E64DE" w:rsidRDefault="001E64DE"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37ACCDD6" w14:textId="77777777" w:rsidR="001E64DE" w:rsidRPr="00A74D23" w:rsidRDefault="001E64DE"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6FA4A036" w14:textId="43C12AFD" w:rsidR="00AD238F" w:rsidRPr="001E64DE" w:rsidRDefault="00AD238F" w:rsidP="009D6EE5">
      <w:pPr>
        <w:pStyle w:val="Style1"/>
        <w:numPr>
          <w:ilvl w:val="0"/>
          <w:numId w:val="0"/>
        </w:numPr>
        <w:tabs>
          <w:tab w:val="clear" w:pos="2010"/>
          <w:tab w:val="left" w:pos="426"/>
        </w:tabs>
        <w:spacing w:line="22" w:lineRule="atLeast"/>
        <w:contextualSpacing w:val="0"/>
        <w:jc w:val="both"/>
        <w:rPr>
          <w:rFonts w:cs="Open Sans"/>
          <w:b/>
          <w:bCs/>
          <w:i w:val="0"/>
          <w:color w:val="000000" w:themeColor="text1"/>
          <w:sz w:val="20"/>
        </w:rPr>
      </w:pPr>
      <w:r w:rsidRPr="00A74D23">
        <w:rPr>
          <w:rFonts w:cs="Open Sans"/>
          <w:b/>
          <w:bCs/>
          <w:i w:val="0"/>
          <w:noProof/>
          <w:color w:val="000000" w:themeColor="text1"/>
          <w:sz w:val="20"/>
        </w:rPr>
        <mc:AlternateContent>
          <mc:Choice Requires="wps">
            <w:drawing>
              <wp:anchor distT="0" distB="0" distL="114300" distR="114300" simplePos="0" relativeHeight="251625472" behindDoc="0" locked="0" layoutInCell="1" allowOverlap="1" wp14:anchorId="6D1B095E" wp14:editId="330C18B3">
                <wp:simplePos x="0" y="0"/>
                <wp:positionH relativeFrom="margin">
                  <wp:align>left</wp:align>
                </wp:positionH>
                <wp:positionV relativeFrom="paragraph">
                  <wp:posOffset>214961</wp:posOffset>
                </wp:positionV>
                <wp:extent cx="1542553" cy="0"/>
                <wp:effectExtent l="0" t="0" r="0" b="0"/>
                <wp:wrapNone/>
                <wp:docPr id="1857553943" name="Connecteur droit 2"/>
                <wp:cNvGraphicFramePr/>
                <a:graphic xmlns:a="http://schemas.openxmlformats.org/drawingml/2006/main">
                  <a:graphicData uri="http://schemas.microsoft.com/office/word/2010/wordprocessingShape">
                    <wps:wsp>
                      <wps:cNvCnPr/>
                      <wps:spPr>
                        <a:xfrm flipV="1">
                          <a:off x="0" y="0"/>
                          <a:ext cx="1542553"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3F6DDA" id="Connecteur droit 2" o:spid="_x0000_s1026" style="position:absolute;flip:y;z-index:251625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6.95pt" to="121.4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" strokecolor="#ffd400 [3204]" strokeweight="1.5pt">
                <v:stroke joinstyle="miter"/>
                <w10:wrap anchorx="margin"/>
              </v:line>
            </w:pict>
          </mc:Fallback>
        </mc:AlternateContent>
      </w:r>
      <w:r w:rsidRPr="00A74D23">
        <w:rPr>
          <w:rFonts w:cs="Open Sans"/>
          <w:b/>
          <w:bCs/>
          <w:i w:val="0"/>
          <w:color w:val="000000" w:themeColor="text1"/>
          <w:sz w:val="20"/>
        </w:rPr>
        <w:t xml:space="preserve">Méthodologie sur les fonds </w:t>
      </w:r>
      <w:r w:rsidRPr="00A74D23">
        <w:rPr>
          <w:rFonts w:cs="Open Sans"/>
          <w:i w:val="0"/>
          <w:noProof/>
          <w:color w:val="000000" w:themeColor="text1"/>
          <w:sz w:val="20"/>
        </w:rPr>
        <mc:AlternateContent>
          <mc:Choice Requires="wps">
            <w:drawing>
              <wp:anchor distT="0" distB="0" distL="114300" distR="114300" simplePos="0" relativeHeight="251617280" behindDoc="0" locked="0" layoutInCell="1" allowOverlap="1" wp14:anchorId="4DCCD79F" wp14:editId="08360D84">
                <wp:simplePos x="0" y="0"/>
                <wp:positionH relativeFrom="column">
                  <wp:posOffset>1350424</wp:posOffset>
                </wp:positionH>
                <wp:positionV relativeFrom="paragraph">
                  <wp:posOffset>275562</wp:posOffset>
                </wp:positionV>
                <wp:extent cx="3434964" cy="274320"/>
                <wp:effectExtent l="0" t="0" r="0" b="0"/>
                <wp:wrapNone/>
                <wp:docPr id="1709003206" name="Rectangle 6"/>
                <wp:cNvGraphicFramePr/>
                <a:graphic xmlns:a="http://schemas.openxmlformats.org/drawingml/2006/main">
                  <a:graphicData uri="http://schemas.microsoft.com/office/word/2010/wordprocessingShape">
                    <wps:wsp>
                      <wps:cNvSpPr/>
                      <wps:spPr>
                        <a:xfrm>
                          <a:off x="0" y="0"/>
                          <a:ext cx="3434964" cy="27432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8D182D" w14:textId="77777777" w:rsidR="00AD238F" w:rsidRPr="00A21FC6" w:rsidRDefault="00AD238F" w:rsidP="00AD238F">
                            <w:pPr>
                              <w:jc w:val="center"/>
                              <w:rPr>
                                <w:rFonts w:asciiTheme="minorHAnsi" w:hAnsiTheme="minorHAnsi"/>
                                <w:b/>
                                <w:bCs/>
                                <w:color w:val="000000" w:themeColor="text1"/>
                                <w:sz w:val="20"/>
                                <w:szCs w:val="20"/>
                                <w:lang w:val="fr-FR"/>
                              </w:rPr>
                            </w:pPr>
                            <w:r w:rsidRPr="00A21FC6">
                              <w:rPr>
                                <w:rFonts w:asciiTheme="minorHAnsi" w:hAnsiTheme="minorHAnsi"/>
                                <w:color w:val="000000" w:themeColor="text1"/>
                                <w:sz w:val="20"/>
                                <w:szCs w:val="20"/>
                              </w:rPr>
                              <w:t>Fonds cotés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DCCD79F" id="_x0000_s1074" style="position:absolute;left:0;text-align:left;margin-left:106.35pt;margin-top:21.7pt;width:270.45pt;height:21.6pt;z-index:251617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" fillcolor="#ffd400 [3204]" stroked="f" strokeweight="1pt">
                <v:textbox>
                  <w:txbxContent>
                    <w:p w14:paraId="368D182D" w14:textId="77777777" w:rsidR="00AD238F" w:rsidRPr="00A21FC6" w:rsidRDefault="00AD238F" w:rsidP="00AD238F">
                      <w:pPr>
                        <w:jc w:val="center"/>
                        <w:rPr>
                          <w:rFonts w:asciiTheme="minorHAnsi" w:hAnsiTheme="minorHAnsi"/>
                          <w:b/>
                          <w:bCs/>
                          <w:color w:val="000000" w:themeColor="text1"/>
                          <w:sz w:val="20"/>
                          <w:szCs w:val="20"/>
                          <w:lang w:val="fr-FR"/>
                        </w:rPr>
                      </w:pPr>
                      <w:r w:rsidRPr="00A21FC6">
                        <w:rPr>
                          <w:rFonts w:asciiTheme="minorHAnsi" w:hAnsiTheme="minorHAnsi"/>
                          <w:color w:val="000000" w:themeColor="text1"/>
                          <w:sz w:val="20"/>
                          <w:szCs w:val="20"/>
                        </w:rPr>
                        <w:t>Fonds cotés</w:t>
                      </w:r>
                    </w:p>
                  </w:txbxContent>
                </v:textbox>
              </v:rect>
            </w:pict>
          </mc:Fallback>
        </mc:AlternateContent>
      </w:r>
    </w:p>
    <w:p w14:paraId="19A3216B"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2245CBA2" w14:textId="4C7F572A" w:rsidR="00AD238F" w:rsidRPr="00A74D23" w:rsidRDefault="00C13CF1"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r w:rsidRPr="00A74D23">
        <w:rPr>
          <w:rFonts w:cs="Open Sans"/>
          <w:i w:val="0"/>
          <w:noProof/>
          <w:color w:val="000000" w:themeColor="text1"/>
          <w:sz w:val="20"/>
        </w:rPr>
        <mc:AlternateContent>
          <mc:Choice Requires="wps">
            <w:drawing>
              <wp:anchor distT="0" distB="0" distL="114300" distR="114300" simplePos="0" relativeHeight="251619328" behindDoc="0" locked="0" layoutInCell="1" allowOverlap="1" wp14:anchorId="2186BB33" wp14:editId="1CB148BD">
                <wp:simplePos x="0" y="0"/>
                <wp:positionH relativeFrom="margin">
                  <wp:posOffset>1895736</wp:posOffset>
                </wp:positionH>
                <wp:positionV relativeFrom="paragraph">
                  <wp:posOffset>78740</wp:posOffset>
                </wp:positionV>
                <wp:extent cx="1715770" cy="1115251"/>
                <wp:effectExtent l="0" t="0" r="0" b="8890"/>
                <wp:wrapNone/>
                <wp:docPr id="997464845" name="Rectangle 3"/>
                <wp:cNvGraphicFramePr/>
                <a:graphic xmlns:a="http://schemas.openxmlformats.org/drawingml/2006/main">
                  <a:graphicData uri="http://schemas.microsoft.com/office/word/2010/wordprocessingShape">
                    <wps:wsp>
                      <wps:cNvSpPr/>
                      <wps:spPr>
                        <a:xfrm>
                          <a:off x="0" y="0"/>
                          <a:ext cx="1715770" cy="1115251"/>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5DE545EC" w14:textId="4A16164E" w:rsidR="00AD238F" w:rsidRPr="00474EE1" w:rsidRDefault="00AD238F" w:rsidP="00AD238F">
                            <w:pPr>
                              <w:jc w:val="center"/>
                              <w:rPr>
                                <w:rFonts w:asciiTheme="minorHAnsi" w:hAnsiTheme="minorHAnsi"/>
                                <w:sz w:val="18"/>
                                <w:szCs w:val="18"/>
                                <w:lang w:val="fr-FR"/>
                              </w:rPr>
                            </w:pPr>
                            <w:r w:rsidRPr="00474EE1">
                              <w:rPr>
                                <w:rFonts w:asciiTheme="minorHAnsi" w:hAnsiTheme="minorHAnsi"/>
                                <w:sz w:val="18"/>
                                <w:szCs w:val="18"/>
                                <w:lang w:val="fr-FR"/>
                              </w:rPr>
                              <w:t>Article 8 minimum : critères DNSH au sein des fonds fixés par l</w:t>
                            </w:r>
                            <w:r w:rsidR="00602B66">
                              <w:rPr>
                                <w:rFonts w:asciiTheme="minorHAnsi" w:hAnsiTheme="minorHAnsi"/>
                                <w:sz w:val="18"/>
                                <w:szCs w:val="18"/>
                                <w:lang w:val="fr-FR"/>
                              </w:rPr>
                              <w:t>a société de gestion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86BB33" id="_x0000_s1075" style="position:absolute;left:0;text-align:left;margin-left:149.25pt;margin-top:6.2pt;width:135.1pt;height:87.8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" fillcolor="#8a2c24 [3205]" stroked="f">
                <v:textbox>
                  <w:txbxContent>
                    <w:p w14:paraId="5DE545EC" w14:textId="4A16164E" w:rsidR="00AD238F" w:rsidRPr="00474EE1" w:rsidRDefault="00AD238F" w:rsidP="00AD238F">
                      <w:pPr>
                        <w:jc w:val="center"/>
                        <w:rPr>
                          <w:rFonts w:asciiTheme="minorHAnsi" w:hAnsiTheme="minorHAnsi"/>
                          <w:sz w:val="18"/>
                          <w:szCs w:val="18"/>
                          <w:lang w:val="fr-FR"/>
                        </w:rPr>
                      </w:pPr>
                      <w:r w:rsidRPr="00474EE1">
                        <w:rPr>
                          <w:rFonts w:asciiTheme="minorHAnsi" w:hAnsiTheme="minorHAnsi"/>
                          <w:sz w:val="18"/>
                          <w:szCs w:val="18"/>
                          <w:lang w:val="fr-FR"/>
                        </w:rPr>
                        <w:t>Article 8 minimum : critères DNSH au sein des fonds fixés par l</w:t>
                      </w:r>
                      <w:r w:rsidR="00602B66">
                        <w:rPr>
                          <w:rFonts w:asciiTheme="minorHAnsi" w:hAnsiTheme="minorHAnsi"/>
                          <w:sz w:val="18"/>
                          <w:szCs w:val="18"/>
                          <w:lang w:val="fr-FR"/>
                        </w:rPr>
                        <w:t>a société de gestion</w:t>
                      </w:r>
                    </w:p>
                  </w:txbxContent>
                </v:textbox>
                <w10:wrap anchorx="margin"/>
              </v:rect>
            </w:pict>
          </mc:Fallback>
        </mc:AlternateContent>
      </w:r>
      <w:r w:rsidR="00602B66" w:rsidRPr="00A74D23">
        <w:rPr>
          <w:rFonts w:cs="Open Sans"/>
          <w:i w:val="0"/>
          <w:noProof/>
          <w:color w:val="000000" w:themeColor="text1"/>
          <w:sz w:val="20"/>
        </w:rPr>
        <mc:AlternateContent>
          <mc:Choice Requires="wps">
            <w:drawing>
              <wp:anchor distT="0" distB="0" distL="114300" distR="114300" simplePos="0" relativeHeight="251623424" behindDoc="0" locked="0" layoutInCell="1" allowOverlap="1" wp14:anchorId="0F395267" wp14:editId="3148059D">
                <wp:simplePos x="0" y="0"/>
                <wp:positionH relativeFrom="margin">
                  <wp:posOffset>56566</wp:posOffset>
                </wp:positionH>
                <wp:positionV relativeFrom="paragraph">
                  <wp:posOffset>79041</wp:posOffset>
                </wp:positionV>
                <wp:extent cx="1715770" cy="1115251"/>
                <wp:effectExtent l="0" t="0" r="0" b="8890"/>
                <wp:wrapNone/>
                <wp:docPr id="1660155843" name="Rectangle 3"/>
                <wp:cNvGraphicFramePr/>
                <a:graphic xmlns:a="http://schemas.openxmlformats.org/drawingml/2006/main">
                  <a:graphicData uri="http://schemas.microsoft.com/office/word/2010/wordprocessingShape">
                    <wps:wsp>
                      <wps:cNvSpPr/>
                      <wps:spPr>
                        <a:xfrm>
                          <a:off x="0" y="0"/>
                          <a:ext cx="1715770" cy="1115251"/>
                        </a:xfrm>
                        <a:prstGeom prst="rect">
                          <a:avLst/>
                        </a:prstGeom>
                        <a:solidFill>
                          <a:srgbClr val="92D050"/>
                        </a:solidFill>
                        <a:ln>
                          <a:noFill/>
                        </a:ln>
                      </wps:spPr>
                      <wps:style>
                        <a:lnRef idx="0">
                          <a:scrgbClr r="0" g="0" b="0"/>
                        </a:lnRef>
                        <a:fillRef idx="0">
                          <a:scrgbClr r="0" g="0" b="0"/>
                        </a:fillRef>
                        <a:effectRef idx="0">
                          <a:scrgbClr r="0" g="0" b="0"/>
                        </a:effectRef>
                        <a:fontRef idx="minor">
                          <a:schemeClr val="lt1"/>
                        </a:fontRef>
                      </wps:style>
                      <wps:txbx>
                        <w:txbxContent>
                          <w:p w14:paraId="660660C2" w14:textId="4217409C" w:rsidR="00AD238F" w:rsidRPr="001A3CD7" w:rsidRDefault="00AD238F" w:rsidP="00590DD1">
                            <w:pPr>
                              <w:pStyle w:val="Paragraphedeliste"/>
                              <w:numPr>
                                <w:ilvl w:val="0"/>
                                <w:numId w:val="80"/>
                              </w:numPr>
                              <w:ind w:left="142" w:hanging="218"/>
                              <w:rPr>
                                <w:sz w:val="18"/>
                                <w:szCs w:val="18"/>
                              </w:rPr>
                            </w:pPr>
                            <w:r w:rsidRPr="001A3CD7">
                              <w:rPr>
                                <w:sz w:val="18"/>
                                <w:szCs w:val="18"/>
                              </w:rPr>
                              <w:t xml:space="preserve">Si non transparence : </w:t>
                            </w:r>
                            <w:r w:rsidR="00602B66">
                              <w:rPr>
                                <w:sz w:val="18"/>
                                <w:szCs w:val="18"/>
                              </w:rPr>
                              <w:t xml:space="preserve">part d’alignement à la taxonomie européenne, au prorata du maximum entre le chiffre d’affaires et les dépenses d’investissement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95267" id="_x0000_s1076" style="position:absolute;left:0;text-align:left;margin-left:4.45pt;margin-top:6.2pt;width:135.1pt;height:87.8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" fillcolor="#92d050" stroked="f">
                <v:textbox>
                  <w:txbxContent>
                    <w:p w14:paraId="660660C2" w14:textId="4217409C" w:rsidR="00AD238F" w:rsidRPr="001A3CD7" w:rsidRDefault="00AD238F" w:rsidP="00590DD1">
                      <w:pPr>
                        <w:pStyle w:val="Paragraphedeliste"/>
                        <w:numPr>
                          <w:ilvl w:val="0"/>
                          <w:numId w:val="80"/>
                        </w:numPr>
                        <w:ind w:left="142" w:hanging="218"/>
                        <w:rPr>
                          <w:sz w:val="18"/>
                          <w:szCs w:val="18"/>
                        </w:rPr>
                      </w:pPr>
                      <w:r w:rsidRPr="001A3CD7">
                        <w:rPr>
                          <w:sz w:val="18"/>
                          <w:szCs w:val="18"/>
                        </w:rPr>
                        <w:t xml:space="preserve">Si non transparence : </w:t>
                      </w:r>
                      <w:r w:rsidR="00602B66">
                        <w:rPr>
                          <w:sz w:val="18"/>
                          <w:szCs w:val="18"/>
                        </w:rPr>
                        <w:t xml:space="preserve">part d’alignement à la taxonomie européenne, au prorata du maximum entre le chiffre d’affaires et les dépenses d’investissement </w:t>
                      </w:r>
                    </w:p>
                  </w:txbxContent>
                </v:textbox>
                <w10:wrap anchorx="margin"/>
              </v:rect>
            </w:pict>
          </mc:Fallback>
        </mc:AlternateContent>
      </w:r>
      <w:r w:rsidR="00AD238F" w:rsidRPr="00A74D23">
        <w:rPr>
          <w:rFonts w:cs="Open Sans"/>
          <w:i w:val="0"/>
          <w:noProof/>
          <w:color w:val="000000" w:themeColor="text1"/>
          <w:sz w:val="20"/>
        </w:rPr>
        <mc:AlternateContent>
          <mc:Choice Requires="wps">
            <w:drawing>
              <wp:anchor distT="0" distB="0" distL="114300" distR="114300" simplePos="0" relativeHeight="251621376" behindDoc="0" locked="0" layoutInCell="1" allowOverlap="1" wp14:anchorId="47E29151" wp14:editId="58402E96">
                <wp:simplePos x="0" y="0"/>
                <wp:positionH relativeFrom="margin">
                  <wp:posOffset>3745880</wp:posOffset>
                </wp:positionH>
                <wp:positionV relativeFrom="paragraph">
                  <wp:posOffset>79041</wp:posOffset>
                </wp:positionV>
                <wp:extent cx="1715770" cy="1115251"/>
                <wp:effectExtent l="0" t="0" r="0" b="8890"/>
                <wp:wrapNone/>
                <wp:docPr id="1018822364" name="Rectangle 3"/>
                <wp:cNvGraphicFramePr/>
                <a:graphic xmlns:a="http://schemas.openxmlformats.org/drawingml/2006/main">
                  <a:graphicData uri="http://schemas.microsoft.com/office/word/2010/wordprocessingShape">
                    <wps:wsp>
                      <wps:cNvSpPr/>
                      <wps:spPr>
                        <a:xfrm>
                          <a:off x="0" y="0"/>
                          <a:ext cx="1715770" cy="1115251"/>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B844D4" w14:textId="301FC29B" w:rsidR="00AD238F" w:rsidRPr="00474EE1" w:rsidRDefault="00AD238F" w:rsidP="00AD238F">
                            <w:pPr>
                              <w:jc w:val="center"/>
                              <w:rPr>
                                <w:rFonts w:asciiTheme="minorHAnsi" w:hAnsiTheme="minorHAnsi"/>
                                <w:sz w:val="18"/>
                                <w:szCs w:val="18"/>
                                <w:lang w:val="fr-FR"/>
                              </w:rPr>
                            </w:pPr>
                            <w:r w:rsidRPr="00474EE1">
                              <w:rPr>
                                <w:rFonts w:asciiTheme="minorHAnsi" w:hAnsiTheme="minorHAnsi"/>
                                <w:sz w:val="18"/>
                                <w:szCs w:val="18"/>
                                <w:lang w:val="fr-FR"/>
                              </w:rPr>
                              <w:t xml:space="preserve">Bonne gouvernance au sein des fonds fixés par la </w:t>
                            </w:r>
                            <w:r w:rsidR="00654FF7">
                              <w:rPr>
                                <w:rFonts w:asciiTheme="minorHAnsi" w:hAnsiTheme="minorHAnsi"/>
                                <w:sz w:val="18"/>
                                <w:szCs w:val="18"/>
                                <w:lang w:val="fr-FR"/>
                              </w:rPr>
                              <w:t>société de gestion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E29151" id="_x0000_s1077" style="position:absolute;left:0;text-align:left;margin-left:294.95pt;margin-top:6.2pt;width:135.1pt;height:87.8pt;z-index:25162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" fillcolor="#4b6497 [1609]" stroked="f" strokeweight="1pt">
                <v:textbox>
                  <w:txbxContent>
                    <w:p w14:paraId="3FB844D4" w14:textId="301FC29B" w:rsidR="00AD238F" w:rsidRPr="00474EE1" w:rsidRDefault="00AD238F" w:rsidP="00AD238F">
                      <w:pPr>
                        <w:jc w:val="center"/>
                        <w:rPr>
                          <w:rFonts w:asciiTheme="minorHAnsi" w:hAnsiTheme="minorHAnsi"/>
                          <w:sz w:val="18"/>
                          <w:szCs w:val="18"/>
                          <w:lang w:val="fr-FR"/>
                        </w:rPr>
                      </w:pPr>
                      <w:r w:rsidRPr="00474EE1">
                        <w:rPr>
                          <w:rFonts w:asciiTheme="minorHAnsi" w:hAnsiTheme="minorHAnsi"/>
                          <w:sz w:val="18"/>
                          <w:szCs w:val="18"/>
                          <w:lang w:val="fr-FR"/>
                        </w:rPr>
                        <w:t xml:space="preserve">Bonne gouvernance au sein des fonds fixés par la </w:t>
                      </w:r>
                      <w:r w:rsidR="00654FF7">
                        <w:rPr>
                          <w:rFonts w:asciiTheme="minorHAnsi" w:hAnsiTheme="minorHAnsi"/>
                          <w:sz w:val="18"/>
                          <w:szCs w:val="18"/>
                          <w:lang w:val="fr-FR"/>
                        </w:rPr>
                        <w:t>société de gestion</w:t>
                      </w:r>
                    </w:p>
                  </w:txbxContent>
                </v:textbox>
                <w10:wrap anchorx="margin"/>
              </v:rect>
            </w:pict>
          </mc:Fallback>
        </mc:AlternateContent>
      </w:r>
    </w:p>
    <w:p w14:paraId="6AA1BD72"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59EDB613"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0F6ED3D1"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593D153E" w14:textId="77777777" w:rsidR="00A21FC6" w:rsidRPr="00A74D23" w:rsidRDefault="00A21FC6"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60FBAD92" w14:textId="650A5A75"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r w:rsidRPr="00A74D23">
        <w:rPr>
          <w:rFonts w:cs="Open Sans"/>
          <w:i w:val="0"/>
          <w:noProof/>
          <w:color w:val="000000" w:themeColor="text1"/>
          <w:sz w:val="20"/>
        </w:rPr>
        <mc:AlternateContent>
          <mc:Choice Requires="wps">
            <w:drawing>
              <wp:anchor distT="0" distB="0" distL="114300" distR="114300" simplePos="0" relativeHeight="251627520" behindDoc="0" locked="0" layoutInCell="1" allowOverlap="1" wp14:anchorId="15523B1E" wp14:editId="721C5B7F">
                <wp:simplePos x="0" y="0"/>
                <wp:positionH relativeFrom="column">
                  <wp:posOffset>1406083</wp:posOffset>
                </wp:positionH>
                <wp:positionV relativeFrom="paragraph">
                  <wp:posOffset>179346</wp:posOffset>
                </wp:positionV>
                <wp:extent cx="3413867" cy="274881"/>
                <wp:effectExtent l="0" t="0" r="0" b="0"/>
                <wp:wrapNone/>
                <wp:docPr id="2120625136" name="Rectangle 6"/>
                <wp:cNvGraphicFramePr/>
                <a:graphic xmlns:a="http://schemas.openxmlformats.org/drawingml/2006/main">
                  <a:graphicData uri="http://schemas.microsoft.com/office/word/2010/wordprocessingShape">
                    <wps:wsp>
                      <wps:cNvSpPr/>
                      <wps:spPr>
                        <a:xfrm>
                          <a:off x="0" y="0"/>
                          <a:ext cx="3413867" cy="274881"/>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BAD456" w14:textId="77777777" w:rsidR="00AD238F" w:rsidRPr="00A21FC6" w:rsidRDefault="00AD238F" w:rsidP="00AD238F">
                            <w:pPr>
                              <w:jc w:val="center"/>
                              <w:rPr>
                                <w:rFonts w:asciiTheme="minorHAnsi" w:hAnsiTheme="minorHAnsi"/>
                                <w:b/>
                                <w:bCs/>
                                <w:color w:val="000000" w:themeColor="text1"/>
                                <w:sz w:val="20"/>
                                <w:szCs w:val="20"/>
                                <w:lang w:val="fr-FR"/>
                              </w:rPr>
                            </w:pPr>
                            <w:r w:rsidRPr="00A21FC6">
                              <w:rPr>
                                <w:rFonts w:asciiTheme="minorHAnsi" w:hAnsiTheme="minorHAnsi"/>
                                <w:color w:val="000000" w:themeColor="text1"/>
                                <w:sz w:val="20"/>
                                <w:szCs w:val="20"/>
                                <w:lang w:val="fr-FR"/>
                              </w:rPr>
                              <w:t>Fonds non cotés PE / Infra / Dette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5523B1E" id="_x0000_s1078" style="position:absolute;left:0;text-align:left;margin-left:110.7pt;margin-top:14.1pt;width:268.8pt;height:21.65pt;z-index:251627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" fillcolor="#ffd400 [3204]" stroked="f" strokeweight="1pt">
                <v:textbox>
                  <w:txbxContent>
                    <w:p w14:paraId="1DBAD456" w14:textId="77777777" w:rsidR="00AD238F" w:rsidRPr="00A21FC6" w:rsidRDefault="00AD238F" w:rsidP="00AD238F">
                      <w:pPr>
                        <w:jc w:val="center"/>
                        <w:rPr>
                          <w:rFonts w:asciiTheme="minorHAnsi" w:hAnsiTheme="minorHAnsi"/>
                          <w:b/>
                          <w:bCs/>
                          <w:color w:val="000000" w:themeColor="text1"/>
                          <w:sz w:val="20"/>
                          <w:szCs w:val="20"/>
                          <w:lang w:val="fr-FR"/>
                        </w:rPr>
                      </w:pPr>
                      <w:r w:rsidRPr="00A21FC6">
                        <w:rPr>
                          <w:rFonts w:asciiTheme="minorHAnsi" w:hAnsiTheme="minorHAnsi"/>
                          <w:color w:val="000000" w:themeColor="text1"/>
                          <w:sz w:val="20"/>
                          <w:szCs w:val="20"/>
                          <w:lang w:val="fr-FR"/>
                        </w:rPr>
                        <w:t>Fonds non cotés PE / Infra / Dette</w:t>
                      </w:r>
                    </w:p>
                  </w:txbxContent>
                </v:textbox>
              </v:rect>
            </w:pict>
          </mc:Fallback>
        </mc:AlternateContent>
      </w:r>
    </w:p>
    <w:p w14:paraId="323E97A0"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264BA9F2"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r w:rsidRPr="00A74D23">
        <w:rPr>
          <w:rFonts w:cs="Open Sans"/>
          <w:i w:val="0"/>
          <w:noProof/>
          <w:color w:val="000000" w:themeColor="text1"/>
          <w:sz w:val="20"/>
        </w:rPr>
        <mc:AlternateContent>
          <mc:Choice Requires="wps">
            <w:drawing>
              <wp:anchor distT="0" distB="0" distL="114300" distR="114300" simplePos="0" relativeHeight="251633664" behindDoc="0" locked="0" layoutInCell="1" allowOverlap="1" wp14:anchorId="752AD9F3" wp14:editId="2E425A76">
                <wp:simplePos x="0" y="0"/>
                <wp:positionH relativeFrom="margin">
                  <wp:posOffset>68185</wp:posOffset>
                </wp:positionH>
                <wp:positionV relativeFrom="paragraph">
                  <wp:posOffset>8472</wp:posOffset>
                </wp:positionV>
                <wp:extent cx="1715770" cy="715992"/>
                <wp:effectExtent l="0" t="0" r="0" b="8255"/>
                <wp:wrapNone/>
                <wp:docPr id="1891451268" name="Rectangle 3"/>
                <wp:cNvGraphicFramePr/>
                <a:graphic xmlns:a="http://schemas.openxmlformats.org/drawingml/2006/main">
                  <a:graphicData uri="http://schemas.microsoft.com/office/word/2010/wordprocessingShape">
                    <wps:wsp>
                      <wps:cNvSpPr/>
                      <wps:spPr>
                        <a:xfrm>
                          <a:off x="0" y="0"/>
                          <a:ext cx="1715770" cy="715992"/>
                        </a:xfrm>
                        <a:prstGeom prst="rect">
                          <a:avLst/>
                        </a:prstGeom>
                        <a:solidFill>
                          <a:srgbClr val="92D050"/>
                        </a:solidFill>
                        <a:ln>
                          <a:noFill/>
                        </a:ln>
                      </wps:spPr>
                      <wps:style>
                        <a:lnRef idx="0">
                          <a:scrgbClr r="0" g="0" b="0"/>
                        </a:lnRef>
                        <a:fillRef idx="0">
                          <a:scrgbClr r="0" g="0" b="0"/>
                        </a:fillRef>
                        <a:effectRef idx="0">
                          <a:scrgbClr r="0" g="0" b="0"/>
                        </a:effectRef>
                        <a:fontRef idx="minor">
                          <a:schemeClr val="lt1"/>
                        </a:fontRef>
                      </wps:style>
                      <wps:txbx>
                        <w:txbxContent>
                          <w:p w14:paraId="2370A343" w14:textId="77777777" w:rsidR="00AD238F" w:rsidRPr="00D073FE" w:rsidRDefault="00AD238F" w:rsidP="00A21FC6">
                            <w:pPr>
                              <w:rPr>
                                <w:rFonts w:asciiTheme="minorHAnsi" w:hAnsiTheme="minorHAnsi"/>
                                <w:sz w:val="18"/>
                                <w:szCs w:val="18"/>
                                <w:lang w:val="fr-FR"/>
                              </w:rPr>
                            </w:pPr>
                            <w:r w:rsidRPr="00D073FE">
                              <w:rPr>
                                <w:rFonts w:asciiTheme="minorHAnsi" w:hAnsiTheme="minorHAnsi"/>
                                <w:sz w:val="18"/>
                                <w:szCs w:val="18"/>
                                <w:lang w:val="fr-FR"/>
                              </w:rPr>
                              <w:t>Article 8 minimum avec thèse transition énergétique OU biodiversité OU impact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2AD9F3" id="_x0000_s1079" style="position:absolute;left:0;text-align:left;margin-left:5.35pt;margin-top:.65pt;width:135.1pt;height:56.4pt;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" fillcolor="#92d050" stroked="f">
                <v:textbox>
                  <w:txbxContent>
                    <w:p w14:paraId="2370A343" w14:textId="77777777" w:rsidR="00AD238F" w:rsidRPr="00D073FE" w:rsidRDefault="00AD238F" w:rsidP="00A21FC6">
                      <w:pPr>
                        <w:rPr>
                          <w:rFonts w:asciiTheme="minorHAnsi" w:hAnsiTheme="minorHAnsi"/>
                          <w:sz w:val="18"/>
                          <w:szCs w:val="18"/>
                          <w:lang w:val="fr-FR"/>
                        </w:rPr>
                      </w:pPr>
                      <w:r w:rsidRPr="00D073FE">
                        <w:rPr>
                          <w:rFonts w:asciiTheme="minorHAnsi" w:hAnsiTheme="minorHAnsi"/>
                          <w:sz w:val="18"/>
                          <w:szCs w:val="18"/>
                          <w:lang w:val="fr-FR"/>
                        </w:rPr>
                        <w:t>Article 8 minimum avec thèse transition énergétique OU biodiversité OU impact</w:t>
                      </w:r>
                    </w:p>
                  </w:txbxContent>
                </v:textbox>
                <w10:wrap anchorx="margin"/>
              </v:rect>
            </w:pict>
          </mc:Fallback>
        </mc:AlternateContent>
      </w:r>
      <w:r w:rsidRPr="00A74D23">
        <w:rPr>
          <w:rFonts w:cs="Open Sans"/>
          <w:i w:val="0"/>
          <w:noProof/>
          <w:color w:val="000000" w:themeColor="text1"/>
          <w:sz w:val="20"/>
        </w:rPr>
        <mc:AlternateContent>
          <mc:Choice Requires="wps">
            <w:drawing>
              <wp:anchor distT="0" distB="0" distL="114300" distR="114300" simplePos="0" relativeHeight="251631616" behindDoc="0" locked="0" layoutInCell="1" allowOverlap="1" wp14:anchorId="597D054B" wp14:editId="23D7F0EC">
                <wp:simplePos x="0" y="0"/>
                <wp:positionH relativeFrom="margin">
                  <wp:posOffset>3760290</wp:posOffset>
                </wp:positionH>
                <wp:positionV relativeFrom="paragraph">
                  <wp:posOffset>8472</wp:posOffset>
                </wp:positionV>
                <wp:extent cx="1715770" cy="715992"/>
                <wp:effectExtent l="0" t="0" r="0" b="8255"/>
                <wp:wrapNone/>
                <wp:docPr id="1830118347" name="Rectangle 3"/>
                <wp:cNvGraphicFramePr/>
                <a:graphic xmlns:a="http://schemas.openxmlformats.org/drawingml/2006/main">
                  <a:graphicData uri="http://schemas.microsoft.com/office/word/2010/wordprocessingShape">
                    <wps:wsp>
                      <wps:cNvSpPr/>
                      <wps:spPr>
                        <a:xfrm>
                          <a:off x="0" y="0"/>
                          <a:ext cx="1715770" cy="715992"/>
                        </a:xfrm>
                        <a:prstGeom prst="rect">
                          <a:avLst/>
                        </a:prstGeom>
                        <a:solidFill>
                          <a:schemeClr val="accent6">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3407C6" w14:textId="77777777" w:rsidR="00AD238F" w:rsidRPr="00474EE1" w:rsidRDefault="00AD238F" w:rsidP="00AD238F">
                            <w:pPr>
                              <w:jc w:val="center"/>
                              <w:rPr>
                                <w:rFonts w:asciiTheme="minorHAnsi" w:hAnsiTheme="minorHAnsi"/>
                                <w:sz w:val="18"/>
                                <w:szCs w:val="18"/>
                                <w:lang w:val="fr-FR"/>
                              </w:rPr>
                            </w:pPr>
                            <w:r w:rsidRPr="00474EE1">
                              <w:rPr>
                                <w:rFonts w:asciiTheme="minorHAnsi" w:hAnsiTheme="minorHAnsi"/>
                                <w:sz w:val="18"/>
                                <w:szCs w:val="18"/>
                                <w:lang w:val="fr-FR"/>
                              </w:rPr>
                              <w:t>Bonne gouvernance au sein des fonds fixés par la SG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D054B" id="_x0000_s1080" style="position:absolute;left:0;text-align:left;margin-left:296.1pt;margin-top:.65pt;width:135.1pt;height:56.4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" fillcolor="#4b6497 [1609]" stroked="f" strokeweight="1pt">
                <v:textbox>
                  <w:txbxContent>
                    <w:p w14:paraId="333407C6" w14:textId="77777777" w:rsidR="00AD238F" w:rsidRPr="00474EE1" w:rsidRDefault="00AD238F" w:rsidP="00AD238F">
                      <w:pPr>
                        <w:jc w:val="center"/>
                        <w:rPr>
                          <w:rFonts w:asciiTheme="minorHAnsi" w:hAnsiTheme="minorHAnsi"/>
                          <w:sz w:val="18"/>
                          <w:szCs w:val="18"/>
                          <w:lang w:val="fr-FR"/>
                        </w:rPr>
                      </w:pPr>
                      <w:r w:rsidRPr="00474EE1">
                        <w:rPr>
                          <w:rFonts w:asciiTheme="minorHAnsi" w:hAnsiTheme="minorHAnsi"/>
                          <w:sz w:val="18"/>
                          <w:szCs w:val="18"/>
                          <w:lang w:val="fr-FR"/>
                        </w:rPr>
                        <w:t>Bonne gouvernance au sein des fonds fixés par la SG</w:t>
                      </w:r>
                    </w:p>
                  </w:txbxContent>
                </v:textbox>
                <w10:wrap anchorx="margin"/>
              </v:rect>
            </w:pict>
          </mc:Fallback>
        </mc:AlternateContent>
      </w:r>
      <w:r w:rsidRPr="00A74D23">
        <w:rPr>
          <w:rFonts w:cs="Open Sans"/>
          <w:i w:val="0"/>
          <w:noProof/>
          <w:color w:val="000000" w:themeColor="text1"/>
          <w:sz w:val="20"/>
        </w:rPr>
        <mc:AlternateContent>
          <mc:Choice Requires="wps">
            <w:drawing>
              <wp:anchor distT="0" distB="0" distL="114300" distR="114300" simplePos="0" relativeHeight="251629568" behindDoc="0" locked="0" layoutInCell="1" allowOverlap="1" wp14:anchorId="5486DDF6" wp14:editId="44EF1A7C">
                <wp:simplePos x="0" y="0"/>
                <wp:positionH relativeFrom="margin">
                  <wp:posOffset>1957370</wp:posOffset>
                </wp:positionH>
                <wp:positionV relativeFrom="paragraph">
                  <wp:posOffset>8472</wp:posOffset>
                </wp:positionV>
                <wp:extent cx="1715770" cy="715992"/>
                <wp:effectExtent l="0" t="0" r="0" b="8255"/>
                <wp:wrapNone/>
                <wp:docPr id="43113503" name="Rectangle 3"/>
                <wp:cNvGraphicFramePr/>
                <a:graphic xmlns:a="http://schemas.openxmlformats.org/drawingml/2006/main">
                  <a:graphicData uri="http://schemas.microsoft.com/office/word/2010/wordprocessingShape">
                    <wps:wsp>
                      <wps:cNvSpPr/>
                      <wps:spPr>
                        <a:xfrm>
                          <a:off x="0" y="0"/>
                          <a:ext cx="1715770" cy="715992"/>
                        </a:xfrm>
                        <a:prstGeom prst="rect">
                          <a:avLst/>
                        </a:prstGeom>
                        <a:solidFill>
                          <a:schemeClr val="accent2"/>
                        </a:solidFill>
                        <a:ln>
                          <a:noFill/>
                        </a:ln>
                      </wps:spPr>
                      <wps:style>
                        <a:lnRef idx="0">
                          <a:scrgbClr r="0" g="0" b="0"/>
                        </a:lnRef>
                        <a:fillRef idx="0">
                          <a:scrgbClr r="0" g="0" b="0"/>
                        </a:fillRef>
                        <a:effectRef idx="0">
                          <a:scrgbClr r="0" g="0" b="0"/>
                        </a:effectRef>
                        <a:fontRef idx="minor">
                          <a:schemeClr val="lt1"/>
                        </a:fontRef>
                      </wps:style>
                      <wps:txbx>
                        <w:txbxContent>
                          <w:p w14:paraId="6E1B06E0" w14:textId="77777777" w:rsidR="00AD238F" w:rsidRPr="00474EE1" w:rsidRDefault="00AD238F" w:rsidP="00AD238F">
                            <w:pPr>
                              <w:jc w:val="center"/>
                              <w:rPr>
                                <w:rFonts w:asciiTheme="minorHAnsi" w:hAnsiTheme="minorHAnsi"/>
                                <w:sz w:val="18"/>
                                <w:szCs w:val="18"/>
                                <w:lang w:val="fr-FR"/>
                              </w:rPr>
                            </w:pPr>
                            <w:r w:rsidRPr="00474EE1">
                              <w:rPr>
                                <w:rFonts w:asciiTheme="minorHAnsi" w:hAnsiTheme="minorHAnsi"/>
                                <w:sz w:val="18"/>
                                <w:szCs w:val="18"/>
                                <w:lang w:val="fr-FR"/>
                              </w:rPr>
                              <w:t>Article 8 minimum : critères DNSH au sein des fonds fixés par la SG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86DDF6" id="_x0000_s1081" style="position:absolute;left:0;text-align:left;margin-left:154.1pt;margin-top:.65pt;width:135.1pt;height:56.4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" fillcolor="#8a2c24 [3205]" stroked="f">
                <v:textbox>
                  <w:txbxContent>
                    <w:p w14:paraId="6E1B06E0" w14:textId="77777777" w:rsidR="00AD238F" w:rsidRPr="00474EE1" w:rsidRDefault="00AD238F" w:rsidP="00AD238F">
                      <w:pPr>
                        <w:jc w:val="center"/>
                        <w:rPr>
                          <w:rFonts w:asciiTheme="minorHAnsi" w:hAnsiTheme="minorHAnsi"/>
                          <w:sz w:val="18"/>
                          <w:szCs w:val="18"/>
                          <w:lang w:val="fr-FR"/>
                        </w:rPr>
                      </w:pPr>
                      <w:r w:rsidRPr="00474EE1">
                        <w:rPr>
                          <w:rFonts w:asciiTheme="minorHAnsi" w:hAnsiTheme="minorHAnsi"/>
                          <w:sz w:val="18"/>
                          <w:szCs w:val="18"/>
                          <w:lang w:val="fr-FR"/>
                        </w:rPr>
                        <w:t>Article 8 minimum : critères DNSH au sein des fonds fixés par la SG</w:t>
                      </w:r>
                    </w:p>
                  </w:txbxContent>
                </v:textbox>
                <w10:wrap anchorx="margin"/>
              </v:rect>
            </w:pict>
          </mc:Fallback>
        </mc:AlternateContent>
      </w:r>
    </w:p>
    <w:p w14:paraId="3FC37411"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1E2DF0AF" w14:textId="7040E577" w:rsidR="00BC7F60" w:rsidRPr="00A74D23" w:rsidRDefault="00BC7F60" w:rsidP="00A434AE">
      <w:pPr>
        <w:pStyle w:val="Style1"/>
        <w:numPr>
          <w:ilvl w:val="0"/>
          <w:numId w:val="0"/>
        </w:numPr>
        <w:tabs>
          <w:tab w:val="clear" w:pos="2010"/>
          <w:tab w:val="left" w:pos="3944"/>
        </w:tabs>
        <w:spacing w:line="22" w:lineRule="atLeast"/>
        <w:contextualSpacing w:val="0"/>
        <w:jc w:val="both"/>
        <w:rPr>
          <w:rFonts w:cs="Open Sans"/>
          <w:i w:val="0"/>
          <w:color w:val="000000" w:themeColor="text1"/>
          <w:sz w:val="18"/>
          <w:szCs w:val="18"/>
        </w:rPr>
      </w:pPr>
    </w:p>
    <w:p w14:paraId="18FC01FA"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i w:val="0"/>
          <w:color w:val="000000" w:themeColor="text1"/>
          <w:sz w:val="20"/>
        </w:rPr>
      </w:pPr>
    </w:p>
    <w:p w14:paraId="16E4A592" w14:textId="77777777" w:rsidR="00AD238F" w:rsidRPr="00A74D23" w:rsidRDefault="00AD238F" w:rsidP="009D6EE5">
      <w:pPr>
        <w:pStyle w:val="Style1"/>
        <w:numPr>
          <w:ilvl w:val="0"/>
          <w:numId w:val="0"/>
        </w:numPr>
        <w:tabs>
          <w:tab w:val="clear" w:pos="2010"/>
          <w:tab w:val="left" w:pos="426"/>
        </w:tabs>
        <w:spacing w:line="22" w:lineRule="atLeast"/>
        <w:contextualSpacing w:val="0"/>
        <w:jc w:val="both"/>
        <w:rPr>
          <w:rFonts w:cs="Open Sans"/>
          <w:b/>
          <w:bCs/>
          <w:i w:val="0"/>
          <w:color w:val="000000" w:themeColor="text1"/>
          <w:sz w:val="20"/>
        </w:rPr>
      </w:pPr>
      <w:r w:rsidRPr="00A74D23">
        <w:rPr>
          <w:rFonts w:cs="Open Sans"/>
          <w:b/>
          <w:bCs/>
          <w:i w:val="0"/>
          <w:noProof/>
          <w:color w:val="000000" w:themeColor="text1"/>
          <w:sz w:val="20"/>
        </w:rPr>
        <mc:AlternateContent>
          <mc:Choice Requires="wps">
            <w:drawing>
              <wp:anchor distT="0" distB="0" distL="114300" distR="114300" simplePos="0" relativeHeight="251635712" behindDoc="0" locked="0" layoutInCell="1" allowOverlap="1" wp14:anchorId="70FC27D6" wp14:editId="42953AB5">
                <wp:simplePos x="0" y="0"/>
                <wp:positionH relativeFrom="margin">
                  <wp:align>left</wp:align>
                </wp:positionH>
                <wp:positionV relativeFrom="paragraph">
                  <wp:posOffset>204166</wp:posOffset>
                </wp:positionV>
                <wp:extent cx="2258171" cy="7952"/>
                <wp:effectExtent l="0" t="0" r="27940" b="30480"/>
                <wp:wrapNone/>
                <wp:docPr id="1197882943" name="Connecteur droit 2"/>
                <wp:cNvGraphicFramePr/>
                <a:graphic xmlns:a="http://schemas.openxmlformats.org/drawingml/2006/main">
                  <a:graphicData uri="http://schemas.microsoft.com/office/word/2010/wordprocessingShape">
                    <wps:wsp>
                      <wps:cNvCnPr/>
                      <wps:spPr>
                        <a:xfrm flipV="1">
                          <a:off x="0" y="0"/>
                          <a:ext cx="2258171" cy="7952"/>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06766D" id="Connecteur droit 2" o:spid="_x0000_s1026" style="position:absolute;flip:y;z-index:251635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6.1pt" to="177.8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" strokecolor="#ffd400 [3204]" strokeweight="1.5pt">
                <v:stroke joinstyle="miter"/>
                <w10:wrap anchorx="margin"/>
              </v:line>
            </w:pict>
          </mc:Fallback>
        </mc:AlternateContent>
      </w:r>
      <w:r w:rsidRPr="00A74D23">
        <w:rPr>
          <w:rFonts w:cs="Open Sans"/>
          <w:b/>
          <w:bCs/>
          <w:i w:val="0"/>
          <w:color w:val="000000" w:themeColor="text1"/>
          <w:sz w:val="20"/>
        </w:rPr>
        <w:t>Méthodologie sur l’immobilier en direct</w:t>
      </w:r>
    </w:p>
    <w:p w14:paraId="5CB08C08" w14:textId="77777777" w:rsidR="00AD238F" w:rsidRPr="00A74D23" w:rsidRDefault="00AD238F" w:rsidP="009D6EE5">
      <w:pPr>
        <w:pStyle w:val="Style1"/>
        <w:numPr>
          <w:ilvl w:val="0"/>
          <w:numId w:val="0"/>
        </w:numPr>
        <w:tabs>
          <w:tab w:val="left" w:pos="426"/>
        </w:tabs>
        <w:spacing w:line="22" w:lineRule="atLeast"/>
        <w:jc w:val="both"/>
        <w:rPr>
          <w:rFonts w:cs="Open Sans"/>
          <w:i w:val="0"/>
          <w:color w:val="000000" w:themeColor="text1"/>
          <w:sz w:val="20"/>
        </w:rPr>
      </w:pPr>
    </w:p>
    <w:p w14:paraId="7BF8FF5F" w14:textId="5E5FDFB6" w:rsidR="00AD238F" w:rsidRPr="00A74D23" w:rsidRDefault="00AD238F" w:rsidP="009D6EE5">
      <w:pPr>
        <w:pStyle w:val="Style1"/>
        <w:numPr>
          <w:ilvl w:val="0"/>
          <w:numId w:val="0"/>
        </w:numPr>
        <w:tabs>
          <w:tab w:val="left" w:pos="426"/>
        </w:tabs>
        <w:spacing w:line="22" w:lineRule="atLeast"/>
        <w:contextualSpacing w:val="0"/>
        <w:jc w:val="both"/>
        <w:rPr>
          <w:rFonts w:cs="Open Sans"/>
          <w:i w:val="0"/>
          <w:color w:val="000000" w:themeColor="text1"/>
          <w:sz w:val="20"/>
          <w:szCs w:val="20"/>
        </w:rPr>
      </w:pPr>
      <w:bookmarkStart w:id="39" w:name="_Hlk170079781"/>
      <w:r w:rsidRPr="00A74D23">
        <w:rPr>
          <w:rFonts w:cs="Open Sans"/>
          <w:i w:val="0"/>
          <w:color w:val="000000" w:themeColor="text1"/>
          <w:sz w:val="20"/>
          <w:szCs w:val="20"/>
        </w:rPr>
        <w:t xml:space="preserve">En ce qui concerne le portefeuille immobilier en direct, </w:t>
      </w:r>
      <w:r w:rsidR="00495330" w:rsidRPr="00A74D23">
        <w:rPr>
          <w:rFonts w:cs="Open Sans"/>
          <w:i w:val="0"/>
          <w:color w:val="000000" w:themeColor="text1"/>
          <w:sz w:val="20"/>
          <w:szCs w:val="20"/>
        </w:rPr>
        <w:t>Ofi</w:t>
      </w:r>
      <w:r w:rsidRPr="00A74D23">
        <w:rPr>
          <w:rFonts w:cs="Open Sans"/>
          <w:i w:val="0"/>
          <w:color w:val="000000" w:themeColor="text1"/>
          <w:sz w:val="20"/>
          <w:szCs w:val="20"/>
        </w:rPr>
        <w:t xml:space="preserve"> Invest RE a travaillé avec les forums de place et l’Observatoire de l’Immobilier Durable (l’OID) pour parvenir à la méthodologie présentée ci-dessous. </w:t>
      </w:r>
    </w:p>
    <w:bookmarkEnd w:id="39"/>
    <w:p w14:paraId="1A69D201" w14:textId="77777777" w:rsidR="00AD238F" w:rsidRPr="00A74D23" w:rsidRDefault="00AD238F" w:rsidP="009D6EE5">
      <w:pPr>
        <w:pStyle w:val="Style1"/>
        <w:numPr>
          <w:ilvl w:val="0"/>
          <w:numId w:val="0"/>
        </w:numPr>
        <w:tabs>
          <w:tab w:val="left" w:pos="426"/>
        </w:tabs>
        <w:spacing w:before="120" w:line="22" w:lineRule="atLeast"/>
        <w:contextualSpacing w:val="0"/>
        <w:jc w:val="both"/>
        <w:rPr>
          <w:rFonts w:cs="Open Sans"/>
          <w:i w:val="0"/>
          <w:color w:val="000000" w:themeColor="text1"/>
          <w:sz w:val="18"/>
          <w:szCs w:val="18"/>
        </w:rPr>
      </w:pPr>
      <w:r w:rsidRPr="00A74D23">
        <w:rPr>
          <w:rFonts w:cs="Open Sans"/>
          <w:i w:val="0"/>
          <w:noProof/>
          <w:color w:val="000000" w:themeColor="text1"/>
          <w:sz w:val="18"/>
          <w:szCs w:val="18"/>
        </w:rPr>
        <w:drawing>
          <wp:inline distT="0" distB="0" distL="0" distR="0" wp14:anchorId="206EFD99" wp14:editId="5D03985E">
            <wp:extent cx="4261069" cy="3200564"/>
            <wp:effectExtent l="0" t="0" r="6350" b="0"/>
            <wp:docPr id="133169938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99387" name="Image 1331699387"/>
                    <pic:cNvPicPr/>
                  </pic:nvPicPr>
                  <pic:blipFill>
                    <a:blip r:embed="rId57">
                      <a:extLst>
                        <a:ext uri="{28A0092B-C50C-407E-A947-70E740481C1C}">
                          <a14:useLocalDpi xmlns:a14="http://schemas.microsoft.com/office/drawing/2010/main" val="0"/>
                        </a:ext>
                      </a:extLst>
                    </a:blip>
                    <a:stretch>
                      <a:fillRect/>
                    </a:stretch>
                  </pic:blipFill>
                  <pic:spPr>
                    <a:xfrm>
                      <a:off x="0" y="0"/>
                      <a:ext cx="4261069" cy="3200564"/>
                    </a:xfrm>
                    <a:prstGeom prst="rect">
                      <a:avLst/>
                    </a:prstGeom>
                  </pic:spPr>
                </pic:pic>
              </a:graphicData>
            </a:graphic>
          </wp:inline>
        </w:drawing>
      </w:r>
    </w:p>
    <w:p w14:paraId="68AA38D1" w14:textId="77777777" w:rsidR="00AD238F" w:rsidRPr="00A74D23" w:rsidRDefault="00AD238F" w:rsidP="009D6EE5">
      <w:pPr>
        <w:pStyle w:val="Style1"/>
        <w:numPr>
          <w:ilvl w:val="0"/>
          <w:numId w:val="0"/>
        </w:numPr>
        <w:tabs>
          <w:tab w:val="left" w:pos="426"/>
        </w:tabs>
        <w:spacing w:before="120" w:line="22" w:lineRule="atLeast"/>
        <w:contextualSpacing w:val="0"/>
        <w:jc w:val="both"/>
        <w:rPr>
          <w:rFonts w:cs="Open Sans"/>
          <w:i w:val="0"/>
          <w:color w:val="000000" w:themeColor="text1"/>
          <w:sz w:val="18"/>
          <w:szCs w:val="18"/>
        </w:rPr>
      </w:pPr>
    </w:p>
    <w:p w14:paraId="60DE8CC2" w14:textId="77777777" w:rsidR="000943BA" w:rsidRPr="00A74D23" w:rsidRDefault="000943BA" w:rsidP="009D6EE5">
      <w:pPr>
        <w:pStyle w:val="Style1"/>
        <w:numPr>
          <w:ilvl w:val="0"/>
          <w:numId w:val="0"/>
        </w:numPr>
        <w:tabs>
          <w:tab w:val="left" w:pos="426"/>
        </w:tabs>
        <w:spacing w:before="120" w:line="22" w:lineRule="atLeast"/>
        <w:contextualSpacing w:val="0"/>
        <w:jc w:val="both"/>
        <w:rPr>
          <w:rFonts w:cs="Open Sans"/>
          <w:i w:val="0"/>
          <w:color w:val="000000" w:themeColor="text1"/>
          <w:sz w:val="18"/>
          <w:szCs w:val="18"/>
        </w:rPr>
      </w:pPr>
    </w:p>
    <w:p w14:paraId="20519326" w14:textId="41287B9B" w:rsidR="000943BA" w:rsidRPr="002B3742" w:rsidRDefault="000943BA" w:rsidP="0073052C">
      <w:pPr>
        <w:pStyle w:val="Style1"/>
        <w:numPr>
          <w:ilvl w:val="0"/>
          <w:numId w:val="0"/>
        </w:numPr>
        <w:spacing w:line="22" w:lineRule="atLeast"/>
        <w:ind w:firstLine="3"/>
        <w:jc w:val="both"/>
        <w:rPr>
          <w:rFonts w:cs="Open Sans"/>
          <w:color w:val="8A2C24" w:themeColor="accent2"/>
          <w:sz w:val="28"/>
          <w:szCs w:val="28"/>
        </w:rPr>
      </w:pPr>
      <w:r w:rsidRPr="002B3742">
        <w:rPr>
          <w:rFonts w:cs="Open Sans"/>
          <w:color w:val="8A2C24" w:themeColor="accent2"/>
          <w:sz w:val="28"/>
          <w:szCs w:val="28"/>
        </w:rPr>
        <w:t>2</w:t>
      </w:r>
      <w:r w:rsidR="002B3742">
        <w:rPr>
          <w:rFonts w:cs="Open Sans"/>
          <w:color w:val="8A2C24" w:themeColor="accent2"/>
          <w:sz w:val="28"/>
          <w:szCs w:val="28"/>
        </w:rPr>
        <w:t>.3</w:t>
      </w:r>
      <w:r w:rsidRPr="002B3742">
        <w:rPr>
          <w:rFonts w:cs="Open Sans"/>
          <w:color w:val="8A2C24" w:themeColor="accent2"/>
          <w:sz w:val="28"/>
          <w:szCs w:val="28"/>
        </w:rPr>
        <w:t>.</w:t>
      </w:r>
      <w:r w:rsidR="00D00708" w:rsidRPr="002B3742">
        <w:rPr>
          <w:rFonts w:cs="Open Sans"/>
          <w:color w:val="8A2C24" w:themeColor="accent2"/>
          <w:sz w:val="28"/>
          <w:szCs w:val="28"/>
        </w:rPr>
        <w:t>2</w:t>
      </w:r>
      <w:r w:rsidRPr="002B3742">
        <w:rPr>
          <w:rFonts w:cs="Open Sans"/>
          <w:color w:val="8A2C24" w:themeColor="accent2"/>
          <w:sz w:val="28"/>
          <w:szCs w:val="28"/>
        </w:rPr>
        <w:t xml:space="preserve">. Notre % d’investissement durable </w:t>
      </w:r>
      <w:r w:rsidR="00D00708" w:rsidRPr="002B3742">
        <w:rPr>
          <w:rFonts w:cs="Open Sans"/>
          <w:color w:val="8A2C24" w:themeColor="accent2"/>
          <w:sz w:val="28"/>
          <w:szCs w:val="28"/>
        </w:rPr>
        <w:t>SFDR des portefeuilles</w:t>
      </w:r>
    </w:p>
    <w:p w14:paraId="58B34CFE" w14:textId="77777777" w:rsidR="00926869" w:rsidRPr="00A74D23" w:rsidRDefault="00926869" w:rsidP="009D6EE5">
      <w:pPr>
        <w:pStyle w:val="Style1"/>
        <w:numPr>
          <w:ilvl w:val="0"/>
          <w:numId w:val="0"/>
        </w:numPr>
        <w:spacing w:line="22" w:lineRule="atLeast"/>
        <w:ind w:left="1027" w:firstLine="3"/>
        <w:jc w:val="both"/>
        <w:rPr>
          <w:rFonts w:cs="Open Sans"/>
          <w:color w:val="C00000"/>
          <w:sz w:val="28"/>
          <w:szCs w:val="28"/>
        </w:rPr>
      </w:pPr>
    </w:p>
    <w:p w14:paraId="65529C90" w14:textId="292F8D6F" w:rsidR="00AD238F" w:rsidRPr="00A74D23" w:rsidRDefault="00AD238F" w:rsidP="009D6EE5">
      <w:pPr>
        <w:pStyle w:val="Style1"/>
        <w:numPr>
          <w:ilvl w:val="0"/>
          <w:numId w:val="0"/>
        </w:numPr>
        <w:tabs>
          <w:tab w:val="left" w:pos="426"/>
        </w:tabs>
        <w:spacing w:before="120" w:line="22" w:lineRule="atLeast"/>
        <w:contextualSpacing w:val="0"/>
        <w:jc w:val="both"/>
        <w:rPr>
          <w:rFonts w:cs="Open Sans"/>
          <w:i w:val="0"/>
          <w:color w:val="000000" w:themeColor="text1"/>
          <w:sz w:val="20"/>
          <w:szCs w:val="20"/>
        </w:rPr>
      </w:pPr>
      <w:r w:rsidRPr="00A74D23">
        <w:rPr>
          <w:rFonts w:cs="Open Sans"/>
          <w:i w:val="0"/>
          <w:color w:val="000000" w:themeColor="text1"/>
          <w:sz w:val="20"/>
          <w:szCs w:val="20"/>
        </w:rPr>
        <w:t xml:space="preserve">Abeille Assurances calcule la part d’investissement durable SFDR pour les différentes sociétés (entités légales vie) ainsi que sur les différents fonds en euros commercialisés. Les résultats sont les suivants : </w:t>
      </w:r>
    </w:p>
    <w:p w14:paraId="43263898" w14:textId="77777777" w:rsidR="00926869" w:rsidRPr="00A74D23" w:rsidRDefault="00926869" w:rsidP="009D6EE5">
      <w:pPr>
        <w:pStyle w:val="Style1"/>
        <w:numPr>
          <w:ilvl w:val="0"/>
          <w:numId w:val="0"/>
        </w:numPr>
        <w:tabs>
          <w:tab w:val="left" w:pos="426"/>
        </w:tabs>
        <w:spacing w:before="120" w:line="22" w:lineRule="atLeast"/>
        <w:contextualSpacing w:val="0"/>
        <w:jc w:val="both"/>
        <w:rPr>
          <w:rFonts w:cs="Open Sans"/>
          <w:i w:val="0"/>
          <w:color w:val="000000" w:themeColor="text1"/>
          <w:sz w:val="18"/>
          <w:szCs w:val="18"/>
        </w:rPr>
      </w:pPr>
    </w:p>
    <w:tbl>
      <w:tblPr>
        <w:tblStyle w:val="TableauGrille4-Accentuation3"/>
        <w:tblW w:w="93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5127"/>
      </w:tblGrid>
      <w:tr w:rsidR="00815239" w:rsidRPr="00302DFF" w14:paraId="31101875" w14:textId="77777777" w:rsidTr="0073052C">
        <w:trPr>
          <w:cnfStyle w:val="100000000000" w:firstRow="1" w:lastRow="0" w:firstColumn="0" w:lastColumn="0" w:oddVBand="0" w:evenVBand="0" w:oddHBand="0"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4248" w:type="dxa"/>
            <w:shd w:val="clear" w:color="auto" w:fill="FFD400" w:themeFill="accent1"/>
          </w:tcPr>
          <w:p w14:paraId="3C73B808" w14:textId="77777777" w:rsidR="00815239" w:rsidRPr="00A74D23" w:rsidRDefault="00815239" w:rsidP="009D6EE5">
            <w:pPr>
              <w:pStyle w:val="Style1"/>
              <w:numPr>
                <w:ilvl w:val="0"/>
                <w:numId w:val="0"/>
              </w:numPr>
              <w:tabs>
                <w:tab w:val="left" w:pos="426"/>
              </w:tabs>
              <w:spacing w:before="120" w:line="22" w:lineRule="atLeast"/>
              <w:contextualSpacing w:val="0"/>
              <w:jc w:val="both"/>
              <w:rPr>
                <w:rFonts w:cs="Open Sans"/>
                <w:i w:val="0"/>
                <w:color w:val="auto"/>
                <w:sz w:val="20"/>
                <w:szCs w:val="20"/>
              </w:rPr>
            </w:pPr>
            <w:r w:rsidRPr="00A74D23">
              <w:rPr>
                <w:rFonts w:cs="Open Sans"/>
                <w:color w:val="auto"/>
                <w:sz w:val="20"/>
                <w:szCs w:val="20"/>
              </w:rPr>
              <w:t>Entité légale</w:t>
            </w:r>
          </w:p>
        </w:tc>
        <w:tc>
          <w:tcPr>
            <w:tcW w:w="5127" w:type="dxa"/>
            <w:shd w:val="clear" w:color="auto" w:fill="FFD400" w:themeFill="accent1"/>
          </w:tcPr>
          <w:p w14:paraId="3E67D982" w14:textId="77777777" w:rsidR="00815239" w:rsidRPr="00A74D23" w:rsidRDefault="00815239" w:rsidP="009D6EE5">
            <w:pPr>
              <w:pStyle w:val="Style1"/>
              <w:numPr>
                <w:ilvl w:val="0"/>
                <w:numId w:val="0"/>
              </w:numPr>
              <w:tabs>
                <w:tab w:val="left" w:pos="426"/>
              </w:tabs>
              <w:spacing w:before="120" w:line="22" w:lineRule="atLeast"/>
              <w:contextualSpacing w:val="0"/>
              <w:jc w:val="both"/>
              <w:cnfStyle w:val="100000000000" w:firstRow="1" w:lastRow="0" w:firstColumn="0" w:lastColumn="0" w:oddVBand="0" w:evenVBand="0" w:oddHBand="0" w:evenHBand="0" w:firstRowFirstColumn="0" w:firstRowLastColumn="0" w:lastRowFirstColumn="0" w:lastRowLastColumn="0"/>
              <w:rPr>
                <w:rFonts w:cs="Open Sans"/>
                <w:i w:val="0"/>
                <w:color w:val="auto"/>
                <w:sz w:val="20"/>
                <w:szCs w:val="20"/>
              </w:rPr>
            </w:pPr>
            <w:r w:rsidRPr="00A74D23">
              <w:rPr>
                <w:rFonts w:cs="Open Sans"/>
                <w:i w:val="0"/>
                <w:color w:val="auto"/>
                <w:sz w:val="20"/>
                <w:szCs w:val="20"/>
              </w:rPr>
              <w:t>Part d’investissement durable SFDR des portefeuilles</w:t>
            </w:r>
          </w:p>
        </w:tc>
      </w:tr>
      <w:tr w:rsidR="00815239" w:rsidRPr="00A74D23" w14:paraId="5D50B648" w14:textId="77777777" w:rsidTr="0073052C">
        <w:trPr>
          <w:cnfStyle w:val="000000100000" w:firstRow="0" w:lastRow="0" w:firstColumn="0" w:lastColumn="0" w:oddVBand="0" w:evenVBand="0" w:oddHBand="1" w:evenHBand="0" w:firstRowFirstColumn="0" w:firstRowLastColumn="0" w:lastRowFirstColumn="0" w:lastRowLastColumn="0"/>
          <w:trHeight w:val="107"/>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tcPr>
          <w:p w14:paraId="51871E3D" w14:textId="77777777" w:rsidR="00815239" w:rsidRPr="00A74D23" w:rsidRDefault="00815239" w:rsidP="009D6EE5">
            <w:pPr>
              <w:pStyle w:val="Style1"/>
              <w:numPr>
                <w:ilvl w:val="0"/>
                <w:numId w:val="0"/>
              </w:numPr>
              <w:tabs>
                <w:tab w:val="left" w:pos="426"/>
              </w:tabs>
              <w:spacing w:after="0" w:line="22" w:lineRule="atLeast"/>
              <w:contextualSpacing w:val="0"/>
              <w:jc w:val="both"/>
              <w:rPr>
                <w:rFonts w:cs="Open Sans"/>
                <w:b w:val="0"/>
                <w:bCs w:val="0"/>
                <w:i w:val="0"/>
                <w:iCs w:val="0"/>
                <w:color w:val="000000" w:themeColor="text1"/>
                <w:sz w:val="20"/>
                <w:szCs w:val="20"/>
              </w:rPr>
            </w:pPr>
            <w:r w:rsidRPr="00A74D23">
              <w:rPr>
                <w:rFonts w:cs="Open Sans"/>
                <w:b w:val="0"/>
                <w:bCs w:val="0"/>
                <w:i w:val="0"/>
                <w:iCs w:val="0"/>
                <w:color w:val="000000" w:themeColor="text1"/>
                <w:sz w:val="20"/>
                <w:szCs w:val="20"/>
              </w:rPr>
              <w:t>Abeille Retraite Professionnelle</w:t>
            </w:r>
          </w:p>
        </w:tc>
        <w:tc>
          <w:tcPr>
            <w:tcW w:w="5127" w:type="dxa"/>
            <w:tcBorders>
              <w:bottom w:val="single" w:sz="2" w:space="0" w:color="auto"/>
            </w:tcBorders>
            <w:shd w:val="clear" w:color="auto" w:fill="auto"/>
          </w:tcPr>
          <w:p w14:paraId="479FECEA" w14:textId="3B3A60D1" w:rsidR="00815239" w:rsidRPr="00A74D23" w:rsidRDefault="0077789D" w:rsidP="009D6EE5">
            <w:pPr>
              <w:pStyle w:val="Style1"/>
              <w:numPr>
                <w:ilvl w:val="0"/>
                <w:numId w:val="0"/>
              </w:numPr>
              <w:tabs>
                <w:tab w:val="left" w:pos="426"/>
              </w:tabs>
              <w:spacing w:after="0" w:line="22" w:lineRule="atLeast"/>
              <w:contextualSpacing w:val="0"/>
              <w:jc w:val="both"/>
              <w:cnfStyle w:val="000000100000" w:firstRow="0" w:lastRow="0" w:firstColumn="0" w:lastColumn="0" w:oddVBand="0" w:evenVBand="0" w:oddHBand="1" w:evenHBand="0" w:firstRowFirstColumn="0" w:firstRowLastColumn="0" w:lastRowFirstColumn="0" w:lastRowLastColumn="0"/>
              <w:rPr>
                <w:rFonts w:cs="Open Sans"/>
                <w:i w:val="0"/>
                <w:color w:val="000000" w:themeColor="text1"/>
                <w:sz w:val="20"/>
                <w:szCs w:val="20"/>
              </w:rPr>
            </w:pPr>
            <w:r>
              <w:rPr>
                <w:rFonts w:cs="Open Sans"/>
                <w:i w:val="0"/>
                <w:color w:val="000000" w:themeColor="text1"/>
                <w:sz w:val="20"/>
                <w:szCs w:val="20"/>
              </w:rPr>
              <w:t>10,5%</w:t>
            </w:r>
          </w:p>
        </w:tc>
      </w:tr>
      <w:tr w:rsidR="00815239" w:rsidRPr="00A74D23" w14:paraId="035D8FB0" w14:textId="77777777" w:rsidTr="0073052C">
        <w:trPr>
          <w:trHeight w:val="62"/>
        </w:trPr>
        <w:tc>
          <w:tcPr>
            <w:cnfStyle w:val="001000000000" w:firstRow="0" w:lastRow="0" w:firstColumn="1" w:lastColumn="0" w:oddVBand="0" w:evenVBand="0" w:oddHBand="0" w:evenHBand="0" w:firstRowFirstColumn="0" w:firstRowLastColumn="0" w:lastRowFirstColumn="0" w:lastRowLastColumn="0"/>
            <w:tcW w:w="4248" w:type="dxa"/>
          </w:tcPr>
          <w:p w14:paraId="7C6DC9DC" w14:textId="77777777" w:rsidR="00815239" w:rsidRPr="00A74D23" w:rsidRDefault="00815239" w:rsidP="009D6EE5">
            <w:pPr>
              <w:pStyle w:val="Style1"/>
              <w:numPr>
                <w:ilvl w:val="0"/>
                <w:numId w:val="0"/>
              </w:numPr>
              <w:tabs>
                <w:tab w:val="left" w:pos="426"/>
              </w:tabs>
              <w:spacing w:after="0" w:line="22" w:lineRule="atLeast"/>
              <w:contextualSpacing w:val="0"/>
              <w:jc w:val="both"/>
              <w:rPr>
                <w:rFonts w:cs="Open Sans"/>
                <w:b w:val="0"/>
                <w:bCs w:val="0"/>
                <w:i w:val="0"/>
                <w:iCs w:val="0"/>
                <w:color w:val="000000" w:themeColor="text1"/>
                <w:sz w:val="20"/>
                <w:szCs w:val="20"/>
              </w:rPr>
            </w:pPr>
            <w:r w:rsidRPr="00A74D23">
              <w:rPr>
                <w:rFonts w:cs="Open Sans"/>
                <w:b w:val="0"/>
                <w:bCs w:val="0"/>
                <w:i w:val="0"/>
                <w:iCs w:val="0"/>
                <w:color w:val="000000" w:themeColor="text1"/>
                <w:sz w:val="20"/>
                <w:szCs w:val="20"/>
              </w:rPr>
              <w:t>Abeille Vie</w:t>
            </w:r>
          </w:p>
        </w:tc>
        <w:tc>
          <w:tcPr>
            <w:tcW w:w="5127" w:type="dxa"/>
            <w:tcBorders>
              <w:top w:val="single" w:sz="2" w:space="0" w:color="auto"/>
              <w:bottom w:val="single" w:sz="2" w:space="0" w:color="auto"/>
            </w:tcBorders>
          </w:tcPr>
          <w:p w14:paraId="1AE5F7BB" w14:textId="77777777" w:rsidR="00815239" w:rsidRPr="00A74D23" w:rsidRDefault="00815239" w:rsidP="009D6EE5">
            <w:pPr>
              <w:pStyle w:val="Style1"/>
              <w:numPr>
                <w:ilvl w:val="0"/>
                <w:numId w:val="0"/>
              </w:numPr>
              <w:tabs>
                <w:tab w:val="left" w:pos="426"/>
              </w:tabs>
              <w:spacing w:after="0" w:line="22" w:lineRule="atLeast"/>
              <w:contextualSpacing w:val="0"/>
              <w:jc w:val="both"/>
              <w:cnfStyle w:val="000000000000" w:firstRow="0" w:lastRow="0" w:firstColumn="0" w:lastColumn="0" w:oddVBand="0" w:evenVBand="0" w:oddHBand="0" w:evenHBand="0" w:firstRowFirstColumn="0" w:firstRowLastColumn="0" w:lastRowFirstColumn="0" w:lastRowLastColumn="0"/>
              <w:rPr>
                <w:rFonts w:cs="Open Sans"/>
                <w:i w:val="0"/>
                <w:color w:val="000000" w:themeColor="text1"/>
                <w:sz w:val="20"/>
                <w:szCs w:val="20"/>
              </w:rPr>
            </w:pPr>
            <w:r w:rsidRPr="00A74D23">
              <w:rPr>
                <w:rFonts w:cs="Open Sans"/>
                <w:i w:val="0"/>
                <w:color w:val="000000" w:themeColor="text1"/>
                <w:sz w:val="20"/>
                <w:szCs w:val="20"/>
              </w:rPr>
              <w:t>11,9%</w:t>
            </w:r>
          </w:p>
        </w:tc>
      </w:tr>
      <w:tr w:rsidR="00815239" w:rsidRPr="00A74D23" w14:paraId="78FF9374" w14:textId="77777777" w:rsidTr="0073052C">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tcPr>
          <w:p w14:paraId="375E02BE" w14:textId="77777777" w:rsidR="00815239" w:rsidRPr="00A74D23" w:rsidRDefault="00815239" w:rsidP="009D6EE5">
            <w:pPr>
              <w:pStyle w:val="Style1"/>
              <w:numPr>
                <w:ilvl w:val="0"/>
                <w:numId w:val="0"/>
              </w:numPr>
              <w:tabs>
                <w:tab w:val="left" w:pos="426"/>
              </w:tabs>
              <w:spacing w:after="0" w:line="22" w:lineRule="atLeast"/>
              <w:contextualSpacing w:val="0"/>
              <w:jc w:val="both"/>
              <w:rPr>
                <w:rFonts w:cs="Open Sans"/>
                <w:b w:val="0"/>
                <w:bCs w:val="0"/>
                <w:i w:val="0"/>
                <w:iCs w:val="0"/>
                <w:color w:val="000000" w:themeColor="text1"/>
                <w:sz w:val="20"/>
                <w:szCs w:val="20"/>
              </w:rPr>
            </w:pPr>
            <w:r w:rsidRPr="00A74D23">
              <w:rPr>
                <w:rFonts w:cs="Open Sans"/>
                <w:b w:val="0"/>
                <w:bCs w:val="0"/>
                <w:i w:val="0"/>
                <w:iCs w:val="0"/>
                <w:color w:val="000000" w:themeColor="text1"/>
                <w:sz w:val="20"/>
                <w:szCs w:val="20"/>
              </w:rPr>
              <w:t>Abeille Epargne Retraite</w:t>
            </w:r>
          </w:p>
        </w:tc>
        <w:tc>
          <w:tcPr>
            <w:tcW w:w="5127" w:type="dxa"/>
            <w:tcBorders>
              <w:top w:val="single" w:sz="2" w:space="0" w:color="auto"/>
              <w:bottom w:val="single" w:sz="2" w:space="0" w:color="auto"/>
            </w:tcBorders>
            <w:shd w:val="clear" w:color="auto" w:fill="auto"/>
          </w:tcPr>
          <w:p w14:paraId="2C9C0885" w14:textId="5829F969" w:rsidR="00815239" w:rsidRPr="00A74D23" w:rsidRDefault="0077789D" w:rsidP="009D6EE5">
            <w:pPr>
              <w:pStyle w:val="Style1"/>
              <w:numPr>
                <w:ilvl w:val="0"/>
                <w:numId w:val="0"/>
              </w:numPr>
              <w:tabs>
                <w:tab w:val="left" w:pos="426"/>
              </w:tabs>
              <w:spacing w:after="0" w:line="22" w:lineRule="atLeast"/>
              <w:contextualSpacing w:val="0"/>
              <w:jc w:val="both"/>
              <w:cnfStyle w:val="000000100000" w:firstRow="0" w:lastRow="0" w:firstColumn="0" w:lastColumn="0" w:oddVBand="0" w:evenVBand="0" w:oddHBand="1" w:evenHBand="0" w:firstRowFirstColumn="0" w:firstRowLastColumn="0" w:lastRowFirstColumn="0" w:lastRowLastColumn="0"/>
              <w:rPr>
                <w:rFonts w:cs="Open Sans"/>
                <w:i w:val="0"/>
                <w:color w:val="000000" w:themeColor="text1"/>
                <w:sz w:val="20"/>
                <w:szCs w:val="20"/>
              </w:rPr>
            </w:pPr>
            <w:r w:rsidRPr="00A74D23">
              <w:rPr>
                <w:rFonts w:cs="Open Sans"/>
                <w:i w:val="0"/>
                <w:color w:val="000000" w:themeColor="text1"/>
                <w:sz w:val="20"/>
                <w:szCs w:val="20"/>
              </w:rPr>
              <w:t>12,</w:t>
            </w:r>
            <w:r>
              <w:rPr>
                <w:rFonts w:cs="Open Sans"/>
                <w:i w:val="0"/>
                <w:color w:val="000000" w:themeColor="text1"/>
                <w:sz w:val="20"/>
                <w:szCs w:val="20"/>
              </w:rPr>
              <w:t>2</w:t>
            </w:r>
            <w:r w:rsidRPr="00A74D23">
              <w:rPr>
                <w:rFonts w:cs="Open Sans"/>
                <w:i w:val="0"/>
                <w:color w:val="000000" w:themeColor="text1"/>
                <w:sz w:val="20"/>
                <w:szCs w:val="20"/>
              </w:rPr>
              <w:t>%</w:t>
            </w:r>
          </w:p>
        </w:tc>
      </w:tr>
      <w:tr w:rsidR="00815239" w:rsidRPr="00A74D23" w14:paraId="1699CEAC" w14:textId="77777777" w:rsidTr="0073052C">
        <w:trPr>
          <w:trHeight w:val="99"/>
        </w:trPr>
        <w:tc>
          <w:tcPr>
            <w:cnfStyle w:val="001000000000" w:firstRow="0" w:lastRow="0" w:firstColumn="1" w:lastColumn="0" w:oddVBand="0" w:evenVBand="0" w:oddHBand="0" w:evenHBand="0" w:firstRowFirstColumn="0" w:firstRowLastColumn="0" w:lastRowFirstColumn="0" w:lastRowLastColumn="0"/>
            <w:tcW w:w="4248" w:type="dxa"/>
          </w:tcPr>
          <w:p w14:paraId="7FC8D1BB" w14:textId="77777777" w:rsidR="00815239" w:rsidRPr="00A74D23" w:rsidRDefault="00815239" w:rsidP="009D6EE5">
            <w:pPr>
              <w:pStyle w:val="Style1"/>
              <w:numPr>
                <w:ilvl w:val="0"/>
                <w:numId w:val="0"/>
              </w:numPr>
              <w:tabs>
                <w:tab w:val="left" w:pos="426"/>
              </w:tabs>
              <w:spacing w:after="0" w:line="22" w:lineRule="atLeast"/>
              <w:contextualSpacing w:val="0"/>
              <w:jc w:val="both"/>
              <w:rPr>
                <w:rFonts w:cs="Open Sans"/>
                <w:b w:val="0"/>
                <w:bCs w:val="0"/>
                <w:i w:val="0"/>
                <w:iCs w:val="0"/>
                <w:color w:val="000000" w:themeColor="text1"/>
                <w:sz w:val="20"/>
                <w:szCs w:val="20"/>
              </w:rPr>
            </w:pPr>
            <w:r w:rsidRPr="00A74D23">
              <w:rPr>
                <w:rFonts w:cs="Open Sans"/>
                <w:b w:val="0"/>
                <w:bCs w:val="0"/>
                <w:i w:val="0"/>
                <w:iCs w:val="0"/>
                <w:color w:val="000000" w:themeColor="text1"/>
                <w:sz w:val="20"/>
                <w:szCs w:val="20"/>
              </w:rPr>
              <w:t>Abeille Assurances</w:t>
            </w:r>
          </w:p>
        </w:tc>
        <w:tc>
          <w:tcPr>
            <w:tcW w:w="5127" w:type="dxa"/>
            <w:tcBorders>
              <w:top w:val="single" w:sz="2" w:space="0" w:color="auto"/>
            </w:tcBorders>
          </w:tcPr>
          <w:p w14:paraId="5622F83B" w14:textId="77777777" w:rsidR="00815239" w:rsidRPr="00A74D23" w:rsidRDefault="00815239" w:rsidP="009D6EE5">
            <w:pPr>
              <w:pStyle w:val="Style1"/>
              <w:numPr>
                <w:ilvl w:val="0"/>
                <w:numId w:val="0"/>
              </w:numPr>
              <w:tabs>
                <w:tab w:val="left" w:pos="426"/>
              </w:tabs>
              <w:spacing w:after="0" w:line="22" w:lineRule="atLeast"/>
              <w:contextualSpacing w:val="0"/>
              <w:jc w:val="both"/>
              <w:cnfStyle w:val="000000000000" w:firstRow="0" w:lastRow="0" w:firstColumn="0" w:lastColumn="0" w:oddVBand="0" w:evenVBand="0" w:oddHBand="0" w:evenHBand="0" w:firstRowFirstColumn="0" w:firstRowLastColumn="0" w:lastRowFirstColumn="0" w:lastRowLastColumn="0"/>
              <w:rPr>
                <w:rFonts w:cs="Open Sans"/>
                <w:i w:val="0"/>
                <w:color w:val="000000" w:themeColor="text1"/>
                <w:sz w:val="20"/>
                <w:szCs w:val="20"/>
              </w:rPr>
            </w:pPr>
            <w:r w:rsidRPr="00A74D23">
              <w:rPr>
                <w:rFonts w:cs="Open Sans"/>
                <w:i w:val="0"/>
                <w:color w:val="000000" w:themeColor="text1"/>
                <w:sz w:val="20"/>
                <w:szCs w:val="20"/>
              </w:rPr>
              <w:t>11,9%</w:t>
            </w:r>
          </w:p>
        </w:tc>
      </w:tr>
    </w:tbl>
    <w:p w14:paraId="44644B16" w14:textId="77777777" w:rsidR="00935741" w:rsidRDefault="00935741" w:rsidP="009D6EE5">
      <w:pPr>
        <w:spacing w:line="22" w:lineRule="atLeast"/>
        <w:jc w:val="both"/>
        <w:rPr>
          <w:rFonts w:asciiTheme="minorHAnsi" w:hAnsiTheme="minorHAnsi" w:cs="Open Sans"/>
          <w:b/>
          <w:bCs/>
          <w:i/>
          <w:color w:val="000000" w:themeColor="text1"/>
          <w:sz w:val="20"/>
          <w:lang w:val="fr-FR"/>
        </w:rPr>
      </w:pPr>
      <w:bookmarkStart w:id="40" w:name="_Hlk170079840"/>
    </w:p>
    <w:p w14:paraId="4D48CD99" w14:textId="77777777" w:rsidR="00AF008A" w:rsidRDefault="00AF008A" w:rsidP="009D6EE5">
      <w:pPr>
        <w:spacing w:line="22" w:lineRule="atLeast"/>
        <w:jc w:val="both"/>
        <w:rPr>
          <w:rFonts w:asciiTheme="minorHAnsi" w:hAnsiTheme="minorHAnsi" w:cs="Open Sans"/>
          <w:b/>
          <w:bCs/>
          <w:i/>
          <w:color w:val="000000" w:themeColor="text1"/>
          <w:sz w:val="20"/>
          <w:lang w:val="fr-FR"/>
        </w:rPr>
      </w:pPr>
    </w:p>
    <w:p w14:paraId="0253FD94" w14:textId="77777777" w:rsidR="00AF008A" w:rsidRPr="00A74D23" w:rsidRDefault="00AF008A" w:rsidP="00AF008A">
      <w:pPr>
        <w:pStyle w:val="Style1"/>
        <w:numPr>
          <w:ilvl w:val="0"/>
          <w:numId w:val="0"/>
        </w:numPr>
        <w:tabs>
          <w:tab w:val="left" w:pos="426"/>
        </w:tabs>
        <w:spacing w:before="120" w:line="22" w:lineRule="atLeast"/>
        <w:contextualSpacing w:val="0"/>
        <w:jc w:val="both"/>
        <w:rPr>
          <w:rFonts w:cs="Open Sans"/>
          <w:i w:val="0"/>
          <w:color w:val="000000" w:themeColor="text1"/>
          <w:sz w:val="18"/>
          <w:szCs w:val="18"/>
        </w:rPr>
      </w:pPr>
      <w:r w:rsidRPr="00A74D23">
        <w:rPr>
          <w:noProof/>
        </w:rPr>
        <mc:AlternateContent>
          <mc:Choice Requires="wps">
            <w:drawing>
              <wp:anchor distT="0" distB="0" distL="114300" distR="114300" simplePos="0" relativeHeight="252053504" behindDoc="0" locked="0" layoutInCell="1" allowOverlap="1" wp14:anchorId="07172C0F" wp14:editId="1F01EB1B">
                <wp:simplePos x="0" y="0"/>
                <wp:positionH relativeFrom="column">
                  <wp:posOffset>5179227</wp:posOffset>
                </wp:positionH>
                <wp:positionV relativeFrom="paragraph">
                  <wp:posOffset>405214</wp:posOffset>
                </wp:positionV>
                <wp:extent cx="494030" cy="241935"/>
                <wp:effectExtent l="0" t="0" r="0" b="0"/>
                <wp:wrapNone/>
                <wp:docPr id="329452000" name="ZoneTexte 22"/>
                <wp:cNvGraphicFramePr/>
                <a:graphic xmlns:a="http://schemas.openxmlformats.org/drawingml/2006/main">
                  <a:graphicData uri="http://schemas.microsoft.com/office/word/2010/wordprocessingShape">
                    <wps:wsp>
                      <wps:cNvSpPr txBox="1"/>
                      <wps:spPr>
                        <a:xfrm>
                          <a:off x="0" y="0"/>
                          <a:ext cx="494030" cy="24193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CAC6851" w14:textId="34F54B99" w:rsidR="00AF008A" w:rsidRPr="00DD4290" w:rsidRDefault="002940BF" w:rsidP="00AF008A">
                            <w:pPr>
                              <w:jc w:val="center"/>
                              <w:rPr>
                                <w:rFonts w:ascii="Arial" w:hAnsi="Arial" w:cs="Arial"/>
                                <w:color w:val="000000" w:themeColor="text1"/>
                                <w:sz w:val="18"/>
                                <w:szCs w:val="18"/>
                                <w:lang w:val="fr-FR"/>
                              </w:rPr>
                            </w:pPr>
                            <w:r>
                              <w:rPr>
                                <w:rFonts w:ascii="Arial" w:hAnsi="Arial" w:cs="Arial"/>
                                <w:color w:val="000000" w:themeColor="text1"/>
                                <w:sz w:val="18"/>
                                <w:szCs w:val="18"/>
                                <w:lang w:val="fr-FR"/>
                              </w:rPr>
                              <w:t>420</w:t>
                            </w:r>
                          </w:p>
                        </w:txbxContent>
                      </wps:txbx>
                      <wps:bodyPr vertOverflow="clip" horzOverflow="clip" wrap="none" rtlCol="0" anchor="t">
                        <a:noAutofit/>
                      </wps:bodyPr>
                    </wps:wsp>
                  </a:graphicData>
                </a:graphic>
              </wp:anchor>
            </w:drawing>
          </mc:Choice>
          <mc:Fallback>
            <w:pict>
              <v:shape w14:anchorId="07172C0F" id="ZoneTexte 22" o:spid="_x0000_s1082" type="#_x0000_t202" style="position:absolute;left:0;text-align:left;margin-left:407.8pt;margin-top:31.9pt;width:38.9pt;height:19.05pt;z-index:252053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" filled="f" stroked="f">
                <v:textbox>
                  <w:txbxContent>
                    <w:p w14:paraId="2CAC6851" w14:textId="34F54B99" w:rsidR="00AF008A" w:rsidRPr="00DD4290" w:rsidRDefault="002940BF" w:rsidP="00AF008A">
                      <w:pPr>
                        <w:jc w:val="center"/>
                        <w:rPr>
                          <w:rFonts w:ascii="Arial" w:hAnsi="Arial" w:cs="Arial"/>
                          <w:color w:val="000000" w:themeColor="text1"/>
                          <w:sz w:val="18"/>
                          <w:szCs w:val="18"/>
                          <w:lang w:val="fr-FR"/>
                        </w:rPr>
                      </w:pPr>
                      <w:r>
                        <w:rPr>
                          <w:rFonts w:ascii="Arial" w:hAnsi="Arial" w:cs="Arial"/>
                          <w:color w:val="000000" w:themeColor="text1"/>
                          <w:sz w:val="18"/>
                          <w:szCs w:val="18"/>
                          <w:lang w:val="fr-FR"/>
                        </w:rPr>
                        <w:t>420</w:t>
                      </w:r>
                    </w:p>
                  </w:txbxContent>
                </v:textbox>
              </v:shape>
            </w:pict>
          </mc:Fallback>
        </mc:AlternateContent>
      </w:r>
      <w:r w:rsidRPr="00A74D23">
        <w:rPr>
          <w:noProof/>
        </w:rPr>
        <mc:AlternateContent>
          <mc:Choice Requires="wps">
            <w:drawing>
              <wp:anchor distT="0" distB="0" distL="114300" distR="114300" simplePos="0" relativeHeight="252051456" behindDoc="0" locked="0" layoutInCell="1" allowOverlap="1" wp14:anchorId="27A5325E" wp14:editId="078A0589">
                <wp:simplePos x="0" y="0"/>
                <wp:positionH relativeFrom="column">
                  <wp:posOffset>4114034</wp:posOffset>
                </wp:positionH>
                <wp:positionV relativeFrom="paragraph">
                  <wp:posOffset>310563</wp:posOffset>
                </wp:positionV>
                <wp:extent cx="434340" cy="241135"/>
                <wp:effectExtent l="0" t="0" r="0" b="0"/>
                <wp:wrapNone/>
                <wp:docPr id="19" name="ZoneTexte 18">
                  <a:extLst xmlns:a="http://schemas.openxmlformats.org/drawingml/2006/main">
                    <a:ext uri="{FF2B5EF4-FFF2-40B4-BE49-F238E27FC236}">
                      <a16:creationId xmlns:a16="http://schemas.microsoft.com/office/drawing/2014/main" id="{F7B847C3-94C7-6E3E-B16E-B1B2ADDF5998}"/>
                    </a:ext>
                  </a:extLst>
                </wp:docPr>
                <wp:cNvGraphicFramePr/>
                <a:graphic xmlns:a="http://schemas.openxmlformats.org/drawingml/2006/main">
                  <a:graphicData uri="http://schemas.microsoft.com/office/word/2010/wordprocessingShape">
                    <wps:wsp>
                      <wps:cNvSpPr txBox="1"/>
                      <wps:spPr>
                        <a:xfrm>
                          <a:off x="0" y="0"/>
                          <a:ext cx="434340" cy="24113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D2AB108" w14:textId="77777777" w:rsidR="00AF008A" w:rsidRPr="00050654" w:rsidRDefault="00AF008A" w:rsidP="00AF008A">
                            <w:pPr>
                              <w:jc w:val="center"/>
                              <w:rPr>
                                <w:rFonts w:ascii="Arial" w:hAnsi="Arial" w:cs="Arial"/>
                                <w:color w:val="000000" w:themeColor="text1"/>
                                <w:sz w:val="18"/>
                                <w:szCs w:val="18"/>
                              </w:rPr>
                            </w:pPr>
                            <w:r w:rsidRPr="00050654">
                              <w:rPr>
                                <w:rFonts w:ascii="Arial" w:hAnsi="Arial" w:cs="Arial"/>
                                <w:color w:val="000000" w:themeColor="text1"/>
                                <w:sz w:val="18"/>
                                <w:szCs w:val="18"/>
                              </w:rPr>
                              <w:t>(</w:t>
                            </w:r>
                            <w:r>
                              <w:rPr>
                                <w:rFonts w:ascii="Arial" w:hAnsi="Arial" w:cs="Arial"/>
                                <w:color w:val="000000" w:themeColor="text1"/>
                                <w:sz w:val="18"/>
                                <w:szCs w:val="18"/>
                              </w:rPr>
                              <w:t>31</w:t>
                            </w:r>
                            <w:r w:rsidRPr="00050654">
                              <w:rPr>
                                <w:rFonts w:ascii="Arial" w:hAnsi="Arial" w:cs="Arial"/>
                                <w:color w:val="000000" w:themeColor="text1"/>
                                <w:sz w:val="18"/>
                                <w:szCs w:val="18"/>
                              </w:rPr>
                              <w:t>)</w:t>
                            </w:r>
                          </w:p>
                        </w:txbxContent>
                      </wps:txbx>
                      <wps:bodyPr vertOverflow="clip" horzOverflow="clip" wrap="none" rtlCol="0" anchor="t">
                        <a:noAutofit/>
                      </wps:bodyPr>
                    </wps:wsp>
                  </a:graphicData>
                </a:graphic>
                <wp14:sizeRelV relativeFrom="margin">
                  <wp14:pctHeight>0</wp14:pctHeight>
                </wp14:sizeRelV>
              </wp:anchor>
            </w:drawing>
          </mc:Choice>
          <mc:Fallback>
            <w:pict>
              <v:shape w14:anchorId="27A5325E" id="ZoneTexte 18" o:spid="_x0000_s1083" type="#_x0000_t202" style="position:absolute;left:0;text-align:left;margin-left:323.95pt;margin-top:24.45pt;width:34.2pt;height:19pt;z-index:252051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" filled="f" stroked="f">
                <v:textbox>
                  <w:txbxContent>
                    <w:p w14:paraId="6D2AB108" w14:textId="77777777" w:rsidR="00AF008A" w:rsidRPr="00050654" w:rsidRDefault="00AF008A" w:rsidP="00AF008A">
                      <w:pPr>
                        <w:jc w:val="center"/>
                        <w:rPr>
                          <w:rFonts w:ascii="Arial" w:hAnsi="Arial" w:cs="Arial"/>
                          <w:color w:val="000000" w:themeColor="text1"/>
                          <w:sz w:val="18"/>
                          <w:szCs w:val="18"/>
                        </w:rPr>
                      </w:pPr>
                      <w:r w:rsidRPr="00050654">
                        <w:rPr>
                          <w:rFonts w:ascii="Arial" w:hAnsi="Arial" w:cs="Arial"/>
                          <w:color w:val="000000" w:themeColor="text1"/>
                          <w:sz w:val="18"/>
                          <w:szCs w:val="18"/>
                        </w:rPr>
                        <w:t>(</w:t>
                      </w:r>
                      <w:r>
                        <w:rPr>
                          <w:rFonts w:ascii="Arial" w:hAnsi="Arial" w:cs="Arial"/>
                          <w:color w:val="000000" w:themeColor="text1"/>
                          <w:sz w:val="18"/>
                          <w:szCs w:val="18"/>
                        </w:rPr>
                        <w:t>31</w:t>
                      </w:r>
                      <w:r w:rsidRPr="00050654">
                        <w:rPr>
                          <w:rFonts w:ascii="Arial" w:hAnsi="Arial" w:cs="Arial"/>
                          <w:color w:val="000000" w:themeColor="text1"/>
                          <w:sz w:val="18"/>
                          <w:szCs w:val="18"/>
                        </w:rPr>
                        <w:t>)</w:t>
                      </w:r>
                    </w:p>
                  </w:txbxContent>
                </v:textbox>
              </v:shape>
            </w:pict>
          </mc:Fallback>
        </mc:AlternateContent>
      </w:r>
      <w:r w:rsidRPr="00A74D23">
        <w:rPr>
          <w:noProof/>
        </w:rPr>
        <mc:AlternateContent>
          <mc:Choice Requires="wps">
            <w:drawing>
              <wp:anchor distT="0" distB="0" distL="114300" distR="114300" simplePos="0" relativeHeight="252050432" behindDoc="0" locked="0" layoutInCell="1" allowOverlap="1" wp14:anchorId="550313E3" wp14:editId="721ED15D">
                <wp:simplePos x="0" y="0"/>
                <wp:positionH relativeFrom="margin">
                  <wp:posOffset>3066894</wp:posOffset>
                </wp:positionH>
                <wp:positionV relativeFrom="paragraph">
                  <wp:posOffset>262255</wp:posOffset>
                </wp:positionV>
                <wp:extent cx="443230" cy="210820"/>
                <wp:effectExtent l="0" t="0" r="0" b="0"/>
                <wp:wrapNone/>
                <wp:docPr id="18" name="ZoneTexte 17">
                  <a:extLst xmlns:a="http://schemas.openxmlformats.org/drawingml/2006/main">
                    <a:ext uri="{FF2B5EF4-FFF2-40B4-BE49-F238E27FC236}">
                      <a16:creationId xmlns:a16="http://schemas.microsoft.com/office/drawing/2014/main" id="{65F871E1-730C-F4CC-4984-E27CE41B873E}"/>
                    </a:ext>
                  </a:extLst>
                </wp:docPr>
                <wp:cNvGraphicFramePr/>
                <a:graphic xmlns:a="http://schemas.openxmlformats.org/drawingml/2006/main">
                  <a:graphicData uri="http://schemas.microsoft.com/office/word/2010/wordprocessingShape">
                    <wps:wsp>
                      <wps:cNvSpPr txBox="1"/>
                      <wps:spPr>
                        <a:xfrm>
                          <a:off x="0" y="0"/>
                          <a:ext cx="443230" cy="21082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9D6764C" w14:textId="77777777" w:rsidR="00AF008A" w:rsidRPr="00050654" w:rsidRDefault="00AF008A" w:rsidP="00AF008A">
                            <w:pPr>
                              <w:jc w:val="center"/>
                              <w:rPr>
                                <w:rFonts w:ascii="Arial" w:hAnsi="Arial" w:cs="Arial"/>
                                <w:color w:val="000000" w:themeColor="text1"/>
                                <w:sz w:val="18"/>
                                <w:szCs w:val="18"/>
                              </w:rPr>
                            </w:pPr>
                            <w:r w:rsidRPr="00050654">
                              <w:rPr>
                                <w:rFonts w:ascii="Arial" w:hAnsi="Arial" w:cs="Arial"/>
                                <w:color w:val="000000" w:themeColor="text1"/>
                                <w:sz w:val="18"/>
                                <w:szCs w:val="18"/>
                              </w:rPr>
                              <w:t>(</w:t>
                            </w:r>
                            <w:r>
                              <w:rPr>
                                <w:rFonts w:ascii="Arial" w:hAnsi="Arial" w:cs="Arial"/>
                                <w:color w:val="000000" w:themeColor="text1"/>
                                <w:sz w:val="18"/>
                                <w:szCs w:val="18"/>
                              </w:rPr>
                              <w:t>14</w:t>
                            </w:r>
                            <w:r w:rsidRPr="00050654">
                              <w:rPr>
                                <w:rFonts w:ascii="Arial" w:hAnsi="Arial" w:cs="Arial"/>
                                <w:color w:val="000000" w:themeColor="text1"/>
                                <w:sz w:val="18"/>
                                <w:szCs w:val="18"/>
                              </w:rPr>
                              <w:t>)</w:t>
                            </w:r>
                          </w:p>
                        </w:txbxContent>
                      </wps:txbx>
                      <wps:bodyPr vertOverflow="clip" horzOverflow="clip" wrap="none" rtlCol="0" anchor="t">
                        <a:noAutofit/>
                      </wps:bodyPr>
                    </wps:wsp>
                  </a:graphicData>
                </a:graphic>
              </wp:anchor>
            </w:drawing>
          </mc:Choice>
          <mc:Fallback>
            <w:pict>
              <v:shape w14:anchorId="550313E3" id="ZoneTexte 17" o:spid="_x0000_s1084" type="#_x0000_t202" style="position:absolute;left:0;text-align:left;margin-left:241.5pt;margin-top:20.65pt;width:34.9pt;height:16.6pt;z-index:25205043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" filled="f" stroked="f">
                <v:textbox>
                  <w:txbxContent>
                    <w:p w14:paraId="19D6764C" w14:textId="77777777" w:rsidR="00AF008A" w:rsidRPr="00050654" w:rsidRDefault="00AF008A" w:rsidP="00AF008A">
                      <w:pPr>
                        <w:jc w:val="center"/>
                        <w:rPr>
                          <w:rFonts w:ascii="Arial" w:hAnsi="Arial" w:cs="Arial"/>
                          <w:color w:val="000000" w:themeColor="text1"/>
                          <w:sz w:val="18"/>
                          <w:szCs w:val="18"/>
                        </w:rPr>
                      </w:pPr>
                      <w:r w:rsidRPr="00050654">
                        <w:rPr>
                          <w:rFonts w:ascii="Arial" w:hAnsi="Arial" w:cs="Arial"/>
                          <w:color w:val="000000" w:themeColor="text1"/>
                          <w:sz w:val="18"/>
                          <w:szCs w:val="18"/>
                        </w:rPr>
                        <w:t>(</w:t>
                      </w:r>
                      <w:r>
                        <w:rPr>
                          <w:rFonts w:ascii="Arial" w:hAnsi="Arial" w:cs="Arial"/>
                          <w:color w:val="000000" w:themeColor="text1"/>
                          <w:sz w:val="18"/>
                          <w:szCs w:val="18"/>
                        </w:rPr>
                        <w:t>14</w:t>
                      </w:r>
                      <w:r w:rsidRPr="00050654">
                        <w:rPr>
                          <w:rFonts w:ascii="Arial" w:hAnsi="Arial" w:cs="Arial"/>
                          <w:color w:val="000000" w:themeColor="text1"/>
                          <w:sz w:val="18"/>
                          <w:szCs w:val="18"/>
                        </w:rPr>
                        <w:t>)</w:t>
                      </w:r>
                    </w:p>
                  </w:txbxContent>
                </v:textbox>
                <w10:wrap anchorx="margin"/>
              </v:shape>
            </w:pict>
          </mc:Fallback>
        </mc:AlternateContent>
      </w:r>
      <w:r w:rsidRPr="00A74D23">
        <w:rPr>
          <w:noProof/>
        </w:rPr>
        <mc:AlternateContent>
          <mc:Choice Requires="wps">
            <w:drawing>
              <wp:anchor distT="0" distB="0" distL="114300" distR="114300" simplePos="0" relativeHeight="252049408" behindDoc="0" locked="0" layoutInCell="1" allowOverlap="1" wp14:anchorId="2352DE30" wp14:editId="3D22A597">
                <wp:simplePos x="0" y="0"/>
                <wp:positionH relativeFrom="column">
                  <wp:posOffset>871348</wp:posOffset>
                </wp:positionH>
                <wp:positionV relativeFrom="paragraph">
                  <wp:posOffset>421124</wp:posOffset>
                </wp:positionV>
                <wp:extent cx="494030" cy="241935"/>
                <wp:effectExtent l="0" t="0" r="0" b="0"/>
                <wp:wrapNone/>
                <wp:docPr id="894207495" name="ZoneTexte 22"/>
                <wp:cNvGraphicFramePr/>
                <a:graphic xmlns:a="http://schemas.openxmlformats.org/drawingml/2006/main">
                  <a:graphicData uri="http://schemas.microsoft.com/office/word/2010/wordprocessingShape">
                    <wps:wsp>
                      <wps:cNvSpPr txBox="1"/>
                      <wps:spPr>
                        <a:xfrm>
                          <a:off x="0" y="0"/>
                          <a:ext cx="494030" cy="24193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384F4C9" w14:textId="77777777" w:rsidR="00AF008A" w:rsidRPr="00DD4290" w:rsidRDefault="00AF008A" w:rsidP="00AF008A">
                            <w:pPr>
                              <w:jc w:val="center"/>
                              <w:rPr>
                                <w:rFonts w:ascii="Arial" w:hAnsi="Arial" w:cs="Arial"/>
                                <w:color w:val="000000" w:themeColor="text1"/>
                                <w:sz w:val="18"/>
                                <w:szCs w:val="18"/>
                                <w:lang w:val="fr-FR"/>
                              </w:rPr>
                            </w:pPr>
                            <w:r>
                              <w:rPr>
                                <w:rFonts w:ascii="Arial" w:hAnsi="Arial" w:cs="Arial"/>
                                <w:color w:val="000000" w:themeColor="text1"/>
                                <w:sz w:val="18"/>
                                <w:szCs w:val="18"/>
                                <w:lang w:val="fr-FR"/>
                              </w:rPr>
                              <w:t>402</w:t>
                            </w:r>
                          </w:p>
                        </w:txbxContent>
                      </wps:txbx>
                      <wps:bodyPr vertOverflow="clip" horzOverflow="clip" wrap="none" rtlCol="0" anchor="t">
                        <a:noAutofit/>
                      </wps:bodyPr>
                    </wps:wsp>
                  </a:graphicData>
                </a:graphic>
              </wp:anchor>
            </w:drawing>
          </mc:Choice>
          <mc:Fallback>
            <w:pict>
              <v:shape w14:anchorId="2352DE30" id="_x0000_s1085" type="#_x0000_t202" style="position:absolute;left:0;text-align:left;margin-left:68.6pt;margin-top:33.15pt;width:38.9pt;height:19.05pt;z-index:252049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" filled="f" stroked="f">
                <v:textbox>
                  <w:txbxContent>
                    <w:p w14:paraId="5384F4C9" w14:textId="77777777" w:rsidR="00AF008A" w:rsidRPr="00DD4290" w:rsidRDefault="00AF008A" w:rsidP="00AF008A">
                      <w:pPr>
                        <w:jc w:val="center"/>
                        <w:rPr>
                          <w:rFonts w:ascii="Arial" w:hAnsi="Arial" w:cs="Arial"/>
                          <w:color w:val="000000" w:themeColor="text1"/>
                          <w:sz w:val="18"/>
                          <w:szCs w:val="18"/>
                          <w:lang w:val="fr-FR"/>
                        </w:rPr>
                      </w:pPr>
                      <w:r>
                        <w:rPr>
                          <w:rFonts w:ascii="Arial" w:hAnsi="Arial" w:cs="Arial"/>
                          <w:color w:val="000000" w:themeColor="text1"/>
                          <w:sz w:val="18"/>
                          <w:szCs w:val="18"/>
                          <w:lang w:val="fr-FR"/>
                        </w:rPr>
                        <w:t>402</w:t>
                      </w:r>
                    </w:p>
                  </w:txbxContent>
                </v:textbox>
              </v:shape>
            </w:pict>
          </mc:Fallback>
        </mc:AlternateContent>
      </w:r>
      <w:r w:rsidRPr="00A74D23">
        <w:rPr>
          <w:noProof/>
        </w:rPr>
        <mc:AlternateContent>
          <mc:Choice Requires="wps">
            <w:drawing>
              <wp:anchor distT="0" distB="0" distL="114300" distR="114300" simplePos="0" relativeHeight="252052480" behindDoc="0" locked="0" layoutInCell="1" allowOverlap="1" wp14:anchorId="753756A3" wp14:editId="6703A1AD">
                <wp:simplePos x="0" y="0"/>
                <wp:positionH relativeFrom="column">
                  <wp:posOffset>1996500</wp:posOffset>
                </wp:positionH>
                <wp:positionV relativeFrom="paragraph">
                  <wp:posOffset>261632</wp:posOffset>
                </wp:positionV>
                <wp:extent cx="436880" cy="245110"/>
                <wp:effectExtent l="0" t="0" r="0" b="0"/>
                <wp:wrapNone/>
                <wp:docPr id="20" name="ZoneTexte 19">
                  <a:extLst xmlns:a="http://schemas.openxmlformats.org/drawingml/2006/main">
                    <a:ext uri="{FF2B5EF4-FFF2-40B4-BE49-F238E27FC236}">
                      <a16:creationId xmlns:a16="http://schemas.microsoft.com/office/drawing/2014/main" id="{C32C21EC-53A8-F5DE-AE9C-C08C2D4515E0}"/>
                    </a:ext>
                  </a:extLst>
                </wp:docPr>
                <wp:cNvGraphicFramePr/>
                <a:graphic xmlns:a="http://schemas.openxmlformats.org/drawingml/2006/main">
                  <a:graphicData uri="http://schemas.microsoft.com/office/word/2010/wordprocessingShape">
                    <wps:wsp>
                      <wps:cNvSpPr txBox="1"/>
                      <wps:spPr>
                        <a:xfrm>
                          <a:off x="0" y="0"/>
                          <a:ext cx="436880" cy="24511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EAF9F2F" w14:textId="77777777" w:rsidR="00AF008A" w:rsidRPr="00DD4290" w:rsidRDefault="00AF008A" w:rsidP="00AF008A">
                            <w:pPr>
                              <w:jc w:val="center"/>
                              <w:rPr>
                                <w:rFonts w:ascii="Arial" w:eastAsia="Source Sans Pro" w:hAnsi="Arial" w:cs="Arial"/>
                                <w:color w:val="000000" w:themeColor="text1"/>
                                <w:sz w:val="18"/>
                                <w:szCs w:val="18"/>
                                <w:lang w:val="fr-FR"/>
                              </w:rPr>
                            </w:pPr>
                            <w:r>
                              <w:rPr>
                                <w:rFonts w:ascii="Arial" w:eastAsia="Source Sans Pro" w:hAnsi="Arial" w:cs="Arial"/>
                                <w:color w:val="000000" w:themeColor="text1"/>
                                <w:sz w:val="18"/>
                                <w:szCs w:val="18"/>
                                <w:lang w:val="fr-FR"/>
                              </w:rPr>
                              <w:t>63</w:t>
                            </w:r>
                          </w:p>
                        </w:txbxContent>
                      </wps:txbx>
                      <wps:bodyPr vertOverflow="clip" horzOverflow="clip" wrap="none" rtlCol="0" anchor="t">
                        <a:noAutofit/>
                      </wps:bodyPr>
                    </wps:wsp>
                  </a:graphicData>
                </a:graphic>
                <wp14:sizeRelV relativeFrom="margin">
                  <wp14:pctHeight>0</wp14:pctHeight>
                </wp14:sizeRelV>
              </wp:anchor>
            </w:drawing>
          </mc:Choice>
          <mc:Fallback>
            <w:pict>
              <v:shape w14:anchorId="753756A3" id="ZoneTexte 19" o:spid="_x0000_s1086" type="#_x0000_t202" style="position:absolute;left:0;text-align:left;margin-left:157.2pt;margin-top:20.6pt;width:34.4pt;height:19.3pt;z-index:2520524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" filled="f" stroked="f">
                <v:textbox>
                  <w:txbxContent>
                    <w:p w14:paraId="2EAF9F2F" w14:textId="77777777" w:rsidR="00AF008A" w:rsidRPr="00DD4290" w:rsidRDefault="00AF008A" w:rsidP="00AF008A">
                      <w:pPr>
                        <w:jc w:val="center"/>
                        <w:rPr>
                          <w:rFonts w:ascii="Arial" w:eastAsia="Source Sans Pro" w:hAnsi="Arial" w:cs="Arial"/>
                          <w:color w:val="000000" w:themeColor="text1"/>
                          <w:sz w:val="18"/>
                          <w:szCs w:val="18"/>
                          <w:lang w:val="fr-FR"/>
                        </w:rPr>
                      </w:pPr>
                      <w:r>
                        <w:rPr>
                          <w:rFonts w:ascii="Arial" w:eastAsia="Source Sans Pro" w:hAnsi="Arial" w:cs="Arial"/>
                          <w:color w:val="000000" w:themeColor="text1"/>
                          <w:sz w:val="18"/>
                          <w:szCs w:val="18"/>
                          <w:lang w:val="fr-FR"/>
                        </w:rPr>
                        <w:t>63</w:t>
                      </w:r>
                    </w:p>
                  </w:txbxContent>
                </v:textbox>
              </v:shape>
            </w:pict>
          </mc:Fallback>
        </mc:AlternateContent>
      </w:r>
      <w:r>
        <w:rPr>
          <w:noProof/>
        </w:rPr>
        <w:drawing>
          <wp:inline distT="0" distB="0" distL="0" distR="0" wp14:anchorId="115E4A6F" wp14:editId="17086B2D">
            <wp:extent cx="6300470" cy="2751826"/>
            <wp:effectExtent l="0" t="0" r="5080" b="10795"/>
            <wp:docPr id="1602776917" name="Graphique 1">
              <a:extLst xmlns:a="http://schemas.openxmlformats.org/drawingml/2006/main">
                <a:ext uri="{FF2B5EF4-FFF2-40B4-BE49-F238E27FC236}">
                  <a16:creationId xmlns:a16="http://schemas.microsoft.com/office/drawing/2014/main" id="{10FE72BD-D70E-1E63-D42B-728EFB6DF9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Pr="00A74D23">
        <w:rPr>
          <w:noProof/>
        </w:rPr>
        <mc:AlternateContent>
          <mc:Choice Requires="wps">
            <w:drawing>
              <wp:anchor distT="0" distB="0" distL="114300" distR="114300" simplePos="0" relativeHeight="252048384" behindDoc="0" locked="0" layoutInCell="1" allowOverlap="1" wp14:anchorId="45E1DC39" wp14:editId="04CA404A">
                <wp:simplePos x="0" y="0"/>
                <wp:positionH relativeFrom="column">
                  <wp:posOffset>6678295</wp:posOffset>
                </wp:positionH>
                <wp:positionV relativeFrom="paragraph">
                  <wp:posOffset>234950</wp:posOffset>
                </wp:positionV>
                <wp:extent cx="494030" cy="241935"/>
                <wp:effectExtent l="0" t="0" r="0" b="0"/>
                <wp:wrapNone/>
                <wp:docPr id="1289838359" name="ZoneTexte 21"/>
                <wp:cNvGraphicFramePr/>
                <a:graphic xmlns:a="http://schemas.openxmlformats.org/drawingml/2006/main">
                  <a:graphicData uri="http://schemas.microsoft.com/office/word/2010/wordprocessingShape">
                    <wps:wsp>
                      <wps:cNvSpPr txBox="1"/>
                      <wps:spPr>
                        <a:xfrm>
                          <a:off x="0" y="0"/>
                          <a:ext cx="494030" cy="24193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27A9196" w14:textId="77777777" w:rsidR="00AF008A" w:rsidRPr="00AE2919" w:rsidRDefault="00AF008A" w:rsidP="00AF008A">
                            <w:pPr>
                              <w:jc w:val="center"/>
                              <w:rPr>
                                <w:rFonts w:ascii="Arial" w:hAnsi="Arial" w:cs="Arial"/>
                                <w:color w:val="FFFFFF" w:themeColor="background1"/>
                                <w:sz w:val="18"/>
                                <w:szCs w:val="18"/>
                              </w:rPr>
                            </w:pPr>
                            <w:r w:rsidRPr="00AE2919">
                              <w:rPr>
                                <w:rFonts w:ascii="Arial" w:hAnsi="Arial" w:cs="Arial"/>
                                <w:color w:val="FFFFFF" w:themeColor="background1"/>
                                <w:sz w:val="18"/>
                                <w:szCs w:val="18"/>
                              </w:rPr>
                              <w:t>6 547</w:t>
                            </w:r>
                          </w:p>
                        </w:txbxContent>
                      </wps:txbx>
                      <wps:bodyPr vertOverflow="clip" horzOverflow="clip" wrap="none" rtlCol="0" anchor="t">
                        <a:noAutofit/>
                      </wps:bodyPr>
                    </wps:wsp>
                  </a:graphicData>
                </a:graphic>
              </wp:anchor>
            </w:drawing>
          </mc:Choice>
          <mc:Fallback>
            <w:pict>
              <v:shape w14:anchorId="45E1DC39" id="ZoneTexte 21" o:spid="_x0000_s1087" type="#_x0000_t202" style="position:absolute;left:0;text-align:left;margin-left:525.85pt;margin-top:18.5pt;width:38.9pt;height:19.05pt;z-index:252048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" filled="f" stroked="f">
                <v:textbox>
                  <w:txbxContent>
                    <w:p w14:paraId="227A9196" w14:textId="77777777" w:rsidR="00AF008A" w:rsidRPr="00AE2919" w:rsidRDefault="00AF008A" w:rsidP="00AF008A">
                      <w:pPr>
                        <w:jc w:val="center"/>
                        <w:rPr>
                          <w:rFonts w:ascii="Arial" w:hAnsi="Arial" w:cs="Arial"/>
                          <w:color w:val="FFFFFF" w:themeColor="background1"/>
                          <w:sz w:val="18"/>
                          <w:szCs w:val="18"/>
                        </w:rPr>
                      </w:pPr>
                      <w:r w:rsidRPr="00AE2919">
                        <w:rPr>
                          <w:rFonts w:ascii="Arial" w:hAnsi="Arial" w:cs="Arial"/>
                          <w:color w:val="FFFFFF" w:themeColor="background1"/>
                          <w:sz w:val="18"/>
                          <w:szCs w:val="18"/>
                        </w:rPr>
                        <w:t>6 547</w:t>
                      </w:r>
                    </w:p>
                  </w:txbxContent>
                </v:textbox>
              </v:shape>
            </w:pict>
          </mc:Fallback>
        </mc:AlternateContent>
      </w:r>
    </w:p>
    <w:p w14:paraId="6B33C212" w14:textId="77777777" w:rsidR="00AF008A" w:rsidRPr="00A74D23" w:rsidRDefault="00AF008A" w:rsidP="00AF008A">
      <w:pPr>
        <w:spacing w:line="22" w:lineRule="atLeast"/>
        <w:jc w:val="both"/>
        <w:rPr>
          <w:rFonts w:asciiTheme="minorHAnsi" w:hAnsiTheme="minorHAnsi" w:cs="Open Sans"/>
          <w:color w:val="000000" w:themeColor="text1"/>
          <w:sz w:val="18"/>
          <w:szCs w:val="18"/>
          <w:lang w:val="fr-FR"/>
        </w:rPr>
      </w:pPr>
      <w:r w:rsidRPr="00A74D23">
        <w:rPr>
          <w:rFonts w:asciiTheme="minorHAnsi" w:hAnsiTheme="minorHAnsi" w:cs="Open Sans"/>
          <w:color w:val="000000" w:themeColor="text1"/>
          <w:sz w:val="18"/>
          <w:szCs w:val="18"/>
          <w:lang w:val="fr-FR"/>
        </w:rPr>
        <w:t xml:space="preserve">Périmètre : Fonds général </w:t>
      </w:r>
      <w:r>
        <w:rPr>
          <w:rFonts w:asciiTheme="minorHAnsi" w:hAnsiTheme="minorHAnsi" w:cs="Open Sans"/>
          <w:color w:val="000000" w:themeColor="text1"/>
          <w:sz w:val="18"/>
          <w:szCs w:val="18"/>
          <w:lang w:val="fr-FR"/>
        </w:rPr>
        <w:t>d’Abeille Retraite Professionnelle</w:t>
      </w:r>
      <w:r w:rsidRPr="00A74D23">
        <w:rPr>
          <w:rFonts w:asciiTheme="minorHAnsi" w:hAnsiTheme="minorHAnsi" w:cs="Open Sans"/>
          <w:color w:val="000000" w:themeColor="text1"/>
          <w:sz w:val="18"/>
          <w:szCs w:val="18"/>
          <w:lang w:val="fr-FR"/>
        </w:rPr>
        <w:t xml:space="preserve"> (titres détenus en direct et OPC transparisés), au 31/12/2025</w:t>
      </w:r>
    </w:p>
    <w:p w14:paraId="3BA92C4B" w14:textId="77777777" w:rsidR="00AF008A" w:rsidRPr="00A74D23" w:rsidRDefault="00AF008A" w:rsidP="00AF008A">
      <w:pPr>
        <w:spacing w:line="22" w:lineRule="atLeast"/>
        <w:jc w:val="both"/>
        <w:rPr>
          <w:rFonts w:asciiTheme="minorHAnsi" w:hAnsiTheme="minorHAnsi" w:cs="Open Sans"/>
          <w:color w:val="000000" w:themeColor="text1"/>
          <w:sz w:val="18"/>
          <w:szCs w:val="18"/>
          <w:lang w:val="fr-FR"/>
        </w:rPr>
      </w:pPr>
      <w:r w:rsidRPr="00A74D23">
        <w:rPr>
          <w:rFonts w:asciiTheme="minorHAnsi" w:hAnsiTheme="minorHAnsi" w:cs="Open Sans"/>
          <w:color w:val="000000" w:themeColor="text1"/>
          <w:sz w:val="18"/>
          <w:szCs w:val="18"/>
          <w:lang w:val="fr-FR"/>
        </w:rPr>
        <w:t xml:space="preserve">Source : Abeille Assurances </w:t>
      </w:r>
    </w:p>
    <w:p w14:paraId="64151E79" w14:textId="77777777" w:rsidR="00AF008A" w:rsidRPr="00A74D23" w:rsidRDefault="00AF008A" w:rsidP="00AF008A">
      <w:pPr>
        <w:pStyle w:val="Style1"/>
        <w:numPr>
          <w:ilvl w:val="0"/>
          <w:numId w:val="0"/>
        </w:numPr>
        <w:tabs>
          <w:tab w:val="left" w:pos="426"/>
        </w:tabs>
        <w:spacing w:before="120" w:line="22" w:lineRule="atLeast"/>
        <w:contextualSpacing w:val="0"/>
        <w:jc w:val="both"/>
        <w:rPr>
          <w:rFonts w:cs="Open Sans"/>
          <w:i w:val="0"/>
          <w:color w:val="000000" w:themeColor="text1"/>
          <w:sz w:val="18"/>
          <w:szCs w:val="18"/>
        </w:rPr>
      </w:pPr>
    </w:p>
    <w:p w14:paraId="193EF102" w14:textId="77777777" w:rsidR="00AF008A" w:rsidRPr="00A74D23" w:rsidRDefault="00AF008A" w:rsidP="00AF008A">
      <w:pPr>
        <w:pStyle w:val="Style1"/>
        <w:numPr>
          <w:ilvl w:val="0"/>
          <w:numId w:val="0"/>
        </w:numPr>
        <w:tabs>
          <w:tab w:val="left" w:pos="426"/>
        </w:tabs>
        <w:spacing w:before="120" w:line="22" w:lineRule="atLeast"/>
        <w:contextualSpacing w:val="0"/>
        <w:jc w:val="both"/>
        <w:rPr>
          <w:rFonts w:cs="Open Sans"/>
          <w:i w:val="0"/>
          <w:color w:val="000000" w:themeColor="text1"/>
          <w:sz w:val="18"/>
          <w:szCs w:val="18"/>
        </w:rPr>
      </w:pPr>
      <w:r w:rsidRPr="00A74D23">
        <w:rPr>
          <w:rFonts w:cs="Open Sans"/>
          <w:i w:val="0"/>
          <w:noProof/>
          <w:color w:val="000000" w:themeColor="text1"/>
          <w:sz w:val="18"/>
          <w:szCs w:val="18"/>
        </w:rPr>
        <mc:AlternateContent>
          <mc:Choice Requires="wps">
            <w:drawing>
              <wp:anchor distT="0" distB="0" distL="114300" distR="114300" simplePos="0" relativeHeight="252047360" behindDoc="0" locked="0" layoutInCell="1" allowOverlap="1" wp14:anchorId="5E111898" wp14:editId="50E96485">
                <wp:simplePos x="0" y="0"/>
                <wp:positionH relativeFrom="margin">
                  <wp:align>left</wp:align>
                </wp:positionH>
                <wp:positionV relativeFrom="paragraph">
                  <wp:posOffset>53555</wp:posOffset>
                </wp:positionV>
                <wp:extent cx="6038215" cy="2122098"/>
                <wp:effectExtent l="0" t="0" r="635" b="0"/>
                <wp:wrapNone/>
                <wp:docPr id="263518329" name="Rectangle 2"/>
                <wp:cNvGraphicFramePr/>
                <a:graphic xmlns:a="http://schemas.openxmlformats.org/drawingml/2006/main">
                  <a:graphicData uri="http://schemas.microsoft.com/office/word/2010/wordprocessingShape">
                    <wps:wsp>
                      <wps:cNvSpPr/>
                      <wps:spPr>
                        <a:xfrm>
                          <a:off x="0" y="0"/>
                          <a:ext cx="6038215" cy="2122098"/>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2FF438" w14:textId="77777777" w:rsidR="00AF008A" w:rsidRDefault="00AF008A" w:rsidP="00AF008A">
                            <w:pPr>
                              <w:rPr>
                                <w:rFonts w:asciiTheme="minorHAnsi" w:hAnsiTheme="minorHAnsi"/>
                                <w:b/>
                                <w:bCs/>
                                <w:color w:val="000000" w:themeColor="text1"/>
                                <w:sz w:val="20"/>
                                <w:szCs w:val="20"/>
                                <w:lang w:val="fr-FR"/>
                              </w:rPr>
                            </w:pPr>
                            <w:r w:rsidRPr="00422DC9">
                              <w:rPr>
                                <w:rFonts w:asciiTheme="minorHAnsi" w:hAnsiTheme="minorHAnsi"/>
                                <w:b/>
                                <w:bCs/>
                                <w:color w:val="000000" w:themeColor="text1"/>
                                <w:sz w:val="20"/>
                                <w:szCs w:val="20"/>
                                <w:lang w:val="fr-FR"/>
                              </w:rPr>
                              <w:t xml:space="preserve">À fin 2025, le total des actifs </w:t>
                            </w:r>
                            <w:r>
                              <w:rPr>
                                <w:rFonts w:asciiTheme="minorHAnsi" w:hAnsiTheme="minorHAnsi"/>
                                <w:b/>
                                <w:bCs/>
                                <w:color w:val="000000" w:themeColor="text1"/>
                                <w:sz w:val="20"/>
                                <w:szCs w:val="20"/>
                                <w:lang w:val="fr-FR"/>
                              </w:rPr>
                              <w:t>durables</w:t>
                            </w:r>
                            <w:r w:rsidRPr="00422DC9">
                              <w:rPr>
                                <w:rFonts w:asciiTheme="minorHAnsi" w:hAnsiTheme="minorHAnsi"/>
                                <w:b/>
                                <w:bCs/>
                                <w:color w:val="000000" w:themeColor="text1"/>
                                <w:sz w:val="20"/>
                                <w:szCs w:val="20"/>
                                <w:lang w:val="fr-FR"/>
                              </w:rPr>
                              <w:t xml:space="preserve"> en portefeuille d’Abeille Assurances s’élève à 6,5 milliards d’euros, représentant 11,9 % des actifs d’Abeille Assurances hors unités de compte. Sur l’année, 787 M€ d’investissements bruts ont été réalisés, dépassant ainsi l’objectif annuel fixé à </w:t>
                            </w:r>
                            <w:r>
                              <w:rPr>
                                <w:rFonts w:asciiTheme="minorHAnsi" w:hAnsiTheme="minorHAnsi"/>
                                <w:b/>
                                <w:bCs/>
                                <w:color w:val="000000" w:themeColor="text1"/>
                                <w:sz w:val="20"/>
                                <w:szCs w:val="20"/>
                                <w:lang w:val="fr-FR"/>
                              </w:rPr>
                              <w:t>5</w:t>
                            </w:r>
                            <w:r w:rsidRPr="00422DC9">
                              <w:rPr>
                                <w:rFonts w:asciiTheme="minorHAnsi" w:hAnsiTheme="minorHAnsi"/>
                                <w:b/>
                                <w:bCs/>
                                <w:color w:val="000000" w:themeColor="text1"/>
                                <w:sz w:val="20"/>
                                <w:szCs w:val="20"/>
                                <w:lang w:val="fr-FR"/>
                              </w:rPr>
                              <w:t>00 M€.</w:t>
                            </w:r>
                            <w:r>
                              <w:rPr>
                                <w:rFonts w:asciiTheme="minorHAnsi" w:hAnsiTheme="minorHAnsi"/>
                                <w:b/>
                                <w:bCs/>
                                <w:color w:val="000000" w:themeColor="text1"/>
                                <w:sz w:val="20"/>
                                <w:szCs w:val="20"/>
                                <w:lang w:val="fr-FR"/>
                              </w:rPr>
                              <w:t xml:space="preserve"> </w:t>
                            </w:r>
                          </w:p>
                          <w:p w14:paraId="71B8E22E" w14:textId="77777777" w:rsidR="00AF008A" w:rsidRDefault="00AF008A" w:rsidP="00AF008A">
                            <w:pPr>
                              <w:rPr>
                                <w:rFonts w:asciiTheme="minorHAnsi" w:hAnsiTheme="minorHAnsi"/>
                                <w:b/>
                                <w:bCs/>
                                <w:color w:val="000000" w:themeColor="text1"/>
                                <w:sz w:val="20"/>
                                <w:szCs w:val="20"/>
                                <w:lang w:val="fr-FR"/>
                              </w:rPr>
                            </w:pPr>
                          </w:p>
                          <w:p w14:paraId="5CC9F6BF" w14:textId="77777777" w:rsidR="00AF008A" w:rsidRDefault="00AF008A" w:rsidP="00AF008A">
                            <w:pPr>
                              <w:rPr>
                                <w:rFonts w:asciiTheme="minorHAnsi" w:hAnsiTheme="minorHAnsi"/>
                                <w:b/>
                                <w:bCs/>
                                <w:color w:val="000000" w:themeColor="text1"/>
                                <w:sz w:val="20"/>
                                <w:szCs w:val="20"/>
                                <w:lang w:val="fr-FR"/>
                              </w:rPr>
                            </w:pPr>
                            <w:r w:rsidRPr="00422DC9">
                              <w:rPr>
                                <w:rFonts w:asciiTheme="minorHAnsi" w:hAnsiTheme="minorHAnsi"/>
                                <w:b/>
                                <w:bCs/>
                                <w:color w:val="000000" w:themeColor="text1"/>
                                <w:sz w:val="20"/>
                                <w:szCs w:val="20"/>
                                <w:lang w:val="fr-FR"/>
                              </w:rPr>
                              <w:t>Par ailleurs, la définition de l’investissement durable a été significativement renforcée, témoignant d’une exigence accrue sur les enjeux de durabilité par rapport à l’ancienne définition. À titre de comparaison, selon cette précédente définition, la part d’investissements durables en 2025 aurait atteint 14,4 % des actifs d’Abeille Assurances hors unités de compte. </w:t>
                            </w:r>
                          </w:p>
                          <w:p w14:paraId="4B0BD6ED" w14:textId="77777777" w:rsidR="00AF008A" w:rsidRDefault="00AF008A" w:rsidP="00AF008A">
                            <w:pPr>
                              <w:rPr>
                                <w:rFonts w:asciiTheme="minorHAnsi" w:hAnsiTheme="minorHAnsi"/>
                                <w:b/>
                                <w:bCs/>
                                <w:color w:val="000000" w:themeColor="text1"/>
                                <w:sz w:val="20"/>
                                <w:szCs w:val="20"/>
                                <w:lang w:val="fr-FR"/>
                              </w:rPr>
                            </w:pPr>
                          </w:p>
                          <w:p w14:paraId="20411E43" w14:textId="3DA6D87D" w:rsidR="00AF008A" w:rsidRDefault="00AF008A" w:rsidP="00AF008A">
                            <w:pPr>
                              <w:rPr>
                                <w:rFonts w:asciiTheme="minorHAnsi" w:hAnsiTheme="minorHAnsi"/>
                                <w:b/>
                                <w:bCs/>
                                <w:color w:val="000000" w:themeColor="text1"/>
                                <w:sz w:val="20"/>
                                <w:szCs w:val="20"/>
                                <w:lang w:val="fr-FR"/>
                              </w:rPr>
                            </w:pPr>
                            <w:r w:rsidRPr="00422DC9">
                              <w:rPr>
                                <w:rFonts w:asciiTheme="minorHAnsi" w:hAnsiTheme="minorHAnsi"/>
                                <w:b/>
                                <w:bCs/>
                                <w:color w:val="000000" w:themeColor="text1"/>
                                <w:sz w:val="20"/>
                                <w:szCs w:val="20"/>
                                <w:lang w:val="fr-FR"/>
                              </w:rPr>
                              <w:t xml:space="preserve">À fin 2025, le total des actifs </w:t>
                            </w:r>
                            <w:r>
                              <w:rPr>
                                <w:rFonts w:asciiTheme="minorHAnsi" w:hAnsiTheme="minorHAnsi"/>
                                <w:b/>
                                <w:bCs/>
                                <w:color w:val="000000" w:themeColor="text1"/>
                                <w:sz w:val="20"/>
                                <w:szCs w:val="20"/>
                                <w:lang w:val="fr-FR"/>
                              </w:rPr>
                              <w:t>durables</w:t>
                            </w:r>
                            <w:r w:rsidRPr="00422DC9">
                              <w:rPr>
                                <w:rFonts w:asciiTheme="minorHAnsi" w:hAnsiTheme="minorHAnsi"/>
                                <w:b/>
                                <w:bCs/>
                                <w:color w:val="000000" w:themeColor="text1"/>
                                <w:sz w:val="20"/>
                                <w:szCs w:val="20"/>
                                <w:lang w:val="fr-FR"/>
                              </w:rPr>
                              <w:t xml:space="preserve"> en portefeuille </w:t>
                            </w:r>
                            <w:r w:rsidRPr="00DD4290">
                              <w:rPr>
                                <w:rFonts w:asciiTheme="minorHAnsi" w:hAnsiTheme="minorHAnsi"/>
                                <w:b/>
                                <w:bCs/>
                                <w:color w:val="000000" w:themeColor="text1"/>
                                <w:sz w:val="20"/>
                                <w:szCs w:val="20"/>
                                <w:u w:val="single"/>
                                <w:lang w:val="fr-FR"/>
                              </w:rPr>
                              <w:t>d’Abeille Retraite Professionnelle</w:t>
                            </w:r>
                            <w:r w:rsidRPr="00422DC9">
                              <w:rPr>
                                <w:rFonts w:asciiTheme="minorHAnsi" w:hAnsiTheme="minorHAnsi"/>
                                <w:b/>
                                <w:bCs/>
                                <w:color w:val="000000" w:themeColor="text1"/>
                                <w:sz w:val="20"/>
                                <w:szCs w:val="20"/>
                                <w:lang w:val="fr-FR"/>
                              </w:rPr>
                              <w:t xml:space="preserve"> s’élève à </w:t>
                            </w:r>
                            <w:r w:rsidR="002940BF">
                              <w:rPr>
                                <w:rFonts w:asciiTheme="minorHAnsi" w:hAnsiTheme="minorHAnsi"/>
                                <w:b/>
                                <w:bCs/>
                                <w:color w:val="000000" w:themeColor="text1"/>
                                <w:sz w:val="20"/>
                                <w:szCs w:val="20"/>
                                <w:lang w:val="fr-FR"/>
                              </w:rPr>
                              <w:t xml:space="preserve">420 </w:t>
                            </w:r>
                            <w:r>
                              <w:rPr>
                                <w:rFonts w:asciiTheme="minorHAnsi" w:hAnsiTheme="minorHAnsi"/>
                                <w:b/>
                                <w:bCs/>
                                <w:color w:val="000000" w:themeColor="text1"/>
                                <w:sz w:val="20"/>
                                <w:szCs w:val="20"/>
                                <w:lang w:val="fr-FR"/>
                              </w:rPr>
                              <w:t xml:space="preserve">millions </w:t>
                            </w:r>
                            <w:r w:rsidRPr="00422DC9">
                              <w:rPr>
                                <w:rFonts w:asciiTheme="minorHAnsi" w:hAnsiTheme="minorHAnsi"/>
                                <w:b/>
                                <w:bCs/>
                                <w:color w:val="000000" w:themeColor="text1"/>
                                <w:sz w:val="20"/>
                                <w:szCs w:val="20"/>
                                <w:lang w:val="fr-FR"/>
                              </w:rPr>
                              <w:t>d’euros, représentant 1</w:t>
                            </w:r>
                            <w:r>
                              <w:rPr>
                                <w:rFonts w:asciiTheme="minorHAnsi" w:hAnsiTheme="minorHAnsi"/>
                                <w:b/>
                                <w:bCs/>
                                <w:color w:val="000000" w:themeColor="text1"/>
                                <w:sz w:val="20"/>
                                <w:szCs w:val="20"/>
                                <w:lang w:val="fr-FR"/>
                              </w:rPr>
                              <w:t>0,5</w:t>
                            </w:r>
                            <w:r w:rsidRPr="00422DC9">
                              <w:rPr>
                                <w:rFonts w:asciiTheme="minorHAnsi" w:hAnsiTheme="minorHAnsi"/>
                                <w:b/>
                                <w:bCs/>
                                <w:color w:val="000000" w:themeColor="text1"/>
                                <w:sz w:val="20"/>
                                <w:szCs w:val="20"/>
                                <w:lang w:val="fr-FR"/>
                              </w:rPr>
                              <w:t xml:space="preserve"> % des actifs </w:t>
                            </w:r>
                            <w:r w:rsidRPr="00DD4290">
                              <w:rPr>
                                <w:rFonts w:asciiTheme="minorHAnsi" w:hAnsiTheme="minorHAnsi"/>
                                <w:b/>
                                <w:bCs/>
                                <w:color w:val="000000" w:themeColor="text1"/>
                                <w:sz w:val="20"/>
                                <w:szCs w:val="20"/>
                                <w:u w:val="single"/>
                                <w:lang w:val="fr-FR"/>
                              </w:rPr>
                              <w:t>d’Abeille Retraite Professionnelle</w:t>
                            </w:r>
                            <w:r w:rsidRPr="00422DC9">
                              <w:rPr>
                                <w:rFonts w:asciiTheme="minorHAnsi" w:hAnsiTheme="minorHAnsi"/>
                                <w:b/>
                                <w:bCs/>
                                <w:color w:val="000000" w:themeColor="text1"/>
                                <w:sz w:val="20"/>
                                <w:szCs w:val="20"/>
                                <w:lang w:val="fr-FR"/>
                              </w:rPr>
                              <w:t xml:space="preserve"> hors unités de compte. Sur l’année, </w:t>
                            </w:r>
                            <w:r>
                              <w:rPr>
                                <w:rFonts w:asciiTheme="minorHAnsi" w:hAnsiTheme="minorHAnsi"/>
                                <w:b/>
                                <w:bCs/>
                                <w:color w:val="000000" w:themeColor="text1"/>
                                <w:sz w:val="20"/>
                                <w:szCs w:val="20"/>
                                <w:lang w:val="fr-FR"/>
                              </w:rPr>
                              <w:t>63</w:t>
                            </w:r>
                            <w:r w:rsidRPr="00422DC9">
                              <w:rPr>
                                <w:rFonts w:asciiTheme="minorHAnsi" w:hAnsiTheme="minorHAnsi"/>
                                <w:b/>
                                <w:bCs/>
                                <w:color w:val="000000" w:themeColor="text1"/>
                                <w:sz w:val="20"/>
                                <w:szCs w:val="20"/>
                                <w:lang w:val="fr-FR"/>
                              </w:rPr>
                              <w:t> M€ d’investissements bruts ont été réalisés</w:t>
                            </w:r>
                            <w:r>
                              <w:rPr>
                                <w:rFonts w:asciiTheme="minorHAnsi" w:hAnsiTheme="minorHAnsi"/>
                                <w:b/>
                                <w:bCs/>
                                <w:color w:val="000000" w:themeColor="text1"/>
                                <w:sz w:val="20"/>
                                <w:szCs w:val="20"/>
                                <w:lang w:val="fr-FR"/>
                              </w:rPr>
                              <w:t>.</w:t>
                            </w:r>
                          </w:p>
                          <w:p w14:paraId="7D32B3D9" w14:textId="77777777" w:rsidR="00AF008A" w:rsidRPr="00422DC9" w:rsidRDefault="00AF008A" w:rsidP="00AF008A">
                            <w:pPr>
                              <w:rPr>
                                <w:rFonts w:asciiTheme="minorHAnsi" w:hAnsiTheme="minorHAnsi"/>
                                <w:b/>
                                <w:bCs/>
                                <w:color w:val="000000" w:themeColor="text1"/>
                                <w:sz w:val="20"/>
                                <w:szCs w:val="20"/>
                                <w:lang w:val="fr-FR"/>
                              </w:rPr>
                            </w:pPr>
                          </w:p>
                          <w:p w14:paraId="1D2A7EED" w14:textId="77777777" w:rsidR="00AF008A" w:rsidRPr="00422DC9" w:rsidRDefault="00AF008A" w:rsidP="00AF008A">
                            <w:pPr>
                              <w:rPr>
                                <w:rFonts w:asciiTheme="minorHAnsi" w:hAnsiTheme="minorHAnsi"/>
                                <w:b/>
                                <w:bCs/>
                                <w:color w:val="000000" w:themeColor="text1"/>
                                <w:sz w:val="20"/>
                                <w:szCs w:val="20"/>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111898" id="Rectangle 2" o:spid="_x0000_s1088" style="position:absolute;left:0;text-align:left;margin-left:0;margin-top:4.2pt;width:475.45pt;height:167.1pt;z-index:2520473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" fillcolor="#ffd400 [3204]" stroked="f" strokeweight="1pt">
                <v:textbox>
                  <w:txbxContent>
                    <w:p w14:paraId="532FF438" w14:textId="77777777" w:rsidR="00AF008A" w:rsidRDefault="00AF008A" w:rsidP="00AF008A">
                      <w:pPr>
                        <w:rPr>
                          <w:rFonts w:asciiTheme="minorHAnsi" w:hAnsiTheme="minorHAnsi"/>
                          <w:b/>
                          <w:bCs/>
                          <w:color w:val="000000" w:themeColor="text1"/>
                          <w:sz w:val="20"/>
                          <w:szCs w:val="20"/>
                          <w:lang w:val="fr-FR"/>
                        </w:rPr>
                      </w:pPr>
                      <w:r w:rsidRPr="00422DC9">
                        <w:rPr>
                          <w:rFonts w:asciiTheme="minorHAnsi" w:hAnsiTheme="minorHAnsi"/>
                          <w:b/>
                          <w:bCs/>
                          <w:color w:val="000000" w:themeColor="text1"/>
                          <w:sz w:val="20"/>
                          <w:szCs w:val="20"/>
                          <w:lang w:val="fr-FR"/>
                        </w:rPr>
                        <w:t xml:space="preserve">À fin 2025, le total des actifs </w:t>
                      </w:r>
                      <w:r>
                        <w:rPr>
                          <w:rFonts w:asciiTheme="minorHAnsi" w:hAnsiTheme="minorHAnsi"/>
                          <w:b/>
                          <w:bCs/>
                          <w:color w:val="000000" w:themeColor="text1"/>
                          <w:sz w:val="20"/>
                          <w:szCs w:val="20"/>
                          <w:lang w:val="fr-FR"/>
                        </w:rPr>
                        <w:t>durables</w:t>
                      </w:r>
                      <w:r w:rsidRPr="00422DC9">
                        <w:rPr>
                          <w:rFonts w:asciiTheme="minorHAnsi" w:hAnsiTheme="minorHAnsi"/>
                          <w:b/>
                          <w:bCs/>
                          <w:color w:val="000000" w:themeColor="text1"/>
                          <w:sz w:val="20"/>
                          <w:szCs w:val="20"/>
                          <w:lang w:val="fr-FR"/>
                        </w:rPr>
                        <w:t xml:space="preserve"> en portefeuille d’Abeille Assurances s’élève à 6,5 milliards d’euros, représentant 11,9 % des actifs d’Abeille Assurances hors unités de compte. Sur l’année, 787 M€ d’investissements bruts ont été réalisés, dépassant ainsi l’objectif annuel fixé à </w:t>
                      </w:r>
                      <w:r>
                        <w:rPr>
                          <w:rFonts w:asciiTheme="minorHAnsi" w:hAnsiTheme="minorHAnsi"/>
                          <w:b/>
                          <w:bCs/>
                          <w:color w:val="000000" w:themeColor="text1"/>
                          <w:sz w:val="20"/>
                          <w:szCs w:val="20"/>
                          <w:lang w:val="fr-FR"/>
                        </w:rPr>
                        <w:t>5</w:t>
                      </w:r>
                      <w:r w:rsidRPr="00422DC9">
                        <w:rPr>
                          <w:rFonts w:asciiTheme="minorHAnsi" w:hAnsiTheme="minorHAnsi"/>
                          <w:b/>
                          <w:bCs/>
                          <w:color w:val="000000" w:themeColor="text1"/>
                          <w:sz w:val="20"/>
                          <w:szCs w:val="20"/>
                          <w:lang w:val="fr-FR"/>
                        </w:rPr>
                        <w:t>00 M€.</w:t>
                      </w:r>
                      <w:r>
                        <w:rPr>
                          <w:rFonts w:asciiTheme="minorHAnsi" w:hAnsiTheme="minorHAnsi"/>
                          <w:b/>
                          <w:bCs/>
                          <w:color w:val="000000" w:themeColor="text1"/>
                          <w:sz w:val="20"/>
                          <w:szCs w:val="20"/>
                          <w:lang w:val="fr-FR"/>
                        </w:rPr>
                        <w:t xml:space="preserve"> </w:t>
                      </w:r>
                    </w:p>
                    <w:p w14:paraId="71B8E22E" w14:textId="77777777" w:rsidR="00AF008A" w:rsidRDefault="00AF008A" w:rsidP="00AF008A">
                      <w:pPr>
                        <w:rPr>
                          <w:rFonts w:asciiTheme="minorHAnsi" w:hAnsiTheme="minorHAnsi"/>
                          <w:b/>
                          <w:bCs/>
                          <w:color w:val="000000" w:themeColor="text1"/>
                          <w:sz w:val="20"/>
                          <w:szCs w:val="20"/>
                          <w:lang w:val="fr-FR"/>
                        </w:rPr>
                      </w:pPr>
                    </w:p>
                    <w:p w14:paraId="5CC9F6BF" w14:textId="77777777" w:rsidR="00AF008A" w:rsidRDefault="00AF008A" w:rsidP="00AF008A">
                      <w:pPr>
                        <w:rPr>
                          <w:rFonts w:asciiTheme="minorHAnsi" w:hAnsiTheme="minorHAnsi"/>
                          <w:b/>
                          <w:bCs/>
                          <w:color w:val="000000" w:themeColor="text1"/>
                          <w:sz w:val="20"/>
                          <w:szCs w:val="20"/>
                          <w:lang w:val="fr-FR"/>
                        </w:rPr>
                      </w:pPr>
                      <w:r w:rsidRPr="00422DC9">
                        <w:rPr>
                          <w:rFonts w:asciiTheme="minorHAnsi" w:hAnsiTheme="minorHAnsi"/>
                          <w:b/>
                          <w:bCs/>
                          <w:color w:val="000000" w:themeColor="text1"/>
                          <w:sz w:val="20"/>
                          <w:szCs w:val="20"/>
                          <w:lang w:val="fr-FR"/>
                        </w:rPr>
                        <w:t>Par ailleurs, la définition de l’investissement durable a été significativement renforcée, témoignant d’une exigence accrue sur les enjeux de durabilité par rapport à l’ancienne définition. À titre de comparaison, selon cette précédente définition, la part d’investissements durables en 2025 aurait atteint 14,4 % des actifs d’Abeille Assurances hors unités de compte. </w:t>
                      </w:r>
                    </w:p>
                    <w:p w14:paraId="4B0BD6ED" w14:textId="77777777" w:rsidR="00AF008A" w:rsidRDefault="00AF008A" w:rsidP="00AF008A">
                      <w:pPr>
                        <w:rPr>
                          <w:rFonts w:asciiTheme="minorHAnsi" w:hAnsiTheme="minorHAnsi"/>
                          <w:b/>
                          <w:bCs/>
                          <w:color w:val="000000" w:themeColor="text1"/>
                          <w:sz w:val="20"/>
                          <w:szCs w:val="20"/>
                          <w:lang w:val="fr-FR"/>
                        </w:rPr>
                      </w:pPr>
                    </w:p>
                    <w:p w14:paraId="20411E43" w14:textId="3DA6D87D" w:rsidR="00AF008A" w:rsidRDefault="00AF008A" w:rsidP="00AF008A">
                      <w:pPr>
                        <w:rPr>
                          <w:rFonts w:asciiTheme="minorHAnsi" w:hAnsiTheme="minorHAnsi"/>
                          <w:b/>
                          <w:bCs/>
                          <w:color w:val="000000" w:themeColor="text1"/>
                          <w:sz w:val="20"/>
                          <w:szCs w:val="20"/>
                          <w:lang w:val="fr-FR"/>
                        </w:rPr>
                      </w:pPr>
                      <w:r w:rsidRPr="00422DC9">
                        <w:rPr>
                          <w:rFonts w:asciiTheme="minorHAnsi" w:hAnsiTheme="minorHAnsi"/>
                          <w:b/>
                          <w:bCs/>
                          <w:color w:val="000000" w:themeColor="text1"/>
                          <w:sz w:val="20"/>
                          <w:szCs w:val="20"/>
                          <w:lang w:val="fr-FR"/>
                        </w:rPr>
                        <w:t xml:space="preserve">À fin 2025, le total des actifs </w:t>
                      </w:r>
                      <w:r>
                        <w:rPr>
                          <w:rFonts w:asciiTheme="minorHAnsi" w:hAnsiTheme="minorHAnsi"/>
                          <w:b/>
                          <w:bCs/>
                          <w:color w:val="000000" w:themeColor="text1"/>
                          <w:sz w:val="20"/>
                          <w:szCs w:val="20"/>
                          <w:lang w:val="fr-FR"/>
                        </w:rPr>
                        <w:t>durables</w:t>
                      </w:r>
                      <w:r w:rsidRPr="00422DC9">
                        <w:rPr>
                          <w:rFonts w:asciiTheme="minorHAnsi" w:hAnsiTheme="minorHAnsi"/>
                          <w:b/>
                          <w:bCs/>
                          <w:color w:val="000000" w:themeColor="text1"/>
                          <w:sz w:val="20"/>
                          <w:szCs w:val="20"/>
                          <w:lang w:val="fr-FR"/>
                        </w:rPr>
                        <w:t xml:space="preserve"> en portefeuille </w:t>
                      </w:r>
                      <w:r w:rsidRPr="00DD4290">
                        <w:rPr>
                          <w:rFonts w:asciiTheme="minorHAnsi" w:hAnsiTheme="minorHAnsi"/>
                          <w:b/>
                          <w:bCs/>
                          <w:color w:val="000000" w:themeColor="text1"/>
                          <w:sz w:val="20"/>
                          <w:szCs w:val="20"/>
                          <w:u w:val="single"/>
                          <w:lang w:val="fr-FR"/>
                        </w:rPr>
                        <w:t>d’Abeille Retraite Professionnelle</w:t>
                      </w:r>
                      <w:r w:rsidRPr="00422DC9">
                        <w:rPr>
                          <w:rFonts w:asciiTheme="minorHAnsi" w:hAnsiTheme="minorHAnsi"/>
                          <w:b/>
                          <w:bCs/>
                          <w:color w:val="000000" w:themeColor="text1"/>
                          <w:sz w:val="20"/>
                          <w:szCs w:val="20"/>
                          <w:lang w:val="fr-FR"/>
                        </w:rPr>
                        <w:t xml:space="preserve"> s’élève à </w:t>
                      </w:r>
                      <w:r w:rsidR="002940BF">
                        <w:rPr>
                          <w:rFonts w:asciiTheme="minorHAnsi" w:hAnsiTheme="minorHAnsi"/>
                          <w:b/>
                          <w:bCs/>
                          <w:color w:val="000000" w:themeColor="text1"/>
                          <w:sz w:val="20"/>
                          <w:szCs w:val="20"/>
                          <w:lang w:val="fr-FR"/>
                        </w:rPr>
                        <w:t xml:space="preserve">420 </w:t>
                      </w:r>
                      <w:r>
                        <w:rPr>
                          <w:rFonts w:asciiTheme="minorHAnsi" w:hAnsiTheme="minorHAnsi"/>
                          <w:b/>
                          <w:bCs/>
                          <w:color w:val="000000" w:themeColor="text1"/>
                          <w:sz w:val="20"/>
                          <w:szCs w:val="20"/>
                          <w:lang w:val="fr-FR"/>
                        </w:rPr>
                        <w:t xml:space="preserve">millions </w:t>
                      </w:r>
                      <w:r w:rsidRPr="00422DC9">
                        <w:rPr>
                          <w:rFonts w:asciiTheme="minorHAnsi" w:hAnsiTheme="minorHAnsi"/>
                          <w:b/>
                          <w:bCs/>
                          <w:color w:val="000000" w:themeColor="text1"/>
                          <w:sz w:val="20"/>
                          <w:szCs w:val="20"/>
                          <w:lang w:val="fr-FR"/>
                        </w:rPr>
                        <w:t>d’euros, représentant 1</w:t>
                      </w:r>
                      <w:r>
                        <w:rPr>
                          <w:rFonts w:asciiTheme="minorHAnsi" w:hAnsiTheme="minorHAnsi"/>
                          <w:b/>
                          <w:bCs/>
                          <w:color w:val="000000" w:themeColor="text1"/>
                          <w:sz w:val="20"/>
                          <w:szCs w:val="20"/>
                          <w:lang w:val="fr-FR"/>
                        </w:rPr>
                        <w:t>0,5</w:t>
                      </w:r>
                      <w:r w:rsidRPr="00422DC9">
                        <w:rPr>
                          <w:rFonts w:asciiTheme="minorHAnsi" w:hAnsiTheme="minorHAnsi"/>
                          <w:b/>
                          <w:bCs/>
                          <w:color w:val="000000" w:themeColor="text1"/>
                          <w:sz w:val="20"/>
                          <w:szCs w:val="20"/>
                          <w:lang w:val="fr-FR"/>
                        </w:rPr>
                        <w:t xml:space="preserve"> % des actifs </w:t>
                      </w:r>
                      <w:r w:rsidRPr="00DD4290">
                        <w:rPr>
                          <w:rFonts w:asciiTheme="minorHAnsi" w:hAnsiTheme="minorHAnsi"/>
                          <w:b/>
                          <w:bCs/>
                          <w:color w:val="000000" w:themeColor="text1"/>
                          <w:sz w:val="20"/>
                          <w:szCs w:val="20"/>
                          <w:u w:val="single"/>
                          <w:lang w:val="fr-FR"/>
                        </w:rPr>
                        <w:t>d’Abeille Retraite Professionnelle</w:t>
                      </w:r>
                      <w:r w:rsidRPr="00422DC9">
                        <w:rPr>
                          <w:rFonts w:asciiTheme="minorHAnsi" w:hAnsiTheme="minorHAnsi"/>
                          <w:b/>
                          <w:bCs/>
                          <w:color w:val="000000" w:themeColor="text1"/>
                          <w:sz w:val="20"/>
                          <w:szCs w:val="20"/>
                          <w:lang w:val="fr-FR"/>
                        </w:rPr>
                        <w:t xml:space="preserve"> hors unités de compte. Sur l’année, </w:t>
                      </w:r>
                      <w:r>
                        <w:rPr>
                          <w:rFonts w:asciiTheme="minorHAnsi" w:hAnsiTheme="minorHAnsi"/>
                          <w:b/>
                          <w:bCs/>
                          <w:color w:val="000000" w:themeColor="text1"/>
                          <w:sz w:val="20"/>
                          <w:szCs w:val="20"/>
                          <w:lang w:val="fr-FR"/>
                        </w:rPr>
                        <w:t>63</w:t>
                      </w:r>
                      <w:r w:rsidRPr="00422DC9">
                        <w:rPr>
                          <w:rFonts w:asciiTheme="minorHAnsi" w:hAnsiTheme="minorHAnsi"/>
                          <w:b/>
                          <w:bCs/>
                          <w:color w:val="000000" w:themeColor="text1"/>
                          <w:sz w:val="20"/>
                          <w:szCs w:val="20"/>
                          <w:lang w:val="fr-FR"/>
                        </w:rPr>
                        <w:t> M€ d’investissements bruts ont été réalisés</w:t>
                      </w:r>
                      <w:r>
                        <w:rPr>
                          <w:rFonts w:asciiTheme="minorHAnsi" w:hAnsiTheme="minorHAnsi"/>
                          <w:b/>
                          <w:bCs/>
                          <w:color w:val="000000" w:themeColor="text1"/>
                          <w:sz w:val="20"/>
                          <w:szCs w:val="20"/>
                          <w:lang w:val="fr-FR"/>
                        </w:rPr>
                        <w:t>.</w:t>
                      </w:r>
                    </w:p>
                    <w:p w14:paraId="7D32B3D9" w14:textId="77777777" w:rsidR="00AF008A" w:rsidRPr="00422DC9" w:rsidRDefault="00AF008A" w:rsidP="00AF008A">
                      <w:pPr>
                        <w:rPr>
                          <w:rFonts w:asciiTheme="minorHAnsi" w:hAnsiTheme="minorHAnsi"/>
                          <w:b/>
                          <w:bCs/>
                          <w:color w:val="000000" w:themeColor="text1"/>
                          <w:sz w:val="20"/>
                          <w:szCs w:val="20"/>
                          <w:lang w:val="fr-FR"/>
                        </w:rPr>
                      </w:pPr>
                    </w:p>
                    <w:p w14:paraId="1D2A7EED" w14:textId="77777777" w:rsidR="00AF008A" w:rsidRPr="00422DC9" w:rsidRDefault="00AF008A" w:rsidP="00AF008A">
                      <w:pPr>
                        <w:rPr>
                          <w:rFonts w:asciiTheme="minorHAnsi" w:hAnsiTheme="minorHAnsi"/>
                          <w:b/>
                          <w:bCs/>
                          <w:color w:val="000000" w:themeColor="text1"/>
                          <w:sz w:val="20"/>
                          <w:szCs w:val="20"/>
                          <w:lang w:val="fr-FR"/>
                        </w:rPr>
                      </w:pPr>
                    </w:p>
                  </w:txbxContent>
                </v:textbox>
                <w10:wrap anchorx="margin"/>
              </v:rect>
            </w:pict>
          </mc:Fallback>
        </mc:AlternateContent>
      </w:r>
    </w:p>
    <w:p w14:paraId="1EB0A688" w14:textId="77777777" w:rsidR="00AF008A" w:rsidRPr="00A74D23" w:rsidRDefault="00AF008A" w:rsidP="00AF008A">
      <w:pPr>
        <w:pStyle w:val="Style1"/>
        <w:numPr>
          <w:ilvl w:val="0"/>
          <w:numId w:val="0"/>
        </w:numPr>
        <w:tabs>
          <w:tab w:val="left" w:pos="426"/>
        </w:tabs>
        <w:spacing w:before="120" w:line="22" w:lineRule="atLeast"/>
        <w:contextualSpacing w:val="0"/>
        <w:jc w:val="both"/>
        <w:rPr>
          <w:rFonts w:cs="Open Sans"/>
          <w:i w:val="0"/>
          <w:color w:val="000000" w:themeColor="text1"/>
          <w:sz w:val="18"/>
          <w:szCs w:val="18"/>
        </w:rPr>
      </w:pPr>
    </w:p>
    <w:p w14:paraId="79F169D9" w14:textId="77777777" w:rsidR="00AF008A" w:rsidRPr="00A74D23" w:rsidRDefault="00AF008A" w:rsidP="00AF008A">
      <w:pPr>
        <w:pStyle w:val="Style1"/>
        <w:numPr>
          <w:ilvl w:val="0"/>
          <w:numId w:val="0"/>
        </w:numPr>
        <w:tabs>
          <w:tab w:val="left" w:pos="426"/>
        </w:tabs>
        <w:spacing w:before="120" w:line="22" w:lineRule="atLeast"/>
        <w:contextualSpacing w:val="0"/>
        <w:jc w:val="both"/>
        <w:rPr>
          <w:rFonts w:cs="Open Sans"/>
          <w:i w:val="0"/>
          <w:color w:val="000000" w:themeColor="text1"/>
          <w:sz w:val="18"/>
          <w:szCs w:val="18"/>
        </w:rPr>
      </w:pPr>
    </w:p>
    <w:p w14:paraId="3D769DBF" w14:textId="77777777" w:rsidR="00AF008A" w:rsidRPr="00A74D23" w:rsidRDefault="00AF008A" w:rsidP="00AF008A">
      <w:pPr>
        <w:spacing w:line="22" w:lineRule="atLeast"/>
        <w:jc w:val="both"/>
        <w:rPr>
          <w:rFonts w:asciiTheme="minorHAnsi" w:hAnsiTheme="minorHAnsi" w:cs="Open Sans"/>
          <w:b/>
          <w:bCs/>
          <w:i/>
          <w:color w:val="000000" w:themeColor="text1"/>
          <w:sz w:val="20"/>
          <w:lang w:val="fr-FR"/>
        </w:rPr>
      </w:pPr>
    </w:p>
    <w:p w14:paraId="0A8E823B" w14:textId="77777777" w:rsidR="00AF008A" w:rsidRPr="00A74D23" w:rsidRDefault="00AF008A" w:rsidP="00AF008A">
      <w:pPr>
        <w:spacing w:line="22" w:lineRule="atLeast"/>
        <w:jc w:val="both"/>
        <w:rPr>
          <w:rFonts w:asciiTheme="minorHAnsi" w:hAnsiTheme="minorHAnsi" w:cs="Open Sans"/>
          <w:b/>
          <w:bCs/>
          <w:i/>
          <w:color w:val="000000" w:themeColor="text1"/>
          <w:sz w:val="20"/>
          <w:lang w:val="fr-FR"/>
        </w:rPr>
      </w:pPr>
    </w:p>
    <w:p w14:paraId="1826BCBF" w14:textId="77777777" w:rsidR="00AF008A" w:rsidRPr="00A74D23" w:rsidRDefault="00AF008A" w:rsidP="00AF008A">
      <w:pPr>
        <w:spacing w:line="22" w:lineRule="atLeast"/>
        <w:jc w:val="both"/>
        <w:rPr>
          <w:rFonts w:asciiTheme="minorHAnsi" w:hAnsiTheme="minorHAnsi" w:cs="Open Sans"/>
          <w:b/>
          <w:bCs/>
          <w:i/>
          <w:color w:val="000000" w:themeColor="text1"/>
          <w:sz w:val="20"/>
          <w:lang w:val="fr-FR"/>
        </w:rPr>
      </w:pPr>
    </w:p>
    <w:p w14:paraId="21239E6A" w14:textId="77777777" w:rsidR="00AF008A" w:rsidRPr="00A74D23" w:rsidRDefault="00AF008A" w:rsidP="00AF008A">
      <w:pPr>
        <w:spacing w:line="22" w:lineRule="atLeast"/>
        <w:jc w:val="both"/>
        <w:rPr>
          <w:rFonts w:asciiTheme="minorHAnsi" w:hAnsiTheme="minorHAnsi" w:cs="Open Sans"/>
          <w:b/>
          <w:bCs/>
          <w:i/>
          <w:color w:val="000000" w:themeColor="text1"/>
          <w:sz w:val="20"/>
          <w:lang w:val="fr-FR"/>
        </w:rPr>
      </w:pPr>
    </w:p>
    <w:p w14:paraId="6E8116BB" w14:textId="77777777" w:rsidR="00AF008A" w:rsidRPr="00A74D23" w:rsidRDefault="00AF008A" w:rsidP="00AF008A">
      <w:pPr>
        <w:spacing w:line="22" w:lineRule="atLeast"/>
        <w:jc w:val="both"/>
        <w:rPr>
          <w:rFonts w:asciiTheme="minorHAnsi" w:hAnsiTheme="minorHAnsi" w:cs="Open Sans"/>
          <w:b/>
          <w:bCs/>
          <w:i/>
          <w:color w:val="000000" w:themeColor="text1"/>
          <w:sz w:val="20"/>
          <w:lang w:val="fr-FR"/>
        </w:rPr>
      </w:pPr>
    </w:p>
    <w:p w14:paraId="6951F60C" w14:textId="77777777" w:rsidR="00AF008A" w:rsidRDefault="00AF008A" w:rsidP="00AF008A">
      <w:pPr>
        <w:spacing w:line="22" w:lineRule="atLeast"/>
        <w:jc w:val="both"/>
        <w:rPr>
          <w:rFonts w:asciiTheme="minorHAnsi" w:hAnsiTheme="minorHAnsi" w:cs="Open Sans"/>
          <w:b/>
          <w:bCs/>
          <w:i/>
          <w:color w:val="000000" w:themeColor="text1"/>
          <w:sz w:val="20"/>
          <w:lang w:val="fr-FR"/>
        </w:rPr>
      </w:pPr>
    </w:p>
    <w:p w14:paraId="08591CC7" w14:textId="77777777" w:rsidR="00AF008A" w:rsidRDefault="00AF008A" w:rsidP="00AF008A">
      <w:pPr>
        <w:spacing w:line="22" w:lineRule="atLeast"/>
        <w:jc w:val="both"/>
        <w:rPr>
          <w:rFonts w:asciiTheme="minorHAnsi" w:hAnsiTheme="minorHAnsi" w:cs="Open Sans"/>
          <w:b/>
          <w:bCs/>
          <w:i/>
          <w:color w:val="000000" w:themeColor="text1"/>
          <w:sz w:val="20"/>
          <w:lang w:val="fr-FR"/>
        </w:rPr>
      </w:pPr>
    </w:p>
    <w:p w14:paraId="5DB1BFC7" w14:textId="77777777" w:rsidR="00AF008A" w:rsidRDefault="00AF008A" w:rsidP="00AF008A">
      <w:pPr>
        <w:spacing w:line="22" w:lineRule="atLeast"/>
        <w:jc w:val="both"/>
        <w:rPr>
          <w:rFonts w:asciiTheme="minorHAnsi" w:hAnsiTheme="minorHAnsi" w:cs="Open Sans"/>
          <w:b/>
          <w:bCs/>
          <w:i/>
          <w:color w:val="000000" w:themeColor="text1"/>
          <w:sz w:val="20"/>
          <w:lang w:val="fr-FR"/>
        </w:rPr>
      </w:pPr>
    </w:p>
    <w:p w14:paraId="264DD633" w14:textId="77777777" w:rsidR="00AF008A" w:rsidRDefault="00AF008A" w:rsidP="009D6EE5">
      <w:pPr>
        <w:spacing w:line="22" w:lineRule="atLeast"/>
        <w:jc w:val="both"/>
        <w:rPr>
          <w:rFonts w:asciiTheme="minorHAnsi" w:hAnsiTheme="minorHAnsi" w:cs="Open Sans"/>
          <w:b/>
          <w:bCs/>
          <w:i/>
          <w:color w:val="000000" w:themeColor="text1"/>
          <w:sz w:val="20"/>
          <w:lang w:val="fr-FR"/>
        </w:rPr>
      </w:pPr>
    </w:p>
    <w:p w14:paraId="166A3959" w14:textId="77777777" w:rsidR="00AF008A" w:rsidRDefault="00AF008A" w:rsidP="009D6EE5">
      <w:pPr>
        <w:spacing w:line="22" w:lineRule="atLeast"/>
        <w:jc w:val="both"/>
        <w:rPr>
          <w:rFonts w:asciiTheme="minorHAnsi" w:hAnsiTheme="minorHAnsi" w:cs="Open Sans"/>
          <w:b/>
          <w:bCs/>
          <w:i/>
          <w:color w:val="000000" w:themeColor="text1"/>
          <w:sz w:val="20"/>
          <w:lang w:val="fr-FR"/>
        </w:rPr>
      </w:pPr>
    </w:p>
    <w:p w14:paraId="5EFCAB27" w14:textId="77777777" w:rsidR="00AF008A" w:rsidRDefault="00AF008A" w:rsidP="009D6EE5">
      <w:pPr>
        <w:spacing w:line="22" w:lineRule="atLeast"/>
        <w:jc w:val="both"/>
        <w:rPr>
          <w:rFonts w:asciiTheme="minorHAnsi" w:hAnsiTheme="minorHAnsi" w:cs="Open Sans"/>
          <w:b/>
          <w:bCs/>
          <w:i/>
          <w:color w:val="000000" w:themeColor="text1"/>
          <w:sz w:val="20"/>
          <w:lang w:val="fr-FR"/>
        </w:rPr>
      </w:pPr>
    </w:p>
    <w:p w14:paraId="6C74996B" w14:textId="77777777" w:rsidR="00AF008A" w:rsidRDefault="00AF008A" w:rsidP="009D6EE5">
      <w:pPr>
        <w:spacing w:line="22" w:lineRule="atLeast"/>
        <w:jc w:val="both"/>
        <w:rPr>
          <w:rFonts w:asciiTheme="minorHAnsi" w:hAnsiTheme="minorHAnsi" w:cs="Open Sans"/>
          <w:b/>
          <w:bCs/>
          <w:i/>
          <w:color w:val="000000" w:themeColor="text1"/>
          <w:sz w:val="20"/>
          <w:lang w:val="fr-FR"/>
        </w:rPr>
      </w:pPr>
    </w:p>
    <w:p w14:paraId="27C66CD3" w14:textId="77777777" w:rsidR="00AF008A" w:rsidRDefault="00AF008A" w:rsidP="009D6EE5">
      <w:pPr>
        <w:spacing w:line="22" w:lineRule="atLeast"/>
        <w:jc w:val="both"/>
        <w:rPr>
          <w:rFonts w:asciiTheme="minorHAnsi" w:hAnsiTheme="minorHAnsi" w:cs="Open Sans"/>
          <w:b/>
          <w:bCs/>
          <w:i/>
          <w:color w:val="000000" w:themeColor="text1"/>
          <w:sz w:val="20"/>
          <w:lang w:val="fr-FR"/>
        </w:rPr>
      </w:pPr>
    </w:p>
    <w:p w14:paraId="3CD677F8" w14:textId="6E2DB9FC" w:rsidR="0073052C" w:rsidRDefault="0073052C" w:rsidP="009D6EE5">
      <w:pPr>
        <w:spacing w:line="22" w:lineRule="atLeast"/>
        <w:jc w:val="both"/>
        <w:rPr>
          <w:rFonts w:asciiTheme="minorHAnsi" w:hAnsiTheme="minorHAnsi" w:cs="Open Sans"/>
          <w:b/>
          <w:bCs/>
          <w:i/>
          <w:color w:val="000000" w:themeColor="text1"/>
          <w:sz w:val="20"/>
          <w:lang w:val="fr-FR"/>
        </w:rPr>
      </w:pPr>
    </w:p>
    <w:p w14:paraId="016AB647" w14:textId="77777777" w:rsidR="00343FD7" w:rsidRDefault="00343FD7" w:rsidP="009D6EE5">
      <w:pPr>
        <w:spacing w:line="22" w:lineRule="atLeast"/>
        <w:jc w:val="both"/>
        <w:rPr>
          <w:rFonts w:asciiTheme="minorHAnsi" w:hAnsiTheme="minorHAnsi" w:cs="Open Sans"/>
          <w:b/>
          <w:bCs/>
          <w:i/>
          <w:color w:val="000000" w:themeColor="text1"/>
          <w:sz w:val="20"/>
          <w:lang w:val="fr-FR"/>
        </w:rPr>
      </w:pPr>
    </w:p>
    <w:p w14:paraId="15B18BA0" w14:textId="77777777" w:rsidR="00343FD7" w:rsidRDefault="00343FD7" w:rsidP="009D6EE5">
      <w:pPr>
        <w:spacing w:line="22" w:lineRule="atLeast"/>
        <w:jc w:val="both"/>
        <w:rPr>
          <w:rFonts w:asciiTheme="minorHAnsi" w:hAnsiTheme="minorHAnsi" w:cs="Open Sans"/>
          <w:b/>
          <w:bCs/>
          <w:i/>
          <w:color w:val="000000" w:themeColor="text1"/>
          <w:sz w:val="20"/>
          <w:lang w:val="fr-FR"/>
        </w:rPr>
      </w:pPr>
    </w:p>
    <w:p w14:paraId="3CA804E8" w14:textId="77777777" w:rsidR="00343FD7" w:rsidRDefault="00343FD7" w:rsidP="009D6EE5">
      <w:pPr>
        <w:spacing w:line="22" w:lineRule="atLeast"/>
        <w:jc w:val="both"/>
        <w:rPr>
          <w:rFonts w:asciiTheme="minorHAnsi" w:hAnsiTheme="minorHAnsi" w:cs="Open Sans"/>
          <w:b/>
          <w:bCs/>
          <w:i/>
          <w:color w:val="000000" w:themeColor="text1"/>
          <w:sz w:val="20"/>
          <w:lang w:val="fr-FR"/>
        </w:rPr>
      </w:pPr>
    </w:p>
    <w:p w14:paraId="347FF7A0" w14:textId="77777777" w:rsidR="00343FD7" w:rsidRDefault="00343FD7" w:rsidP="009D6EE5">
      <w:pPr>
        <w:spacing w:line="22" w:lineRule="atLeast"/>
        <w:jc w:val="both"/>
        <w:rPr>
          <w:rFonts w:asciiTheme="minorHAnsi" w:hAnsiTheme="minorHAnsi" w:cs="Open Sans"/>
          <w:b/>
          <w:bCs/>
          <w:i/>
          <w:color w:val="000000" w:themeColor="text1"/>
          <w:sz w:val="20"/>
          <w:lang w:val="fr-FR"/>
        </w:rPr>
      </w:pPr>
    </w:p>
    <w:p w14:paraId="656E5CCE" w14:textId="77777777" w:rsidR="00343FD7" w:rsidRPr="00A74D23" w:rsidRDefault="00343FD7" w:rsidP="009D6EE5">
      <w:pPr>
        <w:spacing w:line="22" w:lineRule="atLeast"/>
        <w:jc w:val="both"/>
        <w:rPr>
          <w:rFonts w:asciiTheme="minorHAnsi" w:hAnsiTheme="minorHAnsi" w:cs="Open Sans"/>
          <w:b/>
          <w:bCs/>
          <w:i/>
          <w:color w:val="000000" w:themeColor="text1"/>
          <w:sz w:val="20"/>
          <w:lang w:val="fr-FR"/>
        </w:rPr>
      </w:pPr>
    </w:p>
    <w:p w14:paraId="0C34CE46" w14:textId="225091ED" w:rsidR="00935741" w:rsidRPr="00A74D23" w:rsidRDefault="00935741" w:rsidP="009D6EE5">
      <w:pPr>
        <w:spacing w:line="22" w:lineRule="atLeast"/>
        <w:jc w:val="both"/>
        <w:rPr>
          <w:rFonts w:asciiTheme="minorHAnsi" w:hAnsiTheme="minorHAnsi" w:cs="Open Sans"/>
          <w:b/>
          <w:bCs/>
          <w:color w:val="000000" w:themeColor="text1"/>
          <w:sz w:val="20"/>
          <w:lang w:val="fr-FR"/>
        </w:rPr>
      </w:pPr>
      <w:r w:rsidRPr="00F90875">
        <w:rPr>
          <w:rFonts w:asciiTheme="minorHAnsi" w:hAnsiTheme="minorHAnsi" w:cs="Open Sans"/>
          <w:b/>
          <w:bCs/>
          <w:color w:val="000000" w:themeColor="text1"/>
          <w:sz w:val="20"/>
          <w:lang w:val="fr-FR"/>
        </w:rPr>
        <w:t>Zoom actif durable</w:t>
      </w:r>
    </w:p>
    <w:p w14:paraId="42422251" w14:textId="1960A6D6" w:rsidR="00AE2919" w:rsidRPr="00A74D23" w:rsidRDefault="00935741" w:rsidP="009D6EE5">
      <w:pPr>
        <w:spacing w:line="22" w:lineRule="atLeast"/>
        <w:jc w:val="both"/>
        <w:rPr>
          <w:rFonts w:asciiTheme="minorHAnsi" w:hAnsiTheme="minorHAnsi" w:cs="Open Sans"/>
          <w:i/>
          <w:color w:val="000000" w:themeColor="text1"/>
          <w:sz w:val="20"/>
          <w:lang w:val="fr-FR"/>
        </w:rPr>
      </w:pPr>
      <w:r w:rsidRPr="00A74D23">
        <w:rPr>
          <w:rFonts w:asciiTheme="minorHAnsi" w:hAnsiTheme="minorHAnsi" w:cs="Open Sans"/>
          <w:b/>
          <w:bCs/>
          <w:noProof/>
          <w:sz w:val="20"/>
        </w:rPr>
        <mc:AlternateContent>
          <mc:Choice Requires="wps">
            <w:drawing>
              <wp:anchor distT="0" distB="0" distL="114300" distR="114300" simplePos="0" relativeHeight="251829248" behindDoc="0" locked="0" layoutInCell="1" allowOverlap="1" wp14:anchorId="2CA95754" wp14:editId="3021D51D">
                <wp:simplePos x="0" y="0"/>
                <wp:positionH relativeFrom="margin">
                  <wp:align>left</wp:align>
                </wp:positionH>
                <wp:positionV relativeFrom="paragraph">
                  <wp:posOffset>35366</wp:posOffset>
                </wp:positionV>
                <wp:extent cx="1069451" cy="0"/>
                <wp:effectExtent l="0" t="0" r="0" b="0"/>
                <wp:wrapNone/>
                <wp:docPr id="841197992" name="Connecteur droit 2"/>
                <wp:cNvGraphicFramePr/>
                <a:graphic xmlns:a="http://schemas.openxmlformats.org/drawingml/2006/main">
                  <a:graphicData uri="http://schemas.microsoft.com/office/word/2010/wordprocessingShape">
                    <wps:wsp>
                      <wps:cNvCnPr/>
                      <wps:spPr>
                        <a:xfrm flipV="1">
                          <a:off x="0" y="0"/>
                          <a:ext cx="1069451"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BF9420" id="Connecteur droit 2" o:spid="_x0000_s1026" style="position:absolute;flip:y;z-index:2518292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8pt" to="84.2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" strokecolor="#ffd400 [3204]" strokeweight="1.5pt">
                <v:stroke joinstyle="miter"/>
                <w10:wrap anchorx="margin"/>
              </v:line>
            </w:pict>
          </mc:Fallback>
        </mc:AlternateContent>
      </w:r>
    </w:p>
    <w:p w14:paraId="268C33E4" w14:textId="23BD9236" w:rsidR="00AE2919" w:rsidRPr="00A74D23" w:rsidRDefault="00AE2919" w:rsidP="009D6EE5">
      <w:pPr>
        <w:spacing w:line="22" w:lineRule="atLeast"/>
        <w:jc w:val="both"/>
        <w:rPr>
          <w:rFonts w:asciiTheme="minorHAnsi" w:hAnsiTheme="minorHAnsi" w:cs="Open Sans"/>
          <w:i/>
          <w:color w:val="000000" w:themeColor="text1"/>
          <w:sz w:val="20"/>
          <w:lang w:val="fr-FR"/>
        </w:rPr>
      </w:pPr>
    </w:p>
    <w:p w14:paraId="5614810B" w14:textId="3A9EF191" w:rsidR="00935741" w:rsidRPr="00A74D23" w:rsidRDefault="00962332" w:rsidP="009D6EE5">
      <w:pPr>
        <w:spacing w:line="22" w:lineRule="atLeast"/>
        <w:jc w:val="both"/>
        <w:rPr>
          <w:rFonts w:asciiTheme="minorHAnsi" w:hAnsiTheme="minorHAnsi" w:cs="Open Sans"/>
          <w:i/>
          <w:color w:val="000000" w:themeColor="text1"/>
          <w:sz w:val="20"/>
          <w:lang w:val="fr-FR"/>
        </w:rPr>
      </w:pPr>
      <w:r w:rsidRPr="00A74D23">
        <w:rPr>
          <w:rFonts w:asciiTheme="minorHAnsi" w:hAnsiTheme="minorHAnsi" w:cs="Open Sans"/>
          <w:noProof/>
        </w:rPr>
        <mc:AlternateContent>
          <mc:Choice Requires="wps">
            <w:drawing>
              <wp:anchor distT="0" distB="0" distL="114300" distR="114300" simplePos="0" relativeHeight="251826176" behindDoc="0" locked="0" layoutInCell="1" allowOverlap="1" wp14:anchorId="1B4E2CC9" wp14:editId="1D8A5946">
                <wp:simplePos x="0" y="0"/>
                <wp:positionH relativeFrom="margin">
                  <wp:posOffset>953014</wp:posOffset>
                </wp:positionH>
                <wp:positionV relativeFrom="paragraph">
                  <wp:posOffset>8890</wp:posOffset>
                </wp:positionV>
                <wp:extent cx="3999230" cy="260985"/>
                <wp:effectExtent l="0" t="0" r="1270" b="5715"/>
                <wp:wrapNone/>
                <wp:docPr id="32" name="Rectangle : coins arrondis 32"/>
                <wp:cNvGraphicFramePr/>
                <a:graphic xmlns:a="http://schemas.openxmlformats.org/drawingml/2006/main">
                  <a:graphicData uri="http://schemas.microsoft.com/office/word/2010/wordprocessingShape">
                    <wps:wsp>
                      <wps:cNvSpPr/>
                      <wps:spPr>
                        <a:xfrm>
                          <a:off x="0" y="0"/>
                          <a:ext cx="3999230" cy="260985"/>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3E38F5" w14:textId="70FA3403" w:rsidR="00800F9D" w:rsidRPr="00AE2919" w:rsidRDefault="00800F9D" w:rsidP="00935741">
                            <w:pPr>
                              <w:jc w:val="center"/>
                              <w:rPr>
                                <w:b/>
                                <w:bCs/>
                                <w:color w:val="000000" w:themeColor="text1"/>
                                <w:lang w:val="fr-FR"/>
                              </w:rPr>
                            </w:pPr>
                            <w:r w:rsidRPr="00AE2919">
                              <w:rPr>
                                <w:rFonts w:ascii="Source Sans Pro" w:hAnsi="Source Sans Pro"/>
                                <w:b/>
                                <w:bCs/>
                                <w:color w:val="000000" w:themeColor="text1"/>
                                <w:lang w:val="fr-FR"/>
                              </w:rPr>
                              <w:t>Notre investissement dans le fonds « Swen Terra »</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4E2CC9" id="Rectangle : coins arrondis 32" o:spid="_x0000_s1089" style="position:absolute;left:0;text-align:left;margin-left:75.05pt;margin-top:.7pt;width:314.9pt;height:20.5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" fillcolor="#ffc000" stroked="f" strokeweight="1pt">
                <v:stroke joinstyle="miter"/>
                <v:textbox inset="2.5mm,1mm,2.5mm,1mm">
                  <w:txbxContent>
                    <w:p w14:paraId="6F3E38F5" w14:textId="70FA3403" w:rsidR="00800F9D" w:rsidRPr="00AE2919" w:rsidRDefault="00800F9D" w:rsidP="00935741">
                      <w:pPr>
                        <w:jc w:val="center"/>
                        <w:rPr>
                          <w:b/>
                          <w:bCs/>
                          <w:color w:val="000000" w:themeColor="text1"/>
                          <w:lang w:val="fr-FR"/>
                        </w:rPr>
                      </w:pPr>
                      <w:r w:rsidRPr="00AE2919">
                        <w:rPr>
                          <w:rFonts w:ascii="Source Sans Pro" w:hAnsi="Source Sans Pro"/>
                          <w:b/>
                          <w:bCs/>
                          <w:color w:val="000000" w:themeColor="text1"/>
                          <w:lang w:val="fr-FR"/>
                        </w:rPr>
                        <w:t>Notre investissement dans le fonds « Swen Terra »</w:t>
                      </w:r>
                    </w:p>
                  </w:txbxContent>
                </v:textbox>
                <w10:wrap anchorx="margin"/>
              </v:roundrect>
            </w:pict>
          </mc:Fallback>
        </mc:AlternateContent>
      </w:r>
      <w:r w:rsidR="00AE2919" w:rsidRPr="00A74D23">
        <w:rPr>
          <w:rFonts w:asciiTheme="minorHAnsi" w:hAnsiTheme="minorHAnsi" w:cs="Open Sans"/>
          <w:noProof/>
        </w:rPr>
        <mc:AlternateContent>
          <mc:Choice Requires="wps">
            <w:drawing>
              <wp:anchor distT="0" distB="0" distL="114300" distR="114300" simplePos="0" relativeHeight="251820032" behindDoc="1" locked="0" layoutInCell="1" allowOverlap="1" wp14:anchorId="392E3379" wp14:editId="0A7AFF73">
                <wp:simplePos x="0" y="0"/>
                <wp:positionH relativeFrom="margin">
                  <wp:posOffset>-50110</wp:posOffset>
                </wp:positionH>
                <wp:positionV relativeFrom="paragraph">
                  <wp:posOffset>164327</wp:posOffset>
                </wp:positionV>
                <wp:extent cx="5771515" cy="1152939"/>
                <wp:effectExtent l="0" t="0" r="635" b="9525"/>
                <wp:wrapNone/>
                <wp:docPr id="30" name="Rectangle : coins arrondis 30"/>
                <wp:cNvGraphicFramePr/>
                <a:graphic xmlns:a="http://schemas.openxmlformats.org/drawingml/2006/main">
                  <a:graphicData uri="http://schemas.microsoft.com/office/word/2010/wordprocessingShape">
                    <wps:wsp>
                      <wps:cNvSpPr/>
                      <wps:spPr>
                        <a:xfrm>
                          <a:off x="0" y="0"/>
                          <a:ext cx="5771515" cy="1152939"/>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5997CF" w14:textId="72A4D808" w:rsidR="00935741" w:rsidRPr="00AE2919" w:rsidRDefault="00800F9D" w:rsidP="00AE2919">
                            <w:pPr>
                              <w:spacing w:before="80"/>
                              <w:rPr>
                                <w:rFonts w:ascii="Source Sans Pro" w:hAnsi="Source Sans Pro"/>
                                <w:color w:val="000000" w:themeColor="text1"/>
                                <w:sz w:val="20"/>
                                <w:szCs w:val="22"/>
                                <w:lang w:val="fr-FR"/>
                              </w:rPr>
                            </w:pPr>
                            <w:r w:rsidRPr="00AE2919">
                              <w:rPr>
                                <w:rFonts w:ascii="Source Sans Pro" w:hAnsi="Source Sans Pro"/>
                                <w:color w:val="000000" w:themeColor="text1"/>
                                <w:sz w:val="20"/>
                                <w:szCs w:val="22"/>
                                <w:lang w:val="fr-FR"/>
                              </w:rPr>
                              <w:t xml:space="preserve">En 2025, nous avons investi 10 m€ dans le fonds « Terra » géré par Swen Capital Partners. Ce fonds </w:t>
                            </w:r>
                            <w:r w:rsidR="004571E4" w:rsidRPr="00AE2919">
                              <w:rPr>
                                <w:rFonts w:ascii="Source Sans Pro" w:hAnsi="Source Sans Pro"/>
                                <w:color w:val="000000" w:themeColor="text1"/>
                                <w:sz w:val="20"/>
                                <w:szCs w:val="22"/>
                                <w:lang w:val="fr-FR"/>
                              </w:rPr>
                              <w:t>vise à financer la transition du secteur agricole en France et en Europe dans le cadre de conversion à l’agriculture biologique ou des pratiques régénérative, dans un contexte de transmission g</w:t>
                            </w:r>
                            <w:r w:rsidR="004571E4" w:rsidRPr="00AE2919">
                              <w:rPr>
                                <w:rFonts w:ascii="Source Sans Pro" w:hAnsi="Source Sans Pro" w:hint="eastAsia"/>
                                <w:color w:val="000000" w:themeColor="text1"/>
                                <w:sz w:val="20"/>
                                <w:szCs w:val="22"/>
                                <w:lang w:val="fr-FR"/>
                              </w:rPr>
                              <w:t>é</w:t>
                            </w:r>
                            <w:r w:rsidR="004571E4" w:rsidRPr="00AE2919">
                              <w:rPr>
                                <w:rFonts w:ascii="Source Sans Pro" w:hAnsi="Source Sans Pro"/>
                                <w:color w:val="000000" w:themeColor="text1"/>
                                <w:sz w:val="20"/>
                                <w:szCs w:val="22"/>
                                <w:lang w:val="fr-FR"/>
                              </w:rPr>
                              <w:t>n</w:t>
                            </w:r>
                            <w:r w:rsidR="004571E4" w:rsidRPr="00AE2919">
                              <w:rPr>
                                <w:rFonts w:ascii="Source Sans Pro" w:hAnsi="Source Sans Pro" w:hint="eastAsia"/>
                                <w:color w:val="000000" w:themeColor="text1"/>
                                <w:sz w:val="20"/>
                                <w:szCs w:val="22"/>
                                <w:lang w:val="fr-FR"/>
                              </w:rPr>
                              <w:t>é</w:t>
                            </w:r>
                            <w:r w:rsidR="004571E4" w:rsidRPr="00AE2919">
                              <w:rPr>
                                <w:rFonts w:ascii="Source Sans Pro" w:hAnsi="Source Sans Pro"/>
                                <w:color w:val="000000" w:themeColor="text1"/>
                                <w:sz w:val="20"/>
                                <w:szCs w:val="22"/>
                                <w:lang w:val="fr-FR"/>
                              </w:rPr>
                              <w:t>rationnelle des exploitations agricoles</w:t>
                            </w:r>
                            <w:r w:rsidR="000B5EB6">
                              <w:rPr>
                                <w:rFonts w:ascii="Source Sans Pro" w:hAnsi="Source Sans Pro"/>
                                <w:color w:val="000000" w:themeColor="text1"/>
                                <w:sz w:val="20"/>
                                <w:szCs w:val="22"/>
                                <w:lang w:val="fr-FR"/>
                              </w:rPr>
                              <w:t xml:space="preserve">, et avec </w:t>
                            </w:r>
                            <w:r w:rsidR="004571E4" w:rsidRPr="00AE2919">
                              <w:rPr>
                                <w:rFonts w:ascii="Source Sans Pro" w:hAnsi="Source Sans Pro"/>
                                <w:color w:val="000000" w:themeColor="text1"/>
                                <w:sz w:val="20"/>
                                <w:szCs w:val="22"/>
                                <w:lang w:val="fr-FR"/>
                              </w:rPr>
                              <w:t xml:space="preserve">une attention particulière portée à la santé du sol. </w:t>
                            </w:r>
                          </w:p>
                        </w:txbxContent>
                      </wps:txbx>
                      <wps:bodyPr rot="0" spcFirstLastPara="0" vertOverflow="overflow" horzOverflow="overflow" vert="horz" wrap="square" lIns="180000" tIns="72000" rIns="180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2E3379" id="Rectangle : coins arrondis 30" o:spid="_x0000_s1090" style="position:absolute;left:0;text-align:left;margin-left:-3.95pt;margin-top:12.95pt;width:454.45pt;height:90.8pt;z-index:-25149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" fillcolor="#d8d8d8 [2732]" stroked="f" strokeweight="1pt">
                <v:stroke joinstyle="miter"/>
                <v:textbox inset="5mm,2mm,5mm,3mm">
                  <w:txbxContent>
                    <w:p w14:paraId="795997CF" w14:textId="72A4D808" w:rsidR="00935741" w:rsidRPr="00AE2919" w:rsidRDefault="00800F9D" w:rsidP="00AE2919">
                      <w:pPr>
                        <w:spacing w:before="80"/>
                        <w:rPr>
                          <w:rFonts w:ascii="Source Sans Pro" w:hAnsi="Source Sans Pro"/>
                          <w:color w:val="000000" w:themeColor="text1"/>
                          <w:sz w:val="20"/>
                          <w:szCs w:val="22"/>
                          <w:lang w:val="fr-FR"/>
                        </w:rPr>
                      </w:pPr>
                      <w:r w:rsidRPr="00AE2919">
                        <w:rPr>
                          <w:rFonts w:ascii="Source Sans Pro" w:hAnsi="Source Sans Pro"/>
                          <w:color w:val="000000" w:themeColor="text1"/>
                          <w:sz w:val="20"/>
                          <w:szCs w:val="22"/>
                          <w:lang w:val="fr-FR"/>
                        </w:rPr>
                        <w:t xml:space="preserve">En 2025, nous avons investi 10 m€ dans le fonds « Terra » géré par Swen Capital Partners. Ce fonds </w:t>
                      </w:r>
                      <w:r w:rsidR="004571E4" w:rsidRPr="00AE2919">
                        <w:rPr>
                          <w:rFonts w:ascii="Source Sans Pro" w:hAnsi="Source Sans Pro"/>
                          <w:color w:val="000000" w:themeColor="text1"/>
                          <w:sz w:val="20"/>
                          <w:szCs w:val="22"/>
                          <w:lang w:val="fr-FR"/>
                        </w:rPr>
                        <w:t>vise à financer la transition du secteur agricole en France et en Europe dans le cadre de conversion à l’agriculture biologique ou des pratiques régénérative, dans un contexte de transmission g</w:t>
                      </w:r>
                      <w:r w:rsidR="004571E4" w:rsidRPr="00AE2919">
                        <w:rPr>
                          <w:rFonts w:ascii="Source Sans Pro" w:hAnsi="Source Sans Pro" w:hint="eastAsia"/>
                          <w:color w:val="000000" w:themeColor="text1"/>
                          <w:sz w:val="20"/>
                          <w:szCs w:val="22"/>
                          <w:lang w:val="fr-FR"/>
                        </w:rPr>
                        <w:t>é</w:t>
                      </w:r>
                      <w:r w:rsidR="004571E4" w:rsidRPr="00AE2919">
                        <w:rPr>
                          <w:rFonts w:ascii="Source Sans Pro" w:hAnsi="Source Sans Pro"/>
                          <w:color w:val="000000" w:themeColor="text1"/>
                          <w:sz w:val="20"/>
                          <w:szCs w:val="22"/>
                          <w:lang w:val="fr-FR"/>
                        </w:rPr>
                        <w:t>n</w:t>
                      </w:r>
                      <w:r w:rsidR="004571E4" w:rsidRPr="00AE2919">
                        <w:rPr>
                          <w:rFonts w:ascii="Source Sans Pro" w:hAnsi="Source Sans Pro" w:hint="eastAsia"/>
                          <w:color w:val="000000" w:themeColor="text1"/>
                          <w:sz w:val="20"/>
                          <w:szCs w:val="22"/>
                          <w:lang w:val="fr-FR"/>
                        </w:rPr>
                        <w:t>é</w:t>
                      </w:r>
                      <w:r w:rsidR="004571E4" w:rsidRPr="00AE2919">
                        <w:rPr>
                          <w:rFonts w:ascii="Source Sans Pro" w:hAnsi="Source Sans Pro"/>
                          <w:color w:val="000000" w:themeColor="text1"/>
                          <w:sz w:val="20"/>
                          <w:szCs w:val="22"/>
                          <w:lang w:val="fr-FR"/>
                        </w:rPr>
                        <w:t>rationnelle des exploitations agricoles</w:t>
                      </w:r>
                      <w:r w:rsidR="000B5EB6">
                        <w:rPr>
                          <w:rFonts w:ascii="Source Sans Pro" w:hAnsi="Source Sans Pro"/>
                          <w:color w:val="000000" w:themeColor="text1"/>
                          <w:sz w:val="20"/>
                          <w:szCs w:val="22"/>
                          <w:lang w:val="fr-FR"/>
                        </w:rPr>
                        <w:t xml:space="preserve">, et avec </w:t>
                      </w:r>
                      <w:r w:rsidR="004571E4" w:rsidRPr="00AE2919">
                        <w:rPr>
                          <w:rFonts w:ascii="Source Sans Pro" w:hAnsi="Source Sans Pro"/>
                          <w:color w:val="000000" w:themeColor="text1"/>
                          <w:sz w:val="20"/>
                          <w:szCs w:val="22"/>
                          <w:lang w:val="fr-FR"/>
                        </w:rPr>
                        <w:t xml:space="preserve">une attention particulière portée à la santé du sol. </w:t>
                      </w:r>
                    </w:p>
                  </w:txbxContent>
                </v:textbox>
                <w10:wrap anchorx="margin"/>
              </v:roundrect>
            </w:pict>
          </mc:Fallback>
        </mc:AlternateContent>
      </w:r>
    </w:p>
    <w:p w14:paraId="6BA762FA" w14:textId="2E6AF810" w:rsidR="00935741" w:rsidRPr="00A74D23" w:rsidRDefault="00935741" w:rsidP="009D6EE5">
      <w:pPr>
        <w:spacing w:line="22" w:lineRule="atLeast"/>
        <w:jc w:val="both"/>
        <w:rPr>
          <w:rFonts w:asciiTheme="minorHAnsi" w:hAnsiTheme="minorHAnsi" w:cs="Open Sans"/>
          <w:i/>
          <w:color w:val="000000" w:themeColor="text1"/>
          <w:sz w:val="20"/>
          <w:lang w:val="fr-FR"/>
        </w:rPr>
      </w:pPr>
    </w:p>
    <w:p w14:paraId="12C4D345" w14:textId="77777777" w:rsidR="00AE2919" w:rsidRPr="00A74D23" w:rsidRDefault="00AE2919" w:rsidP="009D6EE5">
      <w:pPr>
        <w:pStyle w:val="Style1"/>
        <w:numPr>
          <w:ilvl w:val="0"/>
          <w:numId w:val="0"/>
        </w:numPr>
        <w:tabs>
          <w:tab w:val="left" w:pos="426"/>
        </w:tabs>
        <w:spacing w:before="120" w:line="22" w:lineRule="atLeast"/>
        <w:contextualSpacing w:val="0"/>
        <w:jc w:val="both"/>
        <w:rPr>
          <w:rFonts w:cs="Open Sans"/>
          <w:i w:val="0"/>
          <w:color w:val="000000" w:themeColor="text1"/>
          <w:sz w:val="18"/>
          <w:szCs w:val="18"/>
        </w:rPr>
      </w:pPr>
    </w:p>
    <w:p w14:paraId="390D50F8" w14:textId="77777777" w:rsidR="00343FD7" w:rsidRDefault="00343FD7" w:rsidP="009D6EE5">
      <w:pPr>
        <w:pStyle w:val="Style1"/>
        <w:numPr>
          <w:ilvl w:val="0"/>
          <w:numId w:val="0"/>
        </w:numPr>
        <w:tabs>
          <w:tab w:val="left" w:pos="426"/>
        </w:tabs>
        <w:spacing w:before="120" w:line="22" w:lineRule="atLeast"/>
        <w:contextualSpacing w:val="0"/>
        <w:jc w:val="both"/>
        <w:rPr>
          <w:rFonts w:cs="Open Sans"/>
          <w:i w:val="0"/>
          <w:color w:val="000000" w:themeColor="text1"/>
          <w:sz w:val="18"/>
          <w:szCs w:val="18"/>
        </w:rPr>
      </w:pPr>
    </w:p>
    <w:p w14:paraId="3696DD6A" w14:textId="77777777" w:rsidR="00343FD7" w:rsidRDefault="00343FD7" w:rsidP="009D6EE5">
      <w:pPr>
        <w:pStyle w:val="Style1"/>
        <w:numPr>
          <w:ilvl w:val="0"/>
          <w:numId w:val="0"/>
        </w:numPr>
        <w:tabs>
          <w:tab w:val="left" w:pos="426"/>
        </w:tabs>
        <w:spacing w:before="120" w:line="22" w:lineRule="atLeast"/>
        <w:contextualSpacing w:val="0"/>
        <w:jc w:val="both"/>
        <w:rPr>
          <w:rFonts w:cs="Open Sans"/>
          <w:i w:val="0"/>
          <w:color w:val="000000" w:themeColor="text1"/>
          <w:sz w:val="18"/>
          <w:szCs w:val="18"/>
        </w:rPr>
      </w:pPr>
    </w:p>
    <w:p w14:paraId="565D180B" w14:textId="77777777" w:rsidR="00343FD7" w:rsidRDefault="00343FD7" w:rsidP="009D6EE5">
      <w:pPr>
        <w:pStyle w:val="Style1"/>
        <w:numPr>
          <w:ilvl w:val="0"/>
          <w:numId w:val="0"/>
        </w:numPr>
        <w:tabs>
          <w:tab w:val="left" w:pos="426"/>
        </w:tabs>
        <w:spacing w:before="120" w:line="22" w:lineRule="atLeast"/>
        <w:contextualSpacing w:val="0"/>
        <w:jc w:val="both"/>
        <w:rPr>
          <w:rFonts w:cs="Open Sans"/>
          <w:i w:val="0"/>
          <w:color w:val="000000" w:themeColor="text1"/>
          <w:sz w:val="18"/>
          <w:szCs w:val="18"/>
        </w:rPr>
      </w:pPr>
    </w:p>
    <w:p w14:paraId="06C7ADAE" w14:textId="77777777" w:rsidR="00343FD7" w:rsidRDefault="00343FD7" w:rsidP="009D6EE5">
      <w:pPr>
        <w:pStyle w:val="Style1"/>
        <w:numPr>
          <w:ilvl w:val="0"/>
          <w:numId w:val="0"/>
        </w:numPr>
        <w:tabs>
          <w:tab w:val="left" w:pos="426"/>
        </w:tabs>
        <w:spacing w:before="120" w:line="22" w:lineRule="atLeast"/>
        <w:contextualSpacing w:val="0"/>
        <w:jc w:val="both"/>
        <w:rPr>
          <w:rFonts w:cs="Open Sans"/>
          <w:i w:val="0"/>
          <w:color w:val="000000" w:themeColor="text1"/>
          <w:sz w:val="18"/>
          <w:szCs w:val="18"/>
        </w:rPr>
      </w:pPr>
    </w:p>
    <w:p w14:paraId="2C9785B1" w14:textId="4C702EFE" w:rsidR="00AD238F" w:rsidRPr="00A74D23" w:rsidRDefault="002C2F8A" w:rsidP="009D6EE5">
      <w:pPr>
        <w:pStyle w:val="Style1"/>
        <w:numPr>
          <w:ilvl w:val="0"/>
          <w:numId w:val="0"/>
        </w:numPr>
        <w:tabs>
          <w:tab w:val="left" w:pos="426"/>
        </w:tabs>
        <w:spacing w:before="120" w:line="22" w:lineRule="atLeast"/>
        <w:contextualSpacing w:val="0"/>
        <w:jc w:val="both"/>
        <w:rPr>
          <w:rFonts w:cs="Open Sans"/>
          <w:i w:val="0"/>
          <w:color w:val="000000" w:themeColor="text1"/>
          <w:sz w:val="18"/>
          <w:szCs w:val="18"/>
        </w:rPr>
      </w:pPr>
      <w:r w:rsidRPr="00A74D23">
        <w:rPr>
          <w:rFonts w:cs="Open Sans"/>
          <w:noProof/>
          <w:sz w:val="18"/>
          <w:szCs w:val="18"/>
        </w:rPr>
        <mc:AlternateContent>
          <mc:Choice Requires="wps">
            <w:drawing>
              <wp:anchor distT="0" distB="0" distL="114300" distR="114300" simplePos="0" relativeHeight="251672576" behindDoc="0" locked="0" layoutInCell="1" allowOverlap="1" wp14:anchorId="654FB6D5" wp14:editId="436442A4">
                <wp:simplePos x="0" y="0"/>
                <wp:positionH relativeFrom="margin">
                  <wp:posOffset>1623695</wp:posOffset>
                </wp:positionH>
                <wp:positionV relativeFrom="paragraph">
                  <wp:posOffset>146050</wp:posOffset>
                </wp:positionV>
                <wp:extent cx="2667635" cy="250825"/>
                <wp:effectExtent l="0" t="0" r="0" b="0"/>
                <wp:wrapNone/>
                <wp:docPr id="1333575174" name="Rectangle : coins arrondis 1333575174"/>
                <wp:cNvGraphicFramePr/>
                <a:graphic xmlns:a="http://schemas.openxmlformats.org/drawingml/2006/main">
                  <a:graphicData uri="http://schemas.microsoft.com/office/word/2010/wordprocessingShape">
                    <wps:wsp>
                      <wps:cNvSpPr/>
                      <wps:spPr>
                        <a:xfrm>
                          <a:off x="0" y="0"/>
                          <a:ext cx="2667635" cy="250825"/>
                        </a:xfrm>
                        <a:prstGeom prst="roundRect">
                          <a:avLst>
                            <a:gd name="adj" fmla="val 0"/>
                          </a:avLst>
                        </a:prstGeom>
                        <a:solidFill>
                          <a:schemeClr val="accent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9B58B3" w14:textId="77777777" w:rsidR="00F94895" w:rsidRPr="00D5131F" w:rsidRDefault="00F94895" w:rsidP="00F94895">
                            <w:pPr>
                              <w:jc w:val="center"/>
                              <w:rPr>
                                <w:b/>
                                <w:bCs/>
                                <w:color w:val="000000" w:themeColor="text1"/>
                                <w:sz w:val="32"/>
                                <w:szCs w:val="32"/>
                              </w:rPr>
                            </w:pPr>
                            <w:r w:rsidRPr="00D5131F">
                              <w:rPr>
                                <w:rFonts w:ascii="Source Sans Pro" w:hAnsi="Source Sans Pro"/>
                                <w:b/>
                                <w:bCs/>
                                <w:color w:val="000000" w:themeColor="text1"/>
                              </w:rPr>
                              <w:t>Plan d’amélioration 2026</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4FB6D5" id="Rectangle : coins arrondis 1333575174" o:spid="_x0000_s1091" style="position:absolute;left:0;text-align:left;margin-left:127.85pt;margin-top:11.5pt;width:210.05pt;height:19.7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" fillcolor="#d5685f [1941]" stroked="f" strokeweight="1pt">
                <v:stroke joinstyle="miter"/>
                <v:textbox inset="2.5mm,1mm,2.5mm,1mm">
                  <w:txbxContent>
                    <w:p w14:paraId="1C9B58B3" w14:textId="77777777" w:rsidR="00F94895" w:rsidRPr="00D5131F" w:rsidRDefault="00F94895" w:rsidP="00F94895">
                      <w:pPr>
                        <w:jc w:val="center"/>
                        <w:rPr>
                          <w:b/>
                          <w:bCs/>
                          <w:color w:val="000000" w:themeColor="text1"/>
                          <w:sz w:val="32"/>
                          <w:szCs w:val="32"/>
                        </w:rPr>
                      </w:pPr>
                      <w:r w:rsidRPr="00D5131F">
                        <w:rPr>
                          <w:rFonts w:ascii="Source Sans Pro" w:hAnsi="Source Sans Pro"/>
                          <w:b/>
                          <w:bCs/>
                          <w:color w:val="000000" w:themeColor="text1"/>
                        </w:rPr>
                        <w:t>Plan d’amélioration 2026</w:t>
                      </w:r>
                    </w:p>
                  </w:txbxContent>
                </v:textbox>
                <w10:wrap anchorx="margin"/>
              </v:roundrect>
            </w:pict>
          </mc:Fallback>
        </mc:AlternateContent>
      </w:r>
    </w:p>
    <w:p w14:paraId="31C5B434" w14:textId="4C3A593C" w:rsidR="00F94895" w:rsidRPr="00A74D23" w:rsidRDefault="00AE2919" w:rsidP="009D6EE5">
      <w:pPr>
        <w:pStyle w:val="Style1"/>
        <w:numPr>
          <w:ilvl w:val="0"/>
          <w:numId w:val="0"/>
        </w:numPr>
        <w:tabs>
          <w:tab w:val="left" w:pos="426"/>
        </w:tabs>
        <w:spacing w:before="120" w:line="22" w:lineRule="atLeast"/>
        <w:contextualSpacing w:val="0"/>
        <w:jc w:val="both"/>
        <w:rPr>
          <w:rFonts w:cs="Open Sans"/>
          <w:i w:val="0"/>
          <w:color w:val="000000" w:themeColor="text1"/>
          <w:sz w:val="18"/>
          <w:szCs w:val="18"/>
        </w:rPr>
      </w:pPr>
      <w:r w:rsidRPr="00A74D23">
        <w:rPr>
          <w:rFonts w:cs="Open Sans"/>
          <w:noProof/>
          <w:sz w:val="18"/>
          <w:szCs w:val="18"/>
        </w:rPr>
        <mc:AlternateContent>
          <mc:Choice Requires="wps">
            <w:drawing>
              <wp:anchor distT="0" distB="0" distL="114300" distR="114300" simplePos="0" relativeHeight="251669504" behindDoc="1" locked="0" layoutInCell="1" allowOverlap="1" wp14:anchorId="2EA88F23" wp14:editId="79C722C6">
                <wp:simplePos x="0" y="0"/>
                <wp:positionH relativeFrom="margin">
                  <wp:posOffset>-111760</wp:posOffset>
                </wp:positionH>
                <wp:positionV relativeFrom="paragraph">
                  <wp:posOffset>45720</wp:posOffset>
                </wp:positionV>
                <wp:extent cx="5901690" cy="504190"/>
                <wp:effectExtent l="0" t="0" r="3810" b="0"/>
                <wp:wrapSquare wrapText="bothSides"/>
                <wp:docPr id="432995251" name="Rectangle : coins arrondis 432995251"/>
                <wp:cNvGraphicFramePr/>
                <a:graphic xmlns:a="http://schemas.openxmlformats.org/drawingml/2006/main">
                  <a:graphicData uri="http://schemas.microsoft.com/office/word/2010/wordprocessingShape">
                    <wps:wsp>
                      <wps:cNvSpPr/>
                      <wps:spPr>
                        <a:xfrm>
                          <a:off x="0" y="0"/>
                          <a:ext cx="5901690" cy="504190"/>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E0236C" w14:textId="77777777" w:rsidR="00EC561F" w:rsidRPr="00EC561F" w:rsidRDefault="00EC561F" w:rsidP="00EC561F">
                            <w:pPr>
                              <w:pStyle w:val="Style1"/>
                              <w:numPr>
                                <w:ilvl w:val="0"/>
                                <w:numId w:val="0"/>
                              </w:numPr>
                              <w:tabs>
                                <w:tab w:val="clear" w:pos="2010"/>
                                <w:tab w:val="left" w:pos="426"/>
                                <w:tab w:val="left" w:pos="8931"/>
                              </w:tabs>
                              <w:spacing w:after="0" w:line="240" w:lineRule="auto"/>
                              <w:ind w:left="218" w:right="15"/>
                              <w:jc w:val="both"/>
                              <w:rPr>
                                <w:color w:val="000000" w:themeColor="text1"/>
                              </w:rPr>
                            </w:pPr>
                          </w:p>
                          <w:p w14:paraId="7057E955" w14:textId="43992853" w:rsidR="00EC561F" w:rsidRPr="00EC561F" w:rsidRDefault="00EC561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Suivre et anticiper les impacts de la révision SFDR 2.0 sur notre définition d’investissement durable</w:t>
                            </w:r>
                          </w:p>
                          <w:p w14:paraId="60422B2D" w14:textId="77777777" w:rsidR="00EC561F" w:rsidRPr="00C06F62" w:rsidRDefault="00EC561F" w:rsidP="00D5131F">
                            <w:pPr>
                              <w:rPr>
                                <w:color w:val="000000" w:themeColor="text1"/>
                                <w:lang w:val="fr-FR"/>
                              </w:rPr>
                            </w:pPr>
                          </w:p>
                          <w:p w14:paraId="060A25EB" w14:textId="77777777" w:rsidR="00EC561F" w:rsidRPr="00EC561F" w:rsidRDefault="00EC561F" w:rsidP="00EC561F">
                            <w:pPr>
                              <w:pStyle w:val="Style1"/>
                              <w:numPr>
                                <w:ilvl w:val="0"/>
                                <w:numId w:val="0"/>
                              </w:numPr>
                              <w:tabs>
                                <w:tab w:val="clear" w:pos="2010"/>
                                <w:tab w:val="left" w:pos="426"/>
                                <w:tab w:val="left" w:pos="8931"/>
                              </w:tabs>
                              <w:spacing w:after="0" w:line="240" w:lineRule="auto"/>
                              <w:ind w:left="6314" w:right="15" w:hanging="360"/>
                              <w:jc w:val="both"/>
                              <w:rPr>
                                <w:color w:val="000000" w:themeColor="text1"/>
                              </w:rPr>
                            </w:pPr>
                          </w:p>
                          <w:p w14:paraId="48D5E508" w14:textId="77777777" w:rsidR="00F94895" w:rsidRPr="00B173B8" w:rsidRDefault="00F94895" w:rsidP="00F94895">
                            <w:pPr>
                              <w:pStyle w:val="Style1"/>
                              <w:numPr>
                                <w:ilvl w:val="0"/>
                                <w:numId w:val="0"/>
                              </w:numPr>
                              <w:tabs>
                                <w:tab w:val="clear" w:pos="2010"/>
                                <w:tab w:val="left" w:pos="426"/>
                                <w:tab w:val="left" w:pos="8931"/>
                              </w:tabs>
                              <w:spacing w:after="0" w:line="240" w:lineRule="auto"/>
                              <w:ind w:left="6314" w:right="15" w:hanging="360"/>
                              <w:jc w:val="both"/>
                              <w:rPr>
                                <w:color w:val="000000" w:themeColor="text1"/>
                              </w:rPr>
                            </w:pPr>
                            <w:r>
                              <w:rPr>
                                <w:rFonts w:ascii="Source Sans Pro" w:hAnsi="Source Sans Pro"/>
                                <w:bCs/>
                                <w:i w:val="0"/>
                                <w:color w:val="000000" w:themeColor="text1"/>
                                <w:sz w:val="20"/>
                              </w:rPr>
                              <w:br/>
                            </w:r>
                          </w:p>
                          <w:p w14:paraId="50C04922" w14:textId="77777777" w:rsidR="00F94895" w:rsidRDefault="00F94895" w:rsidP="00F94895">
                            <w:pPr>
                              <w:pStyle w:val="Style1"/>
                              <w:numPr>
                                <w:ilvl w:val="0"/>
                                <w:numId w:val="0"/>
                              </w:numPr>
                              <w:tabs>
                                <w:tab w:val="clear" w:pos="2010"/>
                                <w:tab w:val="left" w:pos="426"/>
                                <w:tab w:val="left" w:pos="8931"/>
                              </w:tabs>
                              <w:spacing w:after="0" w:line="240" w:lineRule="auto"/>
                              <w:ind w:left="6314" w:right="15" w:hanging="360"/>
                              <w:jc w:val="both"/>
                              <w:rPr>
                                <w:rFonts w:ascii="Source Sans Pro" w:hAnsi="Source Sans Pro"/>
                                <w:bCs/>
                                <w:i w:val="0"/>
                                <w:color w:val="000000" w:themeColor="text1"/>
                                <w:sz w:val="20"/>
                              </w:rPr>
                            </w:pPr>
                          </w:p>
                          <w:p w14:paraId="7BC28666" w14:textId="77777777" w:rsidR="00F94895" w:rsidRDefault="00F94895" w:rsidP="00F94895">
                            <w:pPr>
                              <w:pStyle w:val="Style1"/>
                              <w:numPr>
                                <w:ilvl w:val="0"/>
                                <w:numId w:val="0"/>
                              </w:numPr>
                              <w:tabs>
                                <w:tab w:val="clear" w:pos="2010"/>
                                <w:tab w:val="left" w:pos="426"/>
                                <w:tab w:val="left" w:pos="8931"/>
                              </w:tabs>
                              <w:spacing w:after="0" w:line="240" w:lineRule="auto"/>
                              <w:ind w:left="6314" w:right="15" w:hanging="360"/>
                              <w:jc w:val="both"/>
                              <w:rPr>
                                <w:rFonts w:ascii="Source Sans Pro" w:hAnsi="Source Sans Pro"/>
                                <w:bCs/>
                                <w:i w:val="0"/>
                                <w:color w:val="000000" w:themeColor="text1"/>
                                <w:sz w:val="20"/>
                              </w:rPr>
                            </w:pPr>
                          </w:p>
                          <w:p w14:paraId="4F311595" w14:textId="77777777" w:rsidR="00F94895" w:rsidRPr="00FA2D10" w:rsidRDefault="00F94895" w:rsidP="00F94895">
                            <w:pPr>
                              <w:pStyle w:val="Style1"/>
                              <w:numPr>
                                <w:ilvl w:val="0"/>
                                <w:numId w:val="0"/>
                              </w:numPr>
                              <w:tabs>
                                <w:tab w:val="clear" w:pos="2010"/>
                                <w:tab w:val="left" w:pos="426"/>
                                <w:tab w:val="left" w:pos="8931"/>
                              </w:tabs>
                              <w:spacing w:after="0" w:line="240" w:lineRule="auto"/>
                              <w:ind w:left="6314" w:right="15" w:hanging="360"/>
                              <w:jc w:val="both"/>
                              <w:rPr>
                                <w:rFonts w:ascii="Source Sans Pro" w:hAnsi="Source Sans Pro"/>
                                <w:bCs/>
                                <w:i w:val="0"/>
                                <w:color w:val="000000" w:themeColor="text1"/>
                                <w:sz w:val="20"/>
                                <w:szCs w:val="20"/>
                              </w:rPr>
                            </w:pPr>
                          </w:p>
                          <w:p w14:paraId="2915D663" w14:textId="77777777" w:rsidR="00F94895" w:rsidRPr="00FA2D10" w:rsidRDefault="00F94895" w:rsidP="00F94895">
                            <w:pPr>
                              <w:pStyle w:val="Style1"/>
                              <w:numPr>
                                <w:ilvl w:val="0"/>
                                <w:numId w:val="0"/>
                              </w:numPr>
                              <w:tabs>
                                <w:tab w:val="clear" w:pos="2010"/>
                                <w:tab w:val="left" w:pos="426"/>
                                <w:tab w:val="left" w:pos="8931"/>
                              </w:tabs>
                              <w:spacing w:after="0" w:line="240" w:lineRule="auto"/>
                              <w:ind w:left="6314" w:right="15" w:hanging="360"/>
                              <w:jc w:val="both"/>
                              <w:rPr>
                                <w:rFonts w:ascii="Source Sans Pro" w:hAnsi="Source Sans Pro"/>
                                <w:bCs/>
                                <w:i w:val="0"/>
                                <w:color w:val="000000" w:themeColor="text1"/>
                                <w:sz w:val="20"/>
                                <w:szCs w:val="20"/>
                              </w:rPr>
                            </w:pPr>
                          </w:p>
                          <w:p w14:paraId="45CE64F6" w14:textId="77777777" w:rsidR="00F94895" w:rsidRPr="00FA2D10" w:rsidRDefault="00F94895" w:rsidP="00F94895">
                            <w:pPr>
                              <w:pStyle w:val="Style1"/>
                              <w:numPr>
                                <w:ilvl w:val="0"/>
                                <w:numId w:val="0"/>
                              </w:numPr>
                              <w:tabs>
                                <w:tab w:val="clear" w:pos="2010"/>
                                <w:tab w:val="left" w:pos="426"/>
                                <w:tab w:val="left" w:pos="8931"/>
                              </w:tabs>
                              <w:spacing w:after="0" w:line="240" w:lineRule="auto"/>
                              <w:ind w:left="6314" w:right="15" w:hanging="360"/>
                              <w:jc w:val="both"/>
                              <w:rPr>
                                <w:rFonts w:ascii="Source Sans Pro" w:hAnsi="Source Sans Pro"/>
                                <w:bCs/>
                                <w:i w:val="0"/>
                                <w:color w:val="000000" w:themeColor="text1"/>
                                <w:sz w:val="20"/>
                                <w:szCs w:val="20"/>
                              </w:rPr>
                            </w:pPr>
                          </w:p>
                          <w:p w14:paraId="1A0418C5" w14:textId="77777777" w:rsidR="00F94895" w:rsidRPr="00FA2D10" w:rsidRDefault="00F94895" w:rsidP="00F94895">
                            <w:pPr>
                              <w:pStyle w:val="Style1"/>
                              <w:numPr>
                                <w:ilvl w:val="0"/>
                                <w:numId w:val="0"/>
                              </w:numPr>
                              <w:tabs>
                                <w:tab w:val="clear" w:pos="2010"/>
                                <w:tab w:val="left" w:pos="426"/>
                                <w:tab w:val="left" w:pos="8931"/>
                              </w:tabs>
                              <w:spacing w:after="0" w:line="240" w:lineRule="auto"/>
                              <w:ind w:left="6314" w:right="15" w:hanging="360"/>
                              <w:jc w:val="both"/>
                              <w:rPr>
                                <w:color w:val="000000" w:themeColor="text1"/>
                                <w:sz w:val="20"/>
                                <w:szCs w:val="20"/>
                              </w:rPr>
                            </w:pPr>
                          </w:p>
                        </w:txbxContent>
                      </wps:txbx>
                      <wps:bodyPr rot="0" spcFirstLastPara="0" vertOverflow="overflow" horzOverflow="overflow" vert="horz" wrap="square" lIns="180000" tIns="72000" rIns="180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A88F23" id="Rectangle : coins arrondis 432995251" o:spid="_x0000_s1092" style="position:absolute;left:0;text-align:left;margin-left:-8.8pt;margin-top:3.6pt;width:464.7pt;height:39.7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" fillcolor="#d8d8d8 [2732]" stroked="f" strokeweight="1pt">
                <v:stroke joinstyle="miter"/>
                <v:textbox inset="5mm,2mm,5mm,3mm">
                  <w:txbxContent>
                    <w:p w14:paraId="38E0236C" w14:textId="77777777" w:rsidR="00EC561F" w:rsidRPr="00EC561F" w:rsidRDefault="00EC561F" w:rsidP="00EC561F">
                      <w:pPr>
                        <w:pStyle w:val="Style1"/>
                        <w:numPr>
                          <w:ilvl w:val="0"/>
                          <w:numId w:val="0"/>
                        </w:numPr>
                        <w:tabs>
                          <w:tab w:val="clear" w:pos="2010"/>
                          <w:tab w:val="left" w:pos="426"/>
                          <w:tab w:val="left" w:pos="8931"/>
                        </w:tabs>
                        <w:spacing w:after="0" w:line="240" w:lineRule="auto"/>
                        <w:ind w:left="218" w:right="15"/>
                        <w:jc w:val="both"/>
                        <w:rPr>
                          <w:color w:val="000000" w:themeColor="text1"/>
                        </w:rPr>
                      </w:pPr>
                    </w:p>
                    <w:p w14:paraId="7057E955" w14:textId="43992853" w:rsidR="00EC561F" w:rsidRPr="00EC561F" w:rsidRDefault="00EC561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Suivre et anticiper les impacts de la révision SFDR 2.0 sur notre définition d’investissement durable</w:t>
                      </w:r>
                    </w:p>
                    <w:p w14:paraId="60422B2D" w14:textId="77777777" w:rsidR="00EC561F" w:rsidRPr="00C06F62" w:rsidRDefault="00EC561F" w:rsidP="00D5131F">
                      <w:pPr>
                        <w:rPr>
                          <w:color w:val="000000" w:themeColor="text1"/>
                          <w:lang w:val="fr-FR"/>
                        </w:rPr>
                      </w:pPr>
                    </w:p>
                    <w:p w14:paraId="060A25EB" w14:textId="77777777" w:rsidR="00EC561F" w:rsidRPr="00EC561F" w:rsidRDefault="00EC561F" w:rsidP="00EC561F">
                      <w:pPr>
                        <w:pStyle w:val="Style1"/>
                        <w:numPr>
                          <w:ilvl w:val="0"/>
                          <w:numId w:val="0"/>
                        </w:numPr>
                        <w:tabs>
                          <w:tab w:val="clear" w:pos="2010"/>
                          <w:tab w:val="left" w:pos="426"/>
                          <w:tab w:val="left" w:pos="8931"/>
                        </w:tabs>
                        <w:spacing w:after="0" w:line="240" w:lineRule="auto"/>
                        <w:ind w:left="6314" w:right="15" w:hanging="360"/>
                        <w:jc w:val="both"/>
                        <w:rPr>
                          <w:color w:val="000000" w:themeColor="text1"/>
                        </w:rPr>
                      </w:pPr>
                    </w:p>
                    <w:p w14:paraId="48D5E508" w14:textId="77777777" w:rsidR="00F94895" w:rsidRPr="00B173B8" w:rsidRDefault="00F94895" w:rsidP="00F94895">
                      <w:pPr>
                        <w:pStyle w:val="Style1"/>
                        <w:numPr>
                          <w:ilvl w:val="0"/>
                          <w:numId w:val="0"/>
                        </w:numPr>
                        <w:tabs>
                          <w:tab w:val="clear" w:pos="2010"/>
                          <w:tab w:val="left" w:pos="426"/>
                          <w:tab w:val="left" w:pos="8931"/>
                        </w:tabs>
                        <w:spacing w:after="0" w:line="240" w:lineRule="auto"/>
                        <w:ind w:left="6314" w:right="15" w:hanging="360"/>
                        <w:jc w:val="both"/>
                        <w:rPr>
                          <w:color w:val="000000" w:themeColor="text1"/>
                        </w:rPr>
                      </w:pPr>
                      <w:r>
                        <w:rPr>
                          <w:rFonts w:ascii="Source Sans Pro" w:hAnsi="Source Sans Pro"/>
                          <w:bCs/>
                          <w:i w:val="0"/>
                          <w:color w:val="000000" w:themeColor="text1"/>
                          <w:sz w:val="20"/>
                        </w:rPr>
                        <w:br/>
                      </w:r>
                    </w:p>
                    <w:p w14:paraId="50C04922" w14:textId="77777777" w:rsidR="00F94895" w:rsidRDefault="00F94895" w:rsidP="00F94895">
                      <w:pPr>
                        <w:pStyle w:val="Style1"/>
                        <w:numPr>
                          <w:ilvl w:val="0"/>
                          <w:numId w:val="0"/>
                        </w:numPr>
                        <w:tabs>
                          <w:tab w:val="clear" w:pos="2010"/>
                          <w:tab w:val="left" w:pos="426"/>
                          <w:tab w:val="left" w:pos="8931"/>
                        </w:tabs>
                        <w:spacing w:after="0" w:line="240" w:lineRule="auto"/>
                        <w:ind w:left="6314" w:right="15" w:hanging="360"/>
                        <w:jc w:val="both"/>
                        <w:rPr>
                          <w:rFonts w:ascii="Source Sans Pro" w:hAnsi="Source Sans Pro"/>
                          <w:bCs/>
                          <w:i w:val="0"/>
                          <w:color w:val="000000" w:themeColor="text1"/>
                          <w:sz w:val="20"/>
                        </w:rPr>
                      </w:pPr>
                    </w:p>
                    <w:p w14:paraId="7BC28666" w14:textId="77777777" w:rsidR="00F94895" w:rsidRDefault="00F94895" w:rsidP="00F94895">
                      <w:pPr>
                        <w:pStyle w:val="Style1"/>
                        <w:numPr>
                          <w:ilvl w:val="0"/>
                          <w:numId w:val="0"/>
                        </w:numPr>
                        <w:tabs>
                          <w:tab w:val="clear" w:pos="2010"/>
                          <w:tab w:val="left" w:pos="426"/>
                          <w:tab w:val="left" w:pos="8931"/>
                        </w:tabs>
                        <w:spacing w:after="0" w:line="240" w:lineRule="auto"/>
                        <w:ind w:left="6314" w:right="15" w:hanging="360"/>
                        <w:jc w:val="both"/>
                        <w:rPr>
                          <w:rFonts w:ascii="Source Sans Pro" w:hAnsi="Source Sans Pro"/>
                          <w:bCs/>
                          <w:i w:val="0"/>
                          <w:color w:val="000000" w:themeColor="text1"/>
                          <w:sz w:val="20"/>
                        </w:rPr>
                      </w:pPr>
                    </w:p>
                    <w:p w14:paraId="4F311595" w14:textId="77777777" w:rsidR="00F94895" w:rsidRPr="00FA2D10" w:rsidRDefault="00F94895" w:rsidP="00F94895">
                      <w:pPr>
                        <w:pStyle w:val="Style1"/>
                        <w:numPr>
                          <w:ilvl w:val="0"/>
                          <w:numId w:val="0"/>
                        </w:numPr>
                        <w:tabs>
                          <w:tab w:val="clear" w:pos="2010"/>
                          <w:tab w:val="left" w:pos="426"/>
                          <w:tab w:val="left" w:pos="8931"/>
                        </w:tabs>
                        <w:spacing w:after="0" w:line="240" w:lineRule="auto"/>
                        <w:ind w:left="6314" w:right="15" w:hanging="360"/>
                        <w:jc w:val="both"/>
                        <w:rPr>
                          <w:rFonts w:ascii="Source Sans Pro" w:hAnsi="Source Sans Pro"/>
                          <w:bCs/>
                          <w:i w:val="0"/>
                          <w:color w:val="000000" w:themeColor="text1"/>
                          <w:sz w:val="20"/>
                          <w:szCs w:val="20"/>
                        </w:rPr>
                      </w:pPr>
                    </w:p>
                    <w:p w14:paraId="2915D663" w14:textId="77777777" w:rsidR="00F94895" w:rsidRPr="00FA2D10" w:rsidRDefault="00F94895" w:rsidP="00F94895">
                      <w:pPr>
                        <w:pStyle w:val="Style1"/>
                        <w:numPr>
                          <w:ilvl w:val="0"/>
                          <w:numId w:val="0"/>
                        </w:numPr>
                        <w:tabs>
                          <w:tab w:val="clear" w:pos="2010"/>
                          <w:tab w:val="left" w:pos="426"/>
                          <w:tab w:val="left" w:pos="8931"/>
                        </w:tabs>
                        <w:spacing w:after="0" w:line="240" w:lineRule="auto"/>
                        <w:ind w:left="6314" w:right="15" w:hanging="360"/>
                        <w:jc w:val="both"/>
                        <w:rPr>
                          <w:rFonts w:ascii="Source Sans Pro" w:hAnsi="Source Sans Pro"/>
                          <w:bCs/>
                          <w:i w:val="0"/>
                          <w:color w:val="000000" w:themeColor="text1"/>
                          <w:sz w:val="20"/>
                          <w:szCs w:val="20"/>
                        </w:rPr>
                      </w:pPr>
                    </w:p>
                    <w:p w14:paraId="45CE64F6" w14:textId="77777777" w:rsidR="00F94895" w:rsidRPr="00FA2D10" w:rsidRDefault="00F94895" w:rsidP="00F94895">
                      <w:pPr>
                        <w:pStyle w:val="Style1"/>
                        <w:numPr>
                          <w:ilvl w:val="0"/>
                          <w:numId w:val="0"/>
                        </w:numPr>
                        <w:tabs>
                          <w:tab w:val="clear" w:pos="2010"/>
                          <w:tab w:val="left" w:pos="426"/>
                          <w:tab w:val="left" w:pos="8931"/>
                        </w:tabs>
                        <w:spacing w:after="0" w:line="240" w:lineRule="auto"/>
                        <w:ind w:left="6314" w:right="15" w:hanging="360"/>
                        <w:jc w:val="both"/>
                        <w:rPr>
                          <w:rFonts w:ascii="Source Sans Pro" w:hAnsi="Source Sans Pro"/>
                          <w:bCs/>
                          <w:i w:val="0"/>
                          <w:color w:val="000000" w:themeColor="text1"/>
                          <w:sz w:val="20"/>
                          <w:szCs w:val="20"/>
                        </w:rPr>
                      </w:pPr>
                    </w:p>
                    <w:p w14:paraId="1A0418C5" w14:textId="77777777" w:rsidR="00F94895" w:rsidRPr="00FA2D10" w:rsidRDefault="00F94895" w:rsidP="00F94895">
                      <w:pPr>
                        <w:pStyle w:val="Style1"/>
                        <w:numPr>
                          <w:ilvl w:val="0"/>
                          <w:numId w:val="0"/>
                        </w:numPr>
                        <w:tabs>
                          <w:tab w:val="clear" w:pos="2010"/>
                          <w:tab w:val="left" w:pos="426"/>
                          <w:tab w:val="left" w:pos="8931"/>
                        </w:tabs>
                        <w:spacing w:after="0" w:line="240" w:lineRule="auto"/>
                        <w:ind w:left="6314" w:right="15" w:hanging="360"/>
                        <w:jc w:val="both"/>
                        <w:rPr>
                          <w:color w:val="000000" w:themeColor="text1"/>
                          <w:sz w:val="20"/>
                          <w:szCs w:val="20"/>
                        </w:rPr>
                      </w:pPr>
                    </w:p>
                  </w:txbxContent>
                </v:textbox>
                <w10:wrap type="square" anchorx="margin"/>
              </v:roundrect>
            </w:pict>
          </mc:Fallback>
        </mc:AlternateContent>
      </w:r>
    </w:p>
    <w:p w14:paraId="563055D9" w14:textId="77777777" w:rsidR="00F94895" w:rsidRPr="00A74D23" w:rsidRDefault="00F94895" w:rsidP="009D6EE5">
      <w:pPr>
        <w:pStyle w:val="Style1"/>
        <w:numPr>
          <w:ilvl w:val="0"/>
          <w:numId w:val="0"/>
        </w:numPr>
        <w:tabs>
          <w:tab w:val="left" w:pos="426"/>
        </w:tabs>
        <w:spacing w:before="120" w:line="22" w:lineRule="atLeast"/>
        <w:contextualSpacing w:val="0"/>
        <w:jc w:val="both"/>
        <w:rPr>
          <w:rFonts w:cs="Open Sans"/>
          <w:i w:val="0"/>
          <w:color w:val="000000" w:themeColor="text1"/>
          <w:sz w:val="18"/>
          <w:szCs w:val="18"/>
        </w:rPr>
      </w:pPr>
    </w:p>
    <w:p w14:paraId="7EF59C60" w14:textId="77777777" w:rsidR="00F94895" w:rsidRPr="00A74D23" w:rsidRDefault="00F94895" w:rsidP="009D6EE5">
      <w:pPr>
        <w:pStyle w:val="Style1"/>
        <w:numPr>
          <w:ilvl w:val="0"/>
          <w:numId w:val="0"/>
        </w:numPr>
        <w:tabs>
          <w:tab w:val="left" w:pos="426"/>
        </w:tabs>
        <w:spacing w:before="120" w:line="22" w:lineRule="atLeast"/>
        <w:contextualSpacing w:val="0"/>
        <w:jc w:val="both"/>
        <w:rPr>
          <w:rFonts w:cs="Open Sans"/>
          <w:i w:val="0"/>
          <w:color w:val="000000" w:themeColor="text1"/>
          <w:sz w:val="18"/>
          <w:szCs w:val="18"/>
        </w:rPr>
      </w:pPr>
    </w:p>
    <w:p w14:paraId="0A69BA8F" w14:textId="77777777" w:rsidR="004E4587" w:rsidRPr="00A74D23" w:rsidRDefault="004E4587" w:rsidP="009D6EE5">
      <w:pPr>
        <w:pStyle w:val="Style1"/>
        <w:numPr>
          <w:ilvl w:val="0"/>
          <w:numId w:val="0"/>
        </w:numPr>
        <w:tabs>
          <w:tab w:val="left" w:pos="426"/>
        </w:tabs>
        <w:spacing w:before="120" w:line="22" w:lineRule="atLeast"/>
        <w:contextualSpacing w:val="0"/>
        <w:jc w:val="both"/>
        <w:rPr>
          <w:rFonts w:cs="Open Sans"/>
          <w:i w:val="0"/>
          <w:color w:val="000000" w:themeColor="text1"/>
          <w:sz w:val="18"/>
          <w:szCs w:val="18"/>
        </w:rPr>
      </w:pPr>
    </w:p>
    <w:bookmarkEnd w:id="40"/>
    <w:p w14:paraId="22A3D981" w14:textId="26725D5A" w:rsidR="00D00708" w:rsidRPr="00A74D23" w:rsidRDefault="00D00708" w:rsidP="002D1B56">
      <w:pPr>
        <w:spacing w:after="240" w:line="22" w:lineRule="atLeast"/>
        <w:jc w:val="both"/>
        <w:rPr>
          <w:rFonts w:asciiTheme="minorHAnsi" w:hAnsiTheme="minorHAnsi" w:cs="Open Sans"/>
          <w:b/>
          <w:bCs/>
          <w:sz w:val="32"/>
          <w:szCs w:val="32"/>
          <w:lang w:val="fr-FR"/>
        </w:rPr>
      </w:pPr>
      <w:r w:rsidRPr="00A74D23">
        <w:rPr>
          <w:rFonts w:asciiTheme="minorHAnsi" w:hAnsiTheme="minorHAnsi" w:cs="Open Sans"/>
          <w:b/>
          <w:bCs/>
          <w:sz w:val="32"/>
          <w:szCs w:val="32"/>
          <w:lang w:val="fr-FR"/>
        </w:rPr>
        <w:t>2.</w:t>
      </w:r>
      <w:r w:rsidR="00023ED5" w:rsidRPr="00A74D23">
        <w:rPr>
          <w:rFonts w:asciiTheme="minorHAnsi" w:hAnsiTheme="minorHAnsi" w:cs="Open Sans"/>
          <w:b/>
          <w:bCs/>
          <w:sz w:val="32"/>
          <w:szCs w:val="32"/>
          <w:lang w:val="fr-FR"/>
        </w:rPr>
        <w:t>5</w:t>
      </w:r>
      <w:r w:rsidRPr="00A74D23">
        <w:rPr>
          <w:rFonts w:asciiTheme="minorHAnsi" w:hAnsiTheme="minorHAnsi" w:cs="Open Sans"/>
          <w:b/>
          <w:bCs/>
          <w:sz w:val="32"/>
          <w:szCs w:val="32"/>
          <w:lang w:val="fr-FR"/>
        </w:rPr>
        <w:t>. Notre contribution au développement de l’investissement à impact</w:t>
      </w:r>
    </w:p>
    <w:p w14:paraId="2248B77F" w14:textId="77777777" w:rsidR="00AD238F" w:rsidRPr="00A74D23" w:rsidRDefault="00AD238F" w:rsidP="009D6EE5">
      <w:pPr>
        <w:pStyle w:val="Style4"/>
        <w:spacing w:line="22" w:lineRule="atLeast"/>
        <w:jc w:val="both"/>
        <w:rPr>
          <w:rFonts w:asciiTheme="minorHAnsi" w:hAnsiTheme="minorHAnsi" w:cs="Open Sans"/>
          <w:sz w:val="12"/>
          <w:szCs w:val="12"/>
        </w:rPr>
      </w:pPr>
    </w:p>
    <w:p w14:paraId="20C3DF46" w14:textId="4B3462BB" w:rsidR="00023ED5" w:rsidRPr="00A74D23" w:rsidRDefault="00AD238F" w:rsidP="009D6EE5">
      <w:pPr>
        <w:spacing w:after="120" w:line="22" w:lineRule="atLeast"/>
        <w:jc w:val="both"/>
        <w:rPr>
          <w:rFonts w:asciiTheme="minorHAnsi" w:hAnsiTheme="minorHAnsi" w:cs="Open Sans"/>
          <w:iCs/>
          <w:sz w:val="20"/>
          <w:szCs w:val="20"/>
          <w:lang w:val="fr-FR"/>
        </w:rPr>
      </w:pPr>
      <w:r w:rsidRPr="00A74D23">
        <w:rPr>
          <w:rFonts w:asciiTheme="minorHAnsi" w:hAnsiTheme="minorHAnsi" w:cs="Open Sans"/>
          <w:iCs/>
          <w:sz w:val="20"/>
          <w:szCs w:val="20"/>
          <w:lang w:val="fr-FR"/>
        </w:rPr>
        <w:t>Abeille Assurances contribue au développement de l’investissement à impact en accompagnant des entreprises qui participent à la transformation positive de l’économie tout au long de leur cycle de vie, et en s’inscrivant activement dans l’écosystème de l’entrepreneuriat à impact et de l’économie sociale et solidaire.</w:t>
      </w:r>
    </w:p>
    <w:p w14:paraId="1E5987F0" w14:textId="77777777" w:rsidR="00AD238F" w:rsidRPr="00A74D23" w:rsidRDefault="00AD238F" w:rsidP="009D6EE5">
      <w:pPr>
        <w:spacing w:after="120" w:line="22" w:lineRule="atLeast"/>
        <w:jc w:val="both"/>
        <w:rPr>
          <w:rFonts w:asciiTheme="minorHAnsi" w:hAnsiTheme="minorHAnsi" w:cs="Open Sans"/>
          <w:iCs/>
          <w:sz w:val="20"/>
          <w:szCs w:val="20"/>
          <w:lang w:val="fr-FR"/>
        </w:rPr>
      </w:pPr>
      <w:r w:rsidRPr="00A74D23">
        <w:rPr>
          <w:rFonts w:asciiTheme="minorHAnsi" w:hAnsiTheme="minorHAnsi" w:cs="Open Sans"/>
          <w:iCs/>
          <w:sz w:val="20"/>
          <w:szCs w:val="20"/>
          <w:lang w:val="fr-FR"/>
        </w:rPr>
        <w:t xml:space="preserve">Notre approche, qui positionne Abeille Assurances comme un investisseur de référence de l’impact en France, repose sur un dispositif structuré et différenciant, articulé autour de 4 axes : </w:t>
      </w:r>
    </w:p>
    <w:p w14:paraId="6BC0D5F4" w14:textId="77777777" w:rsidR="00AD238F" w:rsidRPr="00A74D23" w:rsidRDefault="00AD238F" w:rsidP="00590DD1">
      <w:pPr>
        <w:pStyle w:val="Paragraphedeliste"/>
        <w:numPr>
          <w:ilvl w:val="0"/>
          <w:numId w:val="81"/>
        </w:numPr>
        <w:spacing w:after="120" w:line="22" w:lineRule="atLeast"/>
        <w:jc w:val="both"/>
        <w:rPr>
          <w:rFonts w:eastAsia="Source Sans Pro" w:cs="Open Sans"/>
          <w:sz w:val="20"/>
          <w:szCs w:val="20"/>
        </w:rPr>
      </w:pPr>
      <w:r w:rsidRPr="00A74D23">
        <w:rPr>
          <w:rFonts w:eastAsia="Source Sans Pro" w:cs="Open Sans"/>
          <w:sz w:val="20"/>
          <w:szCs w:val="20"/>
        </w:rPr>
        <w:t>Un volume important d’investissement (plus de 100m€) et près d’une centaine de participations dans des sociétés à impact sur l’ensemble du territoire français à fin 2024</w:t>
      </w:r>
    </w:p>
    <w:p w14:paraId="5FDCF4B0" w14:textId="77777777" w:rsidR="00AD238F" w:rsidRPr="00A74D23" w:rsidRDefault="00AD238F" w:rsidP="00590DD1">
      <w:pPr>
        <w:pStyle w:val="Paragraphedeliste"/>
        <w:numPr>
          <w:ilvl w:val="0"/>
          <w:numId w:val="81"/>
        </w:numPr>
        <w:spacing w:after="120" w:line="22" w:lineRule="atLeast"/>
        <w:jc w:val="both"/>
        <w:rPr>
          <w:rFonts w:eastAsia="Source Sans Pro" w:cs="Open Sans"/>
          <w:sz w:val="20"/>
          <w:szCs w:val="20"/>
        </w:rPr>
      </w:pPr>
      <w:r w:rsidRPr="00A74D23">
        <w:rPr>
          <w:rFonts w:eastAsia="Source Sans Pro" w:cs="Open Sans"/>
          <w:sz w:val="20"/>
          <w:szCs w:val="20"/>
        </w:rPr>
        <w:t xml:space="preserve">Un ticket de financement allant jusqu’à 600k€ afin démultiplier l’impact des investissements sur différentes verticales sur lesquelles les participations centrent leur modèle d’affaires : </w:t>
      </w:r>
    </w:p>
    <w:p w14:paraId="3AA3F84D" w14:textId="77777777" w:rsidR="00AD238F" w:rsidRPr="00A74D23" w:rsidRDefault="00AD238F" w:rsidP="00590DD1">
      <w:pPr>
        <w:pStyle w:val="Paragraphedeliste"/>
        <w:numPr>
          <w:ilvl w:val="1"/>
          <w:numId w:val="82"/>
        </w:numPr>
        <w:spacing w:after="0" w:line="22" w:lineRule="atLeast"/>
        <w:ind w:left="1701"/>
        <w:jc w:val="both"/>
        <w:rPr>
          <w:rFonts w:eastAsia="Source Sans Pro" w:cs="Open Sans"/>
          <w:sz w:val="20"/>
          <w:szCs w:val="20"/>
        </w:rPr>
      </w:pPr>
      <w:r w:rsidRPr="00A74D23">
        <w:rPr>
          <w:rFonts w:eastAsia="Source Sans Pro" w:cs="Open Sans"/>
          <w:sz w:val="20"/>
          <w:szCs w:val="20"/>
        </w:rPr>
        <w:t>Consommation et production responsable,</w:t>
      </w:r>
    </w:p>
    <w:p w14:paraId="3F797F2F" w14:textId="77777777" w:rsidR="00AD238F" w:rsidRPr="00A74D23" w:rsidRDefault="00AD238F" w:rsidP="00590DD1">
      <w:pPr>
        <w:pStyle w:val="Paragraphedeliste"/>
        <w:numPr>
          <w:ilvl w:val="1"/>
          <w:numId w:val="82"/>
        </w:numPr>
        <w:spacing w:after="0" w:line="22" w:lineRule="atLeast"/>
        <w:ind w:left="1701"/>
        <w:jc w:val="both"/>
        <w:rPr>
          <w:rFonts w:eastAsia="Source Sans Pro" w:cs="Open Sans"/>
          <w:sz w:val="20"/>
          <w:szCs w:val="20"/>
        </w:rPr>
      </w:pPr>
      <w:r w:rsidRPr="00A74D23">
        <w:rPr>
          <w:rFonts w:eastAsia="Source Sans Pro" w:cs="Open Sans"/>
          <w:sz w:val="20"/>
          <w:szCs w:val="20"/>
        </w:rPr>
        <w:t xml:space="preserve">Economie collaborative et circulaire, </w:t>
      </w:r>
    </w:p>
    <w:p w14:paraId="3311066A" w14:textId="77777777" w:rsidR="00AD238F" w:rsidRPr="00A74D23" w:rsidRDefault="00AD238F" w:rsidP="00590DD1">
      <w:pPr>
        <w:pStyle w:val="Paragraphedeliste"/>
        <w:numPr>
          <w:ilvl w:val="1"/>
          <w:numId w:val="82"/>
        </w:numPr>
        <w:spacing w:after="0" w:line="22" w:lineRule="atLeast"/>
        <w:ind w:left="1701"/>
        <w:jc w:val="both"/>
        <w:rPr>
          <w:rFonts w:eastAsia="Source Sans Pro" w:cs="Open Sans"/>
          <w:sz w:val="20"/>
          <w:szCs w:val="20"/>
        </w:rPr>
      </w:pPr>
      <w:r w:rsidRPr="00A74D23">
        <w:rPr>
          <w:rFonts w:eastAsia="Source Sans Pro" w:cs="Open Sans"/>
          <w:sz w:val="20"/>
          <w:szCs w:val="20"/>
        </w:rPr>
        <w:t xml:space="preserve">Santé et services aux personnes fragilisées, </w:t>
      </w:r>
    </w:p>
    <w:p w14:paraId="2F2FF044" w14:textId="77777777" w:rsidR="00AD238F" w:rsidRPr="00A74D23" w:rsidRDefault="00AD238F" w:rsidP="00590DD1">
      <w:pPr>
        <w:pStyle w:val="Paragraphedeliste"/>
        <w:numPr>
          <w:ilvl w:val="1"/>
          <w:numId w:val="82"/>
        </w:numPr>
        <w:spacing w:after="0" w:line="22" w:lineRule="atLeast"/>
        <w:ind w:left="1701"/>
        <w:jc w:val="both"/>
        <w:rPr>
          <w:rFonts w:eastAsia="Source Sans Pro" w:cs="Open Sans"/>
          <w:sz w:val="20"/>
          <w:szCs w:val="20"/>
        </w:rPr>
      </w:pPr>
      <w:r w:rsidRPr="00A74D23">
        <w:rPr>
          <w:rFonts w:eastAsia="Source Sans Pro" w:cs="Open Sans"/>
          <w:sz w:val="20"/>
          <w:szCs w:val="20"/>
        </w:rPr>
        <w:t>Education, emploi durable et développement local,</w:t>
      </w:r>
    </w:p>
    <w:p w14:paraId="5D213FC9" w14:textId="77777777" w:rsidR="00AD238F" w:rsidRPr="00A74D23" w:rsidRDefault="00AD238F" w:rsidP="00590DD1">
      <w:pPr>
        <w:pStyle w:val="Paragraphedeliste"/>
        <w:numPr>
          <w:ilvl w:val="1"/>
          <w:numId w:val="82"/>
        </w:numPr>
        <w:spacing w:after="120" w:line="22" w:lineRule="atLeast"/>
        <w:ind w:left="1701"/>
        <w:jc w:val="both"/>
        <w:rPr>
          <w:rFonts w:eastAsia="Source Sans Pro" w:cs="Open Sans"/>
          <w:sz w:val="20"/>
          <w:szCs w:val="20"/>
        </w:rPr>
      </w:pPr>
      <w:r w:rsidRPr="00A74D23">
        <w:rPr>
          <w:rFonts w:eastAsia="Source Sans Pro" w:cs="Open Sans"/>
          <w:sz w:val="20"/>
          <w:szCs w:val="20"/>
        </w:rPr>
        <w:t>Innovation écologique et énergétique.</w:t>
      </w:r>
    </w:p>
    <w:p w14:paraId="5F98EF1D" w14:textId="33B0C659" w:rsidR="00AD238F" w:rsidRPr="00A74D23" w:rsidRDefault="00AD238F" w:rsidP="00590DD1">
      <w:pPr>
        <w:pStyle w:val="Paragraphedeliste"/>
        <w:numPr>
          <w:ilvl w:val="0"/>
          <w:numId w:val="81"/>
        </w:numPr>
        <w:spacing w:after="120" w:line="22" w:lineRule="atLeast"/>
        <w:jc w:val="both"/>
        <w:rPr>
          <w:rFonts w:eastAsia="Source Sans Pro" w:cs="Open Sans"/>
          <w:sz w:val="20"/>
          <w:szCs w:val="20"/>
        </w:rPr>
      </w:pPr>
      <w:r w:rsidRPr="00A74D23">
        <w:rPr>
          <w:rFonts w:eastAsia="Source Sans Pro" w:cs="Open Sans"/>
          <w:sz w:val="20"/>
          <w:szCs w:val="20"/>
        </w:rPr>
        <w:t xml:space="preserve">Une collaboration avec des experts reconnus de la finance à impact comme Inco, et Ventech et des ressources dédiées à l’analyse des investissements à impact. </w:t>
      </w:r>
    </w:p>
    <w:p w14:paraId="48FEE682" w14:textId="2471395E" w:rsidR="00AD238F" w:rsidRPr="00DF6AAA" w:rsidRDefault="00AD238F" w:rsidP="00590DD1">
      <w:pPr>
        <w:pStyle w:val="Paragraphedeliste"/>
        <w:numPr>
          <w:ilvl w:val="0"/>
          <w:numId w:val="81"/>
        </w:numPr>
        <w:spacing w:after="120" w:line="22" w:lineRule="atLeast"/>
        <w:jc w:val="both"/>
        <w:rPr>
          <w:rFonts w:cs="Open Sans"/>
          <w:sz w:val="20"/>
          <w:szCs w:val="20"/>
        </w:rPr>
      </w:pPr>
      <w:r w:rsidRPr="00A74D23">
        <w:rPr>
          <w:rFonts w:eastAsia="Source Sans Pro" w:cs="Open Sans"/>
          <w:sz w:val="20"/>
          <w:szCs w:val="20"/>
        </w:rPr>
        <w:t xml:space="preserve">Une mesure systématique de mesure de l’impact, de son intentionnalité et de son additionalité, </w:t>
      </w:r>
      <w:r w:rsidRPr="00A74D23">
        <w:rPr>
          <w:rFonts w:cs="Open Sans"/>
          <w:sz w:val="20"/>
          <w:szCs w:val="20"/>
        </w:rPr>
        <w:t>conformément aux recommandations méthodologiques de la finance à impact</w:t>
      </w:r>
      <w:r w:rsidRPr="00A74D23">
        <w:rPr>
          <w:rFonts w:cs="Open Sans"/>
          <w:sz w:val="20"/>
          <w:szCs w:val="20"/>
          <w:vertAlign w:val="superscript"/>
        </w:rPr>
        <w:footnoteReference w:id="5"/>
      </w:r>
      <w:r w:rsidRPr="00A74D23">
        <w:rPr>
          <w:rFonts w:cs="Open Sans"/>
          <w:sz w:val="20"/>
          <w:szCs w:val="20"/>
        </w:rPr>
        <w:t xml:space="preserve">. Nous veillons à ce que des indicateurs clés </w:t>
      </w:r>
      <w:r w:rsidRPr="00A74D23">
        <w:rPr>
          <w:rFonts w:cs="Open Sans"/>
          <w:color w:val="000000" w:themeColor="text1"/>
          <w:sz w:val="20"/>
          <w:szCs w:val="20"/>
        </w:rPr>
        <w:t xml:space="preserve">de performance soient calculés pour nos participations afin d’en évaluer fidèlement leur impact. </w:t>
      </w:r>
    </w:p>
    <w:p w14:paraId="75DDEB01" w14:textId="77777777" w:rsidR="00AD238F" w:rsidRPr="00A74D23" w:rsidRDefault="00AD238F" w:rsidP="009D6EE5">
      <w:pPr>
        <w:pStyle w:val="Style1"/>
        <w:numPr>
          <w:ilvl w:val="0"/>
          <w:numId w:val="0"/>
        </w:numPr>
        <w:spacing w:after="120" w:line="22" w:lineRule="atLeast"/>
        <w:jc w:val="both"/>
        <w:rPr>
          <w:rFonts w:cs="Open Sans"/>
          <w:i w:val="0"/>
          <w:iCs w:val="0"/>
          <w:color w:val="000000" w:themeColor="text1"/>
          <w:sz w:val="20"/>
          <w:szCs w:val="20"/>
        </w:rPr>
      </w:pPr>
    </w:p>
    <w:p w14:paraId="19863AA2" w14:textId="458D7ED3" w:rsidR="00AD238F" w:rsidRPr="00A74D23" w:rsidRDefault="00AD238F" w:rsidP="009D6EE5">
      <w:pPr>
        <w:pStyle w:val="Style1"/>
        <w:numPr>
          <w:ilvl w:val="0"/>
          <w:numId w:val="0"/>
        </w:numPr>
        <w:spacing w:after="120" w:line="22" w:lineRule="atLeast"/>
        <w:jc w:val="both"/>
        <w:rPr>
          <w:rFonts w:cs="Open Sans"/>
          <w:i w:val="0"/>
          <w:iCs w:val="0"/>
          <w:color w:val="000000" w:themeColor="text1"/>
          <w:sz w:val="20"/>
          <w:szCs w:val="20"/>
        </w:rPr>
      </w:pPr>
      <w:r w:rsidRPr="00A74D23">
        <w:rPr>
          <w:rFonts w:cs="Open Sans"/>
          <w:i w:val="0"/>
          <w:iCs w:val="0"/>
          <w:color w:val="000000" w:themeColor="text1"/>
          <w:sz w:val="20"/>
          <w:szCs w:val="20"/>
        </w:rPr>
        <w:t>Nos impacts se situent principalement dans deux véhicules d’investissement</w:t>
      </w:r>
      <w:r w:rsidR="00010F11" w:rsidRPr="00A74D23">
        <w:rPr>
          <w:rFonts w:cs="Open Sans"/>
          <w:i w:val="0"/>
          <w:iCs w:val="0"/>
          <w:color w:val="000000" w:themeColor="text1"/>
          <w:sz w:val="20"/>
          <w:szCs w:val="20"/>
        </w:rPr>
        <w:t> :</w:t>
      </w:r>
    </w:p>
    <w:p w14:paraId="4D84286D" w14:textId="6116E137" w:rsidR="00AD238F" w:rsidRPr="00A74D23" w:rsidRDefault="00AD238F" w:rsidP="00590DD1">
      <w:pPr>
        <w:pStyle w:val="Paragraphedeliste"/>
        <w:numPr>
          <w:ilvl w:val="0"/>
          <w:numId w:val="77"/>
        </w:numPr>
        <w:spacing w:after="0" w:line="22" w:lineRule="atLeast"/>
        <w:jc w:val="both"/>
        <w:rPr>
          <w:rFonts w:cs="Open Sans"/>
          <w:sz w:val="20"/>
          <w:szCs w:val="20"/>
        </w:rPr>
      </w:pPr>
      <w:r w:rsidRPr="00A74D23">
        <w:rPr>
          <w:rFonts w:cs="Open Sans"/>
          <w:b/>
          <w:bCs/>
          <w:i/>
          <w:iCs/>
          <w:sz w:val="20"/>
          <w:szCs w:val="20"/>
        </w:rPr>
        <w:t>Alliance for Impact Ventures</w:t>
      </w:r>
      <w:r w:rsidRPr="00A74D23">
        <w:rPr>
          <w:rFonts w:cs="Open Sans"/>
          <w:sz w:val="20"/>
          <w:szCs w:val="20"/>
        </w:rPr>
        <w:t> :  fonds d’investissement</w:t>
      </w:r>
      <w:r w:rsidR="00372192" w:rsidRPr="00A74D23">
        <w:rPr>
          <w:rFonts w:cs="Open Sans"/>
          <w:sz w:val="20"/>
          <w:szCs w:val="20"/>
        </w:rPr>
        <w:t xml:space="preserve"> </w:t>
      </w:r>
      <w:r w:rsidRPr="00A74D23">
        <w:rPr>
          <w:rFonts w:cs="Open Sans"/>
          <w:sz w:val="20"/>
          <w:szCs w:val="20"/>
        </w:rPr>
        <w:t>qui finance l’amorçage ou le pré-amorçage de 12 à 15 projets à impact par an. A fin 202</w:t>
      </w:r>
      <w:r w:rsidR="00372192" w:rsidRPr="00A74D23">
        <w:rPr>
          <w:rFonts w:cs="Open Sans"/>
          <w:sz w:val="20"/>
          <w:szCs w:val="20"/>
        </w:rPr>
        <w:t>5</w:t>
      </w:r>
      <w:r w:rsidRPr="00A74D23">
        <w:rPr>
          <w:rFonts w:cs="Open Sans"/>
          <w:sz w:val="20"/>
          <w:szCs w:val="20"/>
        </w:rPr>
        <w:t>, le fonds finance 4</w:t>
      </w:r>
      <w:r w:rsidR="00372192" w:rsidRPr="00A74D23">
        <w:rPr>
          <w:rFonts w:cs="Open Sans"/>
          <w:sz w:val="20"/>
          <w:szCs w:val="20"/>
        </w:rPr>
        <w:t>9</w:t>
      </w:r>
      <w:r w:rsidRPr="00A74D23">
        <w:rPr>
          <w:rFonts w:cs="Open Sans"/>
          <w:sz w:val="20"/>
          <w:szCs w:val="20"/>
        </w:rPr>
        <w:t xml:space="preserve"> entreprises, sur 3 thématiques : </w:t>
      </w:r>
      <w:r w:rsidR="00E11EAB" w:rsidRPr="00A74D23">
        <w:rPr>
          <w:rFonts w:cs="Open Sans"/>
          <w:sz w:val="20"/>
          <w:szCs w:val="20"/>
        </w:rPr>
        <w:t>c</w:t>
      </w:r>
      <w:r w:rsidRPr="00A74D23">
        <w:rPr>
          <w:rFonts w:cs="Open Sans"/>
          <w:sz w:val="20"/>
          <w:szCs w:val="20"/>
        </w:rPr>
        <w:t>onsommation et production responsable, action climatique, changements sociaux</w:t>
      </w:r>
      <w:r w:rsidR="00E11EAB" w:rsidRPr="00A74D23">
        <w:rPr>
          <w:rFonts w:cs="Open Sans"/>
          <w:sz w:val="20"/>
          <w:szCs w:val="20"/>
        </w:rPr>
        <w:t xml:space="preserve"> ; </w:t>
      </w:r>
    </w:p>
    <w:p w14:paraId="620FB3B0" w14:textId="62812606" w:rsidR="00AD238F" w:rsidRPr="00A74D23" w:rsidRDefault="00AD238F" w:rsidP="00590DD1">
      <w:pPr>
        <w:pStyle w:val="Paragraphedeliste"/>
        <w:numPr>
          <w:ilvl w:val="0"/>
          <w:numId w:val="77"/>
        </w:numPr>
        <w:spacing w:after="0" w:line="22" w:lineRule="atLeast"/>
        <w:jc w:val="both"/>
        <w:rPr>
          <w:rFonts w:cs="Open Sans"/>
          <w:bCs/>
          <w:sz w:val="20"/>
          <w:szCs w:val="20"/>
        </w:rPr>
      </w:pPr>
      <w:r w:rsidRPr="00A74D23">
        <w:rPr>
          <w:rFonts w:cs="Open Sans"/>
          <w:b/>
          <w:bCs/>
          <w:i/>
          <w:iCs/>
          <w:color w:val="000000" w:themeColor="text1"/>
          <w:sz w:val="20"/>
          <w:szCs w:val="20"/>
        </w:rPr>
        <w:t>Abeille Impact Investing France</w:t>
      </w:r>
      <w:r w:rsidRPr="00A74D23">
        <w:rPr>
          <w:rFonts w:cs="Open Sans"/>
          <w:b/>
          <w:bCs/>
          <w:color w:val="000000" w:themeColor="text1"/>
          <w:sz w:val="20"/>
          <w:szCs w:val="20"/>
        </w:rPr>
        <w:t xml:space="preserve"> </w:t>
      </w:r>
      <w:r w:rsidRPr="00A74D23">
        <w:rPr>
          <w:rFonts w:cs="Open Sans"/>
          <w:color w:val="000000" w:themeColor="text1"/>
          <w:sz w:val="20"/>
          <w:szCs w:val="20"/>
        </w:rPr>
        <w:t xml:space="preserve">: Abeille Impact Investing est un fonds de capital développement, doté de 58m€, soutenant des entreprises françaises en décollage. </w:t>
      </w:r>
      <w:r w:rsidRPr="00A74D23">
        <w:rPr>
          <w:rFonts w:cs="Open Sans"/>
          <w:sz w:val="20"/>
          <w:szCs w:val="20"/>
        </w:rPr>
        <w:t xml:space="preserve">Le fonds Abeille Impact Investing France est signataire de la </w:t>
      </w:r>
      <w:hyperlink r:id="rId59" w:history="1">
        <w:r w:rsidRPr="00A74D23">
          <w:rPr>
            <w:rStyle w:val="Lienhypertexte"/>
            <w:rFonts w:cs="Open Sans"/>
            <w:b/>
            <w:bCs/>
            <w:sz w:val="20"/>
            <w:szCs w:val="20"/>
          </w:rPr>
          <w:t>Charte de l’investisseur à Impact</w:t>
        </w:r>
      </w:hyperlink>
      <w:r w:rsidRPr="00A74D23">
        <w:rPr>
          <w:rFonts w:cs="Open Sans"/>
          <w:sz w:val="20"/>
          <w:szCs w:val="20"/>
        </w:rPr>
        <w:t xml:space="preserve">, mise au point par l’Institut de la Finance durable. </w:t>
      </w:r>
      <w:r w:rsidRPr="00A74D23">
        <w:rPr>
          <w:rFonts w:cs="Open Sans"/>
          <w:b/>
          <w:bCs/>
          <w:sz w:val="20"/>
          <w:szCs w:val="20"/>
        </w:rPr>
        <w:t>En 2025, le fonds a obtenu le score de 89/100</w:t>
      </w:r>
      <w:r w:rsidRPr="00A74D23">
        <w:rPr>
          <w:rFonts w:cs="Open Sans"/>
          <w:sz w:val="20"/>
          <w:szCs w:val="20"/>
        </w:rPr>
        <w:t>, reflétant les actions et outils développés pour intégrer les trois piliers de l’impact : l’intentionnalité, l’additionnalité et la mesure.</w:t>
      </w:r>
      <w:r w:rsidR="00E11EAB" w:rsidRPr="00A74D23">
        <w:rPr>
          <w:rFonts w:cs="Open Sans"/>
          <w:sz w:val="20"/>
          <w:szCs w:val="20"/>
        </w:rPr>
        <w:t xml:space="preserve"> L’évaluation de la performance du score sera reconduite tous les trois ans, suivant les recommandations de l’Institut de la Finance durable. </w:t>
      </w:r>
    </w:p>
    <w:p w14:paraId="0F6D5BD4" w14:textId="77777777" w:rsidR="00AD238F" w:rsidRPr="00A74D23" w:rsidRDefault="00AD238F" w:rsidP="009D6EE5">
      <w:pPr>
        <w:pStyle w:val="Style1"/>
        <w:numPr>
          <w:ilvl w:val="0"/>
          <w:numId w:val="0"/>
        </w:numPr>
        <w:tabs>
          <w:tab w:val="clear" w:pos="2010"/>
          <w:tab w:val="left" w:pos="0"/>
          <w:tab w:val="left" w:pos="426"/>
        </w:tabs>
        <w:spacing w:after="120" w:line="22" w:lineRule="atLeast"/>
        <w:jc w:val="both"/>
        <w:rPr>
          <w:rFonts w:cs="Open Sans"/>
          <w:iCs w:val="0"/>
          <w:color w:val="000000" w:themeColor="text1"/>
          <w:sz w:val="18"/>
          <w:szCs w:val="18"/>
        </w:rPr>
      </w:pPr>
    </w:p>
    <w:p w14:paraId="71689547" w14:textId="77777777" w:rsidR="00AD238F" w:rsidRDefault="00AD238F" w:rsidP="009D6EE5">
      <w:pPr>
        <w:spacing w:line="22" w:lineRule="atLeast"/>
        <w:jc w:val="both"/>
        <w:rPr>
          <w:rFonts w:asciiTheme="minorHAnsi" w:hAnsiTheme="minorHAnsi" w:cs="Open Sans"/>
          <w:sz w:val="18"/>
          <w:szCs w:val="18"/>
          <w:lang w:val="fr-FR" w:eastAsia="fr-FR"/>
        </w:rPr>
      </w:pPr>
    </w:p>
    <w:p w14:paraId="05D7EF1B" w14:textId="77777777" w:rsidR="00587550" w:rsidRDefault="00587550" w:rsidP="009D6EE5">
      <w:pPr>
        <w:spacing w:line="22" w:lineRule="atLeast"/>
        <w:jc w:val="both"/>
        <w:rPr>
          <w:rFonts w:asciiTheme="minorHAnsi" w:hAnsiTheme="minorHAnsi" w:cs="Open Sans"/>
          <w:sz w:val="18"/>
          <w:szCs w:val="18"/>
          <w:lang w:val="fr-FR" w:eastAsia="fr-FR"/>
        </w:rPr>
      </w:pPr>
    </w:p>
    <w:p w14:paraId="410E9A79" w14:textId="77777777" w:rsidR="00587550" w:rsidRDefault="00587550" w:rsidP="009D6EE5">
      <w:pPr>
        <w:spacing w:line="22" w:lineRule="atLeast"/>
        <w:jc w:val="both"/>
        <w:rPr>
          <w:rFonts w:asciiTheme="minorHAnsi" w:hAnsiTheme="minorHAnsi" w:cs="Open Sans"/>
          <w:sz w:val="18"/>
          <w:szCs w:val="18"/>
          <w:lang w:val="fr-FR" w:eastAsia="fr-FR"/>
        </w:rPr>
      </w:pPr>
    </w:p>
    <w:p w14:paraId="52670ACE" w14:textId="77777777" w:rsidR="00587550" w:rsidRDefault="00587550" w:rsidP="009D6EE5">
      <w:pPr>
        <w:spacing w:line="22" w:lineRule="atLeast"/>
        <w:jc w:val="both"/>
        <w:rPr>
          <w:rFonts w:asciiTheme="minorHAnsi" w:hAnsiTheme="minorHAnsi" w:cs="Open Sans"/>
          <w:sz w:val="18"/>
          <w:szCs w:val="18"/>
          <w:lang w:val="fr-FR" w:eastAsia="fr-FR"/>
        </w:rPr>
      </w:pPr>
    </w:p>
    <w:p w14:paraId="32F4CCC5" w14:textId="77777777" w:rsidR="00587550" w:rsidRPr="00797BE9" w:rsidRDefault="00587550" w:rsidP="009D6EE5">
      <w:pPr>
        <w:spacing w:line="22" w:lineRule="atLeast"/>
        <w:jc w:val="both"/>
        <w:rPr>
          <w:rFonts w:asciiTheme="minorHAnsi" w:hAnsiTheme="minorHAnsi" w:cs="Open Sans"/>
          <w:sz w:val="18"/>
          <w:szCs w:val="18"/>
          <w:lang w:val="fr-FR" w:eastAsia="fr-FR"/>
        </w:rPr>
      </w:pPr>
    </w:p>
    <w:p w14:paraId="5433A6A6" w14:textId="2E2F0785" w:rsidR="00AD238F" w:rsidRPr="00A74D23" w:rsidRDefault="00ED41C5" w:rsidP="009D6EE5">
      <w:pPr>
        <w:spacing w:line="22" w:lineRule="atLeast"/>
        <w:jc w:val="both"/>
        <w:rPr>
          <w:rFonts w:asciiTheme="minorHAnsi" w:hAnsiTheme="minorHAnsi" w:cs="Open Sans"/>
          <w:sz w:val="18"/>
          <w:szCs w:val="18"/>
          <w:lang w:val="fr-FR" w:eastAsia="fr-FR"/>
        </w:rPr>
      </w:pPr>
      <w:r w:rsidRPr="00A74D23">
        <w:rPr>
          <w:rFonts w:asciiTheme="minorHAnsi" w:hAnsiTheme="minorHAnsi" w:cs="Open Sans"/>
          <w:noProof/>
          <w:sz w:val="18"/>
          <w:szCs w:val="18"/>
        </w:rPr>
        <mc:AlternateContent>
          <mc:Choice Requires="wps">
            <w:drawing>
              <wp:anchor distT="0" distB="0" distL="114300" distR="114300" simplePos="0" relativeHeight="251550720" behindDoc="0" locked="0" layoutInCell="1" allowOverlap="1" wp14:anchorId="020725F4" wp14:editId="71730D00">
                <wp:simplePos x="0" y="0"/>
                <wp:positionH relativeFrom="margin">
                  <wp:posOffset>834047</wp:posOffset>
                </wp:positionH>
                <wp:positionV relativeFrom="paragraph">
                  <wp:posOffset>92710</wp:posOffset>
                </wp:positionV>
                <wp:extent cx="4324865" cy="263611"/>
                <wp:effectExtent l="0" t="0" r="0" b="3175"/>
                <wp:wrapNone/>
                <wp:docPr id="931332218" name="Rectangle : coins arrondis 931332218"/>
                <wp:cNvGraphicFramePr/>
                <a:graphic xmlns:a="http://schemas.openxmlformats.org/drawingml/2006/main">
                  <a:graphicData uri="http://schemas.microsoft.com/office/word/2010/wordprocessingShape">
                    <wps:wsp>
                      <wps:cNvSpPr/>
                      <wps:spPr>
                        <a:xfrm>
                          <a:off x="0" y="0"/>
                          <a:ext cx="4324865" cy="263611"/>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859F43" w14:textId="77777777" w:rsidR="00AD238F" w:rsidRPr="00474EE1" w:rsidRDefault="00AD238F" w:rsidP="00AD238F">
                            <w:pPr>
                              <w:jc w:val="center"/>
                              <w:rPr>
                                <w:b/>
                                <w:bCs/>
                                <w:color w:val="000000" w:themeColor="text1"/>
                                <w:lang w:val="fr-FR"/>
                              </w:rPr>
                            </w:pPr>
                            <w:r w:rsidRPr="00474EE1">
                              <w:rPr>
                                <w:rFonts w:ascii="Source Sans Pro" w:hAnsi="Source Sans Pro"/>
                                <w:b/>
                                <w:bCs/>
                                <w:color w:val="000000" w:themeColor="text1"/>
                                <w:sz w:val="20"/>
                                <w:szCs w:val="20"/>
                                <w:lang w:val="fr-FR"/>
                              </w:rPr>
                              <w:t>L’Impact tangible de notre fonds Abeille Impact Investing France en 2024</w:t>
                            </w:r>
                          </w:p>
                          <w:p w14:paraId="203B8444" w14:textId="77777777" w:rsidR="00AD238F" w:rsidRPr="00474EE1" w:rsidRDefault="00AD238F" w:rsidP="00AD238F">
                            <w:pPr>
                              <w:jc w:val="center"/>
                              <w:rPr>
                                <w:b/>
                                <w:bCs/>
                                <w:color w:val="000000" w:themeColor="text1"/>
                                <w:lang w:val="fr-FR"/>
                              </w:rPr>
                            </w:pP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0725F4" id="Rectangle : coins arrondis 931332218" o:spid="_x0000_s1093" style="position:absolute;left:0;text-align:left;margin-left:65.65pt;margin-top:7.3pt;width:340.55pt;height:20.75pt;z-index:25155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" fillcolor="#ffc000" stroked="f" strokeweight="1pt">
                <v:stroke joinstyle="miter"/>
                <v:textbox inset="2.5mm,1mm,2.5mm,1mm">
                  <w:txbxContent>
                    <w:p w14:paraId="0B859F43" w14:textId="77777777" w:rsidR="00AD238F" w:rsidRPr="00474EE1" w:rsidRDefault="00AD238F" w:rsidP="00AD238F">
                      <w:pPr>
                        <w:jc w:val="center"/>
                        <w:rPr>
                          <w:b/>
                          <w:bCs/>
                          <w:color w:val="000000" w:themeColor="text1"/>
                          <w:lang w:val="fr-FR"/>
                        </w:rPr>
                      </w:pPr>
                      <w:r w:rsidRPr="00474EE1">
                        <w:rPr>
                          <w:rFonts w:ascii="Source Sans Pro" w:hAnsi="Source Sans Pro"/>
                          <w:b/>
                          <w:bCs/>
                          <w:color w:val="000000" w:themeColor="text1"/>
                          <w:sz w:val="20"/>
                          <w:szCs w:val="20"/>
                          <w:lang w:val="fr-FR"/>
                        </w:rPr>
                        <w:t>L’Impact tangible de notre fonds Abeille Impact Investing France en 2024</w:t>
                      </w:r>
                    </w:p>
                    <w:p w14:paraId="203B8444" w14:textId="77777777" w:rsidR="00AD238F" w:rsidRPr="00474EE1" w:rsidRDefault="00AD238F" w:rsidP="00AD238F">
                      <w:pPr>
                        <w:jc w:val="center"/>
                        <w:rPr>
                          <w:b/>
                          <w:bCs/>
                          <w:color w:val="000000" w:themeColor="text1"/>
                          <w:lang w:val="fr-FR"/>
                        </w:rPr>
                      </w:pPr>
                    </w:p>
                  </w:txbxContent>
                </v:textbox>
                <w10:wrap anchorx="margin"/>
              </v:roundrect>
            </w:pict>
          </mc:Fallback>
        </mc:AlternateContent>
      </w:r>
    </w:p>
    <w:p w14:paraId="5C8D10D5" w14:textId="5D405361" w:rsidR="00AD238F" w:rsidRPr="00A74D23" w:rsidRDefault="00C42EE2" w:rsidP="009D6EE5">
      <w:pPr>
        <w:spacing w:line="22" w:lineRule="atLeast"/>
        <w:jc w:val="both"/>
        <w:rPr>
          <w:rFonts w:asciiTheme="minorHAnsi" w:hAnsiTheme="minorHAnsi" w:cs="Open Sans"/>
          <w:b/>
          <w:i/>
          <w:iCs/>
          <w:sz w:val="18"/>
          <w:szCs w:val="18"/>
          <w:lang w:val="fr-FR"/>
        </w:rPr>
      </w:pPr>
      <w:r w:rsidRPr="00A74D23">
        <w:rPr>
          <w:rFonts w:asciiTheme="minorHAnsi" w:hAnsiTheme="minorHAnsi" w:cs="Open Sans"/>
          <w:noProof/>
          <w:sz w:val="18"/>
          <w:szCs w:val="18"/>
        </w:rPr>
        <mc:AlternateContent>
          <mc:Choice Requires="wps">
            <w:drawing>
              <wp:anchor distT="0" distB="0" distL="114300" distR="114300" simplePos="0" relativeHeight="251548672" behindDoc="1" locked="0" layoutInCell="1" allowOverlap="1" wp14:anchorId="3C83B406" wp14:editId="5E64BB02">
                <wp:simplePos x="0" y="0"/>
                <wp:positionH relativeFrom="margin">
                  <wp:posOffset>-52705</wp:posOffset>
                </wp:positionH>
                <wp:positionV relativeFrom="paragraph">
                  <wp:posOffset>128270</wp:posOffset>
                </wp:positionV>
                <wp:extent cx="5901690" cy="2435860"/>
                <wp:effectExtent l="0" t="0" r="3810" b="2540"/>
                <wp:wrapSquare wrapText="bothSides"/>
                <wp:docPr id="602673978" name="Rectangle : coins arrondis 602673978"/>
                <wp:cNvGraphicFramePr/>
                <a:graphic xmlns:a="http://schemas.openxmlformats.org/drawingml/2006/main">
                  <a:graphicData uri="http://schemas.microsoft.com/office/word/2010/wordprocessingShape">
                    <wps:wsp>
                      <wps:cNvSpPr/>
                      <wps:spPr>
                        <a:xfrm>
                          <a:off x="0" y="0"/>
                          <a:ext cx="5901690" cy="2435860"/>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AC244D" w14:textId="77777777" w:rsidR="00AD238F" w:rsidRPr="005364D9"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 xml:space="preserve">+ 55 entreprises en portefeuille </w:t>
                            </w:r>
                          </w:p>
                          <w:p w14:paraId="25F983E1" w14:textId="77777777" w:rsidR="00AD238F" w:rsidRPr="00855B2D"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69 millions de repas distribués gratuitement ou à prix solidaire</w:t>
                            </w:r>
                          </w:p>
                          <w:p w14:paraId="70450369" w14:textId="650382B5" w:rsidR="00AD238F" w:rsidRPr="005A462E"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80 599 personnes reconnues handicapées accompagnées</w:t>
                            </w:r>
                          </w:p>
                          <w:p w14:paraId="22A0C796" w14:textId="77777777" w:rsidR="00AD238F" w:rsidRPr="005A462E"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13 500 bénéficiaires accompagnés dans leur parcours de soin</w:t>
                            </w:r>
                          </w:p>
                          <w:p w14:paraId="0D158376" w14:textId="77777777" w:rsidR="00AD238F" w:rsidRPr="00CB62D2"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2103 personnes en situation de précarité ou de fragilité hébergées ou logées</w:t>
                            </w:r>
                          </w:p>
                          <w:p w14:paraId="0D6101AA" w14:textId="77777777" w:rsidR="00AD238F" w:rsidRPr="00CB62D2"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13 290 personnes formées à des compétences professionnelles</w:t>
                            </w:r>
                          </w:p>
                          <w:p w14:paraId="5D898849" w14:textId="77777777" w:rsidR="00AD238F" w:rsidRPr="00CB62D2"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23 908 salariés dans les entreprises financées</w:t>
                            </w:r>
                          </w:p>
                          <w:p w14:paraId="003E34D6" w14:textId="77777777" w:rsidR="00AD238F" w:rsidRPr="00CB62D2"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7660 personnes accompagnées dans leur insertion professionnelle</w:t>
                            </w:r>
                          </w:p>
                          <w:p w14:paraId="6D7DA0D3" w14:textId="77777777" w:rsidR="00AD238F" w:rsidRPr="00CB62D2"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900 associations soutenues grâce à des actions bénévoles</w:t>
                            </w:r>
                          </w:p>
                          <w:p w14:paraId="078FA981" w14:textId="77777777" w:rsidR="00AD238F" w:rsidRPr="00E339A6"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190 milliards de litres d’eau non consommés</w:t>
                            </w:r>
                          </w:p>
                          <w:p w14:paraId="2D667C7A" w14:textId="77777777" w:rsidR="00AD238F" w:rsidRPr="00E339A6"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613 600 MWh verts produits ou distribués (équivalent de la ville de Grenoble)</w:t>
                            </w:r>
                          </w:p>
                          <w:p w14:paraId="4FC21A27" w14:textId="77777777" w:rsidR="00AD238F" w:rsidRPr="00E339A6"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47 408 tonnes de déchets évitées</w:t>
                            </w:r>
                          </w:p>
                          <w:p w14:paraId="64722F18" w14:textId="77777777" w:rsidR="00AD238F" w:rsidRPr="009E4DDC"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 xml:space="preserve">215 514 tonnes de C02e non émises </w:t>
                            </w:r>
                          </w:p>
                        </w:txbxContent>
                      </wps:txbx>
                      <wps:bodyPr rot="0" spcFirstLastPara="0" vertOverflow="overflow" horzOverflow="overflow" vert="horz" wrap="square" lIns="180000" tIns="72000" rIns="180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83B406" id="Rectangle : coins arrondis 602673978" o:spid="_x0000_s1094" style="position:absolute;left:0;text-align:left;margin-left:-4.15pt;margin-top:10.1pt;width:464.7pt;height:191.8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" fillcolor="#d8d8d8 [2732]" stroked="f" strokeweight="1pt">
                <v:stroke joinstyle="miter"/>
                <v:textbox inset="5mm,2mm,5mm,3mm">
                  <w:txbxContent>
                    <w:p w14:paraId="4BAC244D" w14:textId="77777777" w:rsidR="00AD238F" w:rsidRPr="005364D9"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 xml:space="preserve">+ 55 entreprises en portefeuille </w:t>
                      </w:r>
                    </w:p>
                    <w:p w14:paraId="25F983E1" w14:textId="77777777" w:rsidR="00AD238F" w:rsidRPr="00855B2D"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69 millions de repas distribués gratuitement ou à prix solidaire</w:t>
                      </w:r>
                    </w:p>
                    <w:p w14:paraId="70450369" w14:textId="650382B5" w:rsidR="00AD238F" w:rsidRPr="005A462E"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80 599 personnes reconnues handicapées accompagnées</w:t>
                      </w:r>
                    </w:p>
                    <w:p w14:paraId="22A0C796" w14:textId="77777777" w:rsidR="00AD238F" w:rsidRPr="005A462E"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13 500 bénéficiaires accompagnés dans leur parcours de soin</w:t>
                      </w:r>
                    </w:p>
                    <w:p w14:paraId="0D158376" w14:textId="77777777" w:rsidR="00AD238F" w:rsidRPr="00CB62D2"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2103 personnes en situation de précarité ou de fragilité hébergées ou logées</w:t>
                      </w:r>
                    </w:p>
                    <w:p w14:paraId="0D6101AA" w14:textId="77777777" w:rsidR="00AD238F" w:rsidRPr="00CB62D2"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13 290 personnes formées à des compétences professionnelles</w:t>
                      </w:r>
                    </w:p>
                    <w:p w14:paraId="5D898849" w14:textId="77777777" w:rsidR="00AD238F" w:rsidRPr="00CB62D2"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23 908 salariés dans les entreprises financées</w:t>
                      </w:r>
                    </w:p>
                    <w:p w14:paraId="003E34D6" w14:textId="77777777" w:rsidR="00AD238F" w:rsidRPr="00CB62D2"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7660 personnes accompagnées dans leur insertion professionnelle</w:t>
                      </w:r>
                    </w:p>
                    <w:p w14:paraId="6D7DA0D3" w14:textId="77777777" w:rsidR="00AD238F" w:rsidRPr="00CB62D2"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900 associations soutenues grâce à des actions bénévoles</w:t>
                      </w:r>
                    </w:p>
                    <w:p w14:paraId="078FA981" w14:textId="77777777" w:rsidR="00AD238F" w:rsidRPr="00E339A6"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190 milliards de litres d’eau non consommés</w:t>
                      </w:r>
                    </w:p>
                    <w:p w14:paraId="2D667C7A" w14:textId="77777777" w:rsidR="00AD238F" w:rsidRPr="00E339A6"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613 600 MWh verts produits ou distribués (équivalent de la ville de Grenoble)</w:t>
                      </w:r>
                    </w:p>
                    <w:p w14:paraId="4FC21A27" w14:textId="77777777" w:rsidR="00AD238F" w:rsidRPr="00E339A6"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47 408 tonnes de déchets évitées</w:t>
                      </w:r>
                    </w:p>
                    <w:p w14:paraId="64722F18" w14:textId="77777777" w:rsidR="00AD238F" w:rsidRPr="009E4DDC" w:rsidRDefault="00AD238F" w:rsidP="00590DD1">
                      <w:pPr>
                        <w:pStyle w:val="Style1"/>
                        <w:numPr>
                          <w:ilvl w:val="0"/>
                          <w:numId w:val="76"/>
                        </w:numPr>
                        <w:tabs>
                          <w:tab w:val="clear" w:pos="2010"/>
                          <w:tab w:val="left" w:pos="426"/>
                          <w:tab w:val="left" w:pos="8931"/>
                        </w:tabs>
                        <w:spacing w:after="0" w:line="240" w:lineRule="auto"/>
                        <w:ind w:right="15"/>
                        <w:jc w:val="both"/>
                        <w:rPr>
                          <w:color w:val="000000" w:themeColor="text1"/>
                        </w:rPr>
                      </w:pPr>
                      <w:r>
                        <w:rPr>
                          <w:rFonts w:ascii="Source Sans Pro" w:hAnsi="Source Sans Pro"/>
                          <w:bCs/>
                          <w:i w:val="0"/>
                          <w:color w:val="000000" w:themeColor="text1"/>
                          <w:sz w:val="20"/>
                        </w:rPr>
                        <w:t xml:space="preserve">215 514 tonnes de C02e non émises </w:t>
                      </w:r>
                    </w:p>
                  </w:txbxContent>
                </v:textbox>
                <w10:wrap type="square" anchorx="margin"/>
              </v:roundrect>
            </w:pict>
          </mc:Fallback>
        </mc:AlternateContent>
      </w:r>
    </w:p>
    <w:p w14:paraId="2ACBB61D" w14:textId="77777777" w:rsidR="00AD238F" w:rsidRPr="00A74D23" w:rsidRDefault="00AD238F" w:rsidP="009D6EE5">
      <w:pPr>
        <w:pStyle w:val="Style1"/>
        <w:numPr>
          <w:ilvl w:val="0"/>
          <w:numId w:val="0"/>
        </w:numPr>
        <w:tabs>
          <w:tab w:val="clear" w:pos="2010"/>
          <w:tab w:val="left" w:pos="142"/>
        </w:tabs>
        <w:spacing w:after="120" w:line="22" w:lineRule="atLeast"/>
        <w:jc w:val="both"/>
        <w:rPr>
          <w:rFonts w:cs="Open Sans"/>
          <w:iCs w:val="0"/>
          <w:color w:val="auto"/>
          <w:sz w:val="18"/>
          <w:szCs w:val="18"/>
        </w:rPr>
      </w:pPr>
      <w:r w:rsidRPr="00A74D23">
        <w:rPr>
          <w:rFonts w:cs="Open Sans"/>
          <w:iCs w:val="0"/>
          <w:color w:val="auto"/>
          <w:sz w:val="18"/>
          <w:szCs w:val="18"/>
        </w:rPr>
        <w:t>Source : Inco (chiffres 2025 non encore disponibles à la date de publication)</w:t>
      </w:r>
    </w:p>
    <w:p w14:paraId="7DC06EB4" w14:textId="77777777" w:rsidR="00AD238F" w:rsidRPr="00A74D23" w:rsidRDefault="00AD238F" w:rsidP="009D6EE5">
      <w:pPr>
        <w:pStyle w:val="Style1"/>
        <w:numPr>
          <w:ilvl w:val="0"/>
          <w:numId w:val="0"/>
        </w:numPr>
        <w:tabs>
          <w:tab w:val="clear" w:pos="2010"/>
          <w:tab w:val="left" w:pos="142"/>
          <w:tab w:val="left" w:pos="426"/>
        </w:tabs>
        <w:spacing w:after="0" w:line="22" w:lineRule="atLeast"/>
        <w:jc w:val="both"/>
        <w:rPr>
          <w:rFonts w:cs="Open Sans"/>
          <w:i w:val="0"/>
          <w:color w:val="000000" w:themeColor="text1"/>
          <w:sz w:val="18"/>
          <w:szCs w:val="18"/>
        </w:rPr>
      </w:pPr>
    </w:p>
    <w:p w14:paraId="5A63FC68" w14:textId="77777777" w:rsidR="00AD238F" w:rsidRPr="00A74D23" w:rsidRDefault="00AD238F" w:rsidP="009D6EE5">
      <w:pPr>
        <w:pStyle w:val="Style1"/>
        <w:numPr>
          <w:ilvl w:val="0"/>
          <w:numId w:val="0"/>
        </w:numPr>
        <w:tabs>
          <w:tab w:val="clear" w:pos="2010"/>
        </w:tabs>
        <w:spacing w:after="0" w:line="22" w:lineRule="atLeast"/>
        <w:jc w:val="both"/>
        <w:rPr>
          <w:rFonts w:eastAsiaTheme="minorEastAsia" w:cs="Open Sans"/>
          <w:i w:val="0"/>
          <w:color w:val="000000" w:themeColor="text1"/>
          <w:sz w:val="20"/>
          <w:szCs w:val="20"/>
        </w:rPr>
      </w:pPr>
      <w:r w:rsidRPr="00A74D23">
        <w:rPr>
          <w:rFonts w:eastAsiaTheme="minorEastAsia" w:cs="Open Sans"/>
          <w:i w:val="0"/>
          <w:color w:val="000000" w:themeColor="text1"/>
          <w:sz w:val="20"/>
          <w:szCs w:val="20"/>
        </w:rPr>
        <w:t xml:space="preserve">Nous proposons également à nos clients de financer des entreprises à impact à travers des Unités de Compte investissant dans des entreprises à impact. Ces Unités de Compte financent l’économie locale en investissant dans des entreprises cotées et non cotées qui cherchent à générer de la valeur sur le long terme tout en contribuant à la création d’emplois dans les territoires via nos deux fonds labellisés Finansol : Abeille La Fabrique Impact ISR et plus récemment en 2022, AFER Actions Emploi. Nous avons confié la gestion de ces UC à Mirova dont jusqu’à 10% de l’encours est investi dans l’écosystème de l’entreprenariat à impact et de l’ESS (Economie Sociale et Solidaire) en partenariat avec INCO Ventures dans notre fonds Abeille Impact Investing France, les 90% restant étant investis dans une sélection exigeante de sociétés capables de créer de la valeur à long terme et des emplois. </w:t>
      </w:r>
    </w:p>
    <w:p w14:paraId="48D6F5ED" w14:textId="77777777" w:rsidR="00AD238F" w:rsidRPr="00A74D23" w:rsidRDefault="00AD238F" w:rsidP="009D6EE5">
      <w:pPr>
        <w:pStyle w:val="Style1"/>
        <w:numPr>
          <w:ilvl w:val="0"/>
          <w:numId w:val="0"/>
        </w:numPr>
        <w:tabs>
          <w:tab w:val="clear" w:pos="2010"/>
        </w:tabs>
        <w:spacing w:after="0" w:line="22" w:lineRule="atLeast"/>
        <w:jc w:val="both"/>
        <w:rPr>
          <w:rFonts w:eastAsiaTheme="minorEastAsia" w:cs="Open Sans"/>
          <w:i w:val="0"/>
          <w:color w:val="000000" w:themeColor="text1"/>
          <w:sz w:val="18"/>
          <w:szCs w:val="18"/>
        </w:rPr>
      </w:pPr>
    </w:p>
    <w:p w14:paraId="79A55E42" w14:textId="77777777" w:rsidR="00AD238F" w:rsidRPr="00A74D23" w:rsidRDefault="00AD238F" w:rsidP="009D6EE5">
      <w:pPr>
        <w:pStyle w:val="Style1"/>
        <w:numPr>
          <w:ilvl w:val="0"/>
          <w:numId w:val="0"/>
        </w:numPr>
        <w:tabs>
          <w:tab w:val="clear" w:pos="2010"/>
        </w:tabs>
        <w:spacing w:after="0" w:line="22" w:lineRule="atLeast"/>
        <w:jc w:val="both"/>
        <w:rPr>
          <w:rFonts w:cs="Open Sans"/>
          <w:i w:val="0"/>
          <w:color w:val="000000" w:themeColor="text1"/>
          <w:sz w:val="20"/>
          <w:szCs w:val="20"/>
        </w:rPr>
      </w:pPr>
    </w:p>
    <w:p w14:paraId="581E1006" w14:textId="77777777" w:rsidR="00AD238F" w:rsidRPr="00A74D23" w:rsidRDefault="00AD238F" w:rsidP="009D6EE5">
      <w:pPr>
        <w:pStyle w:val="Style1"/>
        <w:numPr>
          <w:ilvl w:val="0"/>
          <w:numId w:val="0"/>
        </w:numPr>
        <w:tabs>
          <w:tab w:val="clear" w:pos="2010"/>
          <w:tab w:val="left" w:pos="0"/>
        </w:tabs>
        <w:spacing w:after="0" w:line="22" w:lineRule="atLeast"/>
        <w:jc w:val="both"/>
        <w:rPr>
          <w:rFonts w:cs="Open Sans"/>
          <w:i w:val="0"/>
          <w:color w:val="000000" w:themeColor="text1"/>
          <w:sz w:val="20"/>
        </w:rPr>
      </w:pPr>
    </w:p>
    <w:p w14:paraId="14598E60" w14:textId="2531C61B" w:rsidR="00AD238F" w:rsidRPr="00A74D23" w:rsidRDefault="00AD238F" w:rsidP="009D6EE5">
      <w:pPr>
        <w:pStyle w:val="Style3"/>
        <w:spacing w:line="22" w:lineRule="atLeast"/>
        <w:ind w:left="0" w:firstLine="0"/>
        <w:jc w:val="both"/>
        <w:rPr>
          <w:rFonts w:asciiTheme="minorHAnsi" w:hAnsiTheme="minorHAnsi" w:cs="Open Sans"/>
          <w:sz w:val="32"/>
          <w:szCs w:val="32"/>
        </w:rPr>
      </w:pPr>
      <w:r w:rsidRPr="00A74D23">
        <w:rPr>
          <w:rFonts w:asciiTheme="minorHAnsi" w:hAnsiTheme="minorHAnsi" w:cs="Open Sans"/>
          <w:sz w:val="32"/>
          <w:szCs w:val="32"/>
        </w:rPr>
        <w:t>2.</w:t>
      </w:r>
      <w:r w:rsidR="00A03C7B" w:rsidRPr="00A74D23">
        <w:rPr>
          <w:rFonts w:asciiTheme="minorHAnsi" w:hAnsiTheme="minorHAnsi" w:cs="Open Sans"/>
          <w:sz w:val="32"/>
          <w:szCs w:val="32"/>
        </w:rPr>
        <w:t xml:space="preserve">6. </w:t>
      </w:r>
      <w:r w:rsidRPr="00A74D23">
        <w:rPr>
          <w:rFonts w:asciiTheme="minorHAnsi" w:hAnsiTheme="minorHAnsi" w:cs="Open Sans"/>
          <w:sz w:val="32"/>
          <w:szCs w:val="32"/>
        </w:rPr>
        <w:t>Notre stratégie de durabilité spécifique aux actifs immobiliers</w:t>
      </w:r>
    </w:p>
    <w:p w14:paraId="4AB7A455" w14:textId="77777777" w:rsidR="00AD238F" w:rsidRPr="00A74D23" w:rsidRDefault="00AD238F" w:rsidP="009D6EE5">
      <w:pPr>
        <w:pStyle w:val="Style3"/>
        <w:spacing w:line="22" w:lineRule="atLeast"/>
        <w:jc w:val="both"/>
        <w:rPr>
          <w:rFonts w:asciiTheme="minorHAnsi" w:hAnsiTheme="minorHAnsi" w:cs="Open Sans"/>
        </w:rPr>
      </w:pPr>
    </w:p>
    <w:p w14:paraId="02283836" w14:textId="2EA57A06" w:rsidR="00AD238F" w:rsidRPr="00A74D23" w:rsidRDefault="00AD238F" w:rsidP="009D6EE5">
      <w:pPr>
        <w:pStyle w:val="Style3"/>
        <w:spacing w:line="22" w:lineRule="atLeast"/>
        <w:ind w:left="0" w:firstLine="0"/>
        <w:jc w:val="both"/>
        <w:rPr>
          <w:rFonts w:asciiTheme="minorHAnsi" w:hAnsiTheme="minorHAnsi" w:cs="Open Sans"/>
          <w:b w:val="0"/>
          <w:bCs/>
          <w:sz w:val="20"/>
          <w:szCs w:val="20"/>
        </w:rPr>
      </w:pPr>
      <w:r w:rsidRPr="00A74D23">
        <w:rPr>
          <w:rFonts w:asciiTheme="minorHAnsi" w:hAnsiTheme="minorHAnsi" w:cs="Open Sans"/>
          <w:b w:val="0"/>
          <w:bCs/>
          <w:sz w:val="20"/>
          <w:szCs w:val="20"/>
        </w:rPr>
        <w:t xml:space="preserve">Le portefeuille d’actifs immobiliers détenus en direct par Abeille Assurances est géré par </w:t>
      </w:r>
      <w:r w:rsidR="00495330" w:rsidRPr="00A74D23">
        <w:rPr>
          <w:rFonts w:asciiTheme="minorHAnsi" w:hAnsiTheme="minorHAnsi" w:cs="Open Sans"/>
          <w:b w:val="0"/>
          <w:bCs/>
          <w:sz w:val="20"/>
          <w:szCs w:val="20"/>
        </w:rPr>
        <w:t>OFI</w:t>
      </w:r>
      <w:r w:rsidRPr="00A74D23">
        <w:rPr>
          <w:rFonts w:asciiTheme="minorHAnsi" w:hAnsiTheme="minorHAnsi" w:cs="Open Sans"/>
          <w:b w:val="0"/>
          <w:bCs/>
          <w:sz w:val="20"/>
          <w:szCs w:val="20"/>
        </w:rPr>
        <w:t xml:space="preserve"> Invest Real Estate, dans le cadre de mandats de gestion définissant des objectifs et contraintes précises. Ces mandats s’inscrivent en cohérence avec la stratégie de durabilité d’Abeille Assurances et reposent notamment sur l’application d’une liste d’exclusions sectorielles alignée avec celle du Groupe, ainsi que sur l’intégration de critères environnementaux, sociaux et de gouvernance dans les décisions d’investissement et de gestion, afin de préserver la valeur actuelle et future des actifs.</w:t>
      </w:r>
    </w:p>
    <w:p w14:paraId="5C010F3C" w14:textId="77777777" w:rsidR="00AD238F" w:rsidRPr="00A74D23" w:rsidRDefault="00AD238F" w:rsidP="009D6EE5">
      <w:pPr>
        <w:pStyle w:val="Style3"/>
        <w:spacing w:line="22" w:lineRule="atLeast"/>
        <w:ind w:left="0" w:firstLine="0"/>
        <w:jc w:val="both"/>
        <w:rPr>
          <w:rFonts w:asciiTheme="minorHAnsi" w:hAnsiTheme="minorHAnsi" w:cs="Open Sans"/>
          <w:b w:val="0"/>
          <w:bCs/>
          <w:sz w:val="20"/>
          <w:szCs w:val="20"/>
        </w:rPr>
      </w:pPr>
    </w:p>
    <w:p w14:paraId="2FB263AA" w14:textId="77777777" w:rsidR="00AD238F" w:rsidRPr="00A74D23" w:rsidRDefault="00AD238F" w:rsidP="009D6EE5">
      <w:pPr>
        <w:pStyle w:val="Style3"/>
        <w:spacing w:line="22" w:lineRule="atLeast"/>
        <w:ind w:left="0" w:firstLine="0"/>
        <w:jc w:val="both"/>
        <w:rPr>
          <w:rFonts w:asciiTheme="minorHAnsi" w:hAnsiTheme="minorHAnsi" w:cs="Open Sans"/>
          <w:b w:val="0"/>
          <w:bCs/>
          <w:sz w:val="20"/>
          <w:szCs w:val="20"/>
        </w:rPr>
      </w:pPr>
      <w:r w:rsidRPr="00A74D23">
        <w:rPr>
          <w:rFonts w:asciiTheme="minorHAnsi" w:hAnsiTheme="minorHAnsi" w:cs="Open Sans"/>
          <w:b w:val="0"/>
          <w:bCs/>
          <w:sz w:val="20"/>
          <w:szCs w:val="20"/>
        </w:rPr>
        <w:t>Dans ce cadre, plusieurs objectifs spécifiques sont poursuivis :</w:t>
      </w:r>
    </w:p>
    <w:p w14:paraId="69A64CB1" w14:textId="77777777" w:rsidR="00AD238F" w:rsidRPr="00A74D23" w:rsidRDefault="00AD238F" w:rsidP="009D6EE5">
      <w:pPr>
        <w:pStyle w:val="Style3"/>
        <w:spacing w:line="22" w:lineRule="atLeast"/>
        <w:ind w:left="0" w:firstLine="0"/>
        <w:jc w:val="both"/>
        <w:rPr>
          <w:rFonts w:asciiTheme="minorHAnsi" w:hAnsiTheme="minorHAnsi" w:cs="Open Sans"/>
          <w:b w:val="0"/>
          <w:bCs/>
          <w:sz w:val="20"/>
          <w:szCs w:val="20"/>
        </w:rPr>
      </w:pPr>
    </w:p>
    <w:p w14:paraId="2BD91DA2" w14:textId="13C18579" w:rsidR="00AD238F" w:rsidRPr="00A74D23" w:rsidRDefault="00A03C7B" w:rsidP="00590DD1">
      <w:pPr>
        <w:pStyle w:val="Style3"/>
        <w:numPr>
          <w:ilvl w:val="0"/>
          <w:numId w:val="102"/>
        </w:numPr>
        <w:spacing w:line="22" w:lineRule="atLeast"/>
        <w:jc w:val="both"/>
        <w:rPr>
          <w:rFonts w:asciiTheme="minorHAnsi" w:hAnsiTheme="minorHAnsi" w:cs="Open Sans"/>
          <w:b w:val="0"/>
          <w:bCs/>
          <w:sz w:val="20"/>
          <w:szCs w:val="20"/>
        </w:rPr>
      </w:pPr>
      <w:r w:rsidRPr="00A74D23">
        <w:rPr>
          <w:rFonts w:asciiTheme="minorHAnsi" w:hAnsiTheme="minorHAnsi" w:cs="Open Sans"/>
          <w:b w:val="0"/>
          <w:bCs/>
          <w:sz w:val="20"/>
          <w:szCs w:val="20"/>
        </w:rPr>
        <w:t>Réduire</w:t>
      </w:r>
      <w:r w:rsidR="00AD238F" w:rsidRPr="00A74D23">
        <w:rPr>
          <w:rFonts w:asciiTheme="minorHAnsi" w:hAnsiTheme="minorHAnsi" w:cs="Open Sans"/>
          <w:b w:val="0"/>
          <w:bCs/>
          <w:sz w:val="20"/>
          <w:szCs w:val="20"/>
        </w:rPr>
        <w:t xml:space="preserve"> l’impact environnemental des actifs, en particulier en matière de climat et de biodiversité ;</w:t>
      </w:r>
    </w:p>
    <w:p w14:paraId="4352A8F1" w14:textId="2836494C" w:rsidR="00AD238F" w:rsidRPr="00A74D23" w:rsidRDefault="00A03C7B" w:rsidP="00590DD1">
      <w:pPr>
        <w:pStyle w:val="Style3"/>
        <w:numPr>
          <w:ilvl w:val="0"/>
          <w:numId w:val="102"/>
        </w:numPr>
        <w:spacing w:line="22" w:lineRule="atLeast"/>
        <w:jc w:val="both"/>
        <w:rPr>
          <w:rFonts w:asciiTheme="minorHAnsi" w:hAnsiTheme="minorHAnsi" w:cs="Open Sans"/>
          <w:b w:val="0"/>
          <w:bCs/>
          <w:sz w:val="20"/>
          <w:szCs w:val="20"/>
        </w:rPr>
      </w:pPr>
      <w:r w:rsidRPr="00A74D23">
        <w:rPr>
          <w:rFonts w:asciiTheme="minorHAnsi" w:hAnsiTheme="minorHAnsi" w:cs="Open Sans"/>
          <w:b w:val="0"/>
          <w:bCs/>
          <w:sz w:val="20"/>
          <w:szCs w:val="20"/>
        </w:rPr>
        <w:t>Diminuer</w:t>
      </w:r>
      <w:r w:rsidR="00AD238F" w:rsidRPr="00A74D23">
        <w:rPr>
          <w:rFonts w:asciiTheme="minorHAnsi" w:hAnsiTheme="minorHAnsi" w:cs="Open Sans"/>
          <w:b w:val="0"/>
          <w:bCs/>
          <w:sz w:val="20"/>
          <w:szCs w:val="20"/>
        </w:rPr>
        <w:t xml:space="preserve"> les émissions de gaz à effet de serre du portefeuille immobilier selon une trajectoire compatible avec l’objectif CRREM 2030, alignée sur un scénario à 1,5°C ;</w:t>
      </w:r>
    </w:p>
    <w:p w14:paraId="5527FE44" w14:textId="2673A180" w:rsidR="00AD238F" w:rsidRPr="00A74D23" w:rsidRDefault="00A03C7B" w:rsidP="00590DD1">
      <w:pPr>
        <w:pStyle w:val="Style3"/>
        <w:numPr>
          <w:ilvl w:val="0"/>
          <w:numId w:val="102"/>
        </w:numPr>
        <w:spacing w:line="22" w:lineRule="atLeast"/>
        <w:jc w:val="both"/>
        <w:rPr>
          <w:rFonts w:asciiTheme="minorHAnsi" w:hAnsiTheme="minorHAnsi" w:cs="Open Sans"/>
          <w:b w:val="0"/>
          <w:bCs/>
          <w:sz w:val="20"/>
          <w:szCs w:val="20"/>
        </w:rPr>
      </w:pPr>
      <w:r w:rsidRPr="00A74D23">
        <w:rPr>
          <w:rFonts w:asciiTheme="minorHAnsi" w:hAnsiTheme="minorHAnsi" w:cs="Open Sans"/>
          <w:b w:val="0"/>
          <w:bCs/>
          <w:sz w:val="20"/>
          <w:szCs w:val="20"/>
        </w:rPr>
        <w:t>Améliorer</w:t>
      </w:r>
      <w:r w:rsidR="00AD238F" w:rsidRPr="00A74D23">
        <w:rPr>
          <w:rFonts w:asciiTheme="minorHAnsi" w:hAnsiTheme="minorHAnsi" w:cs="Open Sans"/>
          <w:b w:val="0"/>
          <w:bCs/>
          <w:sz w:val="20"/>
          <w:szCs w:val="20"/>
        </w:rPr>
        <w:t xml:space="preserve"> le confort des occupants et la qualité des services proposés, tout en favorisant le recours aux mobilités douces ;</w:t>
      </w:r>
    </w:p>
    <w:p w14:paraId="7A5252F0" w14:textId="63C9F554" w:rsidR="00AD238F" w:rsidRPr="00A74D23" w:rsidRDefault="00A03C7B" w:rsidP="00590DD1">
      <w:pPr>
        <w:pStyle w:val="Style3"/>
        <w:numPr>
          <w:ilvl w:val="0"/>
          <w:numId w:val="102"/>
        </w:numPr>
        <w:spacing w:line="22" w:lineRule="atLeast"/>
        <w:jc w:val="both"/>
        <w:rPr>
          <w:rFonts w:asciiTheme="minorHAnsi" w:hAnsiTheme="minorHAnsi" w:cs="Open Sans"/>
          <w:b w:val="0"/>
          <w:bCs/>
          <w:sz w:val="20"/>
          <w:szCs w:val="20"/>
        </w:rPr>
      </w:pPr>
      <w:r w:rsidRPr="00A74D23">
        <w:rPr>
          <w:rFonts w:asciiTheme="minorHAnsi" w:hAnsiTheme="minorHAnsi" w:cs="Open Sans"/>
          <w:b w:val="0"/>
          <w:bCs/>
          <w:sz w:val="20"/>
          <w:szCs w:val="20"/>
        </w:rPr>
        <w:t>Engager</w:t>
      </w:r>
      <w:r w:rsidR="00AD238F" w:rsidRPr="00A74D23">
        <w:rPr>
          <w:rFonts w:asciiTheme="minorHAnsi" w:hAnsiTheme="minorHAnsi" w:cs="Open Sans"/>
          <w:b w:val="0"/>
          <w:bCs/>
          <w:sz w:val="20"/>
          <w:szCs w:val="20"/>
        </w:rPr>
        <w:t xml:space="preserve"> les principales parties prenantes (salariés, locataires, gestionnaires, prestataires, acteurs locaux) autour de la démarche ESG.</w:t>
      </w:r>
    </w:p>
    <w:p w14:paraId="4344B208" w14:textId="77777777" w:rsidR="00AD238F" w:rsidRPr="00A74D23" w:rsidRDefault="00AD238F" w:rsidP="009D6EE5">
      <w:pPr>
        <w:pStyle w:val="Style3"/>
        <w:spacing w:line="22" w:lineRule="atLeast"/>
        <w:ind w:left="0" w:firstLine="0"/>
        <w:jc w:val="both"/>
        <w:rPr>
          <w:rFonts w:asciiTheme="minorHAnsi" w:hAnsiTheme="minorHAnsi" w:cs="Open Sans"/>
          <w:b w:val="0"/>
          <w:bCs/>
          <w:sz w:val="20"/>
          <w:szCs w:val="20"/>
        </w:rPr>
      </w:pPr>
    </w:p>
    <w:p w14:paraId="3D6EA5A9" w14:textId="23249E35" w:rsidR="00AD238F" w:rsidRPr="00A74D23" w:rsidRDefault="00AD238F" w:rsidP="009D6EE5">
      <w:pPr>
        <w:pStyle w:val="Style3"/>
        <w:spacing w:line="22" w:lineRule="atLeast"/>
        <w:ind w:left="0" w:firstLine="0"/>
        <w:jc w:val="both"/>
        <w:rPr>
          <w:rFonts w:asciiTheme="minorHAnsi" w:hAnsiTheme="minorHAnsi" w:cs="Open Sans"/>
          <w:b w:val="0"/>
          <w:bCs/>
          <w:sz w:val="20"/>
          <w:szCs w:val="20"/>
        </w:rPr>
      </w:pPr>
      <w:r w:rsidRPr="00A74D23">
        <w:rPr>
          <w:rFonts w:asciiTheme="minorHAnsi" w:hAnsiTheme="minorHAnsi" w:cs="Open Sans"/>
          <w:b w:val="0"/>
          <w:bCs/>
          <w:sz w:val="20"/>
          <w:szCs w:val="20"/>
        </w:rPr>
        <w:t>L’évaluation de la performance ESG de chaque actif repose sur un outil propriétaire développé par le gestionnaire, fondé sur une grille de notation interne. Les actifs dont la note ESG globale dépasse un seuil prédéfini sont classés dans une catégorie dite « Best</w:t>
      </w:r>
      <w:r w:rsidRPr="00A74D23">
        <w:rPr>
          <w:rFonts w:ascii="Cambria Math" w:hAnsi="Cambria Math" w:cs="Cambria Math"/>
          <w:b w:val="0"/>
          <w:bCs/>
          <w:sz w:val="20"/>
          <w:szCs w:val="20"/>
        </w:rPr>
        <w:t>‑</w:t>
      </w:r>
      <w:r w:rsidRPr="00A74D23">
        <w:rPr>
          <w:rFonts w:asciiTheme="minorHAnsi" w:hAnsiTheme="minorHAnsi" w:cs="Open Sans"/>
          <w:b w:val="0"/>
          <w:bCs/>
          <w:sz w:val="20"/>
          <w:szCs w:val="20"/>
        </w:rPr>
        <w:t>in</w:t>
      </w:r>
      <w:r w:rsidRPr="00A74D23">
        <w:rPr>
          <w:rFonts w:ascii="Cambria Math" w:hAnsi="Cambria Math" w:cs="Cambria Math"/>
          <w:b w:val="0"/>
          <w:bCs/>
          <w:sz w:val="20"/>
          <w:szCs w:val="20"/>
        </w:rPr>
        <w:t>‑</w:t>
      </w:r>
      <w:r w:rsidRPr="00A74D23">
        <w:rPr>
          <w:rFonts w:asciiTheme="minorHAnsi" w:hAnsiTheme="minorHAnsi" w:cs="Open Sans"/>
          <w:b w:val="0"/>
          <w:bCs/>
          <w:sz w:val="20"/>
          <w:szCs w:val="20"/>
        </w:rPr>
        <w:t>Class</w:t>
      </w:r>
      <w:r w:rsidRPr="00A74D23">
        <w:rPr>
          <w:rFonts w:asciiTheme="minorHAnsi" w:hAnsiTheme="minorHAnsi" w:cs="Source Sans Pro"/>
          <w:b w:val="0"/>
          <w:bCs/>
          <w:sz w:val="20"/>
          <w:szCs w:val="20"/>
        </w:rPr>
        <w:t> »</w:t>
      </w:r>
      <w:r w:rsidRPr="00A74D23">
        <w:rPr>
          <w:rFonts w:asciiTheme="minorHAnsi" w:hAnsiTheme="minorHAnsi" w:cs="Open Sans"/>
          <w:b w:val="0"/>
          <w:bCs/>
          <w:sz w:val="20"/>
          <w:szCs w:val="20"/>
        </w:rPr>
        <w:t>, tandis que les actifs en</w:t>
      </w:r>
      <w:r w:rsidRPr="00A74D23">
        <w:rPr>
          <w:rFonts w:ascii="Cambria Math" w:hAnsi="Cambria Math" w:cs="Cambria Math"/>
          <w:b w:val="0"/>
          <w:bCs/>
          <w:sz w:val="20"/>
          <w:szCs w:val="20"/>
        </w:rPr>
        <w:t>‑</w:t>
      </w:r>
      <w:r w:rsidRPr="00A74D23">
        <w:rPr>
          <w:rFonts w:asciiTheme="minorHAnsi" w:hAnsiTheme="minorHAnsi" w:cs="Open Sans"/>
          <w:b w:val="0"/>
          <w:bCs/>
          <w:sz w:val="20"/>
          <w:szCs w:val="20"/>
        </w:rPr>
        <w:t>dessous de ce seuil rel</w:t>
      </w:r>
      <w:r w:rsidRPr="00A74D23">
        <w:rPr>
          <w:rFonts w:asciiTheme="minorHAnsi" w:hAnsiTheme="minorHAnsi" w:cs="Source Sans Pro"/>
          <w:b w:val="0"/>
          <w:bCs/>
          <w:sz w:val="20"/>
          <w:szCs w:val="20"/>
        </w:rPr>
        <w:t>è</w:t>
      </w:r>
      <w:r w:rsidRPr="00A74D23">
        <w:rPr>
          <w:rFonts w:asciiTheme="minorHAnsi" w:hAnsiTheme="minorHAnsi" w:cs="Open Sans"/>
          <w:b w:val="0"/>
          <w:bCs/>
          <w:sz w:val="20"/>
          <w:szCs w:val="20"/>
        </w:rPr>
        <w:t>vent de la cat</w:t>
      </w:r>
      <w:r w:rsidRPr="00A74D23">
        <w:rPr>
          <w:rFonts w:asciiTheme="minorHAnsi" w:hAnsiTheme="minorHAnsi" w:cs="Source Sans Pro"/>
          <w:b w:val="0"/>
          <w:bCs/>
          <w:sz w:val="20"/>
          <w:szCs w:val="20"/>
        </w:rPr>
        <w:t>é</w:t>
      </w:r>
      <w:r w:rsidRPr="00A74D23">
        <w:rPr>
          <w:rFonts w:asciiTheme="minorHAnsi" w:hAnsiTheme="minorHAnsi" w:cs="Open Sans"/>
          <w:b w:val="0"/>
          <w:bCs/>
          <w:sz w:val="20"/>
          <w:szCs w:val="20"/>
        </w:rPr>
        <w:t xml:space="preserve">gorie </w:t>
      </w:r>
      <w:r w:rsidRPr="00A74D23">
        <w:rPr>
          <w:rFonts w:asciiTheme="minorHAnsi" w:hAnsiTheme="minorHAnsi" w:cs="Source Sans Pro"/>
          <w:b w:val="0"/>
          <w:bCs/>
          <w:sz w:val="20"/>
          <w:szCs w:val="20"/>
        </w:rPr>
        <w:t>« </w:t>
      </w:r>
      <w:r w:rsidRPr="00A74D23">
        <w:rPr>
          <w:rFonts w:asciiTheme="minorHAnsi" w:hAnsiTheme="minorHAnsi" w:cs="Open Sans"/>
          <w:b w:val="0"/>
          <w:bCs/>
          <w:sz w:val="20"/>
          <w:szCs w:val="20"/>
        </w:rPr>
        <w:t>Best</w:t>
      </w:r>
      <w:r w:rsidRPr="00A74D23">
        <w:rPr>
          <w:rFonts w:ascii="Cambria Math" w:hAnsi="Cambria Math" w:cs="Cambria Math"/>
          <w:b w:val="0"/>
          <w:bCs/>
          <w:sz w:val="20"/>
          <w:szCs w:val="20"/>
        </w:rPr>
        <w:t>‑</w:t>
      </w:r>
      <w:r w:rsidRPr="00A74D23">
        <w:rPr>
          <w:rFonts w:asciiTheme="minorHAnsi" w:hAnsiTheme="minorHAnsi" w:cs="Open Sans"/>
          <w:b w:val="0"/>
          <w:bCs/>
          <w:sz w:val="20"/>
          <w:szCs w:val="20"/>
        </w:rPr>
        <w:t>in</w:t>
      </w:r>
      <w:r w:rsidRPr="00A74D23">
        <w:rPr>
          <w:rFonts w:ascii="Cambria Math" w:hAnsi="Cambria Math" w:cs="Cambria Math"/>
          <w:b w:val="0"/>
          <w:bCs/>
          <w:sz w:val="20"/>
          <w:szCs w:val="20"/>
        </w:rPr>
        <w:t>‑</w:t>
      </w:r>
      <w:r w:rsidRPr="00A74D23">
        <w:rPr>
          <w:rFonts w:asciiTheme="minorHAnsi" w:hAnsiTheme="minorHAnsi" w:cs="Open Sans"/>
          <w:b w:val="0"/>
          <w:bCs/>
          <w:sz w:val="20"/>
          <w:szCs w:val="20"/>
        </w:rPr>
        <w:t>Progress</w:t>
      </w:r>
      <w:r w:rsidRPr="00A74D23">
        <w:rPr>
          <w:rFonts w:asciiTheme="minorHAnsi" w:hAnsiTheme="minorHAnsi" w:cs="Source Sans Pro"/>
          <w:b w:val="0"/>
          <w:bCs/>
          <w:sz w:val="20"/>
          <w:szCs w:val="20"/>
        </w:rPr>
        <w:t> »</w:t>
      </w:r>
      <w:r w:rsidRPr="00A74D23">
        <w:rPr>
          <w:rFonts w:asciiTheme="minorHAnsi" w:hAnsiTheme="minorHAnsi" w:cs="Open Sans"/>
          <w:b w:val="0"/>
          <w:bCs/>
          <w:sz w:val="20"/>
          <w:szCs w:val="20"/>
        </w:rPr>
        <w:t>, faisant l</w:t>
      </w:r>
      <w:r w:rsidRPr="00A74D23">
        <w:rPr>
          <w:rFonts w:asciiTheme="minorHAnsi" w:hAnsiTheme="minorHAnsi" w:cs="Source Sans Pro"/>
          <w:b w:val="0"/>
          <w:bCs/>
          <w:sz w:val="20"/>
          <w:szCs w:val="20"/>
        </w:rPr>
        <w:t>’</w:t>
      </w:r>
      <w:r w:rsidRPr="00A74D23">
        <w:rPr>
          <w:rFonts w:asciiTheme="minorHAnsi" w:hAnsiTheme="minorHAnsi" w:cs="Open Sans"/>
          <w:b w:val="0"/>
          <w:bCs/>
          <w:sz w:val="20"/>
          <w:szCs w:val="20"/>
        </w:rPr>
        <w:t>objet de plans d</w:t>
      </w:r>
      <w:r w:rsidRPr="00A74D23">
        <w:rPr>
          <w:rFonts w:asciiTheme="minorHAnsi" w:hAnsiTheme="minorHAnsi" w:cs="Source Sans Pro"/>
          <w:b w:val="0"/>
          <w:bCs/>
          <w:sz w:val="20"/>
          <w:szCs w:val="20"/>
        </w:rPr>
        <w:t>’</w:t>
      </w:r>
      <w:r w:rsidRPr="00A74D23">
        <w:rPr>
          <w:rFonts w:asciiTheme="minorHAnsi" w:hAnsiTheme="minorHAnsi" w:cs="Open Sans"/>
          <w:b w:val="0"/>
          <w:bCs/>
          <w:sz w:val="20"/>
          <w:szCs w:val="20"/>
        </w:rPr>
        <w:t>am</w:t>
      </w:r>
      <w:r w:rsidRPr="00A74D23">
        <w:rPr>
          <w:rFonts w:asciiTheme="minorHAnsi" w:hAnsiTheme="minorHAnsi" w:cs="Source Sans Pro"/>
          <w:b w:val="0"/>
          <w:bCs/>
          <w:sz w:val="20"/>
          <w:szCs w:val="20"/>
        </w:rPr>
        <w:t>é</w:t>
      </w:r>
      <w:r w:rsidRPr="00A74D23">
        <w:rPr>
          <w:rFonts w:asciiTheme="minorHAnsi" w:hAnsiTheme="minorHAnsi" w:cs="Open Sans"/>
          <w:b w:val="0"/>
          <w:bCs/>
          <w:sz w:val="20"/>
          <w:szCs w:val="20"/>
        </w:rPr>
        <w:t>lioration.</w:t>
      </w:r>
      <w:r w:rsidR="002D1B56" w:rsidRPr="00A74D23">
        <w:rPr>
          <w:rFonts w:asciiTheme="minorHAnsi" w:hAnsiTheme="minorHAnsi" w:cs="Open Sans"/>
          <w:b w:val="0"/>
          <w:bCs/>
          <w:sz w:val="20"/>
          <w:szCs w:val="20"/>
        </w:rPr>
        <w:t xml:space="preserve"> Des éléments supplémentaires sont précisés en annexe.</w:t>
      </w:r>
    </w:p>
    <w:p w14:paraId="58D62C8B" w14:textId="77777777" w:rsidR="00AD238F" w:rsidRPr="00A74D23" w:rsidRDefault="00AD238F" w:rsidP="009D6EE5">
      <w:pPr>
        <w:pStyle w:val="Style3"/>
        <w:spacing w:line="22" w:lineRule="atLeast"/>
        <w:ind w:left="0" w:firstLine="0"/>
        <w:jc w:val="both"/>
        <w:rPr>
          <w:rFonts w:asciiTheme="minorHAnsi" w:hAnsiTheme="minorHAnsi" w:cs="Open Sans"/>
          <w:b w:val="0"/>
          <w:bCs/>
          <w:sz w:val="20"/>
          <w:szCs w:val="20"/>
        </w:rPr>
      </w:pPr>
    </w:p>
    <w:p w14:paraId="2B77BCC5" w14:textId="77777777" w:rsidR="00AD238F" w:rsidRPr="00A74D23" w:rsidRDefault="00AD238F" w:rsidP="009D6EE5">
      <w:pPr>
        <w:pStyle w:val="Style3"/>
        <w:spacing w:line="22" w:lineRule="atLeast"/>
        <w:ind w:left="0" w:firstLine="0"/>
        <w:jc w:val="both"/>
        <w:rPr>
          <w:rFonts w:asciiTheme="minorHAnsi" w:hAnsiTheme="minorHAnsi" w:cs="Open Sans"/>
          <w:b w:val="0"/>
          <w:bCs/>
          <w:sz w:val="20"/>
          <w:szCs w:val="20"/>
        </w:rPr>
      </w:pPr>
      <w:r w:rsidRPr="00A74D23">
        <w:rPr>
          <w:rFonts w:asciiTheme="minorHAnsi" w:hAnsiTheme="minorHAnsi" w:cs="Open Sans"/>
          <w:b w:val="0"/>
          <w:bCs/>
          <w:sz w:val="20"/>
          <w:szCs w:val="20"/>
        </w:rPr>
        <w:t>Afin d’atteindre les objectifs fixés, des actions d’amélioration des critères ESG sont intégrées dès l’acquisition des actifs, notamment à travers l’inscription de CAPEX dédiés dans les business plans. Le suivi de la performance ESG et climat du portefeuille est assuré de manière régulière, notamment dans le cadre du Comité ESG / Climat, réunissant le mandant et le mandataire.</w:t>
      </w:r>
    </w:p>
    <w:p w14:paraId="2B91971A" w14:textId="77777777" w:rsidR="00AD238F" w:rsidRPr="00A74D23" w:rsidRDefault="00AD238F" w:rsidP="009D6EE5">
      <w:pPr>
        <w:pStyle w:val="Style3"/>
        <w:spacing w:line="22" w:lineRule="atLeast"/>
        <w:ind w:left="426" w:firstLine="0"/>
        <w:jc w:val="both"/>
        <w:rPr>
          <w:rFonts w:asciiTheme="minorHAnsi" w:hAnsiTheme="minorHAnsi" w:cs="Open Sans"/>
        </w:rPr>
      </w:pPr>
    </w:p>
    <w:p w14:paraId="0B5E8981" w14:textId="7442FD7F" w:rsidR="00AD238F" w:rsidRPr="00A74D23" w:rsidRDefault="00AD238F" w:rsidP="009D6EE5">
      <w:pPr>
        <w:pStyle w:val="Style3"/>
        <w:spacing w:line="22" w:lineRule="atLeast"/>
        <w:ind w:left="426" w:firstLine="0"/>
        <w:jc w:val="both"/>
        <w:rPr>
          <w:rFonts w:asciiTheme="minorHAnsi" w:hAnsiTheme="minorHAnsi" w:cs="Open Sans"/>
        </w:rPr>
      </w:pPr>
      <w:r w:rsidRPr="00A74D23">
        <w:rPr>
          <w:rFonts w:asciiTheme="minorHAnsi" w:hAnsiTheme="minorHAnsi"/>
          <w:noProof/>
        </w:rPr>
        <w:drawing>
          <wp:anchor distT="0" distB="0" distL="114300" distR="114300" simplePos="0" relativeHeight="251639808" behindDoc="0" locked="0" layoutInCell="1" allowOverlap="1" wp14:anchorId="40CBD86A" wp14:editId="1F6245FD">
            <wp:simplePos x="0" y="0"/>
            <wp:positionH relativeFrom="margin">
              <wp:posOffset>2136632</wp:posOffset>
            </wp:positionH>
            <wp:positionV relativeFrom="paragraph">
              <wp:posOffset>9525</wp:posOffset>
            </wp:positionV>
            <wp:extent cx="1932305" cy="638175"/>
            <wp:effectExtent l="0" t="0" r="0" b="9525"/>
            <wp:wrapSquare wrapText="bothSides"/>
            <wp:docPr id="174709590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32305" cy="638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CDD129" w14:textId="4903D8D6" w:rsidR="00AD238F" w:rsidRPr="00A74D23" w:rsidRDefault="00B272AC" w:rsidP="009D6EE5">
      <w:pPr>
        <w:pStyle w:val="Style3"/>
        <w:spacing w:line="22" w:lineRule="atLeast"/>
        <w:ind w:left="426" w:firstLine="0"/>
        <w:jc w:val="both"/>
        <w:rPr>
          <w:rFonts w:asciiTheme="minorHAnsi" w:hAnsiTheme="minorHAnsi" w:cs="Open Sans"/>
        </w:rPr>
      </w:pPr>
      <w:r w:rsidRPr="00A74D23">
        <w:rPr>
          <w:rFonts w:asciiTheme="minorHAnsi" w:hAnsiTheme="minorHAnsi" w:cs="Open Sans"/>
          <w:noProof/>
          <w:sz w:val="18"/>
          <w:szCs w:val="18"/>
        </w:rPr>
        <mc:AlternateContent>
          <mc:Choice Requires="wps">
            <w:drawing>
              <wp:anchor distT="0" distB="0" distL="114300" distR="114300" simplePos="0" relativeHeight="251637760" behindDoc="1" locked="0" layoutInCell="1" allowOverlap="1" wp14:anchorId="44B434CE" wp14:editId="71FA036C">
                <wp:simplePos x="0" y="0"/>
                <wp:positionH relativeFrom="margin">
                  <wp:align>left</wp:align>
                </wp:positionH>
                <wp:positionV relativeFrom="paragraph">
                  <wp:posOffset>104775</wp:posOffset>
                </wp:positionV>
                <wp:extent cx="5901690" cy="2475230"/>
                <wp:effectExtent l="0" t="0" r="3810" b="1270"/>
                <wp:wrapSquare wrapText="bothSides"/>
                <wp:docPr id="1126693429" name="Rectangle : coins arrondis 1126693429"/>
                <wp:cNvGraphicFramePr/>
                <a:graphic xmlns:a="http://schemas.openxmlformats.org/drawingml/2006/main">
                  <a:graphicData uri="http://schemas.microsoft.com/office/word/2010/wordprocessingShape">
                    <wps:wsp>
                      <wps:cNvSpPr/>
                      <wps:spPr>
                        <a:xfrm>
                          <a:off x="0" y="0"/>
                          <a:ext cx="5901690" cy="2475230"/>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4DDDA7" w14:textId="77777777" w:rsidR="00AD238F" w:rsidRDefault="00AD238F" w:rsidP="00AD238F">
                            <w:pPr>
                              <w:tabs>
                                <w:tab w:val="left" w:pos="426"/>
                                <w:tab w:val="left" w:pos="8931"/>
                              </w:tabs>
                              <w:ind w:left="218" w:right="15" w:hanging="360"/>
                              <w:jc w:val="both"/>
                            </w:pPr>
                          </w:p>
                          <w:p w14:paraId="143D04F2" w14:textId="60A4DC42" w:rsidR="00AD238F" w:rsidRDefault="00AD238F" w:rsidP="00B272AC">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r w:rsidRPr="006C78CE">
                              <w:rPr>
                                <w:rFonts w:ascii="Source Sans Pro" w:hAnsi="Source Sans Pro"/>
                                <w:b/>
                                <w:i w:val="0"/>
                                <w:color w:val="000000" w:themeColor="text1"/>
                                <w:sz w:val="20"/>
                              </w:rPr>
                              <w:t xml:space="preserve">La stratégie ESG </w:t>
                            </w:r>
                            <w:r w:rsidR="00B272AC" w:rsidRPr="006C78CE">
                              <w:rPr>
                                <w:rFonts w:ascii="Source Sans Pro" w:hAnsi="Source Sans Pro"/>
                                <w:b/>
                                <w:i w:val="0"/>
                                <w:color w:val="000000" w:themeColor="text1"/>
                                <w:sz w:val="20"/>
                              </w:rPr>
                              <w:t>des mandats immobiliers</w:t>
                            </w:r>
                            <w:r w:rsidR="006C78CE" w:rsidRPr="006C78CE">
                              <w:rPr>
                                <w:rFonts w:ascii="Source Sans Pro" w:hAnsi="Source Sans Pro"/>
                                <w:b/>
                                <w:i w:val="0"/>
                                <w:color w:val="000000" w:themeColor="text1"/>
                                <w:sz w:val="20"/>
                              </w:rPr>
                              <w:t xml:space="preserve"> </w:t>
                            </w:r>
                            <w:r w:rsidRPr="006C78CE">
                              <w:rPr>
                                <w:rFonts w:ascii="Source Sans Pro" w:hAnsi="Source Sans Pro"/>
                                <w:b/>
                                <w:i w:val="0"/>
                                <w:color w:val="000000" w:themeColor="text1"/>
                                <w:sz w:val="20"/>
                              </w:rPr>
                              <w:t>d’Abeille Assurances est étroitement liée à la stratégie ESG propre d’</w:t>
                            </w:r>
                            <w:r w:rsidR="00495330">
                              <w:rPr>
                                <w:rFonts w:ascii="Source Sans Pro" w:hAnsi="Source Sans Pro"/>
                                <w:b/>
                                <w:i w:val="0"/>
                                <w:color w:val="000000" w:themeColor="text1"/>
                                <w:sz w:val="20"/>
                              </w:rPr>
                              <w:t>Ofi</w:t>
                            </w:r>
                            <w:r w:rsidRPr="006C78CE">
                              <w:rPr>
                                <w:rFonts w:ascii="Source Sans Pro" w:hAnsi="Source Sans Pro"/>
                                <w:b/>
                                <w:i w:val="0"/>
                                <w:color w:val="000000" w:themeColor="text1"/>
                                <w:sz w:val="20"/>
                              </w:rPr>
                              <w:t xml:space="preserve"> Invest Real Estate,</w:t>
                            </w:r>
                            <w:r w:rsidRPr="00252662">
                              <w:rPr>
                                <w:rFonts w:ascii="Source Sans Pro" w:hAnsi="Source Sans Pro"/>
                                <w:bCs/>
                                <w:i w:val="0"/>
                                <w:color w:val="000000" w:themeColor="text1"/>
                                <w:sz w:val="20"/>
                              </w:rPr>
                              <w:t xml:space="preserve"> couvrant l’ensemble du cycle de vie des actifs immobiliers (acquisition, exploitation, travaux, cession) en cohérence avec les objectifs de développement durable (ODD), règlement SFDR et les objectifs de l’Accord de Paris. Pour plus d’informations, l’ensemble des principes, engagements et modalités de mise en œuvre est détaillé dans la politique ESG d’</w:t>
                            </w:r>
                            <w:r w:rsidR="00495330">
                              <w:rPr>
                                <w:rFonts w:ascii="Source Sans Pro" w:hAnsi="Source Sans Pro"/>
                                <w:bCs/>
                                <w:i w:val="0"/>
                                <w:color w:val="000000" w:themeColor="text1"/>
                                <w:sz w:val="20"/>
                              </w:rPr>
                              <w:t>OFI</w:t>
                            </w:r>
                            <w:r w:rsidRPr="00252662">
                              <w:rPr>
                                <w:rFonts w:ascii="Source Sans Pro" w:hAnsi="Source Sans Pro"/>
                                <w:bCs/>
                                <w:i w:val="0"/>
                                <w:color w:val="000000" w:themeColor="text1"/>
                                <w:sz w:val="20"/>
                              </w:rPr>
                              <w:t xml:space="preserve"> Invest Real Estate, disponible sur leur site internet.</w:t>
                            </w:r>
                          </w:p>
                          <w:p w14:paraId="03F37103" w14:textId="77777777" w:rsidR="00AD238F" w:rsidRDefault="00AD238F" w:rsidP="00AD238F">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p>
                          <w:p w14:paraId="2D43434D" w14:textId="77777777" w:rsidR="00AD238F" w:rsidRDefault="00AD238F" w:rsidP="00B272AC">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r>
                              <w:rPr>
                                <w:rFonts w:ascii="Source Sans Pro" w:hAnsi="Source Sans Pro"/>
                                <w:bCs/>
                                <w:i w:val="0"/>
                                <w:color w:val="000000" w:themeColor="text1"/>
                                <w:sz w:val="20"/>
                              </w:rPr>
                              <w:t>En 2025, de nombreuses actions ont été menées afin d’améliorer la stratégie ESG, notamment :</w:t>
                            </w:r>
                          </w:p>
                          <w:p w14:paraId="0879B831" w14:textId="77777777" w:rsidR="00AD238F" w:rsidRDefault="00AD238F" w:rsidP="00590DD1">
                            <w:pPr>
                              <w:pStyle w:val="Style1"/>
                              <w:numPr>
                                <w:ilvl w:val="0"/>
                                <w:numId w:val="83"/>
                              </w:numPr>
                              <w:tabs>
                                <w:tab w:val="clear" w:pos="2010"/>
                                <w:tab w:val="left" w:pos="426"/>
                                <w:tab w:val="left" w:pos="8931"/>
                              </w:tabs>
                              <w:spacing w:after="0" w:line="240" w:lineRule="auto"/>
                              <w:ind w:right="15"/>
                              <w:jc w:val="both"/>
                              <w:rPr>
                                <w:rFonts w:ascii="Source Sans Pro" w:hAnsi="Source Sans Pro"/>
                                <w:bCs/>
                                <w:i w:val="0"/>
                                <w:color w:val="000000" w:themeColor="text1"/>
                                <w:sz w:val="20"/>
                              </w:rPr>
                            </w:pPr>
                            <w:r>
                              <w:rPr>
                                <w:rFonts w:ascii="Source Sans Pro" w:hAnsi="Source Sans Pro"/>
                                <w:bCs/>
                                <w:i w:val="0"/>
                                <w:color w:val="000000" w:themeColor="text1"/>
                                <w:sz w:val="20"/>
                              </w:rPr>
                              <w:t>La refonte de la politique ESG</w:t>
                            </w:r>
                          </w:p>
                          <w:p w14:paraId="409BF3C3" w14:textId="77777777" w:rsidR="00AD238F" w:rsidRDefault="00AD238F" w:rsidP="00590DD1">
                            <w:pPr>
                              <w:pStyle w:val="Style1"/>
                              <w:numPr>
                                <w:ilvl w:val="0"/>
                                <w:numId w:val="83"/>
                              </w:numPr>
                              <w:tabs>
                                <w:tab w:val="clear" w:pos="2010"/>
                                <w:tab w:val="left" w:pos="426"/>
                                <w:tab w:val="left" w:pos="8931"/>
                              </w:tabs>
                              <w:spacing w:after="0" w:line="240" w:lineRule="auto"/>
                              <w:ind w:right="15"/>
                              <w:jc w:val="both"/>
                              <w:rPr>
                                <w:rFonts w:ascii="Source Sans Pro" w:hAnsi="Source Sans Pro"/>
                                <w:bCs/>
                                <w:i w:val="0"/>
                                <w:color w:val="000000" w:themeColor="text1"/>
                                <w:sz w:val="20"/>
                              </w:rPr>
                            </w:pPr>
                            <w:r>
                              <w:rPr>
                                <w:rFonts w:ascii="Source Sans Pro" w:hAnsi="Source Sans Pro"/>
                                <w:bCs/>
                                <w:i w:val="0"/>
                                <w:color w:val="000000" w:themeColor="text1"/>
                                <w:sz w:val="20"/>
                              </w:rPr>
                              <w:t>La revue de la politique d’engagement avec la publication, pour la première année, d’un rapport d’engagement détaillé</w:t>
                            </w:r>
                          </w:p>
                          <w:p w14:paraId="39E35004" w14:textId="77777777" w:rsidR="00AD238F" w:rsidRDefault="00AD238F" w:rsidP="00590DD1">
                            <w:pPr>
                              <w:pStyle w:val="Style1"/>
                              <w:numPr>
                                <w:ilvl w:val="0"/>
                                <w:numId w:val="83"/>
                              </w:numPr>
                              <w:tabs>
                                <w:tab w:val="clear" w:pos="2010"/>
                                <w:tab w:val="left" w:pos="426"/>
                                <w:tab w:val="left" w:pos="8931"/>
                              </w:tabs>
                              <w:spacing w:after="0" w:line="240" w:lineRule="auto"/>
                              <w:ind w:right="15"/>
                              <w:jc w:val="both"/>
                              <w:rPr>
                                <w:rFonts w:ascii="Source Sans Pro" w:hAnsi="Source Sans Pro"/>
                                <w:bCs/>
                                <w:i w:val="0"/>
                                <w:color w:val="000000" w:themeColor="text1"/>
                                <w:sz w:val="20"/>
                              </w:rPr>
                            </w:pPr>
                            <w:r>
                              <w:rPr>
                                <w:rFonts w:ascii="Source Sans Pro" w:hAnsi="Source Sans Pro"/>
                                <w:bCs/>
                                <w:i w:val="0"/>
                                <w:color w:val="000000" w:themeColor="text1"/>
                                <w:sz w:val="20"/>
                              </w:rPr>
                              <w:t xml:space="preserve">La revue de la Charte ESG ainsi que la formalisation d’une Charte biodiversité dédiée </w:t>
                            </w:r>
                          </w:p>
                          <w:p w14:paraId="60816A90" w14:textId="77777777" w:rsidR="00AD238F" w:rsidRDefault="00AD238F" w:rsidP="00AD238F">
                            <w:pPr>
                              <w:pStyle w:val="Style1"/>
                              <w:numPr>
                                <w:ilvl w:val="0"/>
                                <w:numId w:val="0"/>
                              </w:numPr>
                              <w:tabs>
                                <w:tab w:val="clear" w:pos="2010"/>
                                <w:tab w:val="left" w:pos="426"/>
                                <w:tab w:val="left" w:pos="8931"/>
                              </w:tabs>
                              <w:spacing w:after="0" w:line="240" w:lineRule="auto"/>
                              <w:ind w:left="502" w:right="15"/>
                              <w:jc w:val="both"/>
                              <w:rPr>
                                <w:rFonts w:ascii="Source Sans Pro" w:hAnsi="Source Sans Pro"/>
                                <w:bCs/>
                                <w:i w:val="0"/>
                                <w:color w:val="000000" w:themeColor="text1"/>
                                <w:sz w:val="20"/>
                              </w:rPr>
                            </w:pPr>
                          </w:p>
                          <w:p w14:paraId="5FE21098" w14:textId="77777777" w:rsidR="00AD238F" w:rsidRDefault="00AD238F" w:rsidP="00AD238F">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p>
                          <w:p w14:paraId="7EA381D7" w14:textId="77777777" w:rsidR="00AD238F" w:rsidRDefault="00AD238F" w:rsidP="00AD238F">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p>
                          <w:p w14:paraId="61B90126" w14:textId="77777777" w:rsidR="00AD238F" w:rsidRDefault="00AD238F" w:rsidP="00AD238F">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p>
                          <w:p w14:paraId="116E0C50" w14:textId="77777777" w:rsidR="00AD238F" w:rsidRDefault="00AD238F" w:rsidP="00AD238F">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p>
                          <w:p w14:paraId="45DB160E" w14:textId="77777777" w:rsidR="00AD238F" w:rsidRDefault="00AD238F" w:rsidP="00AD238F">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p>
                          <w:p w14:paraId="00E9EB62" w14:textId="77777777" w:rsidR="00AD238F" w:rsidRDefault="00AD238F" w:rsidP="00AD238F">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p>
                          <w:p w14:paraId="28F7CF57" w14:textId="77777777" w:rsidR="00AD238F" w:rsidRDefault="00AD238F" w:rsidP="00AD238F">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p>
                          <w:p w14:paraId="45DA140C" w14:textId="77777777" w:rsidR="00AD238F" w:rsidRDefault="00AD238F" w:rsidP="00AD238F">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p>
                          <w:p w14:paraId="5A3FF4B9" w14:textId="77777777" w:rsidR="00AD238F" w:rsidRDefault="00AD238F" w:rsidP="00AD238F">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p>
                          <w:p w14:paraId="629C55FD" w14:textId="77777777" w:rsidR="00AD238F" w:rsidRPr="00252662" w:rsidRDefault="00AD238F" w:rsidP="00AD238F">
                            <w:pPr>
                              <w:pStyle w:val="Style1"/>
                              <w:numPr>
                                <w:ilvl w:val="0"/>
                                <w:numId w:val="0"/>
                              </w:numPr>
                              <w:tabs>
                                <w:tab w:val="clear" w:pos="2010"/>
                                <w:tab w:val="left" w:pos="426"/>
                                <w:tab w:val="left" w:pos="8931"/>
                              </w:tabs>
                              <w:spacing w:after="0" w:line="240" w:lineRule="auto"/>
                              <w:ind w:left="142" w:right="15"/>
                              <w:jc w:val="both"/>
                              <w:rPr>
                                <w:color w:val="000000" w:themeColor="text1"/>
                              </w:rPr>
                            </w:pPr>
                          </w:p>
                        </w:txbxContent>
                      </wps:txbx>
                      <wps:bodyPr rot="0" spcFirstLastPara="0" vertOverflow="overflow" horzOverflow="overflow" vert="horz" wrap="square" lIns="180000" tIns="72000" rIns="180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B434CE" id="Rectangle : coins arrondis 1126693429" o:spid="_x0000_s1095" style="position:absolute;left:0;text-align:left;margin-left:0;margin-top:8.25pt;width:464.7pt;height:194.9pt;z-index:-25167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" fillcolor="#d8d8d8 [2732]" stroked="f" strokeweight="1pt">
                <v:stroke joinstyle="miter"/>
                <v:textbox inset="5mm,2mm,5mm,3mm">
                  <w:txbxContent>
                    <w:p w14:paraId="264DDDA7" w14:textId="77777777" w:rsidR="00AD238F" w:rsidRDefault="00AD238F" w:rsidP="00AD238F">
                      <w:pPr>
                        <w:tabs>
                          <w:tab w:val="left" w:pos="426"/>
                          <w:tab w:val="left" w:pos="8931"/>
                        </w:tabs>
                        <w:ind w:left="218" w:right="15" w:hanging="360"/>
                        <w:jc w:val="both"/>
                      </w:pPr>
                    </w:p>
                    <w:p w14:paraId="143D04F2" w14:textId="60A4DC42" w:rsidR="00AD238F" w:rsidRDefault="00AD238F" w:rsidP="00B272AC">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r w:rsidRPr="006C78CE">
                        <w:rPr>
                          <w:rFonts w:ascii="Source Sans Pro" w:hAnsi="Source Sans Pro"/>
                          <w:b/>
                          <w:i w:val="0"/>
                          <w:color w:val="000000" w:themeColor="text1"/>
                          <w:sz w:val="20"/>
                        </w:rPr>
                        <w:t xml:space="preserve">La stratégie ESG </w:t>
                      </w:r>
                      <w:r w:rsidR="00B272AC" w:rsidRPr="006C78CE">
                        <w:rPr>
                          <w:rFonts w:ascii="Source Sans Pro" w:hAnsi="Source Sans Pro"/>
                          <w:b/>
                          <w:i w:val="0"/>
                          <w:color w:val="000000" w:themeColor="text1"/>
                          <w:sz w:val="20"/>
                        </w:rPr>
                        <w:t>des mandats immobiliers</w:t>
                      </w:r>
                      <w:r w:rsidR="006C78CE" w:rsidRPr="006C78CE">
                        <w:rPr>
                          <w:rFonts w:ascii="Source Sans Pro" w:hAnsi="Source Sans Pro"/>
                          <w:b/>
                          <w:i w:val="0"/>
                          <w:color w:val="000000" w:themeColor="text1"/>
                          <w:sz w:val="20"/>
                        </w:rPr>
                        <w:t xml:space="preserve"> </w:t>
                      </w:r>
                      <w:r w:rsidRPr="006C78CE">
                        <w:rPr>
                          <w:rFonts w:ascii="Source Sans Pro" w:hAnsi="Source Sans Pro"/>
                          <w:b/>
                          <w:i w:val="0"/>
                          <w:color w:val="000000" w:themeColor="text1"/>
                          <w:sz w:val="20"/>
                        </w:rPr>
                        <w:t>d’Abeille Assurances est étroitement liée à la stratégie ESG propre d’</w:t>
                      </w:r>
                      <w:r w:rsidR="00495330">
                        <w:rPr>
                          <w:rFonts w:ascii="Source Sans Pro" w:hAnsi="Source Sans Pro"/>
                          <w:b/>
                          <w:i w:val="0"/>
                          <w:color w:val="000000" w:themeColor="text1"/>
                          <w:sz w:val="20"/>
                        </w:rPr>
                        <w:t>Ofi</w:t>
                      </w:r>
                      <w:r w:rsidRPr="006C78CE">
                        <w:rPr>
                          <w:rFonts w:ascii="Source Sans Pro" w:hAnsi="Source Sans Pro"/>
                          <w:b/>
                          <w:i w:val="0"/>
                          <w:color w:val="000000" w:themeColor="text1"/>
                          <w:sz w:val="20"/>
                        </w:rPr>
                        <w:t xml:space="preserve"> Invest Real Estate,</w:t>
                      </w:r>
                      <w:r w:rsidRPr="00252662">
                        <w:rPr>
                          <w:rFonts w:ascii="Source Sans Pro" w:hAnsi="Source Sans Pro"/>
                          <w:bCs/>
                          <w:i w:val="0"/>
                          <w:color w:val="000000" w:themeColor="text1"/>
                          <w:sz w:val="20"/>
                        </w:rPr>
                        <w:t xml:space="preserve"> couvrant l’ensemble du cycle de vie des actifs immobiliers (acquisition, exploitation, travaux, cession) en cohérence avec les objectifs de développement durable (ODD), règlement SFDR et les objectifs de l’Accord de Paris. Pour plus d’informations, l’ensemble des principes, engagements et modalités de mise en œuvre est détaillé dans la politique ESG d’</w:t>
                      </w:r>
                      <w:r w:rsidR="00495330">
                        <w:rPr>
                          <w:rFonts w:ascii="Source Sans Pro" w:hAnsi="Source Sans Pro"/>
                          <w:bCs/>
                          <w:i w:val="0"/>
                          <w:color w:val="000000" w:themeColor="text1"/>
                          <w:sz w:val="20"/>
                        </w:rPr>
                        <w:t>OFI</w:t>
                      </w:r>
                      <w:r w:rsidRPr="00252662">
                        <w:rPr>
                          <w:rFonts w:ascii="Source Sans Pro" w:hAnsi="Source Sans Pro"/>
                          <w:bCs/>
                          <w:i w:val="0"/>
                          <w:color w:val="000000" w:themeColor="text1"/>
                          <w:sz w:val="20"/>
                        </w:rPr>
                        <w:t xml:space="preserve"> Invest Real Estate, disponible sur leur site internet.</w:t>
                      </w:r>
                    </w:p>
                    <w:p w14:paraId="03F37103" w14:textId="77777777" w:rsidR="00AD238F" w:rsidRDefault="00AD238F" w:rsidP="00AD238F">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p>
                    <w:p w14:paraId="2D43434D" w14:textId="77777777" w:rsidR="00AD238F" w:rsidRDefault="00AD238F" w:rsidP="00B272AC">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r>
                        <w:rPr>
                          <w:rFonts w:ascii="Source Sans Pro" w:hAnsi="Source Sans Pro"/>
                          <w:bCs/>
                          <w:i w:val="0"/>
                          <w:color w:val="000000" w:themeColor="text1"/>
                          <w:sz w:val="20"/>
                        </w:rPr>
                        <w:t>En 2025, de nombreuses actions ont été menées afin d’améliorer la stratégie ESG, notamment :</w:t>
                      </w:r>
                    </w:p>
                    <w:p w14:paraId="0879B831" w14:textId="77777777" w:rsidR="00AD238F" w:rsidRDefault="00AD238F" w:rsidP="00590DD1">
                      <w:pPr>
                        <w:pStyle w:val="Style1"/>
                        <w:numPr>
                          <w:ilvl w:val="0"/>
                          <w:numId w:val="83"/>
                        </w:numPr>
                        <w:tabs>
                          <w:tab w:val="clear" w:pos="2010"/>
                          <w:tab w:val="left" w:pos="426"/>
                          <w:tab w:val="left" w:pos="8931"/>
                        </w:tabs>
                        <w:spacing w:after="0" w:line="240" w:lineRule="auto"/>
                        <w:ind w:right="15"/>
                        <w:jc w:val="both"/>
                        <w:rPr>
                          <w:rFonts w:ascii="Source Sans Pro" w:hAnsi="Source Sans Pro"/>
                          <w:bCs/>
                          <w:i w:val="0"/>
                          <w:color w:val="000000" w:themeColor="text1"/>
                          <w:sz w:val="20"/>
                        </w:rPr>
                      </w:pPr>
                      <w:r>
                        <w:rPr>
                          <w:rFonts w:ascii="Source Sans Pro" w:hAnsi="Source Sans Pro"/>
                          <w:bCs/>
                          <w:i w:val="0"/>
                          <w:color w:val="000000" w:themeColor="text1"/>
                          <w:sz w:val="20"/>
                        </w:rPr>
                        <w:t>La refonte de la politique ESG</w:t>
                      </w:r>
                    </w:p>
                    <w:p w14:paraId="409BF3C3" w14:textId="77777777" w:rsidR="00AD238F" w:rsidRDefault="00AD238F" w:rsidP="00590DD1">
                      <w:pPr>
                        <w:pStyle w:val="Style1"/>
                        <w:numPr>
                          <w:ilvl w:val="0"/>
                          <w:numId w:val="83"/>
                        </w:numPr>
                        <w:tabs>
                          <w:tab w:val="clear" w:pos="2010"/>
                          <w:tab w:val="left" w:pos="426"/>
                          <w:tab w:val="left" w:pos="8931"/>
                        </w:tabs>
                        <w:spacing w:after="0" w:line="240" w:lineRule="auto"/>
                        <w:ind w:right="15"/>
                        <w:jc w:val="both"/>
                        <w:rPr>
                          <w:rFonts w:ascii="Source Sans Pro" w:hAnsi="Source Sans Pro"/>
                          <w:bCs/>
                          <w:i w:val="0"/>
                          <w:color w:val="000000" w:themeColor="text1"/>
                          <w:sz w:val="20"/>
                        </w:rPr>
                      </w:pPr>
                      <w:r>
                        <w:rPr>
                          <w:rFonts w:ascii="Source Sans Pro" w:hAnsi="Source Sans Pro"/>
                          <w:bCs/>
                          <w:i w:val="0"/>
                          <w:color w:val="000000" w:themeColor="text1"/>
                          <w:sz w:val="20"/>
                        </w:rPr>
                        <w:t>La revue de la politique d’engagement avec la publication, pour la première année, d’un rapport d’engagement détaillé</w:t>
                      </w:r>
                    </w:p>
                    <w:p w14:paraId="39E35004" w14:textId="77777777" w:rsidR="00AD238F" w:rsidRDefault="00AD238F" w:rsidP="00590DD1">
                      <w:pPr>
                        <w:pStyle w:val="Style1"/>
                        <w:numPr>
                          <w:ilvl w:val="0"/>
                          <w:numId w:val="83"/>
                        </w:numPr>
                        <w:tabs>
                          <w:tab w:val="clear" w:pos="2010"/>
                          <w:tab w:val="left" w:pos="426"/>
                          <w:tab w:val="left" w:pos="8931"/>
                        </w:tabs>
                        <w:spacing w:after="0" w:line="240" w:lineRule="auto"/>
                        <w:ind w:right="15"/>
                        <w:jc w:val="both"/>
                        <w:rPr>
                          <w:rFonts w:ascii="Source Sans Pro" w:hAnsi="Source Sans Pro"/>
                          <w:bCs/>
                          <w:i w:val="0"/>
                          <w:color w:val="000000" w:themeColor="text1"/>
                          <w:sz w:val="20"/>
                        </w:rPr>
                      </w:pPr>
                      <w:r>
                        <w:rPr>
                          <w:rFonts w:ascii="Source Sans Pro" w:hAnsi="Source Sans Pro"/>
                          <w:bCs/>
                          <w:i w:val="0"/>
                          <w:color w:val="000000" w:themeColor="text1"/>
                          <w:sz w:val="20"/>
                        </w:rPr>
                        <w:t xml:space="preserve">La revue de la Charte ESG ainsi que la formalisation d’une Charte biodiversité dédiée </w:t>
                      </w:r>
                    </w:p>
                    <w:p w14:paraId="60816A90" w14:textId="77777777" w:rsidR="00AD238F" w:rsidRDefault="00AD238F" w:rsidP="00AD238F">
                      <w:pPr>
                        <w:pStyle w:val="Style1"/>
                        <w:numPr>
                          <w:ilvl w:val="0"/>
                          <w:numId w:val="0"/>
                        </w:numPr>
                        <w:tabs>
                          <w:tab w:val="clear" w:pos="2010"/>
                          <w:tab w:val="left" w:pos="426"/>
                          <w:tab w:val="left" w:pos="8931"/>
                        </w:tabs>
                        <w:spacing w:after="0" w:line="240" w:lineRule="auto"/>
                        <w:ind w:left="502" w:right="15"/>
                        <w:jc w:val="both"/>
                        <w:rPr>
                          <w:rFonts w:ascii="Source Sans Pro" w:hAnsi="Source Sans Pro"/>
                          <w:bCs/>
                          <w:i w:val="0"/>
                          <w:color w:val="000000" w:themeColor="text1"/>
                          <w:sz w:val="20"/>
                        </w:rPr>
                      </w:pPr>
                    </w:p>
                    <w:p w14:paraId="5FE21098" w14:textId="77777777" w:rsidR="00AD238F" w:rsidRDefault="00AD238F" w:rsidP="00AD238F">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p>
                    <w:p w14:paraId="7EA381D7" w14:textId="77777777" w:rsidR="00AD238F" w:rsidRDefault="00AD238F" w:rsidP="00AD238F">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p>
                    <w:p w14:paraId="61B90126" w14:textId="77777777" w:rsidR="00AD238F" w:rsidRDefault="00AD238F" w:rsidP="00AD238F">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p>
                    <w:p w14:paraId="116E0C50" w14:textId="77777777" w:rsidR="00AD238F" w:rsidRDefault="00AD238F" w:rsidP="00AD238F">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p>
                    <w:p w14:paraId="45DB160E" w14:textId="77777777" w:rsidR="00AD238F" w:rsidRDefault="00AD238F" w:rsidP="00AD238F">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p>
                    <w:p w14:paraId="00E9EB62" w14:textId="77777777" w:rsidR="00AD238F" w:rsidRDefault="00AD238F" w:rsidP="00AD238F">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p>
                    <w:p w14:paraId="28F7CF57" w14:textId="77777777" w:rsidR="00AD238F" w:rsidRDefault="00AD238F" w:rsidP="00AD238F">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p>
                    <w:p w14:paraId="45DA140C" w14:textId="77777777" w:rsidR="00AD238F" w:rsidRDefault="00AD238F" w:rsidP="00AD238F">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p>
                    <w:p w14:paraId="5A3FF4B9" w14:textId="77777777" w:rsidR="00AD238F" w:rsidRDefault="00AD238F" w:rsidP="00AD238F">
                      <w:pPr>
                        <w:pStyle w:val="Style1"/>
                        <w:numPr>
                          <w:ilvl w:val="0"/>
                          <w:numId w:val="0"/>
                        </w:numPr>
                        <w:tabs>
                          <w:tab w:val="clear" w:pos="2010"/>
                          <w:tab w:val="left" w:pos="426"/>
                          <w:tab w:val="left" w:pos="8931"/>
                        </w:tabs>
                        <w:spacing w:after="0" w:line="240" w:lineRule="auto"/>
                        <w:ind w:left="142" w:right="15"/>
                        <w:jc w:val="both"/>
                        <w:rPr>
                          <w:rFonts w:ascii="Source Sans Pro" w:hAnsi="Source Sans Pro"/>
                          <w:bCs/>
                          <w:i w:val="0"/>
                          <w:color w:val="000000" w:themeColor="text1"/>
                          <w:sz w:val="20"/>
                        </w:rPr>
                      </w:pPr>
                    </w:p>
                    <w:p w14:paraId="629C55FD" w14:textId="77777777" w:rsidR="00AD238F" w:rsidRPr="00252662" w:rsidRDefault="00AD238F" w:rsidP="00AD238F">
                      <w:pPr>
                        <w:pStyle w:val="Style1"/>
                        <w:numPr>
                          <w:ilvl w:val="0"/>
                          <w:numId w:val="0"/>
                        </w:numPr>
                        <w:tabs>
                          <w:tab w:val="clear" w:pos="2010"/>
                          <w:tab w:val="left" w:pos="426"/>
                          <w:tab w:val="left" w:pos="8931"/>
                        </w:tabs>
                        <w:spacing w:after="0" w:line="240" w:lineRule="auto"/>
                        <w:ind w:left="142" w:right="15"/>
                        <w:jc w:val="both"/>
                        <w:rPr>
                          <w:color w:val="000000" w:themeColor="text1"/>
                        </w:rPr>
                      </w:pPr>
                    </w:p>
                  </w:txbxContent>
                </v:textbox>
                <w10:wrap type="square" anchorx="margin"/>
              </v:roundrect>
            </w:pict>
          </mc:Fallback>
        </mc:AlternateContent>
      </w:r>
    </w:p>
    <w:p w14:paraId="26DDEDAF" w14:textId="77777777" w:rsidR="00AD238F" w:rsidRPr="00A74D23" w:rsidRDefault="00AD238F" w:rsidP="009D6EE5">
      <w:pPr>
        <w:pStyle w:val="Style3"/>
        <w:spacing w:line="22" w:lineRule="atLeast"/>
        <w:ind w:left="426" w:firstLine="0"/>
        <w:jc w:val="both"/>
        <w:rPr>
          <w:rFonts w:asciiTheme="minorHAnsi" w:hAnsiTheme="minorHAnsi" w:cs="Open Sans"/>
        </w:rPr>
      </w:pPr>
    </w:p>
    <w:p w14:paraId="4254D3BE" w14:textId="77777777" w:rsidR="00213597" w:rsidRPr="00A74D23" w:rsidRDefault="00213597" w:rsidP="009D6EE5">
      <w:pPr>
        <w:pStyle w:val="Style1"/>
        <w:numPr>
          <w:ilvl w:val="0"/>
          <w:numId w:val="0"/>
        </w:numPr>
        <w:spacing w:after="0" w:line="22" w:lineRule="atLeast"/>
        <w:jc w:val="both"/>
        <w:rPr>
          <w:rFonts w:cs="Open Sans"/>
          <w:i w:val="0"/>
          <w:iCs w:val="0"/>
          <w:color w:val="auto"/>
          <w:sz w:val="18"/>
          <w:szCs w:val="18"/>
        </w:rPr>
      </w:pPr>
    </w:p>
    <w:p w14:paraId="3DEE1740" w14:textId="77777777" w:rsidR="00213597" w:rsidRPr="00A74D23" w:rsidRDefault="00213597" w:rsidP="009D6EE5">
      <w:pPr>
        <w:pStyle w:val="Style1"/>
        <w:numPr>
          <w:ilvl w:val="0"/>
          <w:numId w:val="0"/>
        </w:numPr>
        <w:spacing w:after="0" w:line="22" w:lineRule="atLeast"/>
        <w:jc w:val="both"/>
        <w:rPr>
          <w:rFonts w:cs="Open Sans"/>
          <w:i w:val="0"/>
          <w:iCs w:val="0"/>
          <w:color w:val="auto"/>
          <w:sz w:val="18"/>
          <w:szCs w:val="18"/>
        </w:rPr>
      </w:pPr>
    </w:p>
    <w:p w14:paraId="549DFA69" w14:textId="77777777" w:rsidR="00213597" w:rsidRPr="00A74D23" w:rsidRDefault="00213597" w:rsidP="009D6EE5">
      <w:pPr>
        <w:pStyle w:val="Style1"/>
        <w:numPr>
          <w:ilvl w:val="0"/>
          <w:numId w:val="0"/>
        </w:numPr>
        <w:spacing w:after="0" w:line="22" w:lineRule="atLeast"/>
        <w:jc w:val="both"/>
        <w:rPr>
          <w:rFonts w:cs="Open Sans"/>
          <w:i w:val="0"/>
          <w:iCs w:val="0"/>
          <w:color w:val="auto"/>
          <w:sz w:val="18"/>
          <w:szCs w:val="18"/>
        </w:rPr>
      </w:pPr>
    </w:p>
    <w:p w14:paraId="299617BE" w14:textId="77777777" w:rsidR="00897AFD" w:rsidRDefault="00897AFD" w:rsidP="009D6EE5">
      <w:pPr>
        <w:pStyle w:val="Style1"/>
        <w:numPr>
          <w:ilvl w:val="0"/>
          <w:numId w:val="0"/>
        </w:numPr>
        <w:spacing w:after="0" w:line="22" w:lineRule="atLeast"/>
        <w:jc w:val="both"/>
        <w:rPr>
          <w:rFonts w:cs="Open Sans"/>
          <w:color w:val="000000" w:themeColor="text1"/>
          <w:sz w:val="18"/>
          <w:szCs w:val="18"/>
        </w:rPr>
      </w:pPr>
    </w:p>
    <w:p w14:paraId="38471EF1" w14:textId="77777777" w:rsidR="00897AFD" w:rsidRDefault="00897AFD" w:rsidP="009D6EE5">
      <w:pPr>
        <w:pStyle w:val="Style1"/>
        <w:numPr>
          <w:ilvl w:val="0"/>
          <w:numId w:val="0"/>
        </w:numPr>
        <w:spacing w:after="0" w:line="22" w:lineRule="atLeast"/>
        <w:jc w:val="both"/>
        <w:rPr>
          <w:rFonts w:cs="Open Sans"/>
          <w:color w:val="000000" w:themeColor="text1"/>
          <w:sz w:val="18"/>
          <w:szCs w:val="18"/>
        </w:rPr>
      </w:pPr>
    </w:p>
    <w:p w14:paraId="54FC0672" w14:textId="77777777" w:rsidR="00897AFD" w:rsidRDefault="00897AFD" w:rsidP="009D6EE5">
      <w:pPr>
        <w:pStyle w:val="Style1"/>
        <w:numPr>
          <w:ilvl w:val="0"/>
          <w:numId w:val="0"/>
        </w:numPr>
        <w:spacing w:after="0" w:line="22" w:lineRule="atLeast"/>
        <w:jc w:val="both"/>
        <w:rPr>
          <w:rFonts w:cs="Open Sans"/>
          <w:color w:val="000000" w:themeColor="text1"/>
          <w:sz w:val="18"/>
          <w:szCs w:val="18"/>
        </w:rPr>
      </w:pPr>
    </w:p>
    <w:p w14:paraId="2C1DC882" w14:textId="77777777" w:rsidR="00897AFD" w:rsidRDefault="00897AFD" w:rsidP="009D6EE5">
      <w:pPr>
        <w:pStyle w:val="Style1"/>
        <w:numPr>
          <w:ilvl w:val="0"/>
          <w:numId w:val="0"/>
        </w:numPr>
        <w:spacing w:after="0" w:line="22" w:lineRule="atLeast"/>
        <w:jc w:val="both"/>
        <w:rPr>
          <w:rFonts w:cs="Open Sans"/>
          <w:color w:val="000000" w:themeColor="text1"/>
          <w:sz w:val="18"/>
          <w:szCs w:val="18"/>
        </w:rPr>
      </w:pPr>
    </w:p>
    <w:p w14:paraId="19C9CE9C" w14:textId="77777777" w:rsidR="00897AFD" w:rsidRDefault="00897AFD" w:rsidP="009D6EE5">
      <w:pPr>
        <w:pStyle w:val="Style1"/>
        <w:numPr>
          <w:ilvl w:val="0"/>
          <w:numId w:val="0"/>
        </w:numPr>
        <w:spacing w:after="0" w:line="22" w:lineRule="atLeast"/>
        <w:jc w:val="both"/>
        <w:rPr>
          <w:rFonts w:cs="Open Sans"/>
          <w:color w:val="000000" w:themeColor="text1"/>
          <w:sz w:val="18"/>
          <w:szCs w:val="18"/>
        </w:rPr>
      </w:pPr>
    </w:p>
    <w:p w14:paraId="432CA8C4" w14:textId="77777777" w:rsidR="00897AFD" w:rsidRDefault="00897AFD" w:rsidP="009D6EE5">
      <w:pPr>
        <w:pStyle w:val="Style1"/>
        <w:numPr>
          <w:ilvl w:val="0"/>
          <w:numId w:val="0"/>
        </w:numPr>
        <w:spacing w:after="0" w:line="22" w:lineRule="atLeast"/>
        <w:jc w:val="both"/>
        <w:rPr>
          <w:rFonts w:cs="Open Sans"/>
          <w:color w:val="000000" w:themeColor="text1"/>
          <w:sz w:val="18"/>
          <w:szCs w:val="18"/>
        </w:rPr>
      </w:pPr>
    </w:p>
    <w:p w14:paraId="4CC20B5B" w14:textId="77777777" w:rsidR="00897AFD" w:rsidRDefault="00897AFD" w:rsidP="009D6EE5">
      <w:pPr>
        <w:pStyle w:val="Style1"/>
        <w:numPr>
          <w:ilvl w:val="0"/>
          <w:numId w:val="0"/>
        </w:numPr>
        <w:spacing w:after="0" w:line="22" w:lineRule="atLeast"/>
        <w:jc w:val="both"/>
        <w:rPr>
          <w:rFonts w:cs="Open Sans"/>
          <w:color w:val="000000" w:themeColor="text1"/>
          <w:sz w:val="18"/>
          <w:szCs w:val="18"/>
        </w:rPr>
      </w:pPr>
    </w:p>
    <w:p w14:paraId="1F25A76B" w14:textId="77777777" w:rsidR="00897AFD" w:rsidRDefault="00897AFD" w:rsidP="009D6EE5">
      <w:pPr>
        <w:pStyle w:val="Style1"/>
        <w:numPr>
          <w:ilvl w:val="0"/>
          <w:numId w:val="0"/>
        </w:numPr>
        <w:spacing w:after="0" w:line="22" w:lineRule="atLeast"/>
        <w:jc w:val="both"/>
        <w:rPr>
          <w:rFonts w:cs="Open Sans"/>
          <w:color w:val="000000" w:themeColor="text1"/>
          <w:sz w:val="18"/>
          <w:szCs w:val="18"/>
        </w:rPr>
      </w:pPr>
    </w:p>
    <w:p w14:paraId="12701174" w14:textId="77777777" w:rsidR="00897AFD" w:rsidRDefault="00897AFD" w:rsidP="009D6EE5">
      <w:pPr>
        <w:pStyle w:val="Style1"/>
        <w:numPr>
          <w:ilvl w:val="0"/>
          <w:numId w:val="0"/>
        </w:numPr>
        <w:spacing w:after="0" w:line="22" w:lineRule="atLeast"/>
        <w:jc w:val="both"/>
        <w:rPr>
          <w:rFonts w:cs="Open Sans"/>
          <w:color w:val="000000" w:themeColor="text1"/>
          <w:sz w:val="18"/>
          <w:szCs w:val="18"/>
        </w:rPr>
      </w:pPr>
    </w:p>
    <w:p w14:paraId="55BFA1C6" w14:textId="77777777" w:rsidR="00897AFD" w:rsidRDefault="00897AFD" w:rsidP="009D6EE5">
      <w:pPr>
        <w:pStyle w:val="Style1"/>
        <w:numPr>
          <w:ilvl w:val="0"/>
          <w:numId w:val="0"/>
        </w:numPr>
        <w:spacing w:after="0" w:line="22" w:lineRule="atLeast"/>
        <w:jc w:val="both"/>
        <w:rPr>
          <w:rFonts w:cs="Open Sans"/>
          <w:color w:val="000000" w:themeColor="text1"/>
          <w:sz w:val="18"/>
          <w:szCs w:val="18"/>
        </w:rPr>
      </w:pPr>
    </w:p>
    <w:p w14:paraId="3761FD95" w14:textId="77777777" w:rsidR="00897AFD" w:rsidRDefault="00897AFD" w:rsidP="009D6EE5">
      <w:pPr>
        <w:pStyle w:val="Style1"/>
        <w:numPr>
          <w:ilvl w:val="0"/>
          <w:numId w:val="0"/>
        </w:numPr>
        <w:spacing w:after="0" w:line="22" w:lineRule="atLeast"/>
        <w:jc w:val="both"/>
        <w:rPr>
          <w:rFonts w:cs="Open Sans"/>
          <w:color w:val="000000" w:themeColor="text1"/>
          <w:sz w:val="18"/>
          <w:szCs w:val="18"/>
        </w:rPr>
      </w:pPr>
    </w:p>
    <w:p w14:paraId="446BD045" w14:textId="77777777" w:rsidR="00897AFD" w:rsidRDefault="00897AFD" w:rsidP="009D6EE5">
      <w:pPr>
        <w:pStyle w:val="Style1"/>
        <w:numPr>
          <w:ilvl w:val="0"/>
          <w:numId w:val="0"/>
        </w:numPr>
        <w:spacing w:after="0" w:line="22" w:lineRule="atLeast"/>
        <w:jc w:val="both"/>
        <w:rPr>
          <w:rFonts w:cs="Open Sans"/>
          <w:color w:val="000000" w:themeColor="text1"/>
          <w:sz w:val="18"/>
          <w:szCs w:val="18"/>
        </w:rPr>
      </w:pPr>
    </w:p>
    <w:p w14:paraId="20FE56DD" w14:textId="77777777" w:rsidR="00897AFD" w:rsidRDefault="00897AFD" w:rsidP="009D6EE5">
      <w:pPr>
        <w:pStyle w:val="Style1"/>
        <w:numPr>
          <w:ilvl w:val="0"/>
          <w:numId w:val="0"/>
        </w:numPr>
        <w:spacing w:after="0" w:line="22" w:lineRule="atLeast"/>
        <w:jc w:val="both"/>
        <w:rPr>
          <w:rFonts w:cs="Open Sans"/>
          <w:color w:val="000000" w:themeColor="text1"/>
          <w:sz w:val="18"/>
          <w:szCs w:val="18"/>
        </w:rPr>
      </w:pPr>
    </w:p>
    <w:p w14:paraId="58571FCB" w14:textId="77777777" w:rsidR="00897AFD" w:rsidRPr="008E3299" w:rsidRDefault="00897AFD" w:rsidP="00897AFD">
      <w:pPr>
        <w:jc w:val="both"/>
        <w:rPr>
          <w:rFonts w:ascii="Source Sans Pro" w:hAnsi="Source Sans Pro"/>
          <w:b/>
          <w:bCs/>
          <w:sz w:val="20"/>
          <w:lang w:val="fr-FR"/>
        </w:rPr>
      </w:pPr>
      <w:r w:rsidRPr="008E3299">
        <w:rPr>
          <w:rFonts w:ascii="Source Sans Pro" w:hAnsi="Source Sans Pro"/>
          <w:b/>
          <w:bCs/>
          <w:sz w:val="20"/>
          <w:lang w:val="fr-FR"/>
        </w:rPr>
        <w:t>La totalité du mandat de gestion immobilier en actions d’Abeille Assurances est gérée en phase avec une classification SFDR article 8.</w:t>
      </w:r>
    </w:p>
    <w:p w14:paraId="216BA1D7" w14:textId="77777777" w:rsidR="00897AFD" w:rsidRPr="00897AFD" w:rsidRDefault="00897AFD" w:rsidP="00897AFD">
      <w:pPr>
        <w:jc w:val="both"/>
        <w:rPr>
          <w:rFonts w:ascii="Source Sans Pro" w:hAnsi="Source Sans Pro"/>
          <w:sz w:val="20"/>
          <w:lang w:val="fr-FR"/>
        </w:rPr>
      </w:pPr>
    </w:p>
    <w:p w14:paraId="392C6895" w14:textId="77777777" w:rsidR="00897AFD" w:rsidRPr="00897AFD" w:rsidRDefault="00897AFD" w:rsidP="00897AFD">
      <w:pPr>
        <w:shd w:val="clear" w:color="auto" w:fill="E3B174" w:themeFill="accent4"/>
        <w:ind w:firstLine="142"/>
        <w:jc w:val="both"/>
        <w:rPr>
          <w:rFonts w:ascii="Source Sans Pro" w:hAnsi="Source Sans Pro"/>
          <w:b/>
          <w:bCs/>
          <w:sz w:val="20"/>
          <w:lang w:val="fr-FR"/>
        </w:rPr>
      </w:pPr>
      <w:r w:rsidRPr="00897AFD">
        <w:rPr>
          <w:rFonts w:ascii="Source Sans Pro" w:hAnsi="Source Sans Pro"/>
          <w:b/>
          <w:sz w:val="20"/>
          <w:lang w:val="fr-FR"/>
        </w:rPr>
        <w:t>Focus : Engagement de place</w:t>
      </w:r>
      <w:r w:rsidRPr="00897AFD">
        <w:rPr>
          <w:rFonts w:ascii="Source Sans Pro" w:hAnsi="Source Sans Pro"/>
          <w:sz w:val="20"/>
          <w:lang w:val="fr-FR"/>
        </w:rPr>
        <w:t xml:space="preserve"> </w:t>
      </w:r>
      <w:r w:rsidRPr="00897AFD">
        <w:rPr>
          <w:rFonts w:ascii="Source Sans Pro" w:hAnsi="Source Sans Pro"/>
          <w:b/>
          <w:bCs/>
          <w:sz w:val="20"/>
          <w:lang w:val="fr-FR"/>
        </w:rPr>
        <w:t>et groupes de travail</w:t>
      </w:r>
    </w:p>
    <w:p w14:paraId="77B4EDCC" w14:textId="77777777" w:rsidR="00897AFD" w:rsidRPr="00897AFD" w:rsidRDefault="00897AFD" w:rsidP="00897AFD">
      <w:pPr>
        <w:jc w:val="both"/>
        <w:rPr>
          <w:rFonts w:cstheme="minorHAnsi"/>
          <w:lang w:val="fr-FR"/>
        </w:rPr>
      </w:pPr>
      <w:r w:rsidRPr="00897AFD">
        <w:rPr>
          <w:rFonts w:ascii="Source Sans Pro" w:hAnsi="Source Sans Pro"/>
          <w:sz w:val="20"/>
          <w:lang w:val="fr-FR"/>
        </w:rPr>
        <w:t>Afin de faire progresser l’investissement durable dans l’immobilier, nous participons à différents groupes de travail indirectement au travers de l’engagement de mandataire de gestion immobilière OFI Invest Real Estate, actions de place et initiatives concrètes</w:t>
      </w:r>
      <w:r w:rsidRPr="00897AFD">
        <w:rPr>
          <w:rFonts w:cstheme="minorHAnsi"/>
          <w:lang w:val="fr-FR"/>
        </w:rPr>
        <w:t> :</w:t>
      </w:r>
    </w:p>
    <w:p w14:paraId="7313AADC" w14:textId="77777777" w:rsidR="00897AFD" w:rsidRPr="00897AFD" w:rsidRDefault="00897AFD" w:rsidP="00897AFD">
      <w:pPr>
        <w:jc w:val="both"/>
        <w:rPr>
          <w:rFonts w:ascii="Source Sans Pro" w:hAnsi="Source Sans Pro"/>
          <w:sz w:val="20"/>
          <w:lang w:val="fr-FR"/>
        </w:rPr>
      </w:pPr>
    </w:p>
    <w:p w14:paraId="548EAE96" w14:textId="77777777" w:rsidR="00897AFD" w:rsidRPr="00D4571A" w:rsidRDefault="00897AFD" w:rsidP="00590DD1">
      <w:pPr>
        <w:pStyle w:val="Paragraphedeliste"/>
        <w:numPr>
          <w:ilvl w:val="0"/>
          <w:numId w:val="125"/>
        </w:numPr>
        <w:spacing w:after="120" w:line="240" w:lineRule="auto"/>
        <w:ind w:left="426" w:hanging="284"/>
        <w:contextualSpacing w:val="0"/>
        <w:jc w:val="both"/>
        <w:rPr>
          <w:rFonts w:ascii="Source Sans Pro" w:hAnsi="Source Sans Pro"/>
          <w:sz w:val="20"/>
        </w:rPr>
      </w:pPr>
      <w:r w:rsidRPr="00D4571A">
        <w:rPr>
          <w:rFonts w:ascii="Source Sans Pro" w:hAnsi="Source Sans Pro"/>
          <w:sz w:val="20"/>
        </w:rPr>
        <w:t>Nous sommes mécènes et pilotes du programme européen de l’</w:t>
      </w:r>
      <w:r>
        <w:rPr>
          <w:rFonts w:ascii="Source Sans Pro" w:hAnsi="Source Sans Pro"/>
          <w:sz w:val="20"/>
        </w:rPr>
        <w:t xml:space="preserve">OID </w:t>
      </w:r>
      <w:r w:rsidRPr="00876F6F">
        <w:rPr>
          <w:rFonts w:ascii="Source Sans Pro" w:hAnsi="Source Sans Pro"/>
          <w:i/>
          <w:iCs/>
          <w:sz w:val="20"/>
        </w:rPr>
        <w:t>(Observatoire de l’Immobilier Durable)</w:t>
      </w:r>
      <w:r w:rsidRPr="00D4571A">
        <w:rPr>
          <w:rFonts w:ascii="Source Sans Pro" w:hAnsi="Source Sans Pro"/>
          <w:sz w:val="20"/>
        </w:rPr>
        <w:t>, l’ESREI (</w:t>
      </w:r>
      <w:r w:rsidRPr="007F3CDB">
        <w:rPr>
          <w:rFonts w:ascii="Source Sans Pro" w:hAnsi="Source Sans Pro"/>
          <w:i/>
          <w:iCs/>
          <w:sz w:val="20"/>
        </w:rPr>
        <w:t>European Sustainable Real Estate Initiative</w:t>
      </w:r>
      <w:r w:rsidRPr="00D4571A">
        <w:rPr>
          <w:rFonts w:ascii="Source Sans Pro" w:hAnsi="Source Sans Pro"/>
          <w:sz w:val="20"/>
        </w:rPr>
        <w:t xml:space="preserve">). Cette initiative innovante rassemble les acteurs du secteur de l’immobilier autour des enjeux </w:t>
      </w:r>
      <w:r>
        <w:rPr>
          <w:rFonts w:ascii="Source Sans Pro" w:hAnsi="Source Sans Pro"/>
          <w:sz w:val="20"/>
        </w:rPr>
        <w:t>de durabilité</w:t>
      </w:r>
      <w:r w:rsidRPr="00D4571A">
        <w:rPr>
          <w:rFonts w:ascii="Source Sans Pro" w:hAnsi="Source Sans Pro"/>
          <w:sz w:val="20"/>
        </w:rPr>
        <w:t xml:space="preserve"> et de l’état de la réglementation en la matière à travers l’Europe.</w:t>
      </w:r>
    </w:p>
    <w:p w14:paraId="00CC834B" w14:textId="77777777" w:rsidR="00897AFD" w:rsidRDefault="00897AFD" w:rsidP="00590DD1">
      <w:pPr>
        <w:pStyle w:val="Paragraphedeliste"/>
        <w:numPr>
          <w:ilvl w:val="0"/>
          <w:numId w:val="125"/>
        </w:numPr>
        <w:spacing w:after="120" w:line="240" w:lineRule="auto"/>
        <w:ind w:left="426" w:hanging="284"/>
        <w:contextualSpacing w:val="0"/>
        <w:jc w:val="both"/>
        <w:rPr>
          <w:rFonts w:ascii="Source Sans Pro" w:hAnsi="Source Sans Pro"/>
          <w:sz w:val="20"/>
        </w:rPr>
      </w:pPr>
      <w:r w:rsidRPr="00D4571A">
        <w:rPr>
          <w:rFonts w:ascii="Source Sans Pro" w:hAnsi="Source Sans Pro"/>
          <w:sz w:val="20"/>
        </w:rPr>
        <w:t>Nous sommes également membres du Conseil d’Administration de l’Observatoire de l’Immobilier Durable</w:t>
      </w:r>
      <w:r>
        <w:rPr>
          <w:rFonts w:ascii="Source Sans Pro" w:hAnsi="Source Sans Pro"/>
          <w:sz w:val="20"/>
        </w:rPr>
        <w:t>, et participons à la majorité des Groupes de Travail sur les sujets ESG</w:t>
      </w:r>
      <w:r w:rsidRPr="00D4571A">
        <w:rPr>
          <w:rFonts w:ascii="Source Sans Pro" w:hAnsi="Source Sans Pro"/>
          <w:sz w:val="20"/>
        </w:rPr>
        <w:t>.</w:t>
      </w:r>
    </w:p>
    <w:p w14:paraId="40D57CB5" w14:textId="77777777" w:rsidR="00897AFD" w:rsidRPr="00876F6F" w:rsidRDefault="00897AFD" w:rsidP="00590DD1">
      <w:pPr>
        <w:pStyle w:val="Paragraphedeliste"/>
        <w:numPr>
          <w:ilvl w:val="0"/>
          <w:numId w:val="125"/>
        </w:numPr>
        <w:spacing w:after="120" w:line="240" w:lineRule="auto"/>
        <w:ind w:left="426" w:hanging="284"/>
        <w:contextualSpacing w:val="0"/>
        <w:jc w:val="both"/>
        <w:rPr>
          <w:rFonts w:ascii="Source Sans Pro" w:hAnsi="Source Sans Pro"/>
          <w:sz w:val="20"/>
        </w:rPr>
      </w:pPr>
      <w:r w:rsidRPr="00876F6F">
        <w:rPr>
          <w:rFonts w:ascii="Source Sans Pro" w:hAnsi="Source Sans Pro"/>
          <w:sz w:val="20"/>
        </w:rPr>
        <w:t xml:space="preserve">OFI Invest Real Estate, en tant que Société de Gestion de Portefeuille, est membre de l’ASPIM, et participe à la majorité des Groupes de Travail sur les sujets de finance durable. </w:t>
      </w:r>
    </w:p>
    <w:p w14:paraId="7BB3B9C0" w14:textId="0759F450" w:rsidR="00BF7892" w:rsidRDefault="00BF7892" w:rsidP="009D6EE5">
      <w:pPr>
        <w:pStyle w:val="Style1"/>
        <w:numPr>
          <w:ilvl w:val="0"/>
          <w:numId w:val="0"/>
        </w:numPr>
        <w:spacing w:after="0" w:line="22" w:lineRule="atLeast"/>
        <w:jc w:val="both"/>
        <w:rPr>
          <w:rFonts w:cs="Open Sans"/>
          <w:color w:val="000000" w:themeColor="text1"/>
          <w:sz w:val="18"/>
          <w:szCs w:val="18"/>
        </w:rPr>
      </w:pPr>
      <w:r w:rsidRPr="00A74D23">
        <w:rPr>
          <w:rFonts w:cs="Open Sans"/>
          <w:color w:val="000000" w:themeColor="text1"/>
          <w:sz w:val="18"/>
          <w:szCs w:val="18"/>
        </w:rPr>
        <w:br w:type="page"/>
      </w:r>
    </w:p>
    <w:p w14:paraId="0A7B29B4" w14:textId="77777777" w:rsidR="000C3BBD" w:rsidRDefault="000C3BBD" w:rsidP="000C3BBD">
      <w:pPr>
        <w:spacing w:line="22" w:lineRule="atLeast"/>
        <w:jc w:val="both"/>
        <w:rPr>
          <w:rFonts w:asciiTheme="minorHAnsi" w:hAnsiTheme="minorHAnsi" w:cs="Open Sans"/>
          <w:sz w:val="20"/>
          <w:szCs w:val="20"/>
          <w:lang w:val="fr-FR"/>
        </w:rPr>
      </w:pPr>
    </w:p>
    <w:p w14:paraId="31FB9517" w14:textId="77777777" w:rsidR="000C3BBD" w:rsidRDefault="000C3BBD" w:rsidP="000C3BBD">
      <w:pPr>
        <w:spacing w:line="22" w:lineRule="atLeast"/>
        <w:jc w:val="both"/>
        <w:rPr>
          <w:rFonts w:asciiTheme="minorHAnsi" w:hAnsiTheme="minorHAnsi" w:cs="Open Sans"/>
          <w:sz w:val="20"/>
          <w:szCs w:val="20"/>
          <w:lang w:val="fr-FR"/>
        </w:rPr>
      </w:pPr>
    </w:p>
    <w:p w14:paraId="1B935DC3" w14:textId="77777777" w:rsidR="000C3BBD" w:rsidRPr="009C35B5" w:rsidRDefault="000C3BBD" w:rsidP="000C3BBD">
      <w:pPr>
        <w:spacing w:line="22" w:lineRule="atLeast"/>
        <w:jc w:val="both"/>
        <w:rPr>
          <w:rFonts w:asciiTheme="minorHAnsi" w:hAnsiTheme="minorHAnsi" w:cs="Open Sans"/>
          <w:sz w:val="20"/>
          <w:szCs w:val="20"/>
          <w:lang w:val="fr-FR"/>
        </w:rPr>
      </w:pPr>
      <w:r w:rsidRPr="009D6EE5">
        <w:rPr>
          <w:rFonts w:asciiTheme="minorHAnsi" w:hAnsiTheme="minorHAnsi" w:cs="Open Sans"/>
          <w:b/>
          <w:bCs/>
          <w:noProof/>
        </w:rPr>
        <mc:AlternateContent>
          <mc:Choice Requires="wps">
            <w:drawing>
              <wp:anchor distT="0" distB="0" distL="114300" distR="114300" simplePos="0" relativeHeight="252022784" behindDoc="0" locked="0" layoutInCell="1" allowOverlap="1" wp14:anchorId="3E2AE3E2" wp14:editId="2CF901C7">
                <wp:simplePos x="0" y="0"/>
                <wp:positionH relativeFrom="column">
                  <wp:posOffset>1122045</wp:posOffset>
                </wp:positionH>
                <wp:positionV relativeFrom="paragraph">
                  <wp:posOffset>117475</wp:posOffset>
                </wp:positionV>
                <wp:extent cx="4038600" cy="353683"/>
                <wp:effectExtent l="0" t="0" r="0" b="8890"/>
                <wp:wrapNone/>
                <wp:docPr id="1262850806" name="Rectangle : coins arrondis 1"/>
                <wp:cNvGraphicFramePr/>
                <a:graphic xmlns:a="http://schemas.openxmlformats.org/drawingml/2006/main">
                  <a:graphicData uri="http://schemas.microsoft.com/office/word/2010/wordprocessingShape">
                    <wps:wsp>
                      <wps:cNvSpPr/>
                      <wps:spPr>
                        <a:xfrm>
                          <a:off x="0" y="0"/>
                          <a:ext cx="4038600" cy="353683"/>
                        </a:xfrm>
                        <a:prstGeom prst="round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0645EC" w14:textId="3843A6BC" w:rsidR="000C3BBD" w:rsidRPr="000C3BBD" w:rsidRDefault="000C3BBD" w:rsidP="000C3BBD">
                            <w:pPr>
                              <w:jc w:val="center"/>
                              <w:rPr>
                                <w:rFonts w:asciiTheme="minorHAnsi" w:hAnsiTheme="minorHAnsi"/>
                                <w:b/>
                                <w:bCs/>
                                <w:color w:val="000000" w:themeColor="text1"/>
                                <w:lang w:val="fr-FR"/>
                              </w:rPr>
                            </w:pPr>
                            <w:r>
                              <w:rPr>
                                <w:rFonts w:asciiTheme="minorHAnsi" w:hAnsiTheme="minorHAnsi"/>
                                <w:b/>
                                <w:bCs/>
                                <w:color w:val="000000" w:themeColor="text1"/>
                                <w:lang w:val="fr-FR"/>
                              </w:rPr>
                              <w:t>L’année 2025</w:t>
                            </w:r>
                            <w:r w:rsidR="00DF54BD">
                              <w:rPr>
                                <w:rFonts w:asciiTheme="minorHAnsi" w:hAnsiTheme="minorHAnsi"/>
                                <w:b/>
                                <w:bCs/>
                                <w:color w:val="000000" w:themeColor="text1"/>
                                <w:lang w:val="fr-FR"/>
                              </w:rPr>
                              <w:t xml:space="preserve"> </w:t>
                            </w:r>
                            <w:r w:rsidR="00BC5FA1">
                              <w:rPr>
                                <w:rFonts w:asciiTheme="minorHAnsi" w:hAnsiTheme="minorHAnsi"/>
                                <w:b/>
                                <w:bCs/>
                                <w:color w:val="000000" w:themeColor="text1"/>
                                <w:lang w:val="fr-FR"/>
                              </w:rPr>
                              <w:t xml:space="preserve">en bref </w:t>
                            </w:r>
                            <w:r w:rsidR="00DF54BD">
                              <w:rPr>
                                <w:rFonts w:asciiTheme="minorHAnsi" w:hAnsiTheme="minorHAnsi"/>
                                <w:b/>
                                <w:bCs/>
                                <w:color w:val="000000" w:themeColor="text1"/>
                                <w:lang w:val="fr-FR"/>
                              </w:rPr>
                              <w:t>sur le portefeuille immobilier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2AE3E2" id="_x0000_s1096" style="position:absolute;left:0;text-align:left;margin-left:88.35pt;margin-top:9.25pt;width:318pt;height:27.8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" fillcolor="#ffd400 [3204]" stroked="f" strokeweight="1pt">
                <v:stroke joinstyle="miter"/>
                <v:textbox>
                  <w:txbxContent>
                    <w:p w14:paraId="770645EC" w14:textId="3843A6BC" w:rsidR="000C3BBD" w:rsidRPr="000C3BBD" w:rsidRDefault="000C3BBD" w:rsidP="000C3BBD">
                      <w:pPr>
                        <w:jc w:val="center"/>
                        <w:rPr>
                          <w:rFonts w:asciiTheme="minorHAnsi" w:hAnsiTheme="minorHAnsi"/>
                          <w:b/>
                          <w:bCs/>
                          <w:color w:val="000000" w:themeColor="text1"/>
                          <w:lang w:val="fr-FR"/>
                        </w:rPr>
                      </w:pPr>
                      <w:r>
                        <w:rPr>
                          <w:rFonts w:asciiTheme="minorHAnsi" w:hAnsiTheme="minorHAnsi"/>
                          <w:b/>
                          <w:bCs/>
                          <w:color w:val="000000" w:themeColor="text1"/>
                          <w:lang w:val="fr-FR"/>
                        </w:rPr>
                        <w:t>L’année 2025</w:t>
                      </w:r>
                      <w:r w:rsidR="00DF54BD">
                        <w:rPr>
                          <w:rFonts w:asciiTheme="minorHAnsi" w:hAnsiTheme="minorHAnsi"/>
                          <w:b/>
                          <w:bCs/>
                          <w:color w:val="000000" w:themeColor="text1"/>
                          <w:lang w:val="fr-FR"/>
                        </w:rPr>
                        <w:t xml:space="preserve"> </w:t>
                      </w:r>
                      <w:r w:rsidR="00BC5FA1">
                        <w:rPr>
                          <w:rFonts w:asciiTheme="minorHAnsi" w:hAnsiTheme="minorHAnsi"/>
                          <w:b/>
                          <w:bCs/>
                          <w:color w:val="000000" w:themeColor="text1"/>
                          <w:lang w:val="fr-FR"/>
                        </w:rPr>
                        <w:t xml:space="preserve">en bref </w:t>
                      </w:r>
                      <w:r w:rsidR="00DF54BD">
                        <w:rPr>
                          <w:rFonts w:asciiTheme="minorHAnsi" w:hAnsiTheme="minorHAnsi"/>
                          <w:b/>
                          <w:bCs/>
                          <w:color w:val="000000" w:themeColor="text1"/>
                          <w:lang w:val="fr-FR"/>
                        </w:rPr>
                        <w:t>sur le portefeuille immobilier</w:t>
                      </w:r>
                    </w:p>
                  </w:txbxContent>
                </v:textbox>
              </v:roundrect>
            </w:pict>
          </mc:Fallback>
        </mc:AlternateContent>
      </w:r>
    </w:p>
    <w:p w14:paraId="7F80C379" w14:textId="368FDD8D" w:rsidR="000C3BBD" w:rsidRPr="009D6EE5" w:rsidRDefault="000C3BBD" w:rsidP="000C3BBD">
      <w:pPr>
        <w:pStyle w:val="pf0"/>
        <w:spacing w:before="0" w:beforeAutospacing="0" w:after="0" w:afterAutospacing="0" w:line="22" w:lineRule="atLeast"/>
        <w:jc w:val="both"/>
        <w:rPr>
          <w:rFonts w:asciiTheme="minorHAnsi" w:hAnsiTheme="minorHAnsi" w:cs="Open Sans"/>
          <w:sz w:val="20"/>
          <w:szCs w:val="20"/>
        </w:rPr>
      </w:pPr>
    </w:p>
    <w:p w14:paraId="09D7FDA9" w14:textId="47B97DA2" w:rsidR="000C3BBD" w:rsidRPr="009D6EE5" w:rsidRDefault="00A760F9" w:rsidP="000C3BBD">
      <w:pPr>
        <w:pStyle w:val="Style1"/>
        <w:numPr>
          <w:ilvl w:val="0"/>
          <w:numId w:val="0"/>
        </w:numPr>
        <w:tabs>
          <w:tab w:val="clear" w:pos="2010"/>
          <w:tab w:val="left" w:pos="1134"/>
        </w:tabs>
        <w:spacing w:line="22" w:lineRule="atLeast"/>
        <w:ind w:firstLine="284"/>
        <w:jc w:val="both"/>
        <w:rPr>
          <w:rFonts w:cs="Open Sans"/>
          <w:i w:val="0"/>
          <w:color w:val="auto"/>
          <w:sz w:val="20"/>
        </w:rPr>
      </w:pPr>
      <w:r w:rsidRPr="009D6EE5">
        <w:rPr>
          <w:rFonts w:cs="Open Sans"/>
          <w:noProof/>
        </w:rPr>
        <mc:AlternateContent>
          <mc:Choice Requires="wps">
            <w:drawing>
              <wp:anchor distT="0" distB="0" distL="114300" distR="114300" simplePos="0" relativeHeight="251999232" behindDoc="0" locked="0" layoutInCell="1" allowOverlap="1" wp14:anchorId="3F015775" wp14:editId="1DA996D2">
                <wp:simplePos x="0" y="0"/>
                <wp:positionH relativeFrom="column">
                  <wp:posOffset>436245</wp:posOffset>
                </wp:positionH>
                <wp:positionV relativeFrom="paragraph">
                  <wp:posOffset>179705</wp:posOffset>
                </wp:positionV>
                <wp:extent cx="5156200" cy="3514725"/>
                <wp:effectExtent l="0" t="0" r="6350" b="9525"/>
                <wp:wrapNone/>
                <wp:docPr id="1393540563" name="Zone de texte 1393540563"/>
                <wp:cNvGraphicFramePr/>
                <a:graphic xmlns:a="http://schemas.openxmlformats.org/drawingml/2006/main">
                  <a:graphicData uri="http://schemas.microsoft.com/office/word/2010/wordprocessingShape">
                    <wps:wsp>
                      <wps:cNvSpPr txBox="1"/>
                      <wps:spPr>
                        <a:xfrm>
                          <a:off x="0" y="0"/>
                          <a:ext cx="5156200" cy="3514725"/>
                        </a:xfrm>
                        <a:prstGeom prst="rect">
                          <a:avLst/>
                        </a:prstGeom>
                        <a:solidFill>
                          <a:schemeClr val="lt1"/>
                        </a:solidFill>
                        <a:ln w="6350">
                          <a:noFill/>
                        </a:ln>
                      </wps:spPr>
                      <wps:txbx>
                        <w:txbxContent>
                          <w:p w14:paraId="53B8E60F" w14:textId="408B31C3" w:rsidR="00C87204" w:rsidRPr="00C87204" w:rsidRDefault="00C87204" w:rsidP="00C87204">
                            <w:pPr>
                              <w:jc w:val="both"/>
                              <w:rPr>
                                <w:rFonts w:ascii="Source Sans Pro" w:eastAsiaTheme="minorHAnsi" w:hAnsi="Source Sans Pro" w:cstheme="minorHAnsi"/>
                                <w:color w:val="000000" w:themeColor="text1"/>
                                <w:sz w:val="20"/>
                                <w:lang w:val="fr-FR"/>
                              </w:rPr>
                            </w:pPr>
                            <w:r w:rsidRPr="00C87204">
                              <w:rPr>
                                <w:rFonts w:ascii="Source Sans Pro" w:eastAsiaTheme="minorHAnsi" w:hAnsi="Source Sans Pro" w:cstheme="minorHAnsi"/>
                                <w:color w:val="000000" w:themeColor="text1"/>
                                <w:sz w:val="20"/>
                                <w:lang w:val="fr-FR"/>
                              </w:rPr>
                              <w:t>De manière générale, l’année 2025 s’est distinguée par une nette amélioration des outils dédiés à la mise à jour des évaluations ESG. L’outil Soneka, déployé par les équipes d’Ofi Invest Real Estate dans le cadre du mandat confié par Abeille Assurances, a permis de renforcer significativement la traçabilité des données ESG à l’échelle du patrimoine. Il favorise également une meilleure implication des équipes opérationnelles d’Asset Management dans l’actualisation annuelle des évaluations, en facilitant l’intégration des plans d’amélioration au sein même des budgets des immeubles, condition essentielle à leur mise en œuvre effective.</w:t>
                            </w:r>
                          </w:p>
                          <w:p w14:paraId="6EFB31AC" w14:textId="77777777" w:rsidR="00A760F9" w:rsidRDefault="00A760F9" w:rsidP="00C87204">
                            <w:pPr>
                              <w:jc w:val="both"/>
                              <w:rPr>
                                <w:rFonts w:ascii="Source Sans Pro" w:eastAsiaTheme="minorHAnsi" w:hAnsi="Source Sans Pro" w:cstheme="minorHAnsi"/>
                                <w:color w:val="000000" w:themeColor="text1"/>
                                <w:sz w:val="20"/>
                                <w:lang w:val="fr-FR"/>
                              </w:rPr>
                            </w:pPr>
                          </w:p>
                          <w:p w14:paraId="27676F2F" w14:textId="770AA998" w:rsidR="00A760F9" w:rsidRPr="00A760F9" w:rsidRDefault="00C87204" w:rsidP="00C87204">
                            <w:pPr>
                              <w:jc w:val="both"/>
                              <w:rPr>
                                <w:rFonts w:ascii="Source Sans Pro" w:eastAsiaTheme="minorHAnsi" w:hAnsi="Source Sans Pro" w:cstheme="minorHAnsi"/>
                                <w:color w:val="000000" w:themeColor="text1"/>
                                <w:sz w:val="20"/>
                                <w:lang w:val="fr-FR"/>
                              </w:rPr>
                            </w:pPr>
                            <w:r w:rsidRPr="00C87204">
                              <w:rPr>
                                <w:rFonts w:ascii="Source Sans Pro" w:eastAsiaTheme="minorHAnsi" w:hAnsi="Source Sans Pro" w:cstheme="minorHAnsi"/>
                                <w:color w:val="000000" w:themeColor="text1"/>
                                <w:sz w:val="20"/>
                                <w:lang w:val="fr-FR"/>
                              </w:rPr>
                              <w:t>Par ailleurs, plusieurs thématiques clés ont fait l’objet d’avancées structurantes. La biodiversité a ainsi pris une place centrale, avec l’élaboration d’une Charte dédiée, qui permettra d’inscrire dans la durée une trajectoire claire en faveur de la préservation et de l’amélioration des écosystèmes sur les actifs. En parallèle, un travail approfondi a été mené sur la méthodologie d’évaluation des risques physiques liés au changement climatique, jetant les bases de plans de résilience concrets pour les années à venir. Enfin, sur le volet gouvernance, la publication d’un rapport d’engagement vient valoriser de façon transparente l’implication et la mobilisation de l’ensemble des parties prenantes. </w:t>
                            </w:r>
                          </w:p>
                          <w:p w14:paraId="607DABA3" w14:textId="2CD33D20" w:rsidR="000C3BBD" w:rsidRPr="00AE1783" w:rsidRDefault="00C87204" w:rsidP="00C87204">
                            <w:pPr>
                              <w:jc w:val="both"/>
                              <w:rPr>
                                <w:rFonts w:ascii="Source Sans Pro" w:hAnsi="Source Sans Pro"/>
                                <w:sz w:val="20"/>
                                <w:lang w:val="fr-FR"/>
                              </w:rPr>
                            </w:pPr>
                            <w:r>
                              <w:rPr>
                                <w:noProof/>
                              </w:rPr>
                              <w:drawing>
                                <wp:inline distT="0" distB="0" distL="0" distR="0" wp14:anchorId="02A45C0A" wp14:editId="766B8BA0">
                                  <wp:extent cx="586618" cy="839728"/>
                                  <wp:effectExtent l="0" t="0" r="4445" b="0"/>
                                  <wp:docPr id="57324947" name="Image 1" descr="Une image contenant Visage humain, personne, sourire, Fro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77168" name="Image 1" descr="Une image contenant Visage humain, personne, sourire, Front&#10;&#10;Le contenu généré par l’IA peut être incorrect."/>
                                          <pic:cNvPicPr/>
                                        </pic:nvPicPr>
                                        <pic:blipFill>
                                          <a:blip r:embed="rId61"/>
                                          <a:stretch>
                                            <a:fillRect/>
                                          </a:stretch>
                                        </pic:blipFill>
                                        <pic:spPr>
                                          <a:xfrm>
                                            <a:off x="0" y="0"/>
                                            <a:ext cx="602245" cy="862097"/>
                                          </a:xfrm>
                                          <a:prstGeom prst="rect">
                                            <a:avLst/>
                                          </a:prstGeom>
                                        </pic:spPr>
                                      </pic:pic>
                                    </a:graphicData>
                                  </a:graphic>
                                </wp:inline>
                              </w:drawing>
                            </w:r>
                            <w:r>
                              <w:rPr>
                                <w:rFonts w:ascii="Source Sans Pro" w:hAnsi="Source Sans Pro"/>
                                <w:b/>
                                <w:sz w:val="20"/>
                                <w:lang w:val="fr-FR"/>
                              </w:rPr>
                              <w:t xml:space="preserve"> </w:t>
                            </w:r>
                            <w:r w:rsidR="000C3BBD" w:rsidRPr="00AE1783">
                              <w:rPr>
                                <w:rFonts w:ascii="Source Sans Pro" w:hAnsi="Source Sans Pro"/>
                                <w:b/>
                                <w:sz w:val="20"/>
                                <w:lang w:val="fr-FR"/>
                              </w:rPr>
                              <w:t>Franck Pages (Responsable ESG, Ofi Invest RE)</w:t>
                            </w:r>
                            <w:r w:rsidR="000C3BBD" w:rsidRPr="00AE1783">
                              <w:rPr>
                                <w:b/>
                                <w:bCs/>
                                <w:lang w:val="fr-FR"/>
                              </w:rPr>
                              <w:t> </w:t>
                            </w:r>
                          </w:p>
                          <w:p w14:paraId="502E6527" w14:textId="77777777" w:rsidR="000C3BBD" w:rsidRDefault="000C3BBD" w:rsidP="000C3BBD">
                            <w:pPr>
                              <w:pStyle w:val="Style1"/>
                              <w:numPr>
                                <w:ilvl w:val="0"/>
                                <w:numId w:val="0"/>
                              </w:numPr>
                              <w:ind w:left="26"/>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15775" id="Zone de texte 1393540563" o:spid="_x0000_s1097" type="#_x0000_t202" style="position:absolute;left:0;text-align:left;margin-left:34.35pt;margin-top:14.15pt;width:406pt;height:276.7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" fillcolor="white [3201]" stroked="f" strokeweight=".5pt">
                <v:textbox>
                  <w:txbxContent>
                    <w:p w14:paraId="53B8E60F" w14:textId="408B31C3" w:rsidR="00C87204" w:rsidRPr="00C87204" w:rsidRDefault="00C87204" w:rsidP="00C87204">
                      <w:pPr>
                        <w:jc w:val="both"/>
                        <w:rPr>
                          <w:rFonts w:ascii="Source Sans Pro" w:eastAsiaTheme="minorHAnsi" w:hAnsi="Source Sans Pro" w:cstheme="minorHAnsi"/>
                          <w:color w:val="000000" w:themeColor="text1"/>
                          <w:sz w:val="20"/>
                          <w:lang w:val="fr-FR"/>
                        </w:rPr>
                      </w:pPr>
                      <w:r w:rsidRPr="00C87204">
                        <w:rPr>
                          <w:rFonts w:ascii="Source Sans Pro" w:eastAsiaTheme="minorHAnsi" w:hAnsi="Source Sans Pro" w:cstheme="minorHAnsi"/>
                          <w:color w:val="000000" w:themeColor="text1"/>
                          <w:sz w:val="20"/>
                          <w:lang w:val="fr-FR"/>
                        </w:rPr>
                        <w:t>De manière générale, l’année 2025 s’est distinguée par une nette amélioration des outils dédiés à la mise à jour des évaluations ESG. L’outil Soneka, déployé par les équipes d’Ofi Invest Real Estate dans le cadre du mandat confié par Abeille Assurances, a permis de renforcer significativement la traçabilité des données ESG à l’échelle du patrimoine. Il favorise également une meilleure implication des équipes opérationnelles d’Asset Management dans l’actualisation annuelle des évaluations, en facilitant l’intégration des plans d’amélioration au sein même des budgets des immeubles, condition essentielle à leur mise en œuvre effective.</w:t>
                      </w:r>
                    </w:p>
                    <w:p w14:paraId="6EFB31AC" w14:textId="77777777" w:rsidR="00A760F9" w:rsidRDefault="00A760F9" w:rsidP="00C87204">
                      <w:pPr>
                        <w:jc w:val="both"/>
                        <w:rPr>
                          <w:rFonts w:ascii="Source Sans Pro" w:eastAsiaTheme="minorHAnsi" w:hAnsi="Source Sans Pro" w:cstheme="minorHAnsi"/>
                          <w:color w:val="000000" w:themeColor="text1"/>
                          <w:sz w:val="20"/>
                          <w:lang w:val="fr-FR"/>
                        </w:rPr>
                      </w:pPr>
                    </w:p>
                    <w:p w14:paraId="27676F2F" w14:textId="770AA998" w:rsidR="00A760F9" w:rsidRPr="00A760F9" w:rsidRDefault="00C87204" w:rsidP="00C87204">
                      <w:pPr>
                        <w:jc w:val="both"/>
                        <w:rPr>
                          <w:rFonts w:ascii="Source Sans Pro" w:eastAsiaTheme="minorHAnsi" w:hAnsi="Source Sans Pro" w:cstheme="minorHAnsi"/>
                          <w:color w:val="000000" w:themeColor="text1"/>
                          <w:sz w:val="20"/>
                          <w:lang w:val="fr-FR"/>
                        </w:rPr>
                      </w:pPr>
                      <w:r w:rsidRPr="00C87204">
                        <w:rPr>
                          <w:rFonts w:ascii="Source Sans Pro" w:eastAsiaTheme="minorHAnsi" w:hAnsi="Source Sans Pro" w:cstheme="minorHAnsi"/>
                          <w:color w:val="000000" w:themeColor="text1"/>
                          <w:sz w:val="20"/>
                          <w:lang w:val="fr-FR"/>
                        </w:rPr>
                        <w:t>Par ailleurs, plusieurs thématiques clés ont fait l’objet d’avancées structurantes. La biodiversité a ainsi pris une place centrale, avec l’élaboration d’une Charte dédiée, qui permettra d’inscrire dans la durée une trajectoire claire en faveur de la préservation et de l’amélioration des écosystèmes sur les actifs. En parallèle, un travail approfondi a été mené sur la méthodologie d’évaluation des risques physiques liés au changement climatique, jetant les bases de plans de résilience concrets pour les années à venir. Enfin, sur le volet gouvernance, la publication d’un rapport d’engagement vient valoriser de façon transparente l’implication et la mobilisation de l’ensemble des parties prenantes. </w:t>
                      </w:r>
                    </w:p>
                    <w:p w14:paraId="607DABA3" w14:textId="2CD33D20" w:rsidR="000C3BBD" w:rsidRPr="00AE1783" w:rsidRDefault="00C87204" w:rsidP="00C87204">
                      <w:pPr>
                        <w:jc w:val="both"/>
                        <w:rPr>
                          <w:rFonts w:ascii="Source Sans Pro" w:hAnsi="Source Sans Pro"/>
                          <w:sz w:val="20"/>
                          <w:lang w:val="fr-FR"/>
                        </w:rPr>
                      </w:pPr>
                      <w:r>
                        <w:rPr>
                          <w:noProof/>
                        </w:rPr>
                        <w:drawing>
                          <wp:inline distT="0" distB="0" distL="0" distR="0" wp14:anchorId="02A45C0A" wp14:editId="766B8BA0">
                            <wp:extent cx="586618" cy="839728"/>
                            <wp:effectExtent l="0" t="0" r="4445" b="0"/>
                            <wp:docPr id="57324947" name="Image 1" descr="Une image contenant Visage humain, personne, sourire, Fro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77168" name="Image 1" descr="Une image contenant Visage humain, personne, sourire, Front&#10;&#10;Le contenu généré par l’IA peut être incorrect."/>
                                    <pic:cNvPicPr/>
                                  </pic:nvPicPr>
                                  <pic:blipFill>
                                    <a:blip r:embed="rId62"/>
                                    <a:stretch>
                                      <a:fillRect/>
                                    </a:stretch>
                                  </pic:blipFill>
                                  <pic:spPr>
                                    <a:xfrm>
                                      <a:off x="0" y="0"/>
                                      <a:ext cx="602245" cy="862097"/>
                                    </a:xfrm>
                                    <a:prstGeom prst="rect">
                                      <a:avLst/>
                                    </a:prstGeom>
                                  </pic:spPr>
                                </pic:pic>
                              </a:graphicData>
                            </a:graphic>
                          </wp:inline>
                        </w:drawing>
                      </w:r>
                      <w:r>
                        <w:rPr>
                          <w:rFonts w:ascii="Source Sans Pro" w:hAnsi="Source Sans Pro"/>
                          <w:b/>
                          <w:sz w:val="20"/>
                          <w:lang w:val="fr-FR"/>
                        </w:rPr>
                        <w:t xml:space="preserve"> </w:t>
                      </w:r>
                      <w:r w:rsidR="000C3BBD" w:rsidRPr="00AE1783">
                        <w:rPr>
                          <w:rFonts w:ascii="Source Sans Pro" w:hAnsi="Source Sans Pro"/>
                          <w:b/>
                          <w:sz w:val="20"/>
                          <w:lang w:val="fr-FR"/>
                        </w:rPr>
                        <w:t>Franck Pages (Responsable ESG, Ofi Invest RE)</w:t>
                      </w:r>
                      <w:r w:rsidR="000C3BBD" w:rsidRPr="00AE1783">
                        <w:rPr>
                          <w:b/>
                          <w:bCs/>
                          <w:lang w:val="fr-FR"/>
                        </w:rPr>
                        <w:t> </w:t>
                      </w:r>
                    </w:p>
                    <w:p w14:paraId="502E6527" w14:textId="77777777" w:rsidR="000C3BBD" w:rsidRDefault="000C3BBD" w:rsidP="000C3BBD">
                      <w:pPr>
                        <w:pStyle w:val="Style1"/>
                        <w:numPr>
                          <w:ilvl w:val="0"/>
                          <w:numId w:val="0"/>
                        </w:numPr>
                        <w:ind w:left="26"/>
                      </w:pPr>
                    </w:p>
                  </w:txbxContent>
                </v:textbox>
              </v:shape>
            </w:pict>
          </mc:Fallback>
        </mc:AlternateContent>
      </w:r>
      <w:r w:rsidRPr="009D6EE5">
        <w:rPr>
          <w:rFonts w:eastAsia="Calibri" w:cs="Open Sans"/>
          <w:i w:val="0"/>
          <w:iCs w:val="0"/>
          <w:noProof/>
          <w:color w:val="auto"/>
          <w:sz w:val="20"/>
          <w:szCs w:val="20"/>
          <w:lang w:eastAsia="fr-FR"/>
        </w:rPr>
        <mc:AlternateContent>
          <mc:Choice Requires="wpg">
            <w:drawing>
              <wp:anchor distT="0" distB="0" distL="114300" distR="114300" simplePos="0" relativeHeight="252014592" behindDoc="0" locked="0" layoutInCell="1" allowOverlap="1" wp14:anchorId="06CC8C50" wp14:editId="2D8CAD60">
                <wp:simplePos x="0" y="0"/>
                <wp:positionH relativeFrom="margin">
                  <wp:posOffset>5711825</wp:posOffset>
                </wp:positionH>
                <wp:positionV relativeFrom="paragraph">
                  <wp:posOffset>3129280</wp:posOffset>
                </wp:positionV>
                <wp:extent cx="389890" cy="281305"/>
                <wp:effectExtent l="0" t="0" r="10160" b="23495"/>
                <wp:wrapNone/>
                <wp:docPr id="2098556838" name="Groupe 132"/>
                <wp:cNvGraphicFramePr/>
                <a:graphic xmlns:a="http://schemas.openxmlformats.org/drawingml/2006/main">
                  <a:graphicData uri="http://schemas.microsoft.com/office/word/2010/wordprocessingGroup">
                    <wpg:wgp>
                      <wpg:cNvGrpSpPr/>
                      <wpg:grpSpPr>
                        <a:xfrm flipH="1">
                          <a:off x="0" y="0"/>
                          <a:ext cx="389890" cy="281305"/>
                          <a:chOff x="0" y="0"/>
                          <a:chExt cx="480287" cy="346688"/>
                        </a:xfrm>
                      </wpg:grpSpPr>
                      <wps:wsp>
                        <wps:cNvPr id="1225017367"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1822198593"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572046A5" id="Groupe 132" o:spid="_x0000_s1026" style="position:absolute;margin-left:449.75pt;margin-top:246.4pt;width:30.7pt;height:22.15pt;flip:x;z-index:252014592;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r w:rsidR="000C3BBD" w:rsidRPr="009D6EE5">
        <w:rPr>
          <w:rFonts w:eastAsia="Calibri" w:cs="Open Sans"/>
          <w:i w:val="0"/>
          <w:iCs w:val="0"/>
          <w:noProof/>
          <w:color w:val="auto"/>
          <w:sz w:val="20"/>
          <w:szCs w:val="20"/>
          <w:lang w:eastAsia="fr-FR"/>
        </w:rPr>
        <mc:AlternateContent>
          <mc:Choice Requires="wpg">
            <w:drawing>
              <wp:anchor distT="0" distB="0" distL="114300" distR="114300" simplePos="0" relativeHeight="252019712" behindDoc="0" locked="0" layoutInCell="1" allowOverlap="1" wp14:anchorId="56BE41B7" wp14:editId="586D4EC6">
                <wp:simplePos x="0" y="0"/>
                <wp:positionH relativeFrom="margin">
                  <wp:posOffset>42300</wp:posOffset>
                </wp:positionH>
                <wp:positionV relativeFrom="paragraph">
                  <wp:posOffset>154305</wp:posOffset>
                </wp:positionV>
                <wp:extent cx="390025" cy="281534"/>
                <wp:effectExtent l="0" t="0" r="10160" b="23495"/>
                <wp:wrapNone/>
                <wp:docPr id="1843874563" name="Groupe 132"/>
                <wp:cNvGraphicFramePr/>
                <a:graphic xmlns:a="http://schemas.openxmlformats.org/drawingml/2006/main">
                  <a:graphicData uri="http://schemas.microsoft.com/office/word/2010/wordprocessingGroup">
                    <wpg:wgp>
                      <wpg:cNvGrpSpPr/>
                      <wpg:grpSpPr>
                        <a:xfrm>
                          <a:off x="0" y="0"/>
                          <a:ext cx="390025" cy="281534"/>
                          <a:chOff x="0" y="0"/>
                          <a:chExt cx="480287" cy="346688"/>
                        </a:xfrm>
                      </wpg:grpSpPr>
                      <wps:wsp>
                        <wps:cNvPr id="1280043077"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1379801816"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295FAD01" id="Groupe 132" o:spid="_x0000_s1026" style="position:absolute;margin-left:3.35pt;margin-top:12.15pt;width:30.7pt;height:22.15pt;z-index:252019712;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r w:rsidR="000C3BBD" w:rsidRPr="009D6EE5">
        <w:rPr>
          <w:rFonts w:cs="Open Sans"/>
          <w:noProof/>
        </w:rPr>
        <mc:AlternateContent>
          <mc:Choice Requires="wps">
            <w:drawing>
              <wp:inline distT="0" distB="0" distL="0" distR="0" wp14:anchorId="6CE72804" wp14:editId="4A604CC9">
                <wp:extent cx="5646039" cy="3724275"/>
                <wp:effectExtent l="0" t="0" r="12065" b="28575"/>
                <wp:docPr id="956711961" name="Rectangle : coins arrondis 956711961"/>
                <wp:cNvGraphicFramePr/>
                <a:graphic xmlns:a="http://schemas.openxmlformats.org/drawingml/2006/main">
                  <a:graphicData uri="http://schemas.microsoft.com/office/word/2010/wordprocessingShape">
                    <wps:wsp>
                      <wps:cNvSpPr/>
                      <wps:spPr>
                        <a:xfrm>
                          <a:off x="0" y="0"/>
                          <a:ext cx="5646039" cy="3724275"/>
                        </a:xfrm>
                        <a:prstGeom prst="roundRect">
                          <a:avLst>
                            <a:gd name="adj" fmla="val 889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C66771" w14:textId="77777777" w:rsidR="000C3BBD" w:rsidRPr="006209BA" w:rsidRDefault="000C3BBD" w:rsidP="000C3BBD">
                            <w:pPr>
                              <w:pStyle w:val="Citation0"/>
                              <w:rPr>
                                <w:color w:val="auto"/>
                              </w:rPr>
                            </w:pPr>
                          </w:p>
                        </w:txbxContent>
                      </wps:txbx>
                      <wps:bodyPr rot="0" spcFirstLastPara="0" vertOverflow="overflow" horzOverflow="overflow" vert="horz" wrap="square" lIns="180000" tIns="108000" rIns="180000" bIns="108000" numCol="1" spcCol="0" rtlCol="0" fromWordArt="0" anchor="ctr" anchorCtr="0" forceAA="0" compatLnSpc="1">
                        <a:prstTxWarp prst="textNoShape">
                          <a:avLst/>
                        </a:prstTxWarp>
                        <a:noAutofit/>
                      </wps:bodyPr>
                    </wps:wsp>
                  </a:graphicData>
                </a:graphic>
              </wp:inline>
            </w:drawing>
          </mc:Choice>
          <mc:Fallback>
            <w:pict>
              <v:roundrect w14:anchorId="6CE72804" id="Rectangle : coins arrondis 956711961" o:spid="_x0000_s1098" style="width:444.55pt;height:293.25pt;visibility:visible;mso-wrap-style:square;mso-left-percent:-10001;mso-top-percent:-10001;mso-position-horizontal:absolute;mso-position-horizontal-relative:char;mso-position-vertical:absolute;mso-position-vertical-relative:line;mso-left-percent:-10001;mso-top-percent:-10001;v-text-anchor:middle" arcsize="58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" fillcolor="white [3212]" strokecolor="black [3213]" strokeweight="1pt">
                <v:stroke joinstyle="miter"/>
                <v:textbox inset="5mm,3mm,5mm,3mm">
                  <w:txbxContent>
                    <w:p w14:paraId="44C66771" w14:textId="77777777" w:rsidR="000C3BBD" w:rsidRPr="006209BA" w:rsidRDefault="000C3BBD" w:rsidP="000C3BBD">
                      <w:pPr>
                        <w:pStyle w:val="Citation0"/>
                        <w:rPr>
                          <w:color w:val="auto"/>
                        </w:rPr>
                      </w:pPr>
                    </w:p>
                  </w:txbxContent>
                </v:textbox>
                <w10:anchorlock/>
              </v:roundrect>
            </w:pict>
          </mc:Fallback>
        </mc:AlternateContent>
      </w:r>
    </w:p>
    <w:p w14:paraId="11A36A66"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31D3871A"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391D2249"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11DAF31B"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67AE08CE"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1D4C4D61"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6957DD2F"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52A3811E"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5EA5CD0E"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2D751A1D"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3BCAE486"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7200AC13"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57FC7A06"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1AA64611"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13275115"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376358D3"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5067D991"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2F417764"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563591FA"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612446F6"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721220D4"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27755D16"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4F62F1B6"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559C2FE4"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02D4EC1A"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5037AF80"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2B1415E8"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399C45CC"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576016A0"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5CCCF2BE" w14:textId="77777777" w:rsidR="000C3BBD" w:rsidRDefault="000C3BBD" w:rsidP="009D6EE5">
      <w:pPr>
        <w:pStyle w:val="Style1"/>
        <w:numPr>
          <w:ilvl w:val="0"/>
          <w:numId w:val="0"/>
        </w:numPr>
        <w:spacing w:after="0" w:line="22" w:lineRule="atLeast"/>
        <w:jc w:val="both"/>
        <w:rPr>
          <w:rFonts w:cs="Open Sans"/>
          <w:color w:val="000000" w:themeColor="text1"/>
          <w:sz w:val="18"/>
          <w:szCs w:val="18"/>
        </w:rPr>
      </w:pPr>
    </w:p>
    <w:p w14:paraId="353B10E0" w14:textId="77777777" w:rsidR="000C3BBD" w:rsidRPr="00A74D23" w:rsidRDefault="000C3BBD" w:rsidP="009D6EE5">
      <w:pPr>
        <w:pStyle w:val="Style1"/>
        <w:numPr>
          <w:ilvl w:val="0"/>
          <w:numId w:val="0"/>
        </w:numPr>
        <w:spacing w:after="0" w:line="22" w:lineRule="atLeast"/>
        <w:jc w:val="both"/>
        <w:rPr>
          <w:rFonts w:cs="Open Sans"/>
          <w:i w:val="0"/>
          <w:color w:val="auto"/>
          <w:sz w:val="18"/>
          <w:szCs w:val="18"/>
        </w:rPr>
      </w:pPr>
    </w:p>
    <w:p w14:paraId="7BEE6E20" w14:textId="3670B0CD" w:rsidR="000A7664" w:rsidRPr="002D2C3E" w:rsidRDefault="001A5776" w:rsidP="009D6EE5">
      <w:pPr>
        <w:pStyle w:val="Style2"/>
        <w:spacing w:line="22" w:lineRule="atLeast"/>
        <w:jc w:val="both"/>
        <w:rPr>
          <w:rFonts w:asciiTheme="minorHAnsi" w:hAnsiTheme="minorHAnsi" w:cs="Open Sans"/>
          <w:b w:val="0"/>
          <w:bCs/>
          <w:color w:val="7030A0"/>
          <w:sz w:val="44"/>
          <w:szCs w:val="44"/>
        </w:rPr>
      </w:pPr>
      <w:bookmarkStart w:id="41" w:name="_Toc129091811"/>
      <w:bookmarkStart w:id="42" w:name="_Toc128735900"/>
      <w:bookmarkStart w:id="43" w:name="_Toc231337002"/>
      <w:r w:rsidRPr="002D2C3E">
        <w:rPr>
          <w:rFonts w:asciiTheme="minorHAnsi" w:hAnsiTheme="minorHAnsi" w:cs="Open Sans"/>
          <w:b w:val="0"/>
          <w:bCs/>
          <w:sz w:val="44"/>
          <w:szCs w:val="44"/>
        </w:rPr>
        <w:t xml:space="preserve">C. </w:t>
      </w:r>
      <w:r w:rsidR="002B6F56" w:rsidRPr="002D2C3E">
        <w:rPr>
          <w:rFonts w:asciiTheme="minorHAnsi" w:hAnsiTheme="minorHAnsi" w:cs="Open Sans"/>
          <w:b w:val="0"/>
          <w:bCs/>
          <w:sz w:val="44"/>
          <w:szCs w:val="44"/>
        </w:rPr>
        <w:t>Les m</w:t>
      </w:r>
      <w:r w:rsidR="00CE2C75" w:rsidRPr="002D2C3E">
        <w:rPr>
          <w:rFonts w:asciiTheme="minorHAnsi" w:hAnsiTheme="minorHAnsi" w:cs="Open Sans"/>
          <w:b w:val="0"/>
          <w:bCs/>
          <w:sz w:val="44"/>
          <w:szCs w:val="44"/>
        </w:rPr>
        <w:t xml:space="preserve">oyens internes déployés par </w:t>
      </w:r>
      <w:r w:rsidR="009D75EC" w:rsidRPr="002D2C3E">
        <w:rPr>
          <w:rFonts w:asciiTheme="minorHAnsi" w:hAnsiTheme="minorHAnsi" w:cs="Open Sans"/>
          <w:b w:val="0"/>
          <w:bCs/>
          <w:sz w:val="44"/>
          <w:szCs w:val="44"/>
        </w:rPr>
        <w:t xml:space="preserve">Abeille </w:t>
      </w:r>
      <w:bookmarkEnd w:id="41"/>
      <w:bookmarkEnd w:id="42"/>
      <w:r w:rsidR="0053759C" w:rsidRPr="002D2C3E">
        <w:rPr>
          <w:rFonts w:asciiTheme="minorHAnsi" w:hAnsiTheme="minorHAnsi" w:cs="Open Sans"/>
          <w:b w:val="0"/>
          <w:bCs/>
          <w:sz w:val="44"/>
          <w:szCs w:val="44"/>
        </w:rPr>
        <w:t>Assurances</w:t>
      </w:r>
      <w:bookmarkEnd w:id="43"/>
    </w:p>
    <w:p w14:paraId="310D85DB" w14:textId="0D150094" w:rsidR="00EB1C49" w:rsidRPr="00A74D23" w:rsidRDefault="00622186" w:rsidP="00590DD1">
      <w:pPr>
        <w:pStyle w:val="StyleYO"/>
        <w:numPr>
          <w:ilvl w:val="0"/>
          <w:numId w:val="69"/>
        </w:numPr>
        <w:spacing w:line="22" w:lineRule="atLeast"/>
        <w:jc w:val="both"/>
      </w:pPr>
      <w:bookmarkStart w:id="44" w:name="_Toc231337003"/>
      <w:r w:rsidRPr="00A74D23">
        <w:t xml:space="preserve">Un engagement de moyens humains pour </w:t>
      </w:r>
      <w:r w:rsidR="00BB55DC" w:rsidRPr="00A74D23">
        <w:t>intégrer les</w:t>
      </w:r>
      <w:r w:rsidRPr="00A74D23">
        <w:t xml:space="preserve"> enjeux de durabilité</w:t>
      </w:r>
      <w:bookmarkEnd w:id="44"/>
    </w:p>
    <w:p w14:paraId="6C318759" w14:textId="77777777" w:rsidR="00EB1C49" w:rsidRPr="00A74D23" w:rsidRDefault="00EB1C49" w:rsidP="009D6EE5">
      <w:pPr>
        <w:spacing w:line="22" w:lineRule="atLeast"/>
        <w:jc w:val="both"/>
        <w:rPr>
          <w:rFonts w:asciiTheme="minorHAnsi" w:hAnsiTheme="minorHAnsi"/>
          <w:lang w:val="fr-FR"/>
        </w:rPr>
      </w:pPr>
    </w:p>
    <w:p w14:paraId="4BEED09C" w14:textId="68334D4A" w:rsidR="00531A0E" w:rsidRDefault="00531A0E" w:rsidP="009D6EE5">
      <w:pPr>
        <w:spacing w:line="22" w:lineRule="atLeast"/>
        <w:jc w:val="both"/>
        <w:textAlignment w:val="center"/>
        <w:rPr>
          <w:rFonts w:asciiTheme="minorHAnsi" w:hAnsiTheme="minorHAnsi" w:cs="Open Sans"/>
          <w:sz w:val="20"/>
          <w:szCs w:val="20"/>
          <w:lang w:val="fr-FR"/>
        </w:rPr>
      </w:pPr>
      <w:bookmarkStart w:id="45" w:name="_Hlk170077490"/>
      <w:r w:rsidRPr="00A74D23">
        <w:rPr>
          <w:rFonts w:asciiTheme="minorHAnsi" w:hAnsiTheme="minorHAnsi" w:cs="Open Sans"/>
          <w:sz w:val="20"/>
          <w:szCs w:val="20"/>
          <w:lang w:val="fr-FR"/>
        </w:rPr>
        <w:t xml:space="preserve">Au sein d’Abeille Assurances, trois ressources de la direction des investissements (2 </w:t>
      </w:r>
      <w:r w:rsidR="00BE4D92" w:rsidRPr="00A74D23">
        <w:rPr>
          <w:rFonts w:asciiTheme="minorHAnsi" w:hAnsiTheme="minorHAnsi" w:cs="Open Sans"/>
          <w:sz w:val="20"/>
          <w:szCs w:val="20"/>
          <w:lang w:val="fr-FR"/>
        </w:rPr>
        <w:t>temps plein</w:t>
      </w:r>
      <w:r w:rsidRPr="00A74D23">
        <w:rPr>
          <w:rFonts w:asciiTheme="minorHAnsi" w:hAnsiTheme="minorHAnsi" w:cs="Open Sans"/>
          <w:sz w:val="20"/>
          <w:szCs w:val="20"/>
          <w:lang w:val="fr-FR"/>
        </w:rPr>
        <w:t xml:space="preserve"> et un alternant) sont dédiées à l’intégration des facteurs de durabilité dans la gestion des portefeuilles d’investissement et à la sélection de solutions d’investissement durables. Les deux ressources ont une expérience cumulée de </w:t>
      </w:r>
      <w:r w:rsidR="00BE4D92" w:rsidRPr="00A74D23">
        <w:rPr>
          <w:rFonts w:asciiTheme="minorHAnsi" w:hAnsiTheme="minorHAnsi" w:cs="Open Sans"/>
          <w:sz w:val="20"/>
          <w:szCs w:val="20"/>
          <w:lang w:val="fr-FR"/>
        </w:rPr>
        <w:t xml:space="preserve">plus de </w:t>
      </w:r>
      <w:r w:rsidRPr="00A74D23">
        <w:rPr>
          <w:rFonts w:asciiTheme="minorHAnsi" w:hAnsiTheme="minorHAnsi" w:cs="Open Sans"/>
          <w:sz w:val="20"/>
          <w:szCs w:val="20"/>
          <w:lang w:val="fr-FR"/>
        </w:rPr>
        <w:t>1</w:t>
      </w:r>
      <w:r w:rsidR="008C2FA7" w:rsidRPr="00A74D23">
        <w:rPr>
          <w:rFonts w:asciiTheme="minorHAnsi" w:hAnsiTheme="minorHAnsi" w:cs="Open Sans"/>
          <w:sz w:val="20"/>
          <w:szCs w:val="20"/>
          <w:lang w:val="fr-FR"/>
        </w:rPr>
        <w:t>5</w:t>
      </w:r>
      <w:r w:rsidRPr="00A74D23">
        <w:rPr>
          <w:rFonts w:asciiTheme="minorHAnsi" w:hAnsiTheme="minorHAnsi" w:cs="Open Sans"/>
          <w:sz w:val="20"/>
          <w:szCs w:val="20"/>
          <w:lang w:val="fr-FR"/>
        </w:rPr>
        <w:t xml:space="preserve"> ans dans l’ISR, sont formés pour animer des fresques du climat et l’une</w:t>
      </w:r>
      <w:r w:rsidR="00733AA0" w:rsidRPr="00A74D23">
        <w:rPr>
          <w:rFonts w:asciiTheme="minorHAnsi" w:hAnsiTheme="minorHAnsi" w:cs="Open Sans"/>
          <w:sz w:val="20"/>
          <w:szCs w:val="20"/>
          <w:lang w:val="fr-FR"/>
        </w:rPr>
        <w:t xml:space="preserve"> d’entre elles </w:t>
      </w:r>
      <w:r w:rsidRPr="00A74D23">
        <w:rPr>
          <w:rFonts w:asciiTheme="minorHAnsi" w:hAnsiTheme="minorHAnsi" w:cs="Open Sans"/>
          <w:sz w:val="20"/>
          <w:szCs w:val="20"/>
          <w:lang w:val="fr-FR"/>
        </w:rPr>
        <w:t xml:space="preserve">détient </w:t>
      </w:r>
      <w:r w:rsidR="00733AA0" w:rsidRPr="00A74D23">
        <w:rPr>
          <w:rFonts w:asciiTheme="minorHAnsi" w:hAnsiTheme="minorHAnsi" w:cs="Open Sans"/>
          <w:sz w:val="20"/>
          <w:szCs w:val="20"/>
          <w:lang w:val="fr-FR"/>
        </w:rPr>
        <w:t xml:space="preserve">le </w:t>
      </w:r>
      <w:r w:rsidRPr="00A74D23">
        <w:rPr>
          <w:rFonts w:asciiTheme="minorHAnsi" w:hAnsiTheme="minorHAnsi" w:cs="Open Sans"/>
          <w:sz w:val="20"/>
          <w:szCs w:val="20"/>
          <w:lang w:val="fr-FR"/>
        </w:rPr>
        <w:t xml:space="preserve">CFA ESG. </w:t>
      </w:r>
      <w:r w:rsidR="00733AA0" w:rsidRPr="00A74D23">
        <w:rPr>
          <w:rFonts w:asciiTheme="minorHAnsi" w:hAnsiTheme="minorHAnsi" w:cs="Open Sans"/>
          <w:sz w:val="20"/>
          <w:szCs w:val="20"/>
          <w:lang w:val="fr-FR"/>
        </w:rPr>
        <w:t>Au total</w:t>
      </w:r>
      <w:r w:rsidRPr="00A74D23">
        <w:rPr>
          <w:rFonts w:asciiTheme="minorHAnsi" w:hAnsiTheme="minorHAnsi" w:cs="Open Sans"/>
          <w:sz w:val="20"/>
          <w:szCs w:val="20"/>
          <w:lang w:val="fr-FR"/>
        </w:rPr>
        <w:t xml:space="preserve">, </w:t>
      </w:r>
      <w:r w:rsidR="00FC06E1" w:rsidRPr="00A74D23">
        <w:rPr>
          <w:rFonts w:asciiTheme="minorHAnsi" w:hAnsiTheme="minorHAnsi" w:cs="Open Sans"/>
          <w:sz w:val="20"/>
          <w:szCs w:val="20"/>
          <w:lang w:val="fr-FR"/>
        </w:rPr>
        <w:t>10</w:t>
      </w:r>
      <w:r w:rsidRPr="00A74D23">
        <w:rPr>
          <w:rFonts w:asciiTheme="minorHAnsi" w:hAnsiTheme="minorHAnsi" w:cs="Open Sans"/>
          <w:sz w:val="20"/>
          <w:szCs w:val="20"/>
          <w:lang w:val="fr-FR"/>
        </w:rPr>
        <w:t>% des équivalents temps plein de la direction des investissements, sont dédiés à l’intégration des facteurs de durabilité dans la stratégie d’investissement</w:t>
      </w:r>
      <w:r w:rsidR="00733AA0" w:rsidRPr="00A74D23">
        <w:rPr>
          <w:rFonts w:asciiTheme="minorHAnsi" w:hAnsiTheme="minorHAnsi" w:cs="Open Sans"/>
          <w:sz w:val="20"/>
          <w:szCs w:val="20"/>
          <w:lang w:val="fr-FR"/>
        </w:rPr>
        <w:t xml:space="preserve"> alors que tous les membres de la direction des investissements sont sensibilisés aux questions ESG. </w:t>
      </w:r>
    </w:p>
    <w:p w14:paraId="44EFA87D" w14:textId="77777777" w:rsidR="000A6B53" w:rsidRPr="00A74D23" w:rsidRDefault="000A6B53" w:rsidP="009D6EE5">
      <w:pPr>
        <w:spacing w:line="22" w:lineRule="atLeast"/>
        <w:jc w:val="both"/>
        <w:textAlignment w:val="center"/>
        <w:rPr>
          <w:rFonts w:asciiTheme="minorHAnsi" w:hAnsiTheme="minorHAnsi" w:cs="Open Sans"/>
          <w:sz w:val="20"/>
          <w:szCs w:val="20"/>
          <w:lang w:val="fr-FR"/>
        </w:rPr>
      </w:pPr>
    </w:p>
    <w:p w14:paraId="23C5D7B3" w14:textId="331DCA30" w:rsidR="00531A0E" w:rsidRPr="00A74D23" w:rsidRDefault="00531A0E" w:rsidP="009D6EE5">
      <w:pPr>
        <w:spacing w:line="22" w:lineRule="atLeast"/>
        <w:jc w:val="both"/>
        <w:textAlignment w:val="center"/>
        <w:rPr>
          <w:rFonts w:asciiTheme="minorHAnsi" w:hAnsiTheme="minorHAnsi" w:cs="Open Sans"/>
          <w:sz w:val="20"/>
          <w:szCs w:val="20"/>
          <w:lang w:val="fr-FR"/>
        </w:rPr>
      </w:pPr>
      <w:r w:rsidRPr="00A74D23">
        <w:rPr>
          <w:rFonts w:asciiTheme="minorHAnsi" w:hAnsiTheme="minorHAnsi" w:cs="Open Sans"/>
          <w:sz w:val="20"/>
          <w:szCs w:val="20"/>
          <w:lang w:val="fr-FR"/>
        </w:rPr>
        <w:t xml:space="preserve">Les moyens financiers déployés par Abeille Assurances pour accéder aux données environnementales, sociales et de gouvernance et pour les intégrer dans les décisions d’investissement représentaient </w:t>
      </w:r>
      <w:r w:rsidR="00A12085" w:rsidRPr="00A74D23">
        <w:rPr>
          <w:rFonts w:asciiTheme="minorHAnsi" w:hAnsiTheme="minorHAnsi" w:cs="Open Sans"/>
          <w:sz w:val="20"/>
          <w:szCs w:val="20"/>
          <w:lang w:val="fr-FR"/>
        </w:rPr>
        <w:t xml:space="preserve">environ 60% </w:t>
      </w:r>
      <w:r w:rsidRPr="00A74D23">
        <w:rPr>
          <w:rFonts w:asciiTheme="minorHAnsi" w:hAnsiTheme="minorHAnsi" w:cs="Open Sans"/>
          <w:sz w:val="20"/>
          <w:szCs w:val="20"/>
          <w:lang w:val="fr-FR"/>
        </w:rPr>
        <w:t xml:space="preserve">des budgets d’abonnement </w:t>
      </w:r>
      <w:r w:rsidR="00A12085" w:rsidRPr="00A74D23">
        <w:rPr>
          <w:rFonts w:asciiTheme="minorHAnsi" w:hAnsiTheme="minorHAnsi" w:cs="Open Sans"/>
          <w:sz w:val="20"/>
          <w:szCs w:val="20"/>
          <w:lang w:val="fr-FR"/>
        </w:rPr>
        <w:t>de données</w:t>
      </w:r>
      <w:r w:rsidRPr="00A74D23">
        <w:rPr>
          <w:rFonts w:asciiTheme="minorHAnsi" w:hAnsiTheme="minorHAnsi" w:cs="Open Sans"/>
          <w:sz w:val="20"/>
          <w:szCs w:val="20"/>
          <w:lang w:val="fr-FR"/>
        </w:rPr>
        <w:t xml:space="preserve"> dédiées à la gestion des actifs financiers en 202</w:t>
      </w:r>
      <w:r w:rsidR="00F815ED" w:rsidRPr="00A74D23">
        <w:rPr>
          <w:rFonts w:asciiTheme="minorHAnsi" w:hAnsiTheme="minorHAnsi" w:cs="Open Sans"/>
          <w:sz w:val="20"/>
          <w:szCs w:val="20"/>
          <w:lang w:val="fr-FR"/>
        </w:rPr>
        <w:t>5</w:t>
      </w:r>
      <w:r w:rsidRPr="00A74D23">
        <w:rPr>
          <w:rFonts w:asciiTheme="minorHAnsi" w:hAnsiTheme="minorHAnsi" w:cs="Open Sans"/>
          <w:sz w:val="20"/>
          <w:szCs w:val="20"/>
          <w:lang w:val="fr-FR"/>
        </w:rPr>
        <w:t>. Le montant des budgets dédiés à la prise en compte des critères environnementaux, sociaux et de qualité de gouvernance dans la stratégie d’investissement s’élève à</w:t>
      </w:r>
      <w:r w:rsidR="004356CD" w:rsidRPr="00A74D23">
        <w:rPr>
          <w:rFonts w:asciiTheme="minorHAnsi" w:hAnsiTheme="minorHAnsi" w:cs="Open Sans"/>
          <w:sz w:val="20"/>
          <w:szCs w:val="20"/>
          <w:lang w:val="fr-FR"/>
        </w:rPr>
        <w:t xml:space="preserve"> environ</w:t>
      </w:r>
      <w:r w:rsidR="0081106D" w:rsidRPr="00A74D23">
        <w:rPr>
          <w:rFonts w:asciiTheme="minorHAnsi" w:hAnsiTheme="minorHAnsi" w:cs="Open Sans"/>
          <w:sz w:val="20"/>
          <w:szCs w:val="20"/>
          <w:lang w:val="fr-FR"/>
        </w:rPr>
        <w:t xml:space="preserve"> </w:t>
      </w:r>
      <w:r w:rsidR="00762073" w:rsidRPr="00A74D23">
        <w:rPr>
          <w:rFonts w:asciiTheme="minorHAnsi" w:hAnsiTheme="minorHAnsi" w:cs="Open Sans"/>
          <w:sz w:val="20"/>
          <w:szCs w:val="20"/>
          <w:lang w:val="fr-FR"/>
        </w:rPr>
        <w:t>13</w:t>
      </w:r>
      <w:r w:rsidR="00A12085" w:rsidRPr="00A74D23">
        <w:rPr>
          <w:rFonts w:asciiTheme="minorHAnsi" w:hAnsiTheme="minorHAnsi" w:cs="Open Sans"/>
          <w:sz w:val="20"/>
          <w:szCs w:val="20"/>
          <w:lang w:val="fr-FR"/>
        </w:rPr>
        <w:t>0 000</w:t>
      </w:r>
      <w:r w:rsidRPr="00A74D23">
        <w:rPr>
          <w:rFonts w:asciiTheme="minorHAnsi" w:hAnsiTheme="minorHAnsi" w:cs="Open Sans"/>
          <w:sz w:val="20"/>
          <w:szCs w:val="20"/>
          <w:lang w:val="fr-FR"/>
        </w:rPr>
        <w:t xml:space="preserve">€. Nous avons recours à des fournisseurs de données tels que MSCI et le CDP. Certaines données de durabilité (biodiversité, controverses) sont acquises par </w:t>
      </w:r>
      <w:r w:rsidR="00495330" w:rsidRPr="00A74D23">
        <w:rPr>
          <w:rFonts w:asciiTheme="minorHAnsi" w:hAnsiTheme="minorHAnsi" w:cs="Open Sans"/>
          <w:sz w:val="20"/>
          <w:szCs w:val="20"/>
          <w:lang w:val="fr-FR"/>
        </w:rPr>
        <w:t>Ofi</w:t>
      </w:r>
      <w:r w:rsidRPr="00A74D23">
        <w:rPr>
          <w:rFonts w:asciiTheme="minorHAnsi" w:hAnsiTheme="minorHAnsi" w:cs="Open Sans"/>
          <w:sz w:val="20"/>
          <w:szCs w:val="20"/>
          <w:lang w:val="fr-FR"/>
        </w:rPr>
        <w:t xml:space="preserve"> Invest AM et sont communiquées à Abeille Assurances via les documents de reporting. </w:t>
      </w:r>
      <w:bookmarkStart w:id="46" w:name="_Hlk170132004"/>
      <w:r w:rsidRPr="00A74D23">
        <w:rPr>
          <w:rFonts w:asciiTheme="minorHAnsi" w:hAnsiTheme="minorHAnsi" w:cs="Open Sans"/>
          <w:sz w:val="20"/>
          <w:szCs w:val="20"/>
          <w:lang w:val="fr-FR"/>
        </w:rPr>
        <w:t>La direction des investissements responsables d’Abeille Assurances peut s’appuyer sur l’expertise et l’expérience des équipes d’</w:t>
      </w:r>
      <w:r w:rsidR="00495330" w:rsidRPr="00A74D23">
        <w:rPr>
          <w:rFonts w:asciiTheme="minorHAnsi" w:hAnsiTheme="minorHAnsi" w:cs="Open Sans"/>
          <w:sz w:val="20"/>
          <w:szCs w:val="20"/>
          <w:lang w:val="fr-FR"/>
        </w:rPr>
        <w:t>Ofi</w:t>
      </w:r>
      <w:r w:rsidRPr="00A74D23">
        <w:rPr>
          <w:rFonts w:asciiTheme="minorHAnsi" w:hAnsiTheme="minorHAnsi" w:cs="Open Sans"/>
          <w:sz w:val="20"/>
          <w:szCs w:val="20"/>
          <w:lang w:val="fr-FR"/>
        </w:rPr>
        <w:t xml:space="preserve"> Invest AM.</w:t>
      </w:r>
      <w:bookmarkEnd w:id="46"/>
    </w:p>
    <w:p w14:paraId="58BF7D1F" w14:textId="77777777" w:rsidR="00122637" w:rsidRPr="00A74D23" w:rsidRDefault="00122637" w:rsidP="009D6EE5">
      <w:pPr>
        <w:spacing w:line="22" w:lineRule="atLeast"/>
        <w:jc w:val="both"/>
        <w:textAlignment w:val="center"/>
        <w:rPr>
          <w:rFonts w:asciiTheme="minorHAnsi" w:hAnsiTheme="minorHAnsi" w:cs="Open Sans"/>
          <w:sz w:val="20"/>
          <w:szCs w:val="20"/>
          <w:lang w:val="fr-FR"/>
        </w:rPr>
      </w:pPr>
    </w:p>
    <w:bookmarkEnd w:id="45"/>
    <w:p w14:paraId="01FC232E" w14:textId="5F9F5C6C" w:rsidR="00B93C3B" w:rsidRPr="00A74D23" w:rsidRDefault="00495330" w:rsidP="009D6EE5">
      <w:pPr>
        <w:spacing w:line="22" w:lineRule="atLeast"/>
        <w:jc w:val="both"/>
        <w:textAlignment w:val="center"/>
        <w:rPr>
          <w:rFonts w:asciiTheme="minorHAnsi" w:hAnsiTheme="minorHAnsi"/>
          <w:sz w:val="20"/>
          <w:szCs w:val="20"/>
          <w:lang w:val="fr-FR"/>
        </w:rPr>
      </w:pPr>
      <w:r w:rsidRPr="00A74D23">
        <w:rPr>
          <w:rFonts w:asciiTheme="minorHAnsi" w:hAnsiTheme="minorHAnsi"/>
          <w:sz w:val="20"/>
          <w:szCs w:val="20"/>
          <w:lang w:val="fr-FR"/>
        </w:rPr>
        <w:t>Ofi</w:t>
      </w:r>
      <w:r w:rsidR="00B93C3B" w:rsidRPr="00A74D23">
        <w:rPr>
          <w:rFonts w:asciiTheme="minorHAnsi" w:hAnsiTheme="minorHAnsi"/>
          <w:sz w:val="20"/>
          <w:szCs w:val="20"/>
          <w:lang w:val="fr-FR"/>
        </w:rPr>
        <w:t xml:space="preserve"> Invest Asset Management dispose d’un groupe d’experts sur les sujets de finance responsable qui contribuent à la diffusion des compétences extra-financières au sein de la société de gestion et assurent que ces enjeux soient intégrés de manière systématique dans les actes de gestion. </w:t>
      </w:r>
    </w:p>
    <w:p w14:paraId="40DE575B" w14:textId="2821B058" w:rsidR="00B93C3B" w:rsidRPr="00A74D23" w:rsidRDefault="00B93C3B" w:rsidP="009D6EE5">
      <w:pPr>
        <w:spacing w:line="22" w:lineRule="atLeast"/>
        <w:jc w:val="both"/>
        <w:textAlignment w:val="center"/>
        <w:rPr>
          <w:rFonts w:asciiTheme="minorHAnsi" w:hAnsiTheme="minorHAnsi"/>
          <w:sz w:val="20"/>
          <w:szCs w:val="20"/>
          <w:lang w:val="fr-FR"/>
        </w:rPr>
      </w:pPr>
      <w:r w:rsidRPr="00A74D23">
        <w:rPr>
          <w:rFonts w:asciiTheme="minorHAnsi" w:hAnsiTheme="minorHAnsi"/>
          <w:sz w:val="20"/>
          <w:szCs w:val="20"/>
          <w:lang w:val="fr-FR"/>
        </w:rPr>
        <w:t>L’équipe d’analyse ESG est rattachée à la Directrice des Recherches en Finance Responsable, elle-même directement rattachée au Directeur Général Délégué en charge des gestions au sein d’</w:t>
      </w:r>
      <w:r w:rsidR="00495330" w:rsidRPr="00A74D23">
        <w:rPr>
          <w:rFonts w:asciiTheme="minorHAnsi" w:hAnsiTheme="minorHAnsi"/>
          <w:sz w:val="20"/>
          <w:szCs w:val="20"/>
          <w:lang w:val="fr-FR"/>
        </w:rPr>
        <w:t>Ofi</w:t>
      </w:r>
      <w:r w:rsidRPr="00A74D23">
        <w:rPr>
          <w:rFonts w:asciiTheme="minorHAnsi" w:hAnsiTheme="minorHAnsi"/>
          <w:sz w:val="20"/>
          <w:szCs w:val="20"/>
          <w:lang w:val="fr-FR"/>
        </w:rPr>
        <w:t xml:space="preserve"> Invest Asset Management.</w:t>
      </w:r>
    </w:p>
    <w:p w14:paraId="2CCA0804" w14:textId="77777777" w:rsidR="00B93C3B" w:rsidRPr="00A74D23" w:rsidRDefault="00B93C3B" w:rsidP="009D6EE5">
      <w:pPr>
        <w:spacing w:line="22" w:lineRule="atLeast"/>
        <w:jc w:val="both"/>
        <w:textAlignment w:val="center"/>
        <w:rPr>
          <w:rFonts w:asciiTheme="minorHAnsi" w:hAnsiTheme="minorHAnsi"/>
          <w:sz w:val="20"/>
          <w:szCs w:val="20"/>
          <w:lang w:val="fr-FR"/>
        </w:rPr>
      </w:pPr>
    </w:p>
    <w:p w14:paraId="5DA256A5" w14:textId="77777777" w:rsidR="00B93C3B" w:rsidRPr="00A74D23" w:rsidRDefault="00B93C3B" w:rsidP="009D6EE5">
      <w:pPr>
        <w:spacing w:line="22" w:lineRule="atLeast"/>
        <w:jc w:val="both"/>
        <w:textAlignment w:val="center"/>
        <w:rPr>
          <w:rFonts w:asciiTheme="minorHAnsi" w:hAnsiTheme="minorHAnsi"/>
          <w:sz w:val="20"/>
          <w:szCs w:val="20"/>
          <w:lang w:val="fr-FR"/>
        </w:rPr>
      </w:pPr>
      <w:r w:rsidRPr="00A74D23">
        <w:rPr>
          <w:rFonts w:asciiTheme="minorHAnsi" w:hAnsiTheme="minorHAnsi"/>
          <w:sz w:val="20"/>
          <w:szCs w:val="20"/>
          <w:lang w:val="fr-FR"/>
        </w:rPr>
        <w:t>La Directrice des Recherches en Finance Responsable est membre du comité exécutif et a sous sa responsabilité les équipes d’analyse ESG, d’analyse crédit et de sélection des OPC externes.</w:t>
      </w:r>
    </w:p>
    <w:p w14:paraId="37E2E5F0" w14:textId="77777777" w:rsidR="00B93C3B" w:rsidRPr="00A74D23" w:rsidRDefault="00B93C3B" w:rsidP="009D6EE5">
      <w:pPr>
        <w:spacing w:line="22" w:lineRule="atLeast"/>
        <w:jc w:val="both"/>
        <w:textAlignment w:val="center"/>
        <w:rPr>
          <w:rFonts w:asciiTheme="minorHAnsi" w:hAnsiTheme="minorHAnsi"/>
          <w:sz w:val="20"/>
          <w:szCs w:val="20"/>
          <w:lang w:val="fr-FR"/>
        </w:rPr>
      </w:pPr>
    </w:p>
    <w:p w14:paraId="2D883F02" w14:textId="77777777" w:rsidR="00455777" w:rsidRPr="00A74D23" w:rsidRDefault="00455777" w:rsidP="009D6EE5">
      <w:pPr>
        <w:spacing w:line="22" w:lineRule="atLeast"/>
        <w:jc w:val="both"/>
        <w:rPr>
          <w:rFonts w:asciiTheme="minorHAnsi" w:hAnsiTheme="minorHAnsi"/>
          <w:kern w:val="2"/>
          <w:lang w:val="fr-FR"/>
          <w14:ligatures w14:val="standardContextual"/>
        </w:rPr>
      </w:pPr>
      <w:r w:rsidRPr="00A74D23">
        <w:rPr>
          <w:rFonts w:asciiTheme="minorHAnsi" w:hAnsiTheme="minorHAnsi"/>
          <w:color w:val="000000"/>
          <w:sz w:val="20"/>
          <w:szCs w:val="20"/>
          <w:lang w:val="fr-FR"/>
        </w:rPr>
        <w:t>Cette équipe d’experts intervient sur toute la chaîne de valeur ISR. Elle est rattachée à la direction de la gestion afin de créer de la proximité et d’avoir une meilleure intégration dans les équipes de gestion. Elle conseille et tient un rôle indispensable pour former et diffuser le savoir-faire à l’ensemble de la société de gestion, et ainsi favoriser la bonne mise en œuvre de la stratégie des fonds prenant en compte des indicateurs ESG.</w:t>
      </w:r>
    </w:p>
    <w:p w14:paraId="78012F7E" w14:textId="77777777" w:rsidR="00B93C3B" w:rsidRPr="00A74D23" w:rsidRDefault="00B93C3B" w:rsidP="009D6EE5">
      <w:pPr>
        <w:widowControl w:val="0"/>
        <w:autoSpaceDE w:val="0"/>
        <w:autoSpaceDN w:val="0"/>
        <w:spacing w:line="22" w:lineRule="atLeast"/>
        <w:jc w:val="both"/>
        <w:rPr>
          <w:rFonts w:asciiTheme="minorHAnsi" w:eastAsia="Arial" w:hAnsiTheme="minorHAnsi" w:cs="Prompt Medium"/>
          <w:color w:val="000000"/>
          <w:sz w:val="20"/>
          <w:szCs w:val="20"/>
          <w:lang w:val="fr-FR" w:eastAsia="en-GB" w:bidi="en-GB"/>
        </w:rPr>
      </w:pPr>
      <w:r w:rsidRPr="00A74D23">
        <w:rPr>
          <w:rFonts w:asciiTheme="minorHAnsi" w:eastAsia="Arial" w:hAnsiTheme="minorHAnsi" w:cs="Prompt Medium"/>
          <w:color w:val="000000"/>
          <w:sz w:val="20"/>
          <w:szCs w:val="20"/>
          <w:lang w:val="fr-FR" w:eastAsia="en-GB" w:bidi="en-GB"/>
        </w:rPr>
        <w:t>Elle est composée de 17 membres</w:t>
      </w:r>
      <w:r w:rsidRPr="00A74D23">
        <w:rPr>
          <w:rStyle w:val="Appelnotedebasdep"/>
          <w:rFonts w:asciiTheme="minorHAnsi" w:eastAsia="Arial" w:hAnsiTheme="minorHAnsi" w:cs="Prompt Medium"/>
          <w:color w:val="000000"/>
          <w:sz w:val="20"/>
          <w:szCs w:val="20"/>
          <w:lang w:eastAsia="en-GB" w:bidi="en-GB"/>
        </w:rPr>
        <w:footnoteReference w:id="6"/>
      </w:r>
      <w:r w:rsidRPr="00A74D23">
        <w:rPr>
          <w:rFonts w:asciiTheme="minorHAnsi" w:eastAsia="Arial" w:hAnsiTheme="minorHAnsi" w:cs="Prompt Medium"/>
          <w:color w:val="000000"/>
          <w:sz w:val="20"/>
          <w:szCs w:val="20"/>
          <w:lang w:val="fr-FR" w:eastAsia="en-GB" w:bidi="en-GB"/>
        </w:rPr>
        <w:t xml:space="preserve"> dont : </w:t>
      </w:r>
    </w:p>
    <w:p w14:paraId="6087DB0D" w14:textId="77777777" w:rsidR="00B93C3B" w:rsidRPr="00A74D23" w:rsidRDefault="00B93C3B" w:rsidP="00590DD1">
      <w:pPr>
        <w:pStyle w:val="Paragraphedeliste"/>
        <w:widowControl w:val="0"/>
        <w:numPr>
          <w:ilvl w:val="0"/>
          <w:numId w:val="60"/>
        </w:numPr>
        <w:autoSpaceDE w:val="0"/>
        <w:autoSpaceDN w:val="0"/>
        <w:spacing w:after="0" w:line="22" w:lineRule="atLeast"/>
        <w:ind w:left="714" w:hanging="357"/>
        <w:contextualSpacing w:val="0"/>
        <w:jc w:val="both"/>
        <w:rPr>
          <w:rFonts w:eastAsia="Arial" w:cs="Arial"/>
          <w:color w:val="000000"/>
          <w:sz w:val="20"/>
          <w:szCs w:val="20"/>
          <w:lang w:eastAsia="en-GB" w:bidi="en-GB"/>
        </w:rPr>
      </w:pPr>
      <w:r w:rsidRPr="00A74D23">
        <w:rPr>
          <w:rFonts w:eastAsia="Arial" w:cs="Prompt"/>
          <w:color w:val="000000"/>
          <w:sz w:val="20"/>
          <w:szCs w:val="20"/>
          <w:lang w:eastAsia="en-GB" w:bidi="en-GB"/>
        </w:rPr>
        <w:t>Une directrice de l’analyse ESG</w:t>
      </w:r>
      <w:r w:rsidRPr="00A74D23">
        <w:rPr>
          <w:rFonts w:eastAsia="Arial" w:cs="Arial"/>
          <w:color w:val="000000"/>
          <w:sz w:val="20"/>
          <w:szCs w:val="20"/>
          <w:lang w:eastAsia="en-GB" w:bidi="en-GB"/>
        </w:rPr>
        <w:t xml:space="preserve">, qui supervise </w:t>
      </w:r>
    </w:p>
    <w:p w14:paraId="56EB5950" w14:textId="77777777" w:rsidR="00B93C3B" w:rsidRPr="00A74D23" w:rsidRDefault="00B93C3B" w:rsidP="00590DD1">
      <w:pPr>
        <w:pStyle w:val="Paragraphedeliste"/>
        <w:widowControl w:val="0"/>
        <w:numPr>
          <w:ilvl w:val="0"/>
          <w:numId w:val="103"/>
        </w:numPr>
        <w:autoSpaceDE w:val="0"/>
        <w:autoSpaceDN w:val="0"/>
        <w:spacing w:after="0" w:line="22" w:lineRule="atLeast"/>
        <w:contextualSpacing w:val="0"/>
        <w:jc w:val="both"/>
        <w:rPr>
          <w:rFonts w:eastAsia="Arial" w:cs="Arial"/>
          <w:color w:val="000000"/>
          <w:sz w:val="20"/>
          <w:szCs w:val="20"/>
          <w:lang w:eastAsia="en-GB" w:bidi="en-GB"/>
        </w:rPr>
      </w:pPr>
      <w:r w:rsidRPr="00A74D23">
        <w:rPr>
          <w:rFonts w:eastAsia="Arial" w:cs="Arial"/>
          <w:color w:val="000000"/>
          <w:sz w:val="20"/>
          <w:szCs w:val="20"/>
          <w:lang w:eastAsia="en-GB" w:bidi="en-GB"/>
        </w:rPr>
        <w:t xml:space="preserve">Une analyste en charge de la coordination des actions d’engagement </w:t>
      </w:r>
    </w:p>
    <w:p w14:paraId="1DCE38DE" w14:textId="77777777" w:rsidR="00B93C3B" w:rsidRPr="00A74D23" w:rsidRDefault="00B93C3B" w:rsidP="00590DD1">
      <w:pPr>
        <w:pStyle w:val="Paragraphedeliste"/>
        <w:widowControl w:val="0"/>
        <w:numPr>
          <w:ilvl w:val="0"/>
          <w:numId w:val="103"/>
        </w:numPr>
        <w:autoSpaceDE w:val="0"/>
        <w:autoSpaceDN w:val="0"/>
        <w:spacing w:after="0" w:line="22" w:lineRule="atLeast"/>
        <w:contextualSpacing w:val="0"/>
        <w:jc w:val="both"/>
        <w:rPr>
          <w:rFonts w:eastAsia="Arial" w:cs="Arial"/>
          <w:color w:val="000000"/>
          <w:sz w:val="20"/>
          <w:szCs w:val="20"/>
          <w:lang w:eastAsia="en-GB" w:bidi="en-GB"/>
        </w:rPr>
      </w:pPr>
      <w:r w:rsidRPr="00A74D23">
        <w:rPr>
          <w:rFonts w:eastAsia="Arial" w:cs="Arial"/>
          <w:color w:val="000000"/>
          <w:sz w:val="20"/>
          <w:szCs w:val="20"/>
          <w:lang w:eastAsia="en-GB" w:bidi="en-GB"/>
        </w:rPr>
        <w:t xml:space="preserve">Un analyste en charge de la coordination des votes </w:t>
      </w:r>
    </w:p>
    <w:p w14:paraId="0B685838" w14:textId="77777777" w:rsidR="00B93C3B" w:rsidRPr="00A74D23" w:rsidRDefault="00B93C3B" w:rsidP="00590DD1">
      <w:pPr>
        <w:pStyle w:val="Paragraphedeliste"/>
        <w:widowControl w:val="0"/>
        <w:numPr>
          <w:ilvl w:val="0"/>
          <w:numId w:val="103"/>
        </w:numPr>
        <w:autoSpaceDE w:val="0"/>
        <w:autoSpaceDN w:val="0"/>
        <w:spacing w:after="0" w:line="22" w:lineRule="atLeast"/>
        <w:contextualSpacing w:val="0"/>
        <w:jc w:val="both"/>
        <w:rPr>
          <w:rFonts w:eastAsia="Arial" w:cs="Arial"/>
          <w:color w:val="000000"/>
          <w:sz w:val="20"/>
          <w:szCs w:val="20"/>
          <w:lang w:eastAsia="en-GB" w:bidi="en-GB"/>
        </w:rPr>
      </w:pPr>
      <w:r w:rsidRPr="00A74D23">
        <w:rPr>
          <w:rFonts w:eastAsia="Arial" w:cs="Arial"/>
          <w:color w:val="000000"/>
          <w:sz w:val="20"/>
          <w:szCs w:val="20"/>
          <w:lang w:eastAsia="en-GB" w:bidi="en-GB"/>
        </w:rPr>
        <w:t xml:space="preserve">Six analystes ESG, avec des spécialités sectorielles et thématiques </w:t>
      </w:r>
    </w:p>
    <w:p w14:paraId="3D0D1F55" w14:textId="77777777" w:rsidR="00B93C3B" w:rsidRPr="00A74D23" w:rsidRDefault="00B93C3B" w:rsidP="00590DD1">
      <w:pPr>
        <w:pStyle w:val="Paragraphedeliste"/>
        <w:widowControl w:val="0"/>
        <w:numPr>
          <w:ilvl w:val="0"/>
          <w:numId w:val="103"/>
        </w:numPr>
        <w:autoSpaceDE w:val="0"/>
        <w:autoSpaceDN w:val="0"/>
        <w:spacing w:after="0" w:line="22" w:lineRule="atLeast"/>
        <w:contextualSpacing w:val="0"/>
        <w:jc w:val="both"/>
        <w:rPr>
          <w:rFonts w:eastAsia="Arial" w:cs="Arial"/>
          <w:color w:val="000000"/>
          <w:sz w:val="20"/>
          <w:szCs w:val="20"/>
          <w:lang w:eastAsia="en-GB" w:bidi="en-GB"/>
        </w:rPr>
      </w:pPr>
      <w:r w:rsidRPr="00A74D23">
        <w:rPr>
          <w:rFonts w:eastAsia="Arial" w:cs="Arial"/>
          <w:color w:val="000000"/>
          <w:sz w:val="20"/>
          <w:szCs w:val="20"/>
          <w:lang w:eastAsia="en-GB" w:bidi="en-GB"/>
        </w:rPr>
        <w:t xml:space="preserve">Un analyste ESG en charge des obligations durables </w:t>
      </w:r>
    </w:p>
    <w:p w14:paraId="3B77C231" w14:textId="77777777" w:rsidR="00B93C3B" w:rsidRPr="00A74D23" w:rsidRDefault="00B93C3B" w:rsidP="00590DD1">
      <w:pPr>
        <w:pStyle w:val="Paragraphedeliste"/>
        <w:widowControl w:val="0"/>
        <w:numPr>
          <w:ilvl w:val="0"/>
          <w:numId w:val="103"/>
        </w:numPr>
        <w:autoSpaceDE w:val="0"/>
        <w:autoSpaceDN w:val="0"/>
        <w:spacing w:after="0" w:line="22" w:lineRule="atLeast"/>
        <w:contextualSpacing w:val="0"/>
        <w:jc w:val="both"/>
        <w:rPr>
          <w:rFonts w:eastAsia="Arial" w:cs="Arial"/>
          <w:color w:val="000000"/>
          <w:sz w:val="20"/>
          <w:szCs w:val="20"/>
          <w:lang w:eastAsia="en-GB" w:bidi="en-GB"/>
        </w:rPr>
      </w:pPr>
      <w:r w:rsidRPr="00A74D23">
        <w:rPr>
          <w:rFonts w:eastAsia="Arial" w:cs="Arial"/>
          <w:color w:val="000000"/>
          <w:sz w:val="20"/>
          <w:szCs w:val="20"/>
          <w:lang w:eastAsia="en-GB" w:bidi="en-GB"/>
        </w:rPr>
        <w:t xml:space="preserve">Un alternant high yield </w:t>
      </w:r>
    </w:p>
    <w:p w14:paraId="7C61A21F" w14:textId="77777777" w:rsidR="00B93C3B" w:rsidRPr="00A74D23" w:rsidRDefault="00B93C3B" w:rsidP="009D6EE5">
      <w:pPr>
        <w:pStyle w:val="Paragraphedeliste"/>
        <w:widowControl w:val="0"/>
        <w:autoSpaceDE w:val="0"/>
        <w:autoSpaceDN w:val="0"/>
        <w:spacing w:after="0" w:line="22" w:lineRule="atLeast"/>
        <w:ind w:left="1135"/>
        <w:contextualSpacing w:val="0"/>
        <w:jc w:val="both"/>
        <w:rPr>
          <w:rFonts w:eastAsia="Arial" w:cs="Arial"/>
          <w:color w:val="000000"/>
          <w:sz w:val="20"/>
          <w:szCs w:val="20"/>
          <w:lang w:eastAsia="en-GB" w:bidi="en-GB"/>
        </w:rPr>
      </w:pPr>
      <w:r w:rsidRPr="00A74D23">
        <w:rPr>
          <w:rFonts w:eastAsia="Arial" w:cs="Arial"/>
          <w:color w:val="000000"/>
          <w:sz w:val="20"/>
          <w:szCs w:val="20"/>
          <w:lang w:eastAsia="en-GB" w:bidi="en-GB"/>
        </w:rPr>
        <w:t xml:space="preserve"> </w:t>
      </w:r>
    </w:p>
    <w:p w14:paraId="489574AD" w14:textId="77777777" w:rsidR="00B93C3B" w:rsidRPr="00A74D23" w:rsidRDefault="00B93C3B" w:rsidP="00590DD1">
      <w:pPr>
        <w:pStyle w:val="Paragraphedeliste"/>
        <w:widowControl w:val="0"/>
        <w:numPr>
          <w:ilvl w:val="0"/>
          <w:numId w:val="60"/>
        </w:numPr>
        <w:autoSpaceDE w:val="0"/>
        <w:autoSpaceDN w:val="0"/>
        <w:spacing w:after="0" w:line="22" w:lineRule="atLeast"/>
        <w:ind w:left="714" w:hanging="357"/>
        <w:contextualSpacing w:val="0"/>
        <w:jc w:val="both"/>
        <w:rPr>
          <w:rFonts w:eastAsia="Arial" w:cs="Arial"/>
          <w:color w:val="000000"/>
          <w:sz w:val="20"/>
          <w:szCs w:val="20"/>
          <w:lang w:eastAsia="en-GB" w:bidi="en-GB"/>
        </w:rPr>
      </w:pPr>
      <w:r w:rsidRPr="00A74D23">
        <w:rPr>
          <w:rFonts w:eastAsia="Arial" w:cs="Prompt"/>
          <w:color w:val="000000"/>
          <w:sz w:val="20"/>
          <w:szCs w:val="20"/>
          <w:lang w:eastAsia="en-GB" w:bidi="en-GB"/>
        </w:rPr>
        <w:t>Un directeur modélisation et solutions ESG</w:t>
      </w:r>
      <w:r w:rsidRPr="00A74D23">
        <w:rPr>
          <w:rFonts w:eastAsia="Arial" w:cs="Arial"/>
          <w:color w:val="000000"/>
          <w:sz w:val="20"/>
          <w:szCs w:val="20"/>
          <w:lang w:eastAsia="en-GB" w:bidi="en-GB"/>
        </w:rPr>
        <w:t>, qui supervise</w:t>
      </w:r>
      <w:r w:rsidRPr="00A74D23">
        <w:rPr>
          <w:rFonts w:eastAsia="Arial" w:cs="Times New Roman"/>
          <w:color w:val="000000"/>
          <w:sz w:val="20"/>
          <w:szCs w:val="20"/>
          <w:lang w:eastAsia="en-GB" w:bidi="en-GB"/>
        </w:rPr>
        <w:t> </w:t>
      </w:r>
      <w:r w:rsidRPr="00A74D23">
        <w:rPr>
          <w:rFonts w:eastAsia="Arial" w:cs="Arial"/>
          <w:color w:val="000000"/>
          <w:sz w:val="20"/>
          <w:szCs w:val="20"/>
          <w:lang w:eastAsia="en-GB" w:bidi="en-GB"/>
        </w:rPr>
        <w:t xml:space="preserve">: </w:t>
      </w:r>
    </w:p>
    <w:p w14:paraId="28A9DC9A" w14:textId="77777777" w:rsidR="00B93C3B" w:rsidRPr="00A74D23" w:rsidRDefault="00B93C3B" w:rsidP="00590DD1">
      <w:pPr>
        <w:pStyle w:val="Paragraphedeliste"/>
        <w:widowControl w:val="0"/>
        <w:numPr>
          <w:ilvl w:val="0"/>
          <w:numId w:val="104"/>
        </w:numPr>
        <w:autoSpaceDE w:val="0"/>
        <w:autoSpaceDN w:val="0"/>
        <w:spacing w:after="0" w:line="22" w:lineRule="atLeast"/>
        <w:contextualSpacing w:val="0"/>
        <w:jc w:val="both"/>
        <w:rPr>
          <w:rFonts w:eastAsia="Arial" w:cs="Arial"/>
          <w:color w:val="000000"/>
          <w:sz w:val="20"/>
          <w:szCs w:val="20"/>
          <w:lang w:eastAsia="en-GB" w:bidi="en-GB"/>
        </w:rPr>
      </w:pPr>
      <w:r w:rsidRPr="00A74D23">
        <w:rPr>
          <w:rFonts w:eastAsia="Arial" w:cs="Arial"/>
          <w:color w:val="000000"/>
          <w:sz w:val="20"/>
          <w:szCs w:val="20"/>
          <w:lang w:eastAsia="en-GB" w:bidi="en-GB"/>
        </w:rPr>
        <w:t xml:space="preserve">Deux analystes quantitatifs </w:t>
      </w:r>
    </w:p>
    <w:p w14:paraId="1780CBED" w14:textId="77777777" w:rsidR="00B93C3B" w:rsidRPr="00A74D23" w:rsidRDefault="00B93C3B" w:rsidP="00590DD1">
      <w:pPr>
        <w:pStyle w:val="Paragraphedeliste"/>
        <w:widowControl w:val="0"/>
        <w:numPr>
          <w:ilvl w:val="0"/>
          <w:numId w:val="104"/>
        </w:numPr>
        <w:autoSpaceDE w:val="0"/>
        <w:autoSpaceDN w:val="0"/>
        <w:spacing w:after="0" w:line="22" w:lineRule="atLeast"/>
        <w:contextualSpacing w:val="0"/>
        <w:jc w:val="both"/>
        <w:rPr>
          <w:rFonts w:eastAsia="Arial" w:cs="Arial"/>
          <w:color w:val="000000"/>
          <w:sz w:val="20"/>
          <w:szCs w:val="20"/>
          <w:lang w:eastAsia="en-GB" w:bidi="en-GB"/>
        </w:rPr>
      </w:pPr>
      <w:r w:rsidRPr="00A74D23">
        <w:rPr>
          <w:rFonts w:eastAsia="Arial" w:cs="Arial"/>
          <w:color w:val="000000"/>
          <w:sz w:val="20"/>
          <w:szCs w:val="20"/>
          <w:lang w:eastAsia="en-GB" w:bidi="en-GB"/>
        </w:rPr>
        <w:t>Deux analystes solutions</w:t>
      </w:r>
    </w:p>
    <w:p w14:paraId="431BFD9E" w14:textId="77777777" w:rsidR="00B93C3B" w:rsidRPr="00A74D23" w:rsidRDefault="00B93C3B" w:rsidP="00590DD1">
      <w:pPr>
        <w:pStyle w:val="Paragraphedeliste"/>
        <w:widowControl w:val="0"/>
        <w:numPr>
          <w:ilvl w:val="0"/>
          <w:numId w:val="104"/>
        </w:numPr>
        <w:autoSpaceDE w:val="0"/>
        <w:autoSpaceDN w:val="0"/>
        <w:spacing w:after="0" w:line="22" w:lineRule="atLeast"/>
        <w:contextualSpacing w:val="0"/>
        <w:jc w:val="both"/>
        <w:rPr>
          <w:rFonts w:eastAsia="Arial" w:cs="Arial"/>
          <w:color w:val="000000"/>
          <w:sz w:val="20"/>
          <w:szCs w:val="20"/>
          <w:lang w:eastAsia="en-GB" w:bidi="en-GB"/>
        </w:rPr>
      </w:pPr>
      <w:r w:rsidRPr="00A74D23">
        <w:rPr>
          <w:rFonts w:eastAsia="Arial" w:cs="Arial"/>
          <w:color w:val="000000"/>
          <w:sz w:val="20"/>
          <w:szCs w:val="20"/>
          <w:lang w:eastAsia="en-GB" w:bidi="en-GB"/>
        </w:rPr>
        <w:t>Un CDD pour les travaux liés à la CSRD</w:t>
      </w:r>
      <w:r w:rsidRPr="00A74D23">
        <w:rPr>
          <w:rStyle w:val="Appelnotedebasdep"/>
          <w:rFonts w:eastAsia="Arial" w:cs="Arial"/>
          <w:color w:val="000000"/>
          <w:sz w:val="20"/>
          <w:szCs w:val="20"/>
          <w:lang w:eastAsia="en-GB" w:bidi="en-GB"/>
        </w:rPr>
        <w:footnoteReference w:id="7"/>
      </w:r>
    </w:p>
    <w:p w14:paraId="23DD6AEB" w14:textId="77777777" w:rsidR="00B93C3B" w:rsidRPr="00A74D23" w:rsidRDefault="00B93C3B" w:rsidP="009D6EE5">
      <w:pPr>
        <w:widowControl w:val="0"/>
        <w:autoSpaceDE w:val="0"/>
        <w:autoSpaceDN w:val="0"/>
        <w:spacing w:before="240" w:line="22" w:lineRule="atLeast"/>
        <w:jc w:val="both"/>
        <w:rPr>
          <w:rFonts w:asciiTheme="minorHAnsi" w:eastAsia="Arial" w:hAnsiTheme="minorHAnsi" w:cs="Prompt Medium"/>
          <w:color w:val="000000"/>
          <w:sz w:val="20"/>
          <w:szCs w:val="20"/>
          <w:lang w:val="fr-FR" w:eastAsia="en-GB" w:bidi="en-GB"/>
        </w:rPr>
      </w:pPr>
      <w:r w:rsidRPr="00A74D23">
        <w:rPr>
          <w:rFonts w:asciiTheme="minorHAnsi" w:eastAsia="Arial" w:hAnsiTheme="minorHAnsi" w:cs="Prompt Medium"/>
          <w:color w:val="000000"/>
          <w:sz w:val="20"/>
          <w:szCs w:val="20"/>
          <w:lang w:val="fr-FR" w:eastAsia="en-GB" w:bidi="en-GB"/>
        </w:rPr>
        <w:t xml:space="preserve">Les principales missions assignées à cette équipe sont : </w:t>
      </w:r>
    </w:p>
    <w:p w14:paraId="005B8F05" w14:textId="77777777" w:rsidR="00B93C3B" w:rsidRPr="00A74D23" w:rsidRDefault="00B93C3B" w:rsidP="00590DD1">
      <w:pPr>
        <w:pStyle w:val="Paragraphedeliste"/>
        <w:widowControl w:val="0"/>
        <w:numPr>
          <w:ilvl w:val="0"/>
          <w:numId w:val="60"/>
        </w:numPr>
        <w:autoSpaceDE w:val="0"/>
        <w:autoSpaceDN w:val="0"/>
        <w:spacing w:after="0" w:line="22" w:lineRule="atLeast"/>
        <w:ind w:left="714" w:hanging="357"/>
        <w:contextualSpacing w:val="0"/>
        <w:jc w:val="both"/>
        <w:rPr>
          <w:rFonts w:eastAsia="Arial" w:cs="Prompt"/>
          <w:color w:val="000000"/>
          <w:sz w:val="20"/>
          <w:szCs w:val="20"/>
          <w:lang w:eastAsia="en-GB" w:bidi="en-GB"/>
        </w:rPr>
      </w:pPr>
      <w:r w:rsidRPr="00A74D23">
        <w:rPr>
          <w:rFonts w:eastAsia="Arial" w:cs="Prompt"/>
          <w:color w:val="000000"/>
          <w:sz w:val="20"/>
          <w:szCs w:val="20"/>
          <w:lang w:eastAsia="en-GB" w:bidi="en-GB"/>
        </w:rPr>
        <w:t>Sur le volet qualitatif</w:t>
      </w:r>
      <w:r w:rsidRPr="00A74D23">
        <w:rPr>
          <w:rFonts w:eastAsia="Arial" w:cs="Times New Roman"/>
          <w:color w:val="000000"/>
          <w:sz w:val="20"/>
          <w:szCs w:val="20"/>
          <w:lang w:eastAsia="en-GB" w:bidi="en-GB"/>
        </w:rPr>
        <w:t> </w:t>
      </w:r>
      <w:r w:rsidRPr="00A74D23">
        <w:rPr>
          <w:rFonts w:eastAsia="Arial" w:cs="Prompt"/>
          <w:color w:val="000000"/>
          <w:sz w:val="20"/>
          <w:szCs w:val="20"/>
          <w:lang w:eastAsia="en-GB" w:bidi="en-GB"/>
        </w:rPr>
        <w:t xml:space="preserve">: </w:t>
      </w:r>
    </w:p>
    <w:p w14:paraId="538A5788" w14:textId="77777777" w:rsidR="00B93C3B" w:rsidRPr="00A74D23" w:rsidRDefault="00B93C3B" w:rsidP="00590DD1">
      <w:pPr>
        <w:pStyle w:val="Paragraphedeliste"/>
        <w:widowControl w:val="0"/>
        <w:numPr>
          <w:ilvl w:val="0"/>
          <w:numId w:val="105"/>
        </w:numPr>
        <w:autoSpaceDE w:val="0"/>
        <w:autoSpaceDN w:val="0"/>
        <w:spacing w:after="0" w:line="22" w:lineRule="atLeast"/>
        <w:ind w:left="1134"/>
        <w:contextualSpacing w:val="0"/>
        <w:jc w:val="both"/>
        <w:rPr>
          <w:rFonts w:eastAsia="Arial" w:cs="Arial"/>
          <w:color w:val="000000"/>
          <w:sz w:val="20"/>
          <w:szCs w:val="20"/>
          <w:lang w:eastAsia="en-GB" w:bidi="en-GB"/>
        </w:rPr>
      </w:pPr>
      <w:r w:rsidRPr="00A74D23">
        <w:rPr>
          <w:rFonts w:eastAsia="Arial" w:cs="Arial"/>
          <w:color w:val="000000"/>
          <w:sz w:val="20"/>
          <w:szCs w:val="20"/>
          <w:lang w:eastAsia="en-GB" w:bidi="en-GB"/>
        </w:rPr>
        <w:t xml:space="preserve">Couvrir et affiner l’analyse ESG des émetteurs présents dans nos univers d’investissement ; </w:t>
      </w:r>
    </w:p>
    <w:p w14:paraId="7E7C6411" w14:textId="77777777" w:rsidR="0039648E" w:rsidRPr="00A74D23" w:rsidRDefault="00B93C3B" w:rsidP="00590DD1">
      <w:pPr>
        <w:pStyle w:val="Paragraphedeliste"/>
        <w:widowControl w:val="0"/>
        <w:numPr>
          <w:ilvl w:val="0"/>
          <w:numId w:val="105"/>
        </w:numPr>
        <w:autoSpaceDE w:val="0"/>
        <w:autoSpaceDN w:val="0"/>
        <w:spacing w:after="0" w:line="22" w:lineRule="atLeast"/>
        <w:ind w:left="1134"/>
        <w:contextualSpacing w:val="0"/>
        <w:jc w:val="both"/>
        <w:rPr>
          <w:rFonts w:eastAsia="Arial" w:cs="Arial"/>
          <w:color w:val="000000"/>
          <w:sz w:val="20"/>
          <w:szCs w:val="20"/>
          <w:lang w:eastAsia="en-GB" w:bidi="en-GB"/>
        </w:rPr>
      </w:pPr>
      <w:r w:rsidRPr="00A74D23">
        <w:rPr>
          <w:rFonts w:eastAsia="Arial" w:cs="Arial"/>
          <w:color w:val="000000"/>
          <w:sz w:val="20"/>
          <w:szCs w:val="20"/>
          <w:lang w:eastAsia="en-GB" w:bidi="en-GB"/>
        </w:rPr>
        <w:t>Créer des référentiels d’évaluation extra-financiers des émetteurs, notamment sur le volet climatique, biodiversité et social</w:t>
      </w:r>
      <w:r w:rsidRPr="00A74D23">
        <w:rPr>
          <w:rFonts w:eastAsia="Arial" w:cs="Times New Roman"/>
          <w:color w:val="000000"/>
          <w:sz w:val="20"/>
          <w:szCs w:val="20"/>
          <w:lang w:eastAsia="en-GB" w:bidi="en-GB"/>
        </w:rPr>
        <w:t> </w:t>
      </w:r>
    </w:p>
    <w:p w14:paraId="680CEDF0" w14:textId="77777777" w:rsidR="0039648E" w:rsidRPr="00A74D23" w:rsidRDefault="00455777" w:rsidP="00590DD1">
      <w:pPr>
        <w:pStyle w:val="Paragraphedeliste"/>
        <w:widowControl w:val="0"/>
        <w:numPr>
          <w:ilvl w:val="0"/>
          <w:numId w:val="105"/>
        </w:numPr>
        <w:autoSpaceDE w:val="0"/>
        <w:autoSpaceDN w:val="0"/>
        <w:spacing w:after="0" w:line="22" w:lineRule="atLeast"/>
        <w:ind w:left="1134"/>
        <w:contextualSpacing w:val="0"/>
        <w:jc w:val="both"/>
        <w:rPr>
          <w:rFonts w:eastAsia="Arial" w:cs="Arial"/>
          <w:color w:val="000000"/>
          <w:sz w:val="20"/>
          <w:szCs w:val="20"/>
          <w:lang w:eastAsia="en-GB" w:bidi="en-GB"/>
        </w:rPr>
      </w:pPr>
      <w:r w:rsidRPr="00A74D23">
        <w:rPr>
          <w:sz w:val="20"/>
          <w:szCs w:val="20"/>
        </w:rPr>
        <w:t xml:space="preserve">Analyser les obligations durables et créer le référentiel d’évaluation associé </w:t>
      </w:r>
    </w:p>
    <w:p w14:paraId="2C53F36F" w14:textId="5E5B1A4D" w:rsidR="00455777" w:rsidRPr="00A74D23" w:rsidRDefault="00455777" w:rsidP="00590DD1">
      <w:pPr>
        <w:pStyle w:val="Paragraphedeliste"/>
        <w:widowControl w:val="0"/>
        <w:numPr>
          <w:ilvl w:val="0"/>
          <w:numId w:val="105"/>
        </w:numPr>
        <w:autoSpaceDE w:val="0"/>
        <w:autoSpaceDN w:val="0"/>
        <w:spacing w:after="0" w:line="22" w:lineRule="atLeast"/>
        <w:ind w:left="1134"/>
        <w:contextualSpacing w:val="0"/>
        <w:jc w:val="both"/>
        <w:rPr>
          <w:rFonts w:eastAsia="Arial" w:cs="Arial"/>
          <w:color w:val="000000"/>
          <w:sz w:val="20"/>
          <w:szCs w:val="20"/>
          <w:lang w:eastAsia="en-GB" w:bidi="en-GB"/>
        </w:rPr>
      </w:pPr>
      <w:r w:rsidRPr="00A74D23">
        <w:rPr>
          <w:sz w:val="20"/>
          <w:szCs w:val="20"/>
        </w:rPr>
        <w:t xml:space="preserve">Rédiger des documents de recherche thématiques et sectorielles ; </w:t>
      </w:r>
    </w:p>
    <w:p w14:paraId="1563AE3F" w14:textId="77777777" w:rsidR="00B93C3B" w:rsidRPr="00A74D23" w:rsidRDefault="00B93C3B" w:rsidP="00590DD1">
      <w:pPr>
        <w:pStyle w:val="Paragraphedeliste"/>
        <w:widowControl w:val="0"/>
        <w:numPr>
          <w:ilvl w:val="0"/>
          <w:numId w:val="105"/>
        </w:numPr>
        <w:autoSpaceDE w:val="0"/>
        <w:autoSpaceDN w:val="0"/>
        <w:spacing w:after="0" w:line="22" w:lineRule="atLeast"/>
        <w:ind w:left="1134"/>
        <w:contextualSpacing w:val="0"/>
        <w:jc w:val="both"/>
        <w:rPr>
          <w:rFonts w:eastAsia="Arial" w:cs="Arial"/>
          <w:color w:val="000000"/>
          <w:sz w:val="20"/>
          <w:szCs w:val="20"/>
          <w:lang w:eastAsia="en-GB" w:bidi="en-GB"/>
        </w:rPr>
      </w:pPr>
      <w:r w:rsidRPr="00A74D23">
        <w:rPr>
          <w:rFonts w:eastAsia="Arial" w:cs="Arial"/>
          <w:color w:val="000000"/>
          <w:sz w:val="20"/>
          <w:szCs w:val="20"/>
          <w:lang w:eastAsia="en-GB" w:bidi="en-GB"/>
        </w:rPr>
        <w:t xml:space="preserve">Intégrer et former les collaborateurs sur les problématiques liées au climat, à la transition énergétique, à la biodiversité et aux enjeux sociaux et sociétaux ; </w:t>
      </w:r>
    </w:p>
    <w:p w14:paraId="2C2066CD" w14:textId="77777777" w:rsidR="00B93C3B" w:rsidRPr="00A74D23" w:rsidRDefault="00B93C3B" w:rsidP="00590DD1">
      <w:pPr>
        <w:pStyle w:val="Paragraphedeliste"/>
        <w:widowControl w:val="0"/>
        <w:numPr>
          <w:ilvl w:val="0"/>
          <w:numId w:val="105"/>
        </w:numPr>
        <w:autoSpaceDE w:val="0"/>
        <w:autoSpaceDN w:val="0"/>
        <w:spacing w:after="0" w:line="22" w:lineRule="atLeast"/>
        <w:ind w:left="1134"/>
        <w:contextualSpacing w:val="0"/>
        <w:jc w:val="both"/>
        <w:rPr>
          <w:rFonts w:eastAsia="Arial" w:cs="Arial"/>
          <w:color w:val="000000"/>
          <w:sz w:val="20"/>
          <w:szCs w:val="20"/>
          <w:lang w:eastAsia="en-GB" w:bidi="en-GB"/>
        </w:rPr>
      </w:pPr>
      <w:r w:rsidRPr="00A74D23">
        <w:rPr>
          <w:rFonts w:eastAsia="Arial" w:cs="Arial"/>
          <w:color w:val="000000"/>
          <w:sz w:val="20"/>
          <w:szCs w:val="20"/>
          <w:lang w:eastAsia="en-GB" w:bidi="en-GB"/>
        </w:rPr>
        <w:t>Participer activement aux initiatives de place liées à l’ESG (PRI, IIGCC…)</w:t>
      </w:r>
      <w:r w:rsidRPr="00A74D23">
        <w:rPr>
          <w:rFonts w:eastAsia="Arial" w:cs="Times New Roman"/>
          <w:color w:val="000000"/>
          <w:sz w:val="20"/>
          <w:szCs w:val="20"/>
          <w:lang w:eastAsia="en-GB" w:bidi="en-GB"/>
        </w:rPr>
        <w:t> </w:t>
      </w:r>
      <w:r w:rsidRPr="00A74D23">
        <w:rPr>
          <w:rFonts w:eastAsia="Arial" w:cs="Arial"/>
          <w:color w:val="000000"/>
          <w:sz w:val="20"/>
          <w:szCs w:val="20"/>
          <w:lang w:eastAsia="en-GB" w:bidi="en-GB"/>
        </w:rPr>
        <w:t xml:space="preserve">; </w:t>
      </w:r>
    </w:p>
    <w:p w14:paraId="72149DFC" w14:textId="77777777" w:rsidR="00B93C3B" w:rsidRPr="00A74D23" w:rsidRDefault="00B93C3B" w:rsidP="00590DD1">
      <w:pPr>
        <w:pStyle w:val="Paragraphedeliste"/>
        <w:widowControl w:val="0"/>
        <w:numPr>
          <w:ilvl w:val="0"/>
          <w:numId w:val="105"/>
        </w:numPr>
        <w:autoSpaceDE w:val="0"/>
        <w:autoSpaceDN w:val="0"/>
        <w:spacing w:after="0" w:line="22" w:lineRule="atLeast"/>
        <w:ind w:left="1134"/>
        <w:contextualSpacing w:val="0"/>
        <w:jc w:val="both"/>
        <w:rPr>
          <w:rFonts w:eastAsia="Arial" w:cs="Arial"/>
          <w:color w:val="000000"/>
          <w:sz w:val="20"/>
          <w:szCs w:val="20"/>
          <w:lang w:eastAsia="en-GB" w:bidi="en-GB"/>
        </w:rPr>
      </w:pPr>
      <w:r w:rsidRPr="00A74D23">
        <w:rPr>
          <w:rFonts w:eastAsia="Arial" w:cs="Arial"/>
          <w:color w:val="000000"/>
          <w:sz w:val="20"/>
          <w:szCs w:val="20"/>
          <w:lang w:eastAsia="en-GB" w:bidi="en-GB"/>
        </w:rPr>
        <w:t>Dialoguer avec les émetteurs via des actions d’engagement</w:t>
      </w:r>
      <w:r w:rsidRPr="00A74D23">
        <w:rPr>
          <w:rFonts w:eastAsia="Arial" w:cs="Times New Roman"/>
          <w:color w:val="000000"/>
          <w:sz w:val="20"/>
          <w:szCs w:val="20"/>
          <w:lang w:eastAsia="en-GB" w:bidi="en-GB"/>
        </w:rPr>
        <w:t> </w:t>
      </w:r>
      <w:r w:rsidRPr="00A74D23">
        <w:rPr>
          <w:rFonts w:eastAsia="Arial" w:cs="Arial"/>
          <w:color w:val="000000"/>
          <w:sz w:val="20"/>
          <w:szCs w:val="20"/>
          <w:lang w:eastAsia="en-GB" w:bidi="en-GB"/>
        </w:rPr>
        <w:t xml:space="preserve">; </w:t>
      </w:r>
    </w:p>
    <w:p w14:paraId="1BFDD2BF" w14:textId="77777777" w:rsidR="00B93C3B" w:rsidRPr="00A74D23" w:rsidRDefault="00B93C3B" w:rsidP="00590DD1">
      <w:pPr>
        <w:pStyle w:val="Paragraphedeliste"/>
        <w:widowControl w:val="0"/>
        <w:numPr>
          <w:ilvl w:val="0"/>
          <w:numId w:val="105"/>
        </w:numPr>
        <w:autoSpaceDE w:val="0"/>
        <w:autoSpaceDN w:val="0"/>
        <w:spacing w:after="0" w:line="22" w:lineRule="atLeast"/>
        <w:ind w:left="1134"/>
        <w:contextualSpacing w:val="0"/>
        <w:jc w:val="both"/>
        <w:rPr>
          <w:rFonts w:eastAsia="Arial" w:cs="Arial"/>
          <w:color w:val="000000"/>
          <w:sz w:val="20"/>
          <w:szCs w:val="20"/>
          <w:lang w:eastAsia="en-GB" w:bidi="en-GB"/>
        </w:rPr>
      </w:pPr>
      <w:r w:rsidRPr="00A74D23">
        <w:rPr>
          <w:rFonts w:eastAsia="Arial" w:cs="Arial"/>
          <w:color w:val="000000"/>
          <w:sz w:val="20"/>
          <w:szCs w:val="20"/>
          <w:lang w:eastAsia="en-GB" w:bidi="en-GB"/>
        </w:rPr>
        <w:t xml:space="preserve">Voter aux assemblées générales. </w:t>
      </w:r>
    </w:p>
    <w:p w14:paraId="738AA926" w14:textId="77777777" w:rsidR="00B93C3B" w:rsidRPr="00A74D23" w:rsidRDefault="00B93C3B" w:rsidP="00590DD1">
      <w:pPr>
        <w:pStyle w:val="Paragraphedeliste"/>
        <w:widowControl w:val="0"/>
        <w:numPr>
          <w:ilvl w:val="0"/>
          <w:numId w:val="60"/>
        </w:numPr>
        <w:autoSpaceDE w:val="0"/>
        <w:autoSpaceDN w:val="0"/>
        <w:spacing w:after="0" w:line="22" w:lineRule="atLeast"/>
        <w:ind w:left="714" w:hanging="357"/>
        <w:contextualSpacing w:val="0"/>
        <w:jc w:val="both"/>
        <w:rPr>
          <w:rFonts w:eastAsia="Arial" w:cs="Prompt"/>
          <w:color w:val="000000"/>
          <w:sz w:val="20"/>
          <w:szCs w:val="20"/>
          <w:lang w:eastAsia="en-GB" w:bidi="en-GB"/>
        </w:rPr>
      </w:pPr>
      <w:r w:rsidRPr="00A74D23">
        <w:rPr>
          <w:rFonts w:eastAsia="Arial" w:cs="Prompt"/>
          <w:color w:val="000000" w:themeColor="text1"/>
          <w:sz w:val="20"/>
          <w:szCs w:val="20"/>
          <w:lang w:eastAsia="en-GB" w:bidi="en-GB"/>
        </w:rPr>
        <w:t>Sur le volet quantitatif et solutions :</w:t>
      </w:r>
    </w:p>
    <w:p w14:paraId="298806C0" w14:textId="77777777" w:rsidR="00B93C3B" w:rsidRPr="00A74D23" w:rsidRDefault="00B93C3B" w:rsidP="00590DD1">
      <w:pPr>
        <w:pStyle w:val="Paragraphedeliste"/>
        <w:widowControl w:val="0"/>
        <w:numPr>
          <w:ilvl w:val="0"/>
          <w:numId w:val="106"/>
        </w:numPr>
        <w:autoSpaceDE w:val="0"/>
        <w:autoSpaceDN w:val="0"/>
        <w:spacing w:after="0" w:line="22" w:lineRule="atLeast"/>
        <w:ind w:left="1134"/>
        <w:contextualSpacing w:val="0"/>
        <w:jc w:val="both"/>
        <w:rPr>
          <w:rFonts w:eastAsia="Arial" w:cs="Arial"/>
          <w:color w:val="000000"/>
          <w:sz w:val="20"/>
          <w:szCs w:val="20"/>
          <w:lang w:eastAsia="en-GB" w:bidi="en-GB"/>
        </w:rPr>
      </w:pPr>
      <w:r w:rsidRPr="00A74D23">
        <w:rPr>
          <w:rFonts w:eastAsia="Arial" w:cs="Arial"/>
          <w:color w:val="000000"/>
          <w:sz w:val="20"/>
          <w:szCs w:val="20"/>
          <w:lang w:eastAsia="en-GB" w:bidi="en-GB"/>
        </w:rPr>
        <w:t>Modéliser les données quantitatives pour le suivi des objectifs liés à l’ESG</w:t>
      </w:r>
      <w:r w:rsidRPr="00A74D23">
        <w:rPr>
          <w:rFonts w:eastAsia="Arial" w:cs="Times New Roman"/>
          <w:color w:val="000000"/>
          <w:sz w:val="20"/>
          <w:szCs w:val="20"/>
          <w:lang w:eastAsia="en-GB" w:bidi="en-GB"/>
        </w:rPr>
        <w:t> </w:t>
      </w:r>
      <w:r w:rsidRPr="00A74D23">
        <w:rPr>
          <w:rFonts w:eastAsia="Arial" w:cs="Arial"/>
          <w:color w:val="000000"/>
          <w:sz w:val="20"/>
          <w:szCs w:val="20"/>
          <w:lang w:eastAsia="en-GB" w:bidi="en-GB"/>
        </w:rPr>
        <w:t xml:space="preserve">; </w:t>
      </w:r>
    </w:p>
    <w:p w14:paraId="6277B59C" w14:textId="77777777" w:rsidR="00B93C3B" w:rsidRPr="00A74D23" w:rsidRDefault="00B93C3B" w:rsidP="00590DD1">
      <w:pPr>
        <w:pStyle w:val="Paragraphedeliste"/>
        <w:widowControl w:val="0"/>
        <w:numPr>
          <w:ilvl w:val="0"/>
          <w:numId w:val="106"/>
        </w:numPr>
        <w:autoSpaceDE w:val="0"/>
        <w:autoSpaceDN w:val="0"/>
        <w:spacing w:after="0" w:line="22" w:lineRule="atLeast"/>
        <w:ind w:left="1134"/>
        <w:contextualSpacing w:val="0"/>
        <w:jc w:val="both"/>
        <w:rPr>
          <w:rFonts w:eastAsia="Arial" w:cs="Arial"/>
          <w:color w:val="000000"/>
          <w:sz w:val="20"/>
          <w:szCs w:val="20"/>
          <w:lang w:eastAsia="en-GB" w:bidi="en-GB"/>
        </w:rPr>
      </w:pPr>
      <w:r w:rsidRPr="00A74D23">
        <w:rPr>
          <w:rFonts w:eastAsia="Arial" w:cs="Arial"/>
          <w:color w:val="000000"/>
          <w:sz w:val="20"/>
          <w:szCs w:val="20"/>
          <w:lang w:eastAsia="en-GB" w:bidi="en-GB"/>
        </w:rPr>
        <w:t xml:space="preserve">Être force de proposition dans la création et la mise en œuvre de nouvelles stratégies ISR sur les fonds ouverts et les solutions dédiées ; </w:t>
      </w:r>
    </w:p>
    <w:p w14:paraId="257F14EA" w14:textId="0123D9D8" w:rsidR="00B93C3B" w:rsidRPr="00A74D23" w:rsidRDefault="00B93C3B" w:rsidP="00590DD1">
      <w:pPr>
        <w:pStyle w:val="Paragraphedeliste"/>
        <w:widowControl w:val="0"/>
        <w:numPr>
          <w:ilvl w:val="0"/>
          <w:numId w:val="106"/>
        </w:numPr>
        <w:autoSpaceDE w:val="0"/>
        <w:autoSpaceDN w:val="0"/>
        <w:spacing w:after="0" w:line="22" w:lineRule="atLeast"/>
        <w:ind w:left="1134"/>
        <w:contextualSpacing w:val="0"/>
        <w:jc w:val="both"/>
        <w:rPr>
          <w:rFonts w:eastAsia="Arial" w:cs="Arial"/>
          <w:color w:val="000000"/>
          <w:sz w:val="20"/>
          <w:szCs w:val="20"/>
          <w:lang w:eastAsia="en-GB" w:bidi="en-GB"/>
        </w:rPr>
      </w:pPr>
      <w:r w:rsidRPr="00A74D23">
        <w:rPr>
          <w:rFonts w:eastAsia="Arial" w:cs="Arial"/>
          <w:color w:val="000000"/>
          <w:sz w:val="20"/>
          <w:szCs w:val="20"/>
          <w:lang w:eastAsia="en-GB" w:bidi="en-GB"/>
        </w:rPr>
        <w:t>Diffuser les bonnes pratiques ESG au sein de l’entreprise et plus généralement avec l’ensemble des parties prenantes d’</w:t>
      </w:r>
      <w:r w:rsidR="00495330" w:rsidRPr="00A74D23">
        <w:rPr>
          <w:rFonts w:eastAsia="Arial" w:cs="Arial"/>
          <w:color w:val="000000"/>
          <w:sz w:val="20"/>
          <w:szCs w:val="20"/>
          <w:lang w:eastAsia="en-GB" w:bidi="en-GB"/>
        </w:rPr>
        <w:t>Ofi</w:t>
      </w:r>
      <w:r w:rsidRPr="00A74D23">
        <w:rPr>
          <w:rFonts w:eastAsia="Arial" w:cs="Arial"/>
          <w:color w:val="000000"/>
          <w:sz w:val="20"/>
          <w:szCs w:val="20"/>
          <w:lang w:eastAsia="en-GB" w:bidi="en-GB"/>
        </w:rPr>
        <w:t xml:space="preserve"> Invest Asset Management</w:t>
      </w:r>
      <w:r w:rsidRPr="00A74D23">
        <w:rPr>
          <w:rFonts w:eastAsia="Arial" w:cs="Times New Roman"/>
          <w:color w:val="000000"/>
          <w:sz w:val="20"/>
          <w:szCs w:val="20"/>
          <w:lang w:eastAsia="en-GB" w:bidi="en-GB"/>
        </w:rPr>
        <w:t> </w:t>
      </w:r>
      <w:r w:rsidRPr="00A74D23">
        <w:rPr>
          <w:rFonts w:eastAsia="Arial" w:cs="Arial"/>
          <w:color w:val="000000"/>
          <w:sz w:val="20"/>
          <w:szCs w:val="20"/>
          <w:lang w:eastAsia="en-GB" w:bidi="en-GB"/>
        </w:rPr>
        <w:t xml:space="preserve"> </w:t>
      </w:r>
    </w:p>
    <w:p w14:paraId="1752166C" w14:textId="77777777" w:rsidR="00B93C3B" w:rsidRPr="00A74D23" w:rsidRDefault="00B93C3B" w:rsidP="00590DD1">
      <w:pPr>
        <w:pStyle w:val="Paragraphedeliste"/>
        <w:widowControl w:val="0"/>
        <w:numPr>
          <w:ilvl w:val="0"/>
          <w:numId w:val="106"/>
        </w:numPr>
        <w:autoSpaceDE w:val="0"/>
        <w:autoSpaceDN w:val="0"/>
        <w:spacing w:after="0" w:line="22" w:lineRule="atLeast"/>
        <w:ind w:left="1134"/>
        <w:contextualSpacing w:val="0"/>
        <w:jc w:val="both"/>
        <w:rPr>
          <w:rFonts w:eastAsia="Arial" w:cs="Arial"/>
          <w:color w:val="000000"/>
          <w:sz w:val="20"/>
          <w:szCs w:val="20"/>
          <w:lang w:eastAsia="en-GB" w:bidi="en-GB"/>
        </w:rPr>
      </w:pPr>
      <w:r w:rsidRPr="00A74D23">
        <w:rPr>
          <w:rFonts w:eastAsia="Arial" w:cs="Arial"/>
          <w:color w:val="000000"/>
          <w:sz w:val="20"/>
          <w:szCs w:val="20"/>
          <w:lang w:eastAsia="en-GB" w:bidi="en-GB"/>
        </w:rPr>
        <w:t>Réaliser et développer des services ISR pour les clients investisseurs : accompagnements, formations, engagements ;</w:t>
      </w:r>
    </w:p>
    <w:p w14:paraId="4332F6AA" w14:textId="77777777" w:rsidR="00B93C3B" w:rsidRPr="00A74D23" w:rsidRDefault="00B93C3B" w:rsidP="00590DD1">
      <w:pPr>
        <w:pStyle w:val="Paragraphedeliste"/>
        <w:widowControl w:val="0"/>
        <w:numPr>
          <w:ilvl w:val="0"/>
          <w:numId w:val="106"/>
        </w:numPr>
        <w:autoSpaceDE w:val="0"/>
        <w:autoSpaceDN w:val="0"/>
        <w:spacing w:after="0" w:line="22" w:lineRule="atLeast"/>
        <w:ind w:left="1134"/>
        <w:contextualSpacing w:val="0"/>
        <w:jc w:val="both"/>
        <w:rPr>
          <w:rFonts w:eastAsia="Arial" w:cs="Arial"/>
          <w:color w:val="000000"/>
          <w:sz w:val="20"/>
          <w:szCs w:val="20"/>
          <w:lang w:eastAsia="en-GB" w:bidi="en-GB"/>
        </w:rPr>
      </w:pPr>
      <w:r w:rsidRPr="00A74D23">
        <w:rPr>
          <w:rFonts w:eastAsia="Arial" w:cs="Arial"/>
          <w:color w:val="000000"/>
          <w:sz w:val="20"/>
          <w:szCs w:val="20"/>
          <w:lang w:eastAsia="en-GB" w:bidi="en-GB"/>
        </w:rPr>
        <w:t>Interpréter et intégrer les nouvelles réglementations liées à l’ESG</w:t>
      </w:r>
    </w:p>
    <w:p w14:paraId="150E8BBD" w14:textId="1984ABEC" w:rsidR="00B93C3B" w:rsidRPr="00A74D23" w:rsidRDefault="00B93C3B" w:rsidP="00590DD1">
      <w:pPr>
        <w:pStyle w:val="Paragraphedeliste"/>
        <w:widowControl w:val="0"/>
        <w:numPr>
          <w:ilvl w:val="0"/>
          <w:numId w:val="106"/>
        </w:numPr>
        <w:autoSpaceDE w:val="0"/>
        <w:autoSpaceDN w:val="0"/>
        <w:spacing w:after="0" w:line="22" w:lineRule="atLeast"/>
        <w:ind w:left="1134"/>
        <w:contextualSpacing w:val="0"/>
        <w:jc w:val="both"/>
        <w:rPr>
          <w:rFonts w:eastAsia="Arial" w:cs="Arial"/>
          <w:color w:val="000000"/>
          <w:sz w:val="20"/>
          <w:szCs w:val="20"/>
          <w:lang w:eastAsia="en-GB" w:bidi="en-GB"/>
        </w:rPr>
      </w:pPr>
      <w:r w:rsidRPr="00A74D23">
        <w:rPr>
          <w:rFonts w:eastAsia="Arial" w:cs="Arial"/>
          <w:color w:val="000000"/>
          <w:sz w:val="20"/>
          <w:szCs w:val="20"/>
          <w:lang w:eastAsia="en-GB" w:bidi="en-GB"/>
        </w:rPr>
        <w:t>Maintenir les différents Label de nos Fonds</w:t>
      </w:r>
    </w:p>
    <w:p w14:paraId="6A139A90" w14:textId="77777777" w:rsidR="00B93C3B" w:rsidRPr="00A74D23" w:rsidRDefault="00B93C3B" w:rsidP="009D6EE5">
      <w:pPr>
        <w:widowControl w:val="0"/>
        <w:autoSpaceDE w:val="0"/>
        <w:autoSpaceDN w:val="0"/>
        <w:spacing w:before="240" w:line="22" w:lineRule="atLeast"/>
        <w:jc w:val="both"/>
        <w:rPr>
          <w:rFonts w:asciiTheme="minorHAnsi" w:eastAsia="Arial" w:hAnsiTheme="minorHAnsi" w:cs="Arial"/>
          <w:color w:val="000000"/>
          <w:sz w:val="20"/>
          <w:szCs w:val="20"/>
          <w:lang w:val="fr-FR" w:eastAsia="en-GB" w:bidi="en-GB"/>
        </w:rPr>
      </w:pPr>
      <w:r w:rsidRPr="00A74D23">
        <w:rPr>
          <w:rFonts w:asciiTheme="minorHAnsi" w:eastAsia="Arial" w:hAnsiTheme="minorHAnsi" w:cs="Arial"/>
          <w:color w:val="000000"/>
          <w:sz w:val="20"/>
          <w:szCs w:val="20"/>
          <w:lang w:val="fr-FR" w:eastAsia="en-GB" w:bidi="en-GB"/>
        </w:rPr>
        <w:t xml:space="preserve">Cette équipe dispose d’une expérience moyenne de plus de 10 ans. </w:t>
      </w:r>
    </w:p>
    <w:p w14:paraId="2B6D896D" w14:textId="77777777" w:rsidR="00DC36FD" w:rsidRPr="00A74D23" w:rsidRDefault="00DC36FD" w:rsidP="009D6EE5">
      <w:pPr>
        <w:spacing w:line="22" w:lineRule="atLeast"/>
        <w:jc w:val="both"/>
        <w:textAlignment w:val="center"/>
        <w:rPr>
          <w:rFonts w:asciiTheme="minorHAnsi" w:hAnsiTheme="minorHAnsi"/>
          <w:sz w:val="20"/>
          <w:szCs w:val="20"/>
          <w:lang w:val="fr-FR"/>
        </w:rPr>
      </w:pPr>
    </w:p>
    <w:p w14:paraId="0C1ECEEA" w14:textId="7E3ACFF5" w:rsidR="00DC36FD" w:rsidRPr="00A74D23" w:rsidRDefault="00DC36FD" w:rsidP="009D6EE5">
      <w:pPr>
        <w:spacing w:line="22" w:lineRule="atLeast"/>
        <w:jc w:val="both"/>
        <w:textAlignment w:val="center"/>
        <w:rPr>
          <w:rFonts w:asciiTheme="minorHAnsi" w:hAnsiTheme="minorHAnsi" w:cstheme="minorBidi"/>
          <w:sz w:val="20"/>
          <w:szCs w:val="20"/>
          <w:lang w:val="fr-FR"/>
        </w:rPr>
      </w:pPr>
      <w:r w:rsidRPr="00A74D23">
        <w:rPr>
          <w:rFonts w:asciiTheme="minorHAnsi" w:hAnsiTheme="minorHAnsi" w:cs="Open Sans"/>
          <w:color w:val="000000" w:themeColor="text1"/>
          <w:sz w:val="20"/>
          <w:szCs w:val="20"/>
          <w:lang w:val="fr-FR"/>
        </w:rPr>
        <w:t>Afin d’affiner et de valoriser leurs compétences, les collaborateurs d’</w:t>
      </w:r>
      <w:r w:rsidR="00495330" w:rsidRPr="00A74D23">
        <w:rPr>
          <w:rFonts w:asciiTheme="minorHAnsi" w:hAnsiTheme="minorHAnsi" w:cs="Open Sans"/>
          <w:color w:val="000000" w:themeColor="text1"/>
          <w:sz w:val="20"/>
          <w:szCs w:val="20"/>
          <w:lang w:val="fr-FR"/>
        </w:rPr>
        <w:t>Ofi</w:t>
      </w:r>
      <w:r w:rsidRPr="00A74D23">
        <w:rPr>
          <w:rFonts w:asciiTheme="minorHAnsi" w:hAnsiTheme="minorHAnsi" w:cs="Open Sans"/>
          <w:color w:val="000000" w:themeColor="text1"/>
          <w:sz w:val="20"/>
          <w:szCs w:val="20"/>
          <w:lang w:val="fr-FR"/>
        </w:rPr>
        <w:t xml:space="preserve"> Invest AM Asset Management en charge de la gestion des investissements et de la direction des investissements d’Abeille Assurances sont incités à obtenir la certification ESG du CFA Institute. Au fil de l’année 202</w:t>
      </w:r>
      <w:r w:rsidRPr="00A74D23">
        <w:rPr>
          <w:rFonts w:asciiTheme="minorHAnsi" w:hAnsiTheme="minorHAnsi" w:cs="Open Sans"/>
          <w:i/>
          <w:color w:val="000000" w:themeColor="text1"/>
          <w:sz w:val="20"/>
          <w:szCs w:val="20"/>
          <w:lang w:val="fr-FR"/>
        </w:rPr>
        <w:t>5</w:t>
      </w:r>
      <w:r w:rsidRPr="00A74D23">
        <w:rPr>
          <w:rFonts w:asciiTheme="minorHAnsi" w:hAnsiTheme="minorHAnsi" w:cs="Open Sans"/>
          <w:color w:val="000000" w:themeColor="text1"/>
          <w:sz w:val="20"/>
          <w:szCs w:val="20"/>
          <w:lang w:val="fr-FR"/>
        </w:rPr>
        <w:t xml:space="preserve">, </w:t>
      </w:r>
      <w:r w:rsidR="00495330" w:rsidRPr="00A74D23">
        <w:rPr>
          <w:rFonts w:asciiTheme="minorHAnsi" w:hAnsiTheme="minorHAnsi" w:cs="Open Sans"/>
          <w:color w:val="000000" w:themeColor="text1"/>
          <w:sz w:val="20"/>
          <w:szCs w:val="20"/>
          <w:lang w:val="fr-FR"/>
        </w:rPr>
        <w:t>Ofi</w:t>
      </w:r>
      <w:r w:rsidRPr="00A74D23">
        <w:rPr>
          <w:rFonts w:asciiTheme="minorHAnsi" w:hAnsiTheme="minorHAnsi" w:cs="Open Sans"/>
          <w:color w:val="000000" w:themeColor="text1"/>
          <w:sz w:val="20"/>
          <w:szCs w:val="20"/>
          <w:lang w:val="fr-FR"/>
        </w:rPr>
        <w:t xml:space="preserve"> Invest AM a poursuivi ses campagnes de formation notamment en incitant l’obtention de la certification AMF ESG. </w:t>
      </w:r>
    </w:p>
    <w:p w14:paraId="3C803236" w14:textId="77777777" w:rsidR="00DC36FD" w:rsidRPr="00A74D23" w:rsidRDefault="00DC36FD" w:rsidP="009D6EE5">
      <w:pPr>
        <w:spacing w:line="22" w:lineRule="atLeast"/>
        <w:jc w:val="both"/>
        <w:textAlignment w:val="center"/>
        <w:rPr>
          <w:rFonts w:asciiTheme="minorHAnsi" w:hAnsiTheme="minorHAnsi"/>
          <w:sz w:val="20"/>
          <w:lang w:val="fr-FR"/>
        </w:rPr>
      </w:pPr>
    </w:p>
    <w:p w14:paraId="1FBB37F1" w14:textId="77777777" w:rsidR="005975CA" w:rsidRPr="00A74D23" w:rsidRDefault="005975CA" w:rsidP="009D6EE5">
      <w:pPr>
        <w:pStyle w:val="Paragraphedeliste"/>
        <w:spacing w:after="0" w:line="22" w:lineRule="atLeast"/>
        <w:ind w:left="284"/>
        <w:jc w:val="both"/>
        <w:textAlignment w:val="center"/>
        <w:rPr>
          <w:sz w:val="20"/>
        </w:rPr>
      </w:pPr>
    </w:p>
    <w:p w14:paraId="71703C6C" w14:textId="57E460EF" w:rsidR="00CF4422" w:rsidRPr="00A74D23" w:rsidRDefault="00CF4422" w:rsidP="00590DD1">
      <w:pPr>
        <w:pStyle w:val="StyleYO"/>
        <w:numPr>
          <w:ilvl w:val="0"/>
          <w:numId w:val="69"/>
        </w:numPr>
        <w:spacing w:line="22" w:lineRule="atLeast"/>
        <w:ind w:left="284"/>
        <w:jc w:val="both"/>
      </w:pPr>
      <w:bookmarkStart w:id="47" w:name="_Toc231337004"/>
      <w:r w:rsidRPr="00A74D23">
        <w:t>Développer l’expertise des collaborateurs pour soutenir l’ambition commune</w:t>
      </w:r>
      <w:bookmarkEnd w:id="47"/>
    </w:p>
    <w:p w14:paraId="24F1579D" w14:textId="77777777" w:rsidR="002A2E42" w:rsidRPr="00A74D23" w:rsidRDefault="002A2E42" w:rsidP="009D6EE5">
      <w:pPr>
        <w:pStyle w:val="Style4"/>
        <w:spacing w:line="22" w:lineRule="atLeast"/>
        <w:jc w:val="both"/>
        <w:rPr>
          <w:rFonts w:asciiTheme="minorHAnsi" w:hAnsiTheme="minorHAnsi" w:cs="Open Sans"/>
          <w:bCs/>
          <w:color w:val="8A2C24" w:themeColor="accent2"/>
          <w:sz w:val="24"/>
          <w:szCs w:val="24"/>
        </w:rPr>
      </w:pPr>
    </w:p>
    <w:p w14:paraId="065D8838" w14:textId="7089A607" w:rsidR="002A2E42" w:rsidRPr="00A74D23" w:rsidRDefault="002A2E42" w:rsidP="009D6EE5">
      <w:pPr>
        <w:pStyle w:val="Style3"/>
        <w:tabs>
          <w:tab w:val="clear" w:pos="426"/>
        </w:tabs>
        <w:spacing w:line="22" w:lineRule="atLeast"/>
        <w:ind w:left="0" w:firstLine="0"/>
        <w:jc w:val="both"/>
        <w:rPr>
          <w:rFonts w:asciiTheme="minorHAnsi" w:hAnsiTheme="minorHAnsi" w:cs="Open Sans"/>
          <w:sz w:val="32"/>
          <w:szCs w:val="32"/>
        </w:rPr>
      </w:pPr>
      <w:r w:rsidRPr="00A74D23">
        <w:rPr>
          <w:rFonts w:asciiTheme="minorHAnsi" w:hAnsiTheme="minorHAnsi" w:cs="Open Sans"/>
          <w:sz w:val="32"/>
          <w:szCs w:val="32"/>
        </w:rPr>
        <w:t>2.</w:t>
      </w:r>
      <w:r w:rsidR="00CF4422" w:rsidRPr="00A74D23">
        <w:rPr>
          <w:rFonts w:asciiTheme="minorHAnsi" w:hAnsiTheme="minorHAnsi" w:cs="Open Sans"/>
          <w:sz w:val="32"/>
          <w:szCs w:val="32"/>
        </w:rPr>
        <w:t>1</w:t>
      </w:r>
      <w:r w:rsidR="00EB1C49" w:rsidRPr="00A74D23">
        <w:rPr>
          <w:rFonts w:asciiTheme="minorHAnsi" w:hAnsiTheme="minorHAnsi" w:cs="Open Sans"/>
          <w:sz w:val="32"/>
          <w:szCs w:val="32"/>
        </w:rPr>
        <w:t>.</w:t>
      </w:r>
      <w:r w:rsidRPr="00A74D23">
        <w:rPr>
          <w:rFonts w:asciiTheme="minorHAnsi" w:hAnsiTheme="minorHAnsi" w:cs="Open Sans"/>
          <w:sz w:val="32"/>
          <w:szCs w:val="32"/>
        </w:rPr>
        <w:t xml:space="preserve"> Formation interne des collaborateurs pour soutenir l’ambition commune</w:t>
      </w:r>
    </w:p>
    <w:p w14:paraId="7B837F7F" w14:textId="77777777" w:rsidR="00071BA7" w:rsidRPr="00A74D23" w:rsidRDefault="00071BA7" w:rsidP="009D6EE5">
      <w:pPr>
        <w:pStyle w:val="Style4"/>
        <w:spacing w:line="22" w:lineRule="atLeast"/>
        <w:jc w:val="both"/>
        <w:rPr>
          <w:rFonts w:asciiTheme="minorHAnsi" w:hAnsiTheme="minorHAnsi" w:cs="Open Sans"/>
          <w:i w:val="0"/>
          <w:iCs w:val="0"/>
          <w:color w:val="auto"/>
          <w:sz w:val="18"/>
          <w:szCs w:val="18"/>
        </w:rPr>
      </w:pPr>
    </w:p>
    <w:p w14:paraId="0C553750" w14:textId="77777777" w:rsidR="00A0790A" w:rsidRPr="00A74D23" w:rsidRDefault="00A0790A" w:rsidP="00A0790A">
      <w:pPr>
        <w:pStyle w:val="Style4"/>
        <w:spacing w:after="120"/>
        <w:ind w:right="1"/>
        <w:contextualSpacing w:val="0"/>
        <w:jc w:val="both"/>
        <w:rPr>
          <w:rFonts w:asciiTheme="minorHAnsi" w:hAnsiTheme="minorHAnsi"/>
          <w:i w:val="0"/>
          <w:iCs w:val="0"/>
          <w:color w:val="auto"/>
          <w:sz w:val="20"/>
          <w:szCs w:val="20"/>
        </w:rPr>
      </w:pPr>
      <w:r w:rsidRPr="00A74D23">
        <w:rPr>
          <w:rFonts w:asciiTheme="minorHAnsi" w:hAnsiTheme="minorHAnsi"/>
          <w:i w:val="0"/>
          <w:iCs w:val="0"/>
          <w:color w:val="auto"/>
          <w:sz w:val="20"/>
          <w:szCs w:val="20"/>
        </w:rPr>
        <w:t>Abeille Assurances déploie des actions de sensibilisation aux enjeux climatiques et environnementaux auprès de ses salariés.  Au mois de mai 2025, Abeille Assurances a participé à la fête de la nature dans le parc des Bruyères de Bois-Colombes, où les enfants ont découvert les abeilles d’Abeille Assurances en activité à l’aide d’une ruchette d’observation. </w:t>
      </w:r>
    </w:p>
    <w:p w14:paraId="3C37B6DA" w14:textId="77777777" w:rsidR="00A0790A" w:rsidRPr="00A74D23" w:rsidRDefault="00A0790A" w:rsidP="00A0790A">
      <w:pPr>
        <w:pStyle w:val="Style4"/>
        <w:spacing w:after="120"/>
        <w:ind w:right="1"/>
        <w:contextualSpacing w:val="0"/>
        <w:jc w:val="both"/>
        <w:rPr>
          <w:rFonts w:asciiTheme="minorHAnsi" w:hAnsiTheme="minorHAnsi"/>
          <w:i w:val="0"/>
          <w:iCs w:val="0"/>
          <w:color w:val="auto"/>
          <w:sz w:val="20"/>
          <w:szCs w:val="20"/>
        </w:rPr>
      </w:pPr>
      <w:r w:rsidRPr="00A74D23">
        <w:rPr>
          <w:rFonts w:asciiTheme="minorHAnsi" w:hAnsiTheme="minorHAnsi"/>
          <w:i w:val="0"/>
          <w:iCs w:val="0"/>
          <w:color w:val="auto"/>
          <w:sz w:val="20"/>
          <w:szCs w:val="20"/>
        </w:rPr>
        <w:t>En 2025, à travers la Semaine du développement durable, plusieurs actions de sensibilisation ont été menées :  </w:t>
      </w:r>
    </w:p>
    <w:p w14:paraId="406EAB47" w14:textId="77777777" w:rsidR="00A0790A" w:rsidRPr="00A74D23" w:rsidRDefault="00A0790A" w:rsidP="00590DD1">
      <w:pPr>
        <w:pStyle w:val="Paragraphedeliste"/>
        <w:numPr>
          <w:ilvl w:val="0"/>
          <w:numId w:val="29"/>
        </w:numPr>
        <w:spacing w:after="120" w:line="240" w:lineRule="auto"/>
        <w:ind w:left="284"/>
        <w:jc w:val="both"/>
        <w:rPr>
          <w:i/>
          <w:iCs/>
          <w:sz w:val="20"/>
          <w:szCs w:val="20"/>
        </w:rPr>
      </w:pPr>
      <w:r w:rsidRPr="00A74D23">
        <w:rPr>
          <w:b/>
          <w:bCs/>
          <w:sz w:val="20"/>
          <w:szCs w:val="20"/>
        </w:rPr>
        <w:t>Sensibilisation des salariés à l’usage des mobilités douces</w:t>
      </w:r>
      <w:r w:rsidRPr="00A74D23">
        <w:rPr>
          <w:sz w:val="20"/>
          <w:szCs w:val="20"/>
        </w:rPr>
        <w:t> (à travers un stand représenté par le prestataire TwoRoule, mais également à travers un webinaire pour pouvoir adresser les messages clés auprès des salariés situés sur nos sites en province) &gt; 23 personnes ont participé au webinar, et près de 200 personnes ont participé au jeu Quizz sur le stand mobilités douces </w:t>
      </w:r>
    </w:p>
    <w:p w14:paraId="70AD93B6" w14:textId="77777777" w:rsidR="00A0790A" w:rsidRPr="00A74D23" w:rsidRDefault="00A0790A" w:rsidP="00A0790A">
      <w:pPr>
        <w:pStyle w:val="Paragraphedeliste"/>
        <w:spacing w:after="120" w:line="240" w:lineRule="auto"/>
        <w:ind w:left="284"/>
        <w:jc w:val="both"/>
        <w:rPr>
          <w:sz w:val="20"/>
          <w:szCs w:val="20"/>
        </w:rPr>
      </w:pPr>
    </w:p>
    <w:p w14:paraId="4E08B3EA" w14:textId="77777777" w:rsidR="00A0790A" w:rsidRPr="00A74D23" w:rsidRDefault="00A0790A" w:rsidP="00590DD1">
      <w:pPr>
        <w:pStyle w:val="Paragraphedeliste"/>
        <w:numPr>
          <w:ilvl w:val="0"/>
          <w:numId w:val="29"/>
        </w:numPr>
        <w:spacing w:after="120" w:line="240" w:lineRule="auto"/>
        <w:ind w:left="284"/>
        <w:jc w:val="both"/>
        <w:rPr>
          <w:i/>
          <w:iCs/>
          <w:sz w:val="20"/>
          <w:szCs w:val="20"/>
        </w:rPr>
      </w:pPr>
      <w:r w:rsidRPr="00A74D23">
        <w:rPr>
          <w:b/>
          <w:bCs/>
          <w:sz w:val="20"/>
          <w:szCs w:val="20"/>
        </w:rPr>
        <w:t>Participation de Chloé Nabédian, journaliste climatique</w:t>
      </w:r>
      <w:r w:rsidRPr="00A74D23">
        <w:rPr>
          <w:sz w:val="20"/>
          <w:szCs w:val="20"/>
        </w:rPr>
        <w:t> pour aborder l’impact du changement climatique, et comment en tant qu’assureur nous répondons à la problématique à travers des exemples concrets illustrés par nos experts dommages &gt; 75 participants (dont 24 personnes à distance)  </w:t>
      </w:r>
    </w:p>
    <w:p w14:paraId="3EEAE928" w14:textId="77777777" w:rsidR="00A0790A" w:rsidRPr="00A74D23" w:rsidRDefault="00A0790A" w:rsidP="00A0790A">
      <w:pPr>
        <w:pStyle w:val="Paragraphedeliste"/>
        <w:spacing w:after="120" w:line="240" w:lineRule="auto"/>
        <w:ind w:left="284"/>
        <w:jc w:val="both"/>
        <w:rPr>
          <w:sz w:val="20"/>
          <w:szCs w:val="20"/>
        </w:rPr>
      </w:pPr>
    </w:p>
    <w:p w14:paraId="335797FB" w14:textId="52958E04" w:rsidR="00C56941" w:rsidRPr="00A74D23" w:rsidRDefault="00A0790A" w:rsidP="00590DD1">
      <w:pPr>
        <w:pStyle w:val="Paragraphedeliste"/>
        <w:numPr>
          <w:ilvl w:val="0"/>
          <w:numId w:val="29"/>
        </w:numPr>
        <w:spacing w:after="120" w:line="240" w:lineRule="auto"/>
        <w:ind w:left="284"/>
        <w:jc w:val="both"/>
        <w:rPr>
          <w:i/>
          <w:iCs/>
          <w:sz w:val="20"/>
          <w:szCs w:val="20"/>
        </w:rPr>
      </w:pPr>
      <w:r w:rsidRPr="00A74D23">
        <w:rPr>
          <w:b/>
          <w:bCs/>
          <w:sz w:val="20"/>
          <w:szCs w:val="20"/>
        </w:rPr>
        <w:t>Animation d’un atelier sportif pour ancrer nos messages de trajectoire bas carbone</w:t>
      </w:r>
      <w:r w:rsidRPr="00A74D23">
        <w:rPr>
          <w:sz w:val="20"/>
          <w:szCs w:val="20"/>
        </w:rPr>
        <w:t xml:space="preserve"> avec ClimateWorkOut. Les 10 salariés ayant participé à l’atelier ont pu découvrir de manière active et « sportive » notre bilan carbone Abeille ainsi que nos objectifs de trajectoire ; </w:t>
      </w:r>
    </w:p>
    <w:p w14:paraId="0B28B294" w14:textId="77777777" w:rsidR="00C56941" w:rsidRPr="00A74D23" w:rsidRDefault="00C56941" w:rsidP="00C56941">
      <w:pPr>
        <w:pStyle w:val="Paragraphedeliste"/>
        <w:spacing w:after="120" w:line="240" w:lineRule="auto"/>
        <w:ind w:left="284"/>
        <w:jc w:val="both"/>
        <w:rPr>
          <w:i/>
          <w:iCs/>
          <w:sz w:val="20"/>
          <w:szCs w:val="20"/>
        </w:rPr>
      </w:pPr>
    </w:p>
    <w:p w14:paraId="66D8A9EF" w14:textId="4E762218" w:rsidR="00A0790A" w:rsidRPr="00A74D23" w:rsidRDefault="00A0790A" w:rsidP="00590DD1">
      <w:pPr>
        <w:pStyle w:val="Paragraphedeliste"/>
        <w:numPr>
          <w:ilvl w:val="0"/>
          <w:numId w:val="29"/>
        </w:numPr>
        <w:spacing w:after="120" w:line="240" w:lineRule="auto"/>
        <w:ind w:left="284"/>
        <w:jc w:val="both"/>
        <w:rPr>
          <w:sz w:val="20"/>
          <w:szCs w:val="20"/>
        </w:rPr>
      </w:pPr>
      <w:r w:rsidRPr="00A74D23">
        <w:rPr>
          <w:b/>
          <w:bCs/>
          <w:sz w:val="20"/>
          <w:szCs w:val="20"/>
        </w:rPr>
        <w:t>Confection d’un tableau confectionné au logo Abeille Assurances</w:t>
      </w:r>
      <w:r w:rsidRPr="00A74D23">
        <w:rPr>
          <w:sz w:val="20"/>
          <w:szCs w:val="20"/>
        </w:rPr>
        <w:t xml:space="preserve"> à l’aide de chaussettes orphelines, pour sensibiliser à l’impact de nos déchets textiles </w:t>
      </w:r>
    </w:p>
    <w:p w14:paraId="20FC2552" w14:textId="77777777" w:rsidR="00A0790A" w:rsidRPr="00A74D23" w:rsidRDefault="00A0790A" w:rsidP="00C56941">
      <w:pPr>
        <w:spacing w:after="120"/>
        <w:ind w:left="-74"/>
        <w:jc w:val="both"/>
        <w:rPr>
          <w:rFonts w:asciiTheme="minorHAnsi" w:hAnsiTheme="minorHAnsi"/>
          <w:sz w:val="20"/>
          <w:szCs w:val="20"/>
          <w:lang w:val="fr-FR"/>
        </w:rPr>
      </w:pPr>
      <w:r w:rsidRPr="00A74D23">
        <w:rPr>
          <w:rFonts w:asciiTheme="minorHAnsi" w:hAnsiTheme="minorHAnsi"/>
          <w:sz w:val="20"/>
          <w:szCs w:val="20"/>
          <w:lang w:val="fr-FR"/>
        </w:rPr>
        <w:t>En juillet (18 participants) et en septembre (17 participants) 2025, Abeille Assurances a organisé 2 visites de nos ruches, afin de mieux comprendre l’activité de nos abeilles, et découvrir le métier d’apiculteur.  </w:t>
      </w:r>
    </w:p>
    <w:p w14:paraId="0430790F" w14:textId="77777777" w:rsidR="00A0790A" w:rsidRPr="00A74D23" w:rsidRDefault="00A0790A" w:rsidP="00C56941">
      <w:pPr>
        <w:spacing w:after="120"/>
        <w:ind w:left="-74"/>
        <w:jc w:val="both"/>
        <w:rPr>
          <w:rFonts w:asciiTheme="minorHAnsi" w:hAnsiTheme="minorHAnsi"/>
          <w:sz w:val="20"/>
          <w:szCs w:val="20"/>
          <w:lang w:val="fr-FR"/>
        </w:rPr>
      </w:pPr>
      <w:r w:rsidRPr="00A74D23">
        <w:rPr>
          <w:rFonts w:asciiTheme="minorHAnsi" w:hAnsiTheme="minorHAnsi"/>
          <w:sz w:val="20"/>
          <w:szCs w:val="20"/>
          <w:lang w:val="fr-FR"/>
        </w:rPr>
        <w:t>En juillet 2025, Abeille Assurances a présenté la nouvelle formation risques climatiques auprès de la communauté RSE. La formation est disponible pour l’ensemble des salariés. </w:t>
      </w:r>
    </w:p>
    <w:p w14:paraId="52A0E5C0" w14:textId="77777777" w:rsidR="00A0790A" w:rsidRPr="00A74D23" w:rsidRDefault="00A0790A" w:rsidP="00C56941">
      <w:pPr>
        <w:spacing w:after="120"/>
        <w:ind w:left="-74"/>
        <w:jc w:val="both"/>
        <w:rPr>
          <w:rFonts w:asciiTheme="minorHAnsi" w:hAnsiTheme="minorHAnsi"/>
          <w:sz w:val="20"/>
          <w:szCs w:val="20"/>
          <w:lang w:val="fr-FR"/>
        </w:rPr>
      </w:pPr>
      <w:r w:rsidRPr="00A74D23">
        <w:rPr>
          <w:rFonts w:asciiTheme="minorHAnsi" w:hAnsiTheme="minorHAnsi"/>
          <w:sz w:val="20"/>
          <w:szCs w:val="20"/>
          <w:lang w:val="fr-FR"/>
        </w:rPr>
        <w:t>Pendant 3 semaines en octobre, 99 collaborateurs ont participé au jeu MaPetitePlanète pour relever ensemble collectivement un maximum d’éco-défis ! </w:t>
      </w:r>
    </w:p>
    <w:p w14:paraId="019AE486" w14:textId="77777777" w:rsidR="00A0790A" w:rsidRPr="00A74D23" w:rsidRDefault="00A0790A" w:rsidP="00C56941">
      <w:pPr>
        <w:spacing w:after="120"/>
        <w:ind w:left="-74"/>
        <w:jc w:val="both"/>
        <w:rPr>
          <w:rFonts w:asciiTheme="minorHAnsi" w:hAnsiTheme="minorHAnsi"/>
          <w:sz w:val="20"/>
          <w:szCs w:val="20"/>
          <w:lang w:val="fr-FR"/>
        </w:rPr>
      </w:pPr>
      <w:r w:rsidRPr="00A74D23">
        <w:rPr>
          <w:rFonts w:asciiTheme="minorHAnsi" w:hAnsiTheme="minorHAnsi"/>
          <w:sz w:val="20"/>
          <w:szCs w:val="20"/>
          <w:lang w:val="fr-FR"/>
        </w:rPr>
        <w:t>Enfin, en novembre, a lieu la « Journée de l’IA » avec notamment un stand IA responsable avec jeu quizz, kakémono et webconférence, afin de poursuivre notre démarche de sensibilisation de nos collaborateurs. </w:t>
      </w:r>
    </w:p>
    <w:p w14:paraId="0D34D55A" w14:textId="105E2193" w:rsidR="00A0790A" w:rsidRPr="00A74D23" w:rsidRDefault="00A0790A" w:rsidP="00C56941">
      <w:pPr>
        <w:spacing w:after="120"/>
        <w:ind w:left="-74"/>
        <w:jc w:val="both"/>
        <w:rPr>
          <w:rFonts w:asciiTheme="minorHAnsi" w:hAnsiTheme="minorHAnsi"/>
          <w:sz w:val="20"/>
          <w:szCs w:val="20"/>
          <w:lang w:val="fr-FR"/>
        </w:rPr>
      </w:pPr>
      <w:r w:rsidRPr="00A74D23">
        <w:rPr>
          <w:rFonts w:asciiTheme="minorHAnsi" w:hAnsiTheme="minorHAnsi"/>
          <w:sz w:val="20"/>
          <w:szCs w:val="20"/>
          <w:lang w:val="fr-FR"/>
        </w:rPr>
        <w:t>En 2025, 49 salariés ont pu être sensibilisés aux causes et conséquences du changement climatique à travers la fresque du climat depuis le début de l’année. </w:t>
      </w:r>
    </w:p>
    <w:p w14:paraId="6703CBFD" w14:textId="35EA9F84" w:rsidR="00C56941" w:rsidRPr="00EA0C06" w:rsidRDefault="00A0790A" w:rsidP="00EA0C06">
      <w:pPr>
        <w:ind w:left="-74"/>
        <w:rPr>
          <w:rFonts w:asciiTheme="minorHAnsi" w:hAnsiTheme="minorHAnsi"/>
          <w:sz w:val="20"/>
          <w:szCs w:val="20"/>
          <w:lang w:val="fr-FR"/>
        </w:rPr>
      </w:pPr>
      <w:r w:rsidRPr="00A74D23">
        <w:rPr>
          <w:rFonts w:asciiTheme="minorHAnsi" w:hAnsiTheme="minorHAnsi"/>
          <w:sz w:val="20"/>
          <w:szCs w:val="20"/>
          <w:lang w:val="fr-FR"/>
        </w:rPr>
        <w:t>Depuis 2023, nous adhérons à l’ORSE (Observatoire de la Responsabilité Sociale des Entreprises). Cette adhésion permet de se former en participant à des conférences, webinaires, groupes de travail liés à la RSE. Elle donne accès, également, à de nombreuses publications éditées par l’ORSE.</w:t>
      </w:r>
    </w:p>
    <w:p w14:paraId="29BC0D8B" w14:textId="77777777" w:rsidR="00C56941" w:rsidRPr="00A74D23" w:rsidRDefault="00C56941" w:rsidP="009D6EE5">
      <w:pPr>
        <w:pStyle w:val="Style4"/>
        <w:spacing w:line="22" w:lineRule="atLeast"/>
        <w:jc w:val="both"/>
        <w:rPr>
          <w:rFonts w:asciiTheme="minorHAnsi" w:hAnsiTheme="minorHAnsi" w:cs="Open Sans"/>
          <w:i w:val="0"/>
          <w:color w:val="000000" w:themeColor="text1"/>
          <w:sz w:val="20"/>
          <w:szCs w:val="20"/>
        </w:rPr>
      </w:pPr>
    </w:p>
    <w:p w14:paraId="4B9846E6" w14:textId="77777777" w:rsidR="00C56941" w:rsidRPr="00A74D23" w:rsidRDefault="00C56941" w:rsidP="009D6EE5">
      <w:pPr>
        <w:pStyle w:val="Style4"/>
        <w:spacing w:line="22" w:lineRule="atLeast"/>
        <w:jc w:val="both"/>
        <w:rPr>
          <w:rFonts w:asciiTheme="minorHAnsi" w:hAnsiTheme="minorHAnsi" w:cs="Open Sans"/>
          <w:i w:val="0"/>
          <w:color w:val="000000" w:themeColor="text1"/>
          <w:sz w:val="20"/>
          <w:szCs w:val="20"/>
        </w:rPr>
      </w:pPr>
    </w:p>
    <w:p w14:paraId="04721621" w14:textId="77777777" w:rsidR="00C56941" w:rsidRPr="00A74D23" w:rsidRDefault="00C56941" w:rsidP="009D6EE5">
      <w:pPr>
        <w:pStyle w:val="Style4"/>
        <w:spacing w:line="22" w:lineRule="atLeast"/>
        <w:jc w:val="both"/>
        <w:rPr>
          <w:rFonts w:asciiTheme="minorHAnsi" w:hAnsiTheme="minorHAnsi" w:cs="Open Sans"/>
          <w:i w:val="0"/>
          <w:color w:val="000000" w:themeColor="text1"/>
          <w:sz w:val="20"/>
          <w:szCs w:val="20"/>
        </w:rPr>
      </w:pPr>
    </w:p>
    <w:p w14:paraId="18468F13" w14:textId="7655EA7E" w:rsidR="002A2E42" w:rsidRPr="00A74D23" w:rsidRDefault="002A2E42" w:rsidP="009D6EE5">
      <w:pPr>
        <w:pStyle w:val="Style3"/>
        <w:tabs>
          <w:tab w:val="clear" w:pos="426"/>
        </w:tabs>
        <w:spacing w:line="22" w:lineRule="atLeast"/>
        <w:ind w:left="0" w:firstLine="0"/>
        <w:jc w:val="both"/>
        <w:rPr>
          <w:rFonts w:asciiTheme="minorHAnsi" w:hAnsiTheme="minorHAnsi" w:cs="Open Sans"/>
          <w:sz w:val="32"/>
          <w:szCs w:val="32"/>
        </w:rPr>
      </w:pPr>
      <w:r w:rsidRPr="00A74D23">
        <w:rPr>
          <w:rFonts w:asciiTheme="minorHAnsi" w:hAnsiTheme="minorHAnsi" w:cs="Open Sans"/>
          <w:sz w:val="32"/>
          <w:szCs w:val="32"/>
        </w:rPr>
        <w:t>2.</w:t>
      </w:r>
      <w:r w:rsidR="00CF4422" w:rsidRPr="00A74D23">
        <w:rPr>
          <w:rFonts w:asciiTheme="minorHAnsi" w:hAnsiTheme="minorHAnsi" w:cs="Open Sans"/>
          <w:sz w:val="32"/>
          <w:szCs w:val="32"/>
        </w:rPr>
        <w:t>2</w:t>
      </w:r>
      <w:r w:rsidR="00EB1C49" w:rsidRPr="00A74D23">
        <w:rPr>
          <w:rFonts w:asciiTheme="minorHAnsi" w:hAnsiTheme="minorHAnsi" w:cs="Open Sans"/>
          <w:sz w:val="32"/>
          <w:szCs w:val="32"/>
        </w:rPr>
        <w:t>.</w:t>
      </w:r>
      <w:r w:rsidRPr="00A74D23">
        <w:rPr>
          <w:rFonts w:asciiTheme="minorHAnsi" w:hAnsiTheme="minorHAnsi" w:cs="Open Sans"/>
          <w:sz w:val="32"/>
          <w:szCs w:val="32"/>
        </w:rPr>
        <w:t xml:space="preserve">   Formation du réseau d’Abeille Assurances</w:t>
      </w:r>
    </w:p>
    <w:p w14:paraId="5780D9B9" w14:textId="33DA8FD8" w:rsidR="00C61492" w:rsidRPr="00A74D23" w:rsidRDefault="005A2BD6" w:rsidP="009D6EE5">
      <w:pPr>
        <w:pStyle w:val="Style4"/>
        <w:spacing w:after="120" w:line="22" w:lineRule="atLeast"/>
        <w:ind w:right="1"/>
        <w:contextualSpacing w:val="0"/>
        <w:jc w:val="both"/>
        <w:rPr>
          <w:rFonts w:asciiTheme="minorHAnsi" w:hAnsiTheme="minorHAnsi" w:cs="Open Sans"/>
          <w:i w:val="0"/>
          <w:color w:val="000000" w:themeColor="text1"/>
          <w:sz w:val="20"/>
          <w:szCs w:val="20"/>
        </w:rPr>
      </w:pPr>
      <w:r w:rsidRPr="00A74D23">
        <w:rPr>
          <w:rFonts w:asciiTheme="minorHAnsi" w:hAnsiTheme="minorHAnsi" w:cs="Open Sans"/>
          <w:i w:val="0"/>
          <w:color w:val="000000" w:themeColor="text1"/>
          <w:sz w:val="20"/>
          <w:szCs w:val="20"/>
        </w:rPr>
        <w:t>Interlocuteurs privilégiés</w:t>
      </w:r>
      <w:r w:rsidR="00F8772E" w:rsidRPr="00A74D23">
        <w:rPr>
          <w:rFonts w:asciiTheme="minorHAnsi" w:hAnsiTheme="minorHAnsi" w:cs="Open Sans"/>
          <w:i w:val="0"/>
          <w:color w:val="000000" w:themeColor="text1"/>
          <w:sz w:val="20"/>
          <w:szCs w:val="20"/>
        </w:rPr>
        <w:t xml:space="preserve"> de nos clients</w:t>
      </w:r>
      <w:r w:rsidR="003B160D" w:rsidRPr="00A74D23">
        <w:rPr>
          <w:rFonts w:asciiTheme="minorHAnsi" w:hAnsiTheme="minorHAnsi" w:cs="Open Sans"/>
          <w:i w:val="0"/>
          <w:color w:val="000000" w:themeColor="text1"/>
          <w:sz w:val="20"/>
          <w:szCs w:val="20"/>
        </w:rPr>
        <w:t xml:space="preserve">, </w:t>
      </w:r>
      <w:r w:rsidR="00630CBF" w:rsidRPr="00A74D23">
        <w:rPr>
          <w:rFonts w:asciiTheme="minorHAnsi" w:hAnsiTheme="minorHAnsi" w:cs="Open Sans"/>
          <w:i w:val="0"/>
          <w:color w:val="000000" w:themeColor="text1"/>
          <w:sz w:val="20"/>
          <w:szCs w:val="20"/>
        </w:rPr>
        <w:t>nos courtiers, agents généraux, agents vie, courtiers Afer et collaborateurs</w:t>
      </w:r>
      <w:r w:rsidR="00856FD0" w:rsidRPr="00A74D23">
        <w:rPr>
          <w:rFonts w:asciiTheme="minorHAnsi" w:hAnsiTheme="minorHAnsi" w:cs="Open Sans"/>
          <w:i w:val="0"/>
          <w:color w:val="000000" w:themeColor="text1"/>
          <w:sz w:val="20"/>
          <w:szCs w:val="20"/>
        </w:rPr>
        <w:t xml:space="preserve"> Albéa Patrimoine</w:t>
      </w:r>
      <w:r w:rsidR="00630CBF" w:rsidRPr="00A74D23">
        <w:rPr>
          <w:rFonts w:asciiTheme="minorHAnsi" w:hAnsiTheme="minorHAnsi" w:cs="Open Sans"/>
          <w:i w:val="0"/>
          <w:color w:val="000000" w:themeColor="text1"/>
          <w:sz w:val="20"/>
          <w:szCs w:val="20"/>
        </w:rPr>
        <w:t xml:space="preserve"> </w:t>
      </w:r>
      <w:r w:rsidR="00DF2EB0" w:rsidRPr="00A74D23">
        <w:rPr>
          <w:rFonts w:asciiTheme="minorHAnsi" w:hAnsiTheme="minorHAnsi" w:cs="Open Sans"/>
          <w:i w:val="0"/>
          <w:color w:val="000000" w:themeColor="text1"/>
          <w:sz w:val="20"/>
          <w:szCs w:val="20"/>
        </w:rPr>
        <w:t>et d’UFF</w:t>
      </w:r>
      <w:r w:rsidR="00521C5A" w:rsidRPr="00A74D23">
        <w:rPr>
          <w:rFonts w:asciiTheme="minorHAnsi" w:hAnsiTheme="minorHAnsi" w:cs="Open Sans"/>
          <w:i w:val="0"/>
          <w:color w:val="000000" w:themeColor="text1"/>
          <w:sz w:val="20"/>
          <w:szCs w:val="20"/>
        </w:rPr>
        <w:t xml:space="preserve"> </w:t>
      </w:r>
      <w:r w:rsidR="003B160D" w:rsidRPr="00A74D23">
        <w:rPr>
          <w:rFonts w:asciiTheme="minorHAnsi" w:hAnsiTheme="minorHAnsi" w:cs="Open Sans"/>
          <w:i w:val="0"/>
          <w:color w:val="000000" w:themeColor="text1"/>
          <w:sz w:val="20"/>
          <w:szCs w:val="20"/>
        </w:rPr>
        <w:t>sont des</w:t>
      </w:r>
      <w:r w:rsidR="00F8772E" w:rsidRPr="00A74D23">
        <w:rPr>
          <w:rFonts w:asciiTheme="minorHAnsi" w:hAnsiTheme="minorHAnsi" w:cs="Open Sans"/>
          <w:i w:val="0"/>
          <w:color w:val="000000" w:themeColor="text1"/>
          <w:sz w:val="20"/>
          <w:szCs w:val="20"/>
        </w:rPr>
        <w:t xml:space="preserve"> maillons indispensables </w:t>
      </w:r>
      <w:r w:rsidR="005F07D9" w:rsidRPr="00A74D23">
        <w:rPr>
          <w:rFonts w:asciiTheme="minorHAnsi" w:hAnsiTheme="minorHAnsi" w:cs="Open Sans"/>
          <w:i w:val="0"/>
          <w:color w:val="000000" w:themeColor="text1"/>
          <w:sz w:val="20"/>
          <w:szCs w:val="20"/>
        </w:rPr>
        <w:t>au relai</w:t>
      </w:r>
      <w:r w:rsidR="007073E2" w:rsidRPr="00A74D23">
        <w:rPr>
          <w:rFonts w:asciiTheme="minorHAnsi" w:hAnsiTheme="minorHAnsi" w:cs="Open Sans"/>
          <w:i w:val="0"/>
          <w:color w:val="000000" w:themeColor="text1"/>
          <w:sz w:val="20"/>
          <w:szCs w:val="20"/>
        </w:rPr>
        <w:t>s</w:t>
      </w:r>
      <w:r w:rsidR="005F07D9" w:rsidRPr="00A74D23">
        <w:rPr>
          <w:rFonts w:asciiTheme="minorHAnsi" w:hAnsiTheme="minorHAnsi" w:cs="Open Sans"/>
          <w:i w:val="0"/>
          <w:color w:val="000000" w:themeColor="text1"/>
          <w:sz w:val="20"/>
          <w:szCs w:val="20"/>
        </w:rPr>
        <w:t xml:space="preserve"> des enjeux </w:t>
      </w:r>
      <w:r w:rsidR="00576E62" w:rsidRPr="00A74D23">
        <w:rPr>
          <w:rFonts w:asciiTheme="minorHAnsi" w:hAnsiTheme="minorHAnsi" w:cs="Open Sans"/>
          <w:i w:val="0"/>
          <w:color w:val="000000" w:themeColor="text1"/>
          <w:sz w:val="20"/>
          <w:szCs w:val="20"/>
        </w:rPr>
        <w:t>de durabilité</w:t>
      </w:r>
      <w:r w:rsidR="003B160D" w:rsidRPr="00A74D23">
        <w:rPr>
          <w:rFonts w:asciiTheme="minorHAnsi" w:hAnsiTheme="minorHAnsi" w:cs="Open Sans"/>
          <w:i w:val="0"/>
          <w:color w:val="000000" w:themeColor="text1"/>
          <w:sz w:val="20"/>
          <w:szCs w:val="20"/>
        </w:rPr>
        <w:t xml:space="preserve">. Ainsi, </w:t>
      </w:r>
      <w:r w:rsidR="005F07D9" w:rsidRPr="00A74D23">
        <w:rPr>
          <w:rFonts w:asciiTheme="minorHAnsi" w:hAnsiTheme="minorHAnsi" w:cs="Open Sans"/>
          <w:i w:val="0"/>
          <w:color w:val="000000" w:themeColor="text1"/>
          <w:sz w:val="20"/>
          <w:szCs w:val="20"/>
        </w:rPr>
        <w:t xml:space="preserve">nous avons </w:t>
      </w:r>
      <w:r w:rsidR="003B160D" w:rsidRPr="00A74D23">
        <w:rPr>
          <w:rFonts w:asciiTheme="minorHAnsi" w:hAnsiTheme="minorHAnsi" w:cs="Open Sans"/>
          <w:i w:val="0"/>
          <w:color w:val="000000" w:themeColor="text1"/>
          <w:sz w:val="20"/>
          <w:szCs w:val="20"/>
        </w:rPr>
        <w:t>à cœur de participer à leur</w:t>
      </w:r>
      <w:r w:rsidRPr="00A74D23">
        <w:rPr>
          <w:rFonts w:asciiTheme="minorHAnsi" w:hAnsiTheme="minorHAnsi" w:cs="Open Sans"/>
          <w:i w:val="0"/>
          <w:color w:val="000000" w:themeColor="text1"/>
          <w:sz w:val="20"/>
          <w:szCs w:val="20"/>
        </w:rPr>
        <w:t xml:space="preserve"> sensibilisation </w:t>
      </w:r>
      <w:r w:rsidR="00F12678" w:rsidRPr="00A74D23">
        <w:rPr>
          <w:rFonts w:asciiTheme="minorHAnsi" w:hAnsiTheme="minorHAnsi" w:cs="Open Sans"/>
          <w:i w:val="0"/>
          <w:color w:val="000000" w:themeColor="text1"/>
          <w:sz w:val="20"/>
          <w:szCs w:val="20"/>
        </w:rPr>
        <w:t>à ces enjeux</w:t>
      </w:r>
      <w:r w:rsidR="004F10C5" w:rsidRPr="00A74D23">
        <w:rPr>
          <w:rFonts w:asciiTheme="minorHAnsi" w:hAnsiTheme="minorHAnsi" w:cs="Open Sans"/>
          <w:i w:val="0"/>
          <w:color w:val="000000" w:themeColor="text1"/>
          <w:sz w:val="20"/>
          <w:szCs w:val="20"/>
        </w:rPr>
        <w:t>, n</w:t>
      </w:r>
      <w:r w:rsidR="00F475CF" w:rsidRPr="00A74D23">
        <w:rPr>
          <w:rFonts w:asciiTheme="minorHAnsi" w:hAnsiTheme="minorHAnsi" w:cs="Open Sans"/>
          <w:i w:val="0"/>
          <w:color w:val="000000" w:themeColor="text1"/>
          <w:sz w:val="20"/>
          <w:szCs w:val="20"/>
        </w:rPr>
        <w:t>otamment lors d</w:t>
      </w:r>
      <w:r w:rsidR="00C61492" w:rsidRPr="00A74D23">
        <w:rPr>
          <w:rFonts w:asciiTheme="minorHAnsi" w:hAnsiTheme="minorHAnsi" w:cs="Open Sans"/>
          <w:i w:val="0"/>
          <w:color w:val="000000" w:themeColor="text1"/>
          <w:sz w:val="20"/>
          <w:szCs w:val="20"/>
        </w:rPr>
        <w:t xml:space="preserve">es </w:t>
      </w:r>
      <w:r w:rsidR="00706570" w:rsidRPr="00A74D23">
        <w:rPr>
          <w:rFonts w:asciiTheme="minorHAnsi" w:hAnsiTheme="minorHAnsi" w:cs="Open Sans"/>
          <w:i w:val="0"/>
          <w:color w:val="000000" w:themeColor="text1"/>
          <w:sz w:val="20"/>
          <w:szCs w:val="20"/>
        </w:rPr>
        <w:t>« Rendez-vous de l’Investissement »,</w:t>
      </w:r>
      <w:r w:rsidR="00C61492" w:rsidRPr="00A74D23">
        <w:rPr>
          <w:rFonts w:asciiTheme="minorHAnsi" w:hAnsiTheme="minorHAnsi" w:cs="Open Sans"/>
          <w:i w:val="0"/>
          <w:color w:val="000000" w:themeColor="text1"/>
          <w:sz w:val="20"/>
          <w:szCs w:val="20"/>
        </w:rPr>
        <w:t xml:space="preserve"> événements annuels d’information</w:t>
      </w:r>
      <w:r w:rsidR="00F475CF" w:rsidRPr="00A74D23">
        <w:rPr>
          <w:rFonts w:asciiTheme="minorHAnsi" w:hAnsiTheme="minorHAnsi" w:cs="Open Sans"/>
          <w:i w:val="0"/>
          <w:color w:val="000000" w:themeColor="text1"/>
          <w:sz w:val="20"/>
          <w:szCs w:val="20"/>
        </w:rPr>
        <w:t xml:space="preserve"> </w:t>
      </w:r>
      <w:r w:rsidR="004F10C5" w:rsidRPr="00A74D23">
        <w:rPr>
          <w:rFonts w:asciiTheme="minorHAnsi" w:hAnsiTheme="minorHAnsi" w:cs="Open Sans"/>
          <w:i w:val="0"/>
          <w:color w:val="000000" w:themeColor="text1"/>
          <w:sz w:val="20"/>
          <w:szCs w:val="20"/>
        </w:rPr>
        <w:t>sur les thématiques d’investissement</w:t>
      </w:r>
      <w:r w:rsidR="00F475CF" w:rsidRPr="00A74D23">
        <w:rPr>
          <w:rFonts w:asciiTheme="minorHAnsi" w:hAnsiTheme="minorHAnsi" w:cs="Open Sans"/>
          <w:i w:val="0"/>
          <w:color w:val="000000" w:themeColor="text1"/>
          <w:sz w:val="20"/>
          <w:szCs w:val="20"/>
        </w:rPr>
        <w:t xml:space="preserve"> dont les enjeux </w:t>
      </w:r>
      <w:r w:rsidR="00576E62" w:rsidRPr="00A74D23">
        <w:rPr>
          <w:rFonts w:asciiTheme="minorHAnsi" w:hAnsiTheme="minorHAnsi" w:cs="Open Sans"/>
          <w:i w:val="0"/>
          <w:color w:val="000000" w:themeColor="text1"/>
          <w:sz w:val="20"/>
          <w:szCs w:val="20"/>
        </w:rPr>
        <w:t>de durabilité</w:t>
      </w:r>
      <w:r w:rsidR="00706570" w:rsidRPr="00A74D23">
        <w:rPr>
          <w:rFonts w:asciiTheme="minorHAnsi" w:hAnsiTheme="minorHAnsi" w:cs="Open Sans"/>
          <w:i w:val="0"/>
          <w:color w:val="000000" w:themeColor="text1"/>
          <w:sz w:val="20"/>
          <w:szCs w:val="20"/>
        </w:rPr>
        <w:t>.</w:t>
      </w:r>
      <w:r w:rsidR="00C61492" w:rsidRPr="00A74D23">
        <w:rPr>
          <w:rFonts w:asciiTheme="minorHAnsi" w:hAnsiTheme="minorHAnsi" w:cs="Open Sans"/>
          <w:i w:val="0"/>
          <w:color w:val="000000" w:themeColor="text1"/>
          <w:sz w:val="20"/>
          <w:szCs w:val="20"/>
        </w:rPr>
        <w:t xml:space="preserve"> </w:t>
      </w:r>
      <w:r w:rsidR="00455903" w:rsidRPr="00A74D23">
        <w:rPr>
          <w:rFonts w:asciiTheme="minorHAnsi" w:hAnsiTheme="minorHAnsi" w:cs="Open Sans"/>
          <w:i w:val="0"/>
          <w:color w:val="000000" w:themeColor="text1"/>
          <w:sz w:val="20"/>
          <w:szCs w:val="20"/>
        </w:rPr>
        <w:t xml:space="preserve"> </w:t>
      </w:r>
    </w:p>
    <w:p w14:paraId="6F12C985" w14:textId="45E7C239" w:rsidR="00C61492" w:rsidRPr="00A74D23" w:rsidRDefault="007E6EBF" w:rsidP="009D6EE5">
      <w:pPr>
        <w:pStyle w:val="Style4"/>
        <w:spacing w:after="120" w:line="22" w:lineRule="atLeast"/>
        <w:ind w:right="1"/>
        <w:contextualSpacing w:val="0"/>
        <w:jc w:val="both"/>
        <w:rPr>
          <w:rFonts w:asciiTheme="minorHAnsi" w:hAnsiTheme="minorHAnsi" w:cs="Open Sans"/>
          <w:i w:val="0"/>
          <w:color w:val="000000" w:themeColor="text1"/>
          <w:sz w:val="20"/>
          <w:szCs w:val="20"/>
        </w:rPr>
      </w:pPr>
      <w:r w:rsidRPr="00A74D23">
        <w:rPr>
          <w:rFonts w:asciiTheme="minorHAnsi" w:hAnsiTheme="minorHAnsi" w:cs="Open Sans"/>
          <w:i w:val="0"/>
          <w:color w:val="000000" w:themeColor="text1"/>
          <w:sz w:val="20"/>
          <w:szCs w:val="20"/>
        </w:rPr>
        <w:t xml:space="preserve">Pour </w:t>
      </w:r>
      <w:r w:rsidR="004F10C5" w:rsidRPr="00A74D23">
        <w:rPr>
          <w:rFonts w:asciiTheme="minorHAnsi" w:hAnsiTheme="minorHAnsi" w:cs="Open Sans"/>
          <w:i w:val="0"/>
          <w:color w:val="000000" w:themeColor="text1"/>
          <w:sz w:val="20"/>
          <w:szCs w:val="20"/>
        </w:rPr>
        <w:t xml:space="preserve">faire perdurer </w:t>
      </w:r>
      <w:r w:rsidRPr="00A74D23">
        <w:rPr>
          <w:rFonts w:asciiTheme="minorHAnsi" w:hAnsiTheme="minorHAnsi" w:cs="Open Sans"/>
          <w:i w:val="0"/>
          <w:color w:val="000000" w:themeColor="text1"/>
          <w:sz w:val="20"/>
          <w:szCs w:val="20"/>
        </w:rPr>
        <w:t>cette dynamique tout au long de l’année, nous avons créé un groupe de travail d’inspecteurs référents</w:t>
      </w:r>
      <w:r w:rsidR="005D0A27" w:rsidRPr="00A74D23">
        <w:rPr>
          <w:rFonts w:asciiTheme="minorHAnsi" w:hAnsiTheme="minorHAnsi" w:cs="Open Sans"/>
          <w:i w:val="0"/>
          <w:color w:val="000000" w:themeColor="text1"/>
          <w:sz w:val="20"/>
          <w:szCs w:val="20"/>
        </w:rPr>
        <w:t xml:space="preserve"> </w:t>
      </w:r>
      <w:r w:rsidRPr="00A74D23">
        <w:rPr>
          <w:rFonts w:asciiTheme="minorHAnsi" w:hAnsiTheme="minorHAnsi" w:cs="Open Sans"/>
          <w:i w:val="0"/>
          <w:color w:val="000000" w:themeColor="text1"/>
          <w:sz w:val="20"/>
          <w:szCs w:val="20"/>
        </w:rPr>
        <w:t>RSE chargés de relayer nos actions RSE auprès des agents</w:t>
      </w:r>
      <w:r w:rsidR="005D0A27" w:rsidRPr="00A74D23">
        <w:rPr>
          <w:rFonts w:asciiTheme="minorHAnsi" w:hAnsiTheme="minorHAnsi" w:cs="Open Sans"/>
          <w:i w:val="0"/>
          <w:color w:val="000000" w:themeColor="text1"/>
          <w:sz w:val="20"/>
          <w:szCs w:val="20"/>
        </w:rPr>
        <w:t xml:space="preserve"> </w:t>
      </w:r>
      <w:r w:rsidRPr="00A74D23">
        <w:rPr>
          <w:rFonts w:asciiTheme="minorHAnsi" w:hAnsiTheme="minorHAnsi" w:cs="Open Sans"/>
          <w:i w:val="0"/>
          <w:color w:val="000000" w:themeColor="text1"/>
          <w:sz w:val="20"/>
          <w:szCs w:val="20"/>
        </w:rPr>
        <w:t>généraux.</w:t>
      </w:r>
    </w:p>
    <w:p w14:paraId="5123D0F4" w14:textId="185FA154" w:rsidR="00D5419C" w:rsidRPr="00A74D23" w:rsidRDefault="00534374" w:rsidP="009D6EE5">
      <w:pPr>
        <w:pStyle w:val="Style4"/>
        <w:spacing w:after="120" w:line="22" w:lineRule="atLeast"/>
        <w:ind w:right="1"/>
        <w:contextualSpacing w:val="0"/>
        <w:jc w:val="both"/>
        <w:rPr>
          <w:rFonts w:asciiTheme="minorHAnsi" w:hAnsiTheme="minorHAnsi" w:cs="Open Sans"/>
          <w:i w:val="0"/>
          <w:color w:val="000000" w:themeColor="text1"/>
          <w:sz w:val="20"/>
          <w:szCs w:val="20"/>
        </w:rPr>
      </w:pPr>
      <w:bookmarkStart w:id="48" w:name="_Hlk170077536"/>
      <w:r w:rsidRPr="00A74D23">
        <w:rPr>
          <w:rFonts w:asciiTheme="minorHAnsi" w:hAnsiTheme="minorHAnsi" w:cs="Open Sans"/>
          <w:i w:val="0"/>
          <w:color w:val="000000" w:themeColor="text1"/>
          <w:sz w:val="20"/>
          <w:szCs w:val="20"/>
        </w:rPr>
        <w:t>En 202</w:t>
      </w:r>
      <w:r w:rsidR="005578B4" w:rsidRPr="00A74D23">
        <w:rPr>
          <w:rFonts w:asciiTheme="minorHAnsi" w:hAnsiTheme="minorHAnsi" w:cs="Open Sans"/>
          <w:i w:val="0"/>
          <w:color w:val="000000" w:themeColor="text1"/>
          <w:sz w:val="20"/>
          <w:szCs w:val="20"/>
        </w:rPr>
        <w:t>5</w:t>
      </w:r>
      <w:r w:rsidRPr="00A74D23">
        <w:rPr>
          <w:rFonts w:asciiTheme="minorHAnsi" w:hAnsiTheme="minorHAnsi" w:cs="Open Sans"/>
          <w:i w:val="0"/>
          <w:color w:val="000000" w:themeColor="text1"/>
          <w:sz w:val="20"/>
          <w:szCs w:val="20"/>
        </w:rPr>
        <w:t>, l’accent a été mis sur les risques climatiques</w:t>
      </w:r>
      <w:r w:rsidR="007A78E9" w:rsidRPr="00A74D23">
        <w:rPr>
          <w:rFonts w:asciiTheme="minorHAnsi" w:hAnsiTheme="minorHAnsi" w:cs="Open Sans"/>
          <w:i w:val="0"/>
          <w:color w:val="000000" w:themeColor="text1"/>
          <w:sz w:val="20"/>
          <w:szCs w:val="20"/>
        </w:rPr>
        <w:t xml:space="preserve">, </w:t>
      </w:r>
      <w:r w:rsidR="005578B4" w:rsidRPr="00A74D23">
        <w:rPr>
          <w:rFonts w:asciiTheme="minorHAnsi" w:hAnsiTheme="minorHAnsi" w:cs="Open Sans"/>
          <w:i w:val="0"/>
          <w:color w:val="000000" w:themeColor="text1"/>
          <w:sz w:val="20"/>
          <w:szCs w:val="20"/>
        </w:rPr>
        <w:t>495</w:t>
      </w:r>
      <w:r w:rsidR="00D5419C" w:rsidRPr="00A74D23">
        <w:rPr>
          <w:rFonts w:asciiTheme="minorHAnsi" w:hAnsiTheme="minorHAnsi" w:cs="Open Sans"/>
          <w:i w:val="0"/>
          <w:color w:val="000000" w:themeColor="text1"/>
          <w:sz w:val="20"/>
          <w:szCs w:val="20"/>
        </w:rPr>
        <w:t xml:space="preserve"> </w:t>
      </w:r>
      <w:r w:rsidR="007A78E9" w:rsidRPr="00A74D23">
        <w:rPr>
          <w:rFonts w:asciiTheme="minorHAnsi" w:hAnsiTheme="minorHAnsi" w:cs="Open Sans"/>
          <w:i w:val="0"/>
          <w:color w:val="000000" w:themeColor="text1"/>
          <w:sz w:val="20"/>
          <w:szCs w:val="20"/>
        </w:rPr>
        <w:t xml:space="preserve">agents d’assurances ont ainsi été </w:t>
      </w:r>
      <w:r w:rsidR="00D5419C" w:rsidRPr="00A74D23">
        <w:rPr>
          <w:rFonts w:asciiTheme="minorHAnsi" w:hAnsiTheme="minorHAnsi" w:cs="Open Sans"/>
          <w:i w:val="0"/>
          <w:color w:val="000000" w:themeColor="text1"/>
          <w:sz w:val="20"/>
          <w:szCs w:val="20"/>
        </w:rPr>
        <w:t>formés aux solutions d’adaptation au changement climatique</w:t>
      </w:r>
      <w:r w:rsidR="00D5419C" w:rsidRPr="00A74D23">
        <w:rPr>
          <w:rFonts w:ascii="Arial" w:hAnsi="Arial" w:cs="Arial"/>
          <w:i w:val="0"/>
          <w:color w:val="000000" w:themeColor="text1"/>
          <w:sz w:val="20"/>
          <w:szCs w:val="20"/>
        </w:rPr>
        <w:t>​</w:t>
      </w:r>
      <w:r w:rsidR="00F36E19" w:rsidRPr="00A74D23">
        <w:rPr>
          <w:rFonts w:asciiTheme="minorHAnsi" w:hAnsiTheme="minorHAnsi" w:cs="Open Sans"/>
          <w:i w:val="0"/>
          <w:color w:val="000000" w:themeColor="text1"/>
          <w:sz w:val="20"/>
          <w:szCs w:val="20"/>
        </w:rPr>
        <w:t>.</w:t>
      </w:r>
    </w:p>
    <w:p w14:paraId="6D4570C7" w14:textId="370BAC14" w:rsidR="00DC36FD" w:rsidRPr="00A74D23" w:rsidRDefault="000E6266" w:rsidP="009D6EE5">
      <w:pPr>
        <w:pStyle w:val="Style4"/>
        <w:spacing w:after="120" w:line="22" w:lineRule="atLeast"/>
        <w:ind w:right="1"/>
        <w:contextualSpacing w:val="0"/>
        <w:jc w:val="both"/>
        <w:rPr>
          <w:rFonts w:asciiTheme="minorHAnsi" w:hAnsiTheme="minorHAnsi" w:cs="Open Sans"/>
          <w:i w:val="0"/>
          <w:color w:val="000000" w:themeColor="text1"/>
          <w:sz w:val="20"/>
          <w:szCs w:val="20"/>
        </w:rPr>
      </w:pPr>
      <w:r w:rsidRPr="00A74D23">
        <w:rPr>
          <w:rFonts w:asciiTheme="minorHAnsi" w:hAnsiTheme="minorHAnsi" w:cs="Open Sans"/>
          <w:i w:val="0"/>
          <w:color w:val="000000" w:themeColor="text1"/>
          <w:sz w:val="20"/>
          <w:szCs w:val="20"/>
        </w:rPr>
        <w:t xml:space="preserve">Nous avons également présenté note approche en termes de </w:t>
      </w:r>
      <w:r w:rsidR="009333CE" w:rsidRPr="00A74D23">
        <w:rPr>
          <w:rFonts w:asciiTheme="minorHAnsi" w:hAnsiTheme="minorHAnsi" w:cs="Open Sans"/>
          <w:i w:val="0"/>
          <w:color w:val="000000" w:themeColor="text1"/>
          <w:sz w:val="20"/>
          <w:szCs w:val="20"/>
        </w:rPr>
        <w:t>prévention des risques climatiques</w:t>
      </w:r>
      <w:r w:rsidRPr="00A74D23">
        <w:rPr>
          <w:rFonts w:asciiTheme="minorHAnsi" w:hAnsiTheme="minorHAnsi" w:cs="Open Sans"/>
          <w:i w:val="0"/>
          <w:color w:val="000000" w:themeColor="text1"/>
          <w:sz w:val="20"/>
          <w:szCs w:val="20"/>
        </w:rPr>
        <w:t xml:space="preserve"> lors d</w:t>
      </w:r>
      <w:r w:rsidR="009333CE" w:rsidRPr="00A74D23">
        <w:rPr>
          <w:rFonts w:asciiTheme="minorHAnsi" w:hAnsiTheme="minorHAnsi" w:cs="Open Sans"/>
          <w:i w:val="0"/>
          <w:color w:val="000000" w:themeColor="text1"/>
          <w:sz w:val="20"/>
          <w:szCs w:val="20"/>
        </w:rPr>
        <w:t>’un</w:t>
      </w:r>
      <w:r w:rsidRPr="00A74D23">
        <w:rPr>
          <w:rFonts w:asciiTheme="minorHAnsi" w:hAnsiTheme="minorHAnsi" w:cs="Open Sans"/>
          <w:i w:val="0"/>
          <w:color w:val="000000" w:themeColor="text1"/>
          <w:sz w:val="20"/>
          <w:szCs w:val="20"/>
        </w:rPr>
        <w:t xml:space="preserve"> webinaire dédié aux réseaux de distribution</w:t>
      </w:r>
      <w:r w:rsidR="00963BFF" w:rsidRPr="00A74D23">
        <w:rPr>
          <w:rFonts w:asciiTheme="minorHAnsi" w:hAnsiTheme="minorHAnsi" w:cs="Open Sans"/>
          <w:i w:val="0"/>
          <w:color w:val="000000" w:themeColor="text1"/>
          <w:sz w:val="20"/>
          <w:szCs w:val="20"/>
        </w:rPr>
        <w:t xml:space="preserve">. </w:t>
      </w:r>
      <w:r w:rsidR="008B636F" w:rsidRPr="00A74D23">
        <w:rPr>
          <w:rFonts w:asciiTheme="minorHAnsi" w:hAnsiTheme="minorHAnsi" w:cs="Open Sans"/>
          <w:i w:val="0"/>
          <w:color w:val="000000" w:themeColor="text1"/>
          <w:sz w:val="20"/>
          <w:szCs w:val="20"/>
        </w:rPr>
        <w:t>« Je deviens expert en prévention », l</w:t>
      </w:r>
      <w:r w:rsidR="00963BFF" w:rsidRPr="00A74D23">
        <w:rPr>
          <w:rFonts w:asciiTheme="minorHAnsi" w:hAnsiTheme="minorHAnsi" w:cs="Open Sans"/>
          <w:i w:val="0"/>
          <w:color w:val="000000" w:themeColor="text1"/>
          <w:sz w:val="20"/>
          <w:szCs w:val="20"/>
        </w:rPr>
        <w:t xml:space="preserve">e premier épisode de la série dédiée à la prévention pour illustrer comment les interventions des Ingénieurs en prévention peuvent accompagner les agents au quotidien a réuni </w:t>
      </w:r>
      <w:r w:rsidR="0001465C" w:rsidRPr="00A74D23">
        <w:rPr>
          <w:rFonts w:asciiTheme="minorHAnsi" w:hAnsiTheme="minorHAnsi" w:cs="Open Sans"/>
          <w:i w:val="0"/>
          <w:color w:val="000000" w:themeColor="text1"/>
          <w:sz w:val="20"/>
          <w:szCs w:val="20"/>
        </w:rPr>
        <w:t xml:space="preserve">180 </w:t>
      </w:r>
      <w:r w:rsidR="00963BFF" w:rsidRPr="00A74D23">
        <w:rPr>
          <w:rFonts w:asciiTheme="minorHAnsi" w:hAnsiTheme="minorHAnsi" w:cs="Open Sans"/>
          <w:i w:val="0"/>
          <w:color w:val="000000" w:themeColor="text1"/>
          <w:sz w:val="20"/>
          <w:szCs w:val="20"/>
        </w:rPr>
        <w:t xml:space="preserve">participants. </w:t>
      </w:r>
      <w:bookmarkEnd w:id="48"/>
    </w:p>
    <w:p w14:paraId="38EFC4E6" w14:textId="67BA5781" w:rsidR="7C0DDFB2" w:rsidRPr="00A74D23" w:rsidRDefault="7C0DDFB2" w:rsidP="009D6EE5">
      <w:pPr>
        <w:pStyle w:val="Style4"/>
        <w:spacing w:after="120" w:line="22" w:lineRule="atLeast"/>
        <w:ind w:right="1"/>
        <w:contextualSpacing w:val="0"/>
        <w:jc w:val="both"/>
        <w:rPr>
          <w:rFonts w:asciiTheme="minorHAnsi" w:hAnsiTheme="minorHAnsi" w:cs="Open Sans"/>
          <w:i w:val="0"/>
          <w:color w:val="000000" w:themeColor="text1"/>
          <w:sz w:val="20"/>
          <w:szCs w:val="20"/>
        </w:rPr>
      </w:pPr>
      <w:r w:rsidRPr="00A74D23">
        <w:rPr>
          <w:rFonts w:asciiTheme="minorHAnsi" w:hAnsiTheme="minorHAnsi" w:cs="Open Sans"/>
          <w:i w:val="0"/>
          <w:color w:val="000000" w:themeColor="text1"/>
          <w:sz w:val="20"/>
          <w:szCs w:val="20"/>
        </w:rPr>
        <w:t>Une nouvelle formation a été déployée en février 2025 à destination des agents généraux, dédiée aux risques climatiques : inondation, grêle, tempête</w:t>
      </w:r>
      <w:r w:rsidR="00171D05" w:rsidRPr="00A74D23">
        <w:rPr>
          <w:rFonts w:asciiTheme="minorHAnsi" w:hAnsiTheme="minorHAnsi" w:cs="Open Sans"/>
          <w:i w:val="0"/>
          <w:color w:val="000000" w:themeColor="text1"/>
          <w:sz w:val="20"/>
          <w:szCs w:val="20"/>
        </w:rPr>
        <w:t xml:space="preserve"> </w:t>
      </w:r>
      <w:r w:rsidRPr="00A74D23">
        <w:rPr>
          <w:rFonts w:asciiTheme="minorHAnsi" w:hAnsiTheme="minorHAnsi" w:cs="Open Sans"/>
          <w:i w:val="0"/>
          <w:color w:val="000000" w:themeColor="text1"/>
          <w:sz w:val="20"/>
          <w:szCs w:val="20"/>
        </w:rPr>
        <w:t>: ce nouveau module a pour but de comprendre ces enjeux climatiques, ainsi que les moyens de s’y protéger afin de réduire notre vulnérabilité.</w:t>
      </w:r>
    </w:p>
    <w:p w14:paraId="27A85DD0" w14:textId="49BAA9F7" w:rsidR="005DD368" w:rsidRPr="00A74D23" w:rsidRDefault="005DD368" w:rsidP="009D6EE5">
      <w:pPr>
        <w:pStyle w:val="Style1"/>
        <w:numPr>
          <w:ilvl w:val="0"/>
          <w:numId w:val="0"/>
        </w:numPr>
        <w:spacing w:after="0" w:line="22" w:lineRule="atLeast"/>
        <w:jc w:val="both"/>
        <w:rPr>
          <w:rFonts w:cs="Open Sans"/>
          <w:i w:val="0"/>
          <w:iCs w:val="0"/>
          <w:color w:val="auto"/>
          <w:sz w:val="20"/>
          <w:szCs w:val="20"/>
        </w:rPr>
      </w:pPr>
      <w:r w:rsidRPr="00A74D23">
        <w:rPr>
          <w:rFonts w:cs="Open Sans"/>
          <w:i w:val="0"/>
          <w:iCs w:val="0"/>
          <w:color w:val="auto"/>
          <w:sz w:val="20"/>
          <w:szCs w:val="20"/>
        </w:rPr>
        <w:t>Enfin, une formation “Réglementation investissement durable” est disponible depuis juillet 2023. Elle permet de comprendre les concepts essentiels de la finance durable et des nouvelles réglem</w:t>
      </w:r>
      <w:r w:rsidR="6C680950" w:rsidRPr="00A74D23">
        <w:rPr>
          <w:rFonts w:cs="Open Sans"/>
          <w:i w:val="0"/>
          <w:iCs w:val="0"/>
          <w:color w:val="auto"/>
          <w:sz w:val="20"/>
          <w:szCs w:val="20"/>
        </w:rPr>
        <w:t>entations qui en découlent (SFDR, Taxonomie) et d’acquérir une grille de lecture des produits et méthodologies utilisées pour répondre aux interrogations des éparg</w:t>
      </w:r>
      <w:r w:rsidR="3104BC3C" w:rsidRPr="00A74D23">
        <w:rPr>
          <w:rFonts w:cs="Open Sans"/>
          <w:i w:val="0"/>
          <w:iCs w:val="0"/>
          <w:color w:val="auto"/>
          <w:sz w:val="20"/>
          <w:szCs w:val="20"/>
        </w:rPr>
        <w:t>nants en matière de durabilité.</w:t>
      </w:r>
    </w:p>
    <w:p w14:paraId="3489F131" w14:textId="11C42D5E" w:rsidR="006A548E" w:rsidRPr="00A74D23" w:rsidRDefault="006A548E" w:rsidP="009D6EE5">
      <w:pPr>
        <w:spacing w:line="22" w:lineRule="atLeast"/>
        <w:jc w:val="both"/>
        <w:textAlignment w:val="center"/>
        <w:rPr>
          <w:rFonts w:asciiTheme="minorHAnsi" w:hAnsiTheme="minorHAnsi"/>
          <w:sz w:val="20"/>
          <w:lang w:val="fr-FR"/>
        </w:rPr>
      </w:pPr>
    </w:p>
    <w:p w14:paraId="76022750" w14:textId="77777777" w:rsidR="00CF4422" w:rsidRPr="00A74D23" w:rsidRDefault="00CF4422" w:rsidP="009D6EE5">
      <w:pPr>
        <w:spacing w:line="22" w:lineRule="atLeast"/>
        <w:jc w:val="both"/>
        <w:rPr>
          <w:rFonts w:asciiTheme="minorHAnsi" w:hAnsiTheme="minorHAnsi"/>
          <w:lang w:val="fr-FR"/>
        </w:rPr>
      </w:pPr>
    </w:p>
    <w:p w14:paraId="7C7F60FC" w14:textId="350F7E1C" w:rsidR="007715F3" w:rsidRPr="002D2C3E" w:rsidRDefault="00BB55DC" w:rsidP="009D6EE5">
      <w:pPr>
        <w:pStyle w:val="Style2"/>
        <w:spacing w:line="22" w:lineRule="atLeast"/>
        <w:jc w:val="both"/>
        <w:rPr>
          <w:rFonts w:asciiTheme="minorHAnsi" w:hAnsiTheme="minorHAnsi" w:cs="Open Sans"/>
          <w:b w:val="0"/>
          <w:bCs/>
          <w:sz w:val="44"/>
          <w:szCs w:val="44"/>
        </w:rPr>
      </w:pPr>
      <w:bookmarkStart w:id="49" w:name="_Toc231337005"/>
      <w:r w:rsidRPr="002D2C3E">
        <w:rPr>
          <w:rFonts w:asciiTheme="minorHAnsi" w:hAnsiTheme="minorHAnsi" w:cs="Open Sans"/>
          <w:b w:val="0"/>
          <w:bCs/>
          <w:sz w:val="44"/>
          <w:szCs w:val="44"/>
        </w:rPr>
        <w:t>D.</w:t>
      </w:r>
      <w:r w:rsidR="007D18CC" w:rsidRPr="002D2C3E">
        <w:rPr>
          <w:rFonts w:asciiTheme="minorHAnsi" w:hAnsiTheme="minorHAnsi" w:cs="Open Sans"/>
          <w:b w:val="0"/>
          <w:bCs/>
          <w:sz w:val="44"/>
          <w:szCs w:val="44"/>
        </w:rPr>
        <w:t xml:space="preserve"> </w:t>
      </w:r>
      <w:bookmarkStart w:id="50" w:name="_Toc129091815"/>
      <w:bookmarkStart w:id="51" w:name="_Toc128735904"/>
      <w:r w:rsidR="006E7718" w:rsidRPr="002D2C3E">
        <w:rPr>
          <w:rFonts w:asciiTheme="minorHAnsi" w:hAnsiTheme="minorHAnsi" w:cs="Open Sans"/>
          <w:b w:val="0"/>
          <w:bCs/>
          <w:sz w:val="44"/>
          <w:szCs w:val="44"/>
        </w:rPr>
        <w:t>P</w:t>
      </w:r>
      <w:r w:rsidR="00CE2C75" w:rsidRPr="002D2C3E">
        <w:rPr>
          <w:rFonts w:asciiTheme="minorHAnsi" w:hAnsiTheme="minorHAnsi" w:cs="Open Sans"/>
          <w:b w:val="0"/>
          <w:bCs/>
          <w:sz w:val="44"/>
          <w:szCs w:val="44"/>
        </w:rPr>
        <w:t xml:space="preserve">rise en compte des critères </w:t>
      </w:r>
      <w:r w:rsidRPr="002D2C3E">
        <w:rPr>
          <w:rFonts w:asciiTheme="minorHAnsi" w:hAnsiTheme="minorHAnsi" w:cs="Open Sans"/>
          <w:b w:val="0"/>
          <w:bCs/>
          <w:sz w:val="44"/>
          <w:szCs w:val="44"/>
        </w:rPr>
        <w:t>ESG</w:t>
      </w:r>
      <w:r w:rsidR="00CE2C75" w:rsidRPr="002D2C3E">
        <w:rPr>
          <w:rFonts w:asciiTheme="minorHAnsi" w:hAnsiTheme="minorHAnsi" w:cs="Open Sans"/>
          <w:b w:val="0"/>
          <w:bCs/>
          <w:sz w:val="44"/>
          <w:szCs w:val="44"/>
        </w:rPr>
        <w:t xml:space="preserve"> au niveau de la gouvernance </w:t>
      </w:r>
      <w:r w:rsidR="00E50888" w:rsidRPr="002D2C3E">
        <w:rPr>
          <w:rFonts w:asciiTheme="minorHAnsi" w:hAnsiTheme="minorHAnsi" w:cs="Open Sans"/>
          <w:b w:val="0"/>
          <w:bCs/>
          <w:sz w:val="44"/>
          <w:szCs w:val="44"/>
        </w:rPr>
        <w:t xml:space="preserve">d’Abeille </w:t>
      </w:r>
      <w:bookmarkEnd w:id="50"/>
      <w:bookmarkEnd w:id="51"/>
      <w:r w:rsidR="00B763E0" w:rsidRPr="002D2C3E">
        <w:rPr>
          <w:rFonts w:asciiTheme="minorHAnsi" w:hAnsiTheme="minorHAnsi" w:cs="Open Sans"/>
          <w:b w:val="0"/>
          <w:bCs/>
          <w:sz w:val="44"/>
          <w:szCs w:val="44"/>
        </w:rPr>
        <w:t>Assurances</w:t>
      </w:r>
      <w:bookmarkEnd w:id="49"/>
      <w:r w:rsidR="005D314C" w:rsidRPr="002D2C3E">
        <w:rPr>
          <w:rFonts w:asciiTheme="minorHAnsi" w:hAnsiTheme="minorHAnsi" w:cs="Open Sans"/>
          <w:b w:val="0"/>
          <w:bCs/>
          <w:sz w:val="44"/>
          <w:szCs w:val="44"/>
        </w:rPr>
        <w:t xml:space="preserve"> </w:t>
      </w:r>
    </w:p>
    <w:p w14:paraId="70C63F31" w14:textId="77777777" w:rsidR="002A2E42" w:rsidRPr="00A74D23" w:rsidRDefault="002A2E42" w:rsidP="009D6EE5">
      <w:pPr>
        <w:spacing w:line="22" w:lineRule="atLeast"/>
        <w:jc w:val="both"/>
        <w:rPr>
          <w:rFonts w:asciiTheme="minorHAnsi" w:hAnsiTheme="minorHAnsi"/>
          <w:lang w:val="fr-FR"/>
        </w:rPr>
      </w:pPr>
    </w:p>
    <w:p w14:paraId="4498BD2A" w14:textId="4E8A5D4A" w:rsidR="00615552" w:rsidRPr="00A74D23" w:rsidRDefault="00615552" w:rsidP="00590DD1">
      <w:pPr>
        <w:pStyle w:val="StyleYO"/>
        <w:numPr>
          <w:ilvl w:val="0"/>
          <w:numId w:val="70"/>
        </w:numPr>
        <w:spacing w:line="22" w:lineRule="atLeast"/>
        <w:jc w:val="both"/>
      </w:pPr>
      <w:bookmarkStart w:id="52" w:name="_Toc231337006"/>
      <w:bookmarkStart w:id="53" w:name="_Toc129091816"/>
      <w:bookmarkStart w:id="54" w:name="_Toc128735905"/>
      <w:r w:rsidRPr="00A74D23">
        <w:t>Au sein d’Abeille Assurances</w:t>
      </w:r>
      <w:bookmarkEnd w:id="52"/>
    </w:p>
    <w:p w14:paraId="44EB133D" w14:textId="08C21F58" w:rsidR="008D14AB" w:rsidRPr="00A74D23" w:rsidRDefault="008D14AB" w:rsidP="009D6EE5">
      <w:pPr>
        <w:pStyle w:val="Style1"/>
        <w:numPr>
          <w:ilvl w:val="0"/>
          <w:numId w:val="0"/>
        </w:numPr>
        <w:spacing w:line="22" w:lineRule="atLeast"/>
        <w:contextualSpacing w:val="0"/>
        <w:jc w:val="both"/>
        <w:rPr>
          <w:rFonts w:cs="Open Sans"/>
          <w:i w:val="0"/>
          <w:color w:val="auto"/>
          <w:sz w:val="20"/>
          <w:szCs w:val="20"/>
        </w:rPr>
      </w:pPr>
      <w:r w:rsidRPr="00A74D23">
        <w:rPr>
          <w:rFonts w:cs="Open Sans"/>
          <w:i w:val="0"/>
          <w:color w:val="auto"/>
          <w:sz w:val="20"/>
          <w:szCs w:val="20"/>
        </w:rPr>
        <w:t>La gouvernance d’Abeille Assurances intègre l’ensemble des entités formées par Abeille Assurances Holding et ses filiales. Elle s’inscrit dans la gouvernance d’Aéma Groupe, et intègre le cadre de gouvernance fixé par cette dernière. Elle est composée d’un conseil d’administration qui définit les orientations stratégiques d’Abeille Assurances et de ses filiales ce qui inclut les éventuels sujets en matière de durabilité et les enjeux ESG. Le conseil d’administration s’assure également de la mise en œuvre opérationnelle de cette stratégie et peut s’appuyer sur trois comités spécialisés (Comité Stratégique, du Comité de l’Audit et des Risques et du Comité des Rémunérations et des Sélections) qui, parmi leurs missions, peuvent traiter des enjeux ESG.</w:t>
      </w:r>
    </w:p>
    <w:p w14:paraId="2FEADE7A" w14:textId="4ADE6C7E" w:rsidR="008D14AB" w:rsidRPr="00A74D23" w:rsidRDefault="008D14AB" w:rsidP="009D6EE5">
      <w:pPr>
        <w:pStyle w:val="Style1"/>
        <w:numPr>
          <w:ilvl w:val="0"/>
          <w:numId w:val="0"/>
        </w:numPr>
        <w:spacing w:after="120" w:line="22" w:lineRule="atLeast"/>
        <w:contextualSpacing w:val="0"/>
        <w:jc w:val="both"/>
        <w:rPr>
          <w:rFonts w:cs="Open Sans"/>
          <w:i w:val="0"/>
          <w:iCs w:val="0"/>
          <w:color w:val="auto"/>
          <w:sz w:val="20"/>
          <w:szCs w:val="20"/>
        </w:rPr>
      </w:pPr>
      <w:r w:rsidRPr="00A74D23">
        <w:rPr>
          <w:rFonts w:cs="Open Sans"/>
          <w:i w:val="0"/>
          <w:iCs w:val="0"/>
          <w:color w:val="auto"/>
          <w:sz w:val="20"/>
          <w:szCs w:val="20"/>
        </w:rPr>
        <w:t>Le conseil d’administration d’Abeille Assurances Holding est composé, au 31 décembre 202</w:t>
      </w:r>
      <w:r w:rsidR="005F7E02" w:rsidRPr="00A74D23">
        <w:rPr>
          <w:rFonts w:cs="Open Sans"/>
          <w:i w:val="0"/>
          <w:iCs w:val="0"/>
          <w:color w:val="auto"/>
          <w:sz w:val="20"/>
          <w:szCs w:val="20"/>
        </w:rPr>
        <w:t>5</w:t>
      </w:r>
      <w:r w:rsidRPr="00A74D23">
        <w:rPr>
          <w:rFonts w:cs="Open Sans"/>
          <w:i w:val="0"/>
          <w:iCs w:val="0"/>
          <w:color w:val="auto"/>
          <w:sz w:val="20"/>
          <w:szCs w:val="20"/>
        </w:rPr>
        <w:t>, de 13 membres élus par l’assemblée générale, sur candidatures proposées par les trois actionnaires principaux d’Abeille Assurances et issus soit des conseils d’administration, soit des cadres dirigeants des actionnaires. Au 31 décembre 202</w:t>
      </w:r>
      <w:r w:rsidR="005F7E02" w:rsidRPr="00A74D23">
        <w:rPr>
          <w:rFonts w:cs="Open Sans"/>
          <w:i w:val="0"/>
          <w:iCs w:val="0"/>
          <w:color w:val="auto"/>
          <w:sz w:val="20"/>
          <w:szCs w:val="20"/>
        </w:rPr>
        <w:t>5</w:t>
      </w:r>
      <w:r w:rsidRPr="00A74D23">
        <w:rPr>
          <w:rFonts w:cs="Open Sans"/>
          <w:i w:val="0"/>
          <w:iCs w:val="0"/>
          <w:color w:val="auto"/>
          <w:sz w:val="20"/>
          <w:szCs w:val="20"/>
        </w:rPr>
        <w:t xml:space="preserve">, 31% des administrateurs élus par l’assemblée générale sont des femmes. </w:t>
      </w:r>
    </w:p>
    <w:p w14:paraId="3AD7064D" w14:textId="77777777" w:rsidR="008D14AB" w:rsidRPr="00A74D23" w:rsidRDefault="008D14AB" w:rsidP="009D6EE5">
      <w:pPr>
        <w:pStyle w:val="Style1"/>
        <w:numPr>
          <w:ilvl w:val="0"/>
          <w:numId w:val="0"/>
        </w:numPr>
        <w:spacing w:line="22" w:lineRule="atLeast"/>
        <w:contextualSpacing w:val="0"/>
        <w:jc w:val="both"/>
        <w:rPr>
          <w:rFonts w:cs="Open Sans"/>
          <w:i w:val="0"/>
          <w:color w:val="auto"/>
          <w:sz w:val="20"/>
          <w:szCs w:val="20"/>
        </w:rPr>
      </w:pPr>
      <w:r w:rsidRPr="00A74D23">
        <w:rPr>
          <w:rFonts w:cs="Open Sans"/>
          <w:i w:val="0"/>
          <w:color w:val="auto"/>
          <w:sz w:val="20"/>
          <w:szCs w:val="20"/>
        </w:rPr>
        <w:t>Les conseils d’administration des filiales sont composés d’administrateurs élus par l’assemblée générale sur proposition de l’actionnaire (Abeille Assurances Holding). Ils sont présidés par le directeur général d’Abeille Assurances Holding afin d’assurer l’alignement de l’ensemble des entités filiales avec la stratégie d’Abeille Assurances Holding. Ces conseils d’administration sont également composés de représentants du Groupe et de représentants des salariés.</w:t>
      </w:r>
    </w:p>
    <w:p w14:paraId="09DC136B" w14:textId="77777777" w:rsidR="008D14AB" w:rsidRPr="00A74D23" w:rsidRDefault="008D14AB" w:rsidP="009D6EE5">
      <w:pPr>
        <w:pStyle w:val="Style1"/>
        <w:numPr>
          <w:ilvl w:val="0"/>
          <w:numId w:val="0"/>
        </w:numPr>
        <w:spacing w:line="22" w:lineRule="atLeast"/>
        <w:contextualSpacing w:val="0"/>
        <w:jc w:val="both"/>
        <w:rPr>
          <w:rFonts w:cs="Open Sans"/>
          <w:i w:val="0"/>
          <w:color w:val="auto"/>
          <w:sz w:val="20"/>
          <w:szCs w:val="20"/>
        </w:rPr>
      </w:pPr>
      <w:r w:rsidRPr="00A74D23">
        <w:rPr>
          <w:rFonts w:cs="Open Sans"/>
          <w:i w:val="0"/>
          <w:color w:val="auto"/>
          <w:sz w:val="20"/>
          <w:szCs w:val="20"/>
        </w:rPr>
        <w:t>Le conseil d’administration s’appuie, pour prendre des décisions, sur les travaux du Comité Stratégique, du Comité de l’Audit et des Risques et du Comité des Rémunérations et des Sélections. Ces trois comités spécialisés intègrent dans leurs travaux les questions de responsabilité sociale, sociétale et environnementale et d’investissement responsable.</w:t>
      </w:r>
    </w:p>
    <w:p w14:paraId="17B45CB2" w14:textId="26391895" w:rsidR="008D14AB" w:rsidRPr="00A74D23" w:rsidRDefault="008D14AB" w:rsidP="009D6EE5">
      <w:pPr>
        <w:pStyle w:val="Style1"/>
        <w:numPr>
          <w:ilvl w:val="0"/>
          <w:numId w:val="0"/>
        </w:numPr>
        <w:spacing w:line="22" w:lineRule="atLeast"/>
        <w:contextualSpacing w:val="0"/>
        <w:jc w:val="both"/>
        <w:rPr>
          <w:rFonts w:cs="Open Sans"/>
          <w:i w:val="0"/>
          <w:color w:val="auto"/>
          <w:sz w:val="20"/>
          <w:szCs w:val="20"/>
        </w:rPr>
      </w:pPr>
      <w:r w:rsidRPr="00A74D23">
        <w:rPr>
          <w:rFonts w:cs="Open Sans"/>
          <w:i w:val="0"/>
          <w:color w:val="auto"/>
          <w:sz w:val="20"/>
          <w:szCs w:val="20"/>
        </w:rPr>
        <w:t xml:space="preserve">En </w:t>
      </w:r>
      <w:r w:rsidRPr="00A74D23">
        <w:rPr>
          <w:rFonts w:cs="Open Sans"/>
          <w:i w:val="0"/>
          <w:iCs w:val="0"/>
          <w:color w:val="auto"/>
          <w:sz w:val="20"/>
          <w:szCs w:val="20"/>
        </w:rPr>
        <w:t>202</w:t>
      </w:r>
      <w:r w:rsidR="001A107C" w:rsidRPr="00A74D23">
        <w:rPr>
          <w:rFonts w:cs="Open Sans"/>
          <w:i w:val="0"/>
          <w:iCs w:val="0"/>
          <w:color w:val="auto"/>
          <w:sz w:val="20"/>
          <w:szCs w:val="20"/>
        </w:rPr>
        <w:t>5</w:t>
      </w:r>
      <w:r w:rsidRPr="00A74D23">
        <w:rPr>
          <w:rFonts w:cs="Open Sans"/>
          <w:i w:val="0"/>
          <w:color w:val="auto"/>
          <w:sz w:val="20"/>
          <w:szCs w:val="20"/>
        </w:rPr>
        <w:t xml:space="preserve">, le règlement intérieur du conseil d’administration d’Abeille Assurances n’intègre pas explicitement les enjeux de durabilité dans les rôles notamment des comités spécialisés. Pour autant, les instances dirigeantes sont impliquées dans la démarche ESG : le conseil d’administration valide le cadre d’appétence aux risques, qui intègre ceux environnementaux, sociaux et de gouvernance. </w:t>
      </w:r>
    </w:p>
    <w:p w14:paraId="6033A10D" w14:textId="064C215C" w:rsidR="008D14AB" w:rsidRPr="00A74D23" w:rsidRDefault="008D14AB" w:rsidP="009D6EE5">
      <w:pPr>
        <w:pStyle w:val="Style1"/>
        <w:numPr>
          <w:ilvl w:val="0"/>
          <w:numId w:val="0"/>
        </w:numPr>
        <w:spacing w:line="22" w:lineRule="atLeast"/>
        <w:contextualSpacing w:val="0"/>
        <w:jc w:val="both"/>
        <w:rPr>
          <w:rFonts w:cs="Open Sans"/>
          <w:i w:val="0"/>
          <w:color w:val="auto"/>
          <w:sz w:val="20"/>
          <w:szCs w:val="20"/>
        </w:rPr>
      </w:pPr>
      <w:r w:rsidRPr="00A74D23">
        <w:rPr>
          <w:rFonts w:cs="Open Sans"/>
          <w:i w:val="0"/>
          <w:color w:val="auto"/>
          <w:sz w:val="20"/>
          <w:szCs w:val="20"/>
        </w:rPr>
        <w:t>Au niveau du conseil d’administration d’Abeille Assurances, le comité de l’Audit et des Risques supervise notamment la gestion des risques et des opportunités liés au climat et à la durabilité et revoit les rapports tels que l</w:t>
      </w:r>
      <w:r w:rsidR="008629A9" w:rsidRPr="00A74D23">
        <w:rPr>
          <w:rFonts w:cs="Open Sans"/>
          <w:i w:val="0"/>
          <w:color w:val="auto"/>
          <w:sz w:val="20"/>
          <w:szCs w:val="20"/>
        </w:rPr>
        <w:t xml:space="preserve">e rapport </w:t>
      </w:r>
      <w:r w:rsidR="00D76107" w:rsidRPr="00A74D23">
        <w:rPr>
          <w:rFonts w:cs="Open Sans"/>
          <w:i w:val="0"/>
          <w:color w:val="auto"/>
          <w:sz w:val="20"/>
          <w:szCs w:val="20"/>
        </w:rPr>
        <w:t>volontaire de durabilité</w:t>
      </w:r>
      <w:r w:rsidRPr="00A74D23">
        <w:rPr>
          <w:rFonts w:cs="Open Sans"/>
          <w:i w:val="0"/>
          <w:color w:val="auto"/>
          <w:sz w:val="20"/>
          <w:szCs w:val="20"/>
        </w:rPr>
        <w:t xml:space="preserve"> et le présent rapport. </w:t>
      </w:r>
    </w:p>
    <w:p w14:paraId="3D3F1CD9" w14:textId="51F508FF" w:rsidR="00927028" w:rsidRPr="00A74D23" w:rsidRDefault="008D14AB" w:rsidP="009D6EE5">
      <w:pPr>
        <w:pStyle w:val="Style1"/>
        <w:numPr>
          <w:ilvl w:val="0"/>
          <w:numId w:val="0"/>
        </w:numPr>
        <w:spacing w:line="22" w:lineRule="atLeast"/>
        <w:contextualSpacing w:val="0"/>
        <w:jc w:val="both"/>
        <w:rPr>
          <w:rFonts w:cs="Open Sans"/>
          <w:i w:val="0"/>
          <w:color w:val="auto"/>
          <w:sz w:val="20"/>
          <w:szCs w:val="20"/>
        </w:rPr>
      </w:pPr>
      <w:r w:rsidRPr="00A74D23">
        <w:rPr>
          <w:rFonts w:cs="Open Sans"/>
          <w:i w:val="0"/>
          <w:color w:val="auto"/>
          <w:sz w:val="20"/>
          <w:szCs w:val="20"/>
        </w:rPr>
        <w:t>La direction des investissements d’Abeille Assurances travaille en étroite collaboration avec la société de gestion d’actifs du Groupe Aéma, dont elle est actionnaire</w:t>
      </w:r>
      <w:r w:rsidR="00806030" w:rsidRPr="00A74D23">
        <w:rPr>
          <w:rFonts w:cs="Open Sans"/>
          <w:i w:val="0"/>
          <w:color w:val="auto"/>
          <w:sz w:val="20"/>
          <w:szCs w:val="20"/>
        </w:rPr>
        <w:t xml:space="preserve">, </w:t>
      </w:r>
      <w:r w:rsidRPr="00A74D23">
        <w:rPr>
          <w:rFonts w:cs="Open Sans"/>
          <w:i w:val="0"/>
          <w:color w:val="auto"/>
          <w:sz w:val="20"/>
          <w:szCs w:val="20"/>
        </w:rPr>
        <w:t xml:space="preserve">notamment sur l’intégration des critères ESG dans la gestion et notamment l’alignement des portefeuilles d’investissements à nos objectifs de décarbonation à horizon 2030. </w:t>
      </w:r>
    </w:p>
    <w:p w14:paraId="1C4928F0" w14:textId="3C3AF7BF" w:rsidR="008D14AB" w:rsidRPr="00A74D23" w:rsidRDefault="008D14AB" w:rsidP="009D6EE5">
      <w:pPr>
        <w:pStyle w:val="Style1"/>
        <w:numPr>
          <w:ilvl w:val="0"/>
          <w:numId w:val="0"/>
        </w:numPr>
        <w:spacing w:line="22" w:lineRule="atLeast"/>
        <w:contextualSpacing w:val="0"/>
        <w:jc w:val="both"/>
        <w:rPr>
          <w:rFonts w:cs="Open Sans"/>
          <w:i w:val="0"/>
          <w:color w:val="auto"/>
          <w:sz w:val="20"/>
          <w:szCs w:val="20"/>
        </w:rPr>
      </w:pPr>
      <w:r w:rsidRPr="00A74D23">
        <w:rPr>
          <w:rFonts w:cs="Open Sans"/>
          <w:i w:val="0"/>
          <w:color w:val="auto"/>
          <w:sz w:val="20"/>
          <w:szCs w:val="20"/>
        </w:rPr>
        <w:t xml:space="preserve">Cette collaboration quotidienne est formalisée par la tenue d’un comité ESG-Climat trimestriel commun à la société d’assurance et à la société de gestion d’actifs qui supervise la correcte intégration des facteurs ESG-Climat. </w:t>
      </w:r>
    </w:p>
    <w:p w14:paraId="03AC90C8" w14:textId="77777777" w:rsidR="00795399" w:rsidRPr="00A74D23" w:rsidRDefault="008D14AB" w:rsidP="009D6EE5">
      <w:pPr>
        <w:pStyle w:val="Style1"/>
        <w:numPr>
          <w:ilvl w:val="0"/>
          <w:numId w:val="0"/>
        </w:numPr>
        <w:tabs>
          <w:tab w:val="clear" w:pos="2010"/>
        </w:tabs>
        <w:spacing w:line="22" w:lineRule="atLeast"/>
        <w:contextualSpacing w:val="0"/>
        <w:jc w:val="both"/>
        <w:rPr>
          <w:rFonts w:cs="Open Sans"/>
          <w:i w:val="0"/>
          <w:color w:val="auto"/>
          <w:sz w:val="20"/>
          <w:szCs w:val="20"/>
        </w:rPr>
      </w:pPr>
      <w:r w:rsidRPr="00A74D23">
        <w:rPr>
          <w:rFonts w:cs="Open Sans"/>
          <w:i w:val="0"/>
          <w:color w:val="auto"/>
          <w:sz w:val="20"/>
          <w:szCs w:val="20"/>
        </w:rPr>
        <w:t>La Direction Générale d’Abeille Assurances est également impliquée dans la définition et le suivi de la stratégie d’investissement ESG à travers le comité de stratégie ESG qui est mis en place et se tient à un rythme trimestriel et qui reporte au comité des stratégies d’investissement et de stratégie financière (voir organigramme ci-dessous). Le volume d’investissements durables est également communiqué à la Direction générale à un rythme mensuel.</w:t>
      </w:r>
      <w:r w:rsidR="00BE52D0" w:rsidRPr="00A74D23">
        <w:rPr>
          <w:rFonts w:cs="Open Sans"/>
          <w:i w:val="0"/>
          <w:color w:val="auto"/>
          <w:sz w:val="20"/>
          <w:szCs w:val="20"/>
        </w:rPr>
        <w:t xml:space="preserve"> </w:t>
      </w:r>
    </w:p>
    <w:p w14:paraId="1EF114FC" w14:textId="77777777" w:rsidR="00B965D7" w:rsidRDefault="00B965D7" w:rsidP="009D6EE5">
      <w:pPr>
        <w:pStyle w:val="Style1"/>
        <w:numPr>
          <w:ilvl w:val="0"/>
          <w:numId w:val="0"/>
        </w:numPr>
        <w:tabs>
          <w:tab w:val="clear" w:pos="2010"/>
        </w:tabs>
        <w:spacing w:line="22" w:lineRule="atLeast"/>
        <w:ind w:left="284"/>
        <w:jc w:val="both"/>
        <w:rPr>
          <w:rFonts w:cs="Open Sans"/>
          <w:b/>
          <w:bCs/>
          <w:i w:val="0"/>
          <w:iCs w:val="0"/>
          <w:color w:val="auto"/>
          <w:sz w:val="20"/>
          <w:szCs w:val="20"/>
        </w:rPr>
      </w:pPr>
    </w:p>
    <w:p w14:paraId="6ABAF3FF" w14:textId="77777777" w:rsidR="00FC234A" w:rsidRDefault="00FC234A" w:rsidP="009D6EE5">
      <w:pPr>
        <w:pStyle w:val="Style1"/>
        <w:numPr>
          <w:ilvl w:val="0"/>
          <w:numId w:val="0"/>
        </w:numPr>
        <w:tabs>
          <w:tab w:val="clear" w:pos="2010"/>
        </w:tabs>
        <w:spacing w:line="22" w:lineRule="atLeast"/>
        <w:ind w:left="284"/>
        <w:jc w:val="both"/>
        <w:rPr>
          <w:rFonts w:cs="Open Sans"/>
          <w:b/>
          <w:bCs/>
          <w:i w:val="0"/>
          <w:iCs w:val="0"/>
          <w:color w:val="auto"/>
          <w:sz w:val="20"/>
          <w:szCs w:val="20"/>
        </w:rPr>
      </w:pPr>
    </w:p>
    <w:p w14:paraId="334991D1" w14:textId="77777777" w:rsidR="00FC234A" w:rsidRDefault="00FC234A" w:rsidP="009D6EE5">
      <w:pPr>
        <w:pStyle w:val="Style1"/>
        <w:numPr>
          <w:ilvl w:val="0"/>
          <w:numId w:val="0"/>
        </w:numPr>
        <w:tabs>
          <w:tab w:val="clear" w:pos="2010"/>
        </w:tabs>
        <w:spacing w:line="22" w:lineRule="atLeast"/>
        <w:ind w:left="284"/>
        <w:jc w:val="both"/>
        <w:rPr>
          <w:rFonts w:cs="Open Sans"/>
          <w:b/>
          <w:bCs/>
          <w:i w:val="0"/>
          <w:iCs w:val="0"/>
          <w:color w:val="auto"/>
          <w:sz w:val="20"/>
          <w:szCs w:val="20"/>
        </w:rPr>
      </w:pPr>
    </w:p>
    <w:p w14:paraId="4B147823" w14:textId="77777777" w:rsidR="00FC234A" w:rsidRDefault="00FC234A" w:rsidP="009D6EE5">
      <w:pPr>
        <w:pStyle w:val="Style1"/>
        <w:numPr>
          <w:ilvl w:val="0"/>
          <w:numId w:val="0"/>
        </w:numPr>
        <w:tabs>
          <w:tab w:val="clear" w:pos="2010"/>
        </w:tabs>
        <w:spacing w:line="22" w:lineRule="atLeast"/>
        <w:ind w:left="284"/>
        <w:jc w:val="both"/>
        <w:rPr>
          <w:rFonts w:cs="Open Sans"/>
          <w:b/>
          <w:bCs/>
          <w:i w:val="0"/>
          <w:iCs w:val="0"/>
          <w:color w:val="auto"/>
          <w:sz w:val="20"/>
          <w:szCs w:val="20"/>
        </w:rPr>
      </w:pPr>
    </w:p>
    <w:p w14:paraId="36009F81" w14:textId="77777777" w:rsidR="00FC234A" w:rsidRDefault="00FC234A" w:rsidP="009D6EE5">
      <w:pPr>
        <w:pStyle w:val="Style1"/>
        <w:numPr>
          <w:ilvl w:val="0"/>
          <w:numId w:val="0"/>
        </w:numPr>
        <w:tabs>
          <w:tab w:val="clear" w:pos="2010"/>
        </w:tabs>
        <w:spacing w:line="22" w:lineRule="atLeast"/>
        <w:ind w:left="284"/>
        <w:jc w:val="both"/>
        <w:rPr>
          <w:rFonts w:cs="Open Sans"/>
          <w:b/>
          <w:bCs/>
          <w:i w:val="0"/>
          <w:iCs w:val="0"/>
          <w:color w:val="auto"/>
          <w:sz w:val="20"/>
          <w:szCs w:val="20"/>
        </w:rPr>
      </w:pPr>
    </w:p>
    <w:p w14:paraId="367E7B3D" w14:textId="77777777" w:rsidR="00FC234A" w:rsidRDefault="00FC234A" w:rsidP="009D6EE5">
      <w:pPr>
        <w:pStyle w:val="Style1"/>
        <w:numPr>
          <w:ilvl w:val="0"/>
          <w:numId w:val="0"/>
        </w:numPr>
        <w:tabs>
          <w:tab w:val="clear" w:pos="2010"/>
        </w:tabs>
        <w:spacing w:line="22" w:lineRule="atLeast"/>
        <w:ind w:left="284"/>
        <w:jc w:val="both"/>
        <w:rPr>
          <w:rFonts w:cs="Open Sans"/>
          <w:b/>
          <w:bCs/>
          <w:i w:val="0"/>
          <w:iCs w:val="0"/>
          <w:color w:val="auto"/>
          <w:sz w:val="20"/>
          <w:szCs w:val="20"/>
        </w:rPr>
      </w:pPr>
    </w:p>
    <w:p w14:paraId="260C5CF7" w14:textId="77777777" w:rsidR="00FC234A" w:rsidRDefault="00FC234A" w:rsidP="009D6EE5">
      <w:pPr>
        <w:pStyle w:val="Style1"/>
        <w:numPr>
          <w:ilvl w:val="0"/>
          <w:numId w:val="0"/>
        </w:numPr>
        <w:tabs>
          <w:tab w:val="clear" w:pos="2010"/>
        </w:tabs>
        <w:spacing w:line="22" w:lineRule="atLeast"/>
        <w:ind w:left="284"/>
        <w:jc w:val="both"/>
        <w:rPr>
          <w:rFonts w:cs="Open Sans"/>
          <w:b/>
          <w:bCs/>
          <w:i w:val="0"/>
          <w:iCs w:val="0"/>
          <w:color w:val="auto"/>
          <w:sz w:val="20"/>
          <w:szCs w:val="20"/>
        </w:rPr>
      </w:pPr>
    </w:p>
    <w:p w14:paraId="0463D219" w14:textId="77777777" w:rsidR="00FC234A" w:rsidRPr="00A74D23" w:rsidRDefault="00FC234A" w:rsidP="009D6EE5">
      <w:pPr>
        <w:pStyle w:val="Style1"/>
        <w:numPr>
          <w:ilvl w:val="0"/>
          <w:numId w:val="0"/>
        </w:numPr>
        <w:tabs>
          <w:tab w:val="clear" w:pos="2010"/>
        </w:tabs>
        <w:spacing w:line="22" w:lineRule="atLeast"/>
        <w:ind w:left="284"/>
        <w:jc w:val="both"/>
        <w:rPr>
          <w:rFonts w:cs="Open Sans"/>
          <w:b/>
          <w:bCs/>
          <w:i w:val="0"/>
          <w:iCs w:val="0"/>
          <w:color w:val="auto"/>
          <w:sz w:val="20"/>
          <w:szCs w:val="20"/>
        </w:rPr>
      </w:pPr>
    </w:p>
    <w:p w14:paraId="70B6F170" w14:textId="610F31A9" w:rsidR="00615552" w:rsidRPr="00A74D23" w:rsidRDefault="00615552" w:rsidP="009D6EE5">
      <w:pPr>
        <w:pStyle w:val="Style1"/>
        <w:numPr>
          <w:ilvl w:val="0"/>
          <w:numId w:val="0"/>
        </w:numPr>
        <w:tabs>
          <w:tab w:val="clear" w:pos="2010"/>
        </w:tabs>
        <w:spacing w:line="22" w:lineRule="atLeast"/>
        <w:ind w:left="284"/>
        <w:jc w:val="both"/>
        <w:rPr>
          <w:rFonts w:cs="Open Sans"/>
          <w:i w:val="0"/>
          <w:iCs w:val="0"/>
          <w:color w:val="auto"/>
          <w:sz w:val="20"/>
          <w:szCs w:val="20"/>
        </w:rPr>
      </w:pPr>
      <w:r w:rsidRPr="00A74D23">
        <w:rPr>
          <w:rFonts w:cs="Open Sans"/>
          <w:b/>
          <w:bCs/>
          <w:i w:val="0"/>
          <w:iCs w:val="0"/>
          <w:color w:val="auto"/>
          <w:sz w:val="20"/>
          <w:szCs w:val="20"/>
        </w:rPr>
        <w:t>Structure de gouvernance ESG au sein de la Direction des Investissements</w:t>
      </w:r>
    </w:p>
    <w:p w14:paraId="35595B36" w14:textId="77777777" w:rsidR="00615552" w:rsidRPr="00A74D23" w:rsidRDefault="00615552" w:rsidP="009D6EE5">
      <w:pPr>
        <w:pStyle w:val="Style1"/>
        <w:numPr>
          <w:ilvl w:val="0"/>
          <w:numId w:val="0"/>
        </w:numPr>
        <w:tabs>
          <w:tab w:val="clear" w:pos="2010"/>
        </w:tabs>
        <w:spacing w:line="22" w:lineRule="atLeast"/>
        <w:ind w:left="284"/>
        <w:jc w:val="both"/>
        <w:rPr>
          <w:rFonts w:cs="Open Sans"/>
          <w:i w:val="0"/>
          <w:iCs w:val="0"/>
          <w:color w:val="auto"/>
          <w:sz w:val="20"/>
          <w:szCs w:val="20"/>
        </w:rPr>
      </w:pPr>
      <w:r w:rsidRPr="00A74D23">
        <w:rPr>
          <w:rFonts w:cs="Open Sans"/>
          <w:noProof/>
          <w:sz w:val="20"/>
          <w:szCs w:val="20"/>
        </w:rPr>
        <w:drawing>
          <wp:inline distT="0" distB="0" distL="0" distR="0" wp14:anchorId="2F8C0B3D" wp14:editId="2A97F103">
            <wp:extent cx="5760720" cy="2444115"/>
            <wp:effectExtent l="0" t="0" r="0" b="0"/>
            <wp:docPr id="1853135104" name="Image 1853135104"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135104" name="Image 1853135104" descr="Une image contenant texte, capture d’écran, Police, ligne&#10;&#10;Description générée automatiquement"/>
                    <pic:cNvPicPr/>
                  </pic:nvPicPr>
                  <pic:blipFill>
                    <a:blip r:embed="rId63"/>
                    <a:stretch>
                      <a:fillRect/>
                    </a:stretch>
                  </pic:blipFill>
                  <pic:spPr>
                    <a:xfrm>
                      <a:off x="0" y="0"/>
                      <a:ext cx="5760720" cy="2444115"/>
                    </a:xfrm>
                    <a:prstGeom prst="rect">
                      <a:avLst/>
                    </a:prstGeom>
                  </pic:spPr>
                </pic:pic>
              </a:graphicData>
            </a:graphic>
          </wp:inline>
        </w:drawing>
      </w:r>
    </w:p>
    <w:p w14:paraId="400CF478" w14:textId="77777777" w:rsidR="00615552" w:rsidRPr="00A74D23" w:rsidRDefault="00615552" w:rsidP="009D6EE5">
      <w:pPr>
        <w:pStyle w:val="Style1"/>
        <w:numPr>
          <w:ilvl w:val="0"/>
          <w:numId w:val="0"/>
        </w:numPr>
        <w:tabs>
          <w:tab w:val="clear" w:pos="2010"/>
        </w:tabs>
        <w:spacing w:line="22" w:lineRule="atLeast"/>
        <w:ind w:left="284"/>
        <w:jc w:val="both"/>
        <w:rPr>
          <w:rFonts w:cs="Open Sans"/>
          <w:i w:val="0"/>
          <w:iCs w:val="0"/>
          <w:color w:val="auto"/>
          <w:sz w:val="20"/>
          <w:szCs w:val="20"/>
        </w:rPr>
      </w:pPr>
    </w:p>
    <w:p w14:paraId="6DA91B3B" w14:textId="1C4F5182" w:rsidR="00615552" w:rsidRPr="00A74D23" w:rsidRDefault="009C3F33" w:rsidP="009D6EE5">
      <w:pPr>
        <w:pStyle w:val="Style1"/>
        <w:numPr>
          <w:ilvl w:val="0"/>
          <w:numId w:val="0"/>
        </w:numPr>
        <w:tabs>
          <w:tab w:val="clear" w:pos="2010"/>
        </w:tabs>
        <w:spacing w:after="120" w:line="22" w:lineRule="atLeast"/>
        <w:jc w:val="both"/>
        <w:rPr>
          <w:rFonts w:cs="Open Sans"/>
          <w:i w:val="0"/>
          <w:color w:val="auto"/>
          <w:sz w:val="20"/>
          <w:szCs w:val="20"/>
        </w:rPr>
      </w:pPr>
      <w:r w:rsidRPr="00A74D23">
        <w:rPr>
          <w:rFonts w:cs="Open Sans"/>
          <w:i w:val="0"/>
          <w:color w:val="auto"/>
          <w:sz w:val="20"/>
          <w:szCs w:val="20"/>
        </w:rPr>
        <w:t xml:space="preserve">De nombreuses directions (RSE, risques, Investissements, Techniques, Support) collaborent chez Abeille Assurances afin d’identifier, gérer et réduire l'impact des risques de durabilité. </w:t>
      </w:r>
      <w:r w:rsidR="004029EA" w:rsidRPr="00A74D23">
        <w:rPr>
          <w:rFonts w:cs="Open Sans"/>
          <w:i w:val="0"/>
          <w:color w:val="auto"/>
          <w:sz w:val="20"/>
          <w:szCs w:val="20"/>
        </w:rPr>
        <w:t>La Directions RSE assure la coordination globale et une vision transverse</w:t>
      </w:r>
      <w:r w:rsidR="0099408B" w:rsidRPr="00A74D23">
        <w:rPr>
          <w:rFonts w:cs="Open Sans"/>
          <w:i w:val="0"/>
          <w:color w:val="auto"/>
          <w:sz w:val="20"/>
          <w:szCs w:val="20"/>
        </w:rPr>
        <w:t>.</w:t>
      </w:r>
    </w:p>
    <w:p w14:paraId="7A577C4A" w14:textId="4B3929CF" w:rsidR="00615552" w:rsidRPr="00A74D23" w:rsidRDefault="00CF26D5" w:rsidP="009D6EE5">
      <w:pPr>
        <w:spacing w:after="120"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Le</w:t>
      </w:r>
      <w:r w:rsidR="00615552" w:rsidRPr="00A74D23">
        <w:rPr>
          <w:rFonts w:asciiTheme="minorHAnsi" w:hAnsiTheme="minorHAnsi" w:cs="Open Sans"/>
          <w:sz w:val="20"/>
          <w:szCs w:val="20"/>
          <w:lang w:val="fr-FR"/>
        </w:rPr>
        <w:t xml:space="preserve"> Groupe de </w:t>
      </w:r>
      <w:r w:rsidR="00C01A32" w:rsidRPr="00A74D23">
        <w:rPr>
          <w:rFonts w:asciiTheme="minorHAnsi" w:hAnsiTheme="minorHAnsi" w:cs="Open Sans"/>
          <w:sz w:val="20"/>
          <w:szCs w:val="20"/>
          <w:lang w:val="fr-FR"/>
        </w:rPr>
        <w:t>t</w:t>
      </w:r>
      <w:r w:rsidR="00615552" w:rsidRPr="00A74D23">
        <w:rPr>
          <w:rFonts w:asciiTheme="minorHAnsi" w:hAnsiTheme="minorHAnsi" w:cs="Open Sans"/>
          <w:sz w:val="20"/>
          <w:szCs w:val="20"/>
          <w:lang w:val="fr-FR"/>
        </w:rPr>
        <w:t xml:space="preserve">ravail « Assurance Durable » </w:t>
      </w:r>
      <w:r w:rsidR="003B0542" w:rsidRPr="00A74D23">
        <w:rPr>
          <w:rFonts w:asciiTheme="minorHAnsi" w:hAnsiTheme="minorHAnsi" w:cs="Open Sans"/>
          <w:sz w:val="20"/>
          <w:szCs w:val="20"/>
          <w:lang w:val="fr-FR"/>
        </w:rPr>
        <w:t>a la charge</w:t>
      </w:r>
      <w:r w:rsidR="00615552" w:rsidRPr="00A74D23">
        <w:rPr>
          <w:rFonts w:asciiTheme="minorHAnsi" w:hAnsiTheme="minorHAnsi" w:cs="Open Sans"/>
          <w:sz w:val="20"/>
          <w:szCs w:val="20"/>
          <w:lang w:val="fr-FR"/>
        </w:rPr>
        <w:t xml:space="preserve"> de la préparation à la mise en œuvre des différentes réglementations européennes ou françaises sur l’assurance durable</w:t>
      </w:r>
      <w:r w:rsidR="00F85837" w:rsidRPr="00A74D23">
        <w:rPr>
          <w:rFonts w:asciiTheme="minorHAnsi" w:hAnsiTheme="minorHAnsi" w:cs="Open Sans"/>
          <w:sz w:val="20"/>
          <w:szCs w:val="20"/>
          <w:lang w:val="fr-FR"/>
        </w:rPr>
        <w:t xml:space="preserve">. Il assure également </w:t>
      </w:r>
      <w:r w:rsidR="006F35CE" w:rsidRPr="00A74D23">
        <w:rPr>
          <w:rFonts w:asciiTheme="minorHAnsi" w:hAnsiTheme="minorHAnsi" w:cs="Open Sans"/>
          <w:sz w:val="20"/>
          <w:szCs w:val="20"/>
          <w:lang w:val="fr-FR"/>
        </w:rPr>
        <w:t xml:space="preserve">la veille réglementaire RSE. </w:t>
      </w:r>
    </w:p>
    <w:p w14:paraId="3B5FD6C5" w14:textId="1C4B82C3" w:rsidR="002A2E42" w:rsidRPr="00A74D23" w:rsidRDefault="00F75F9A"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 xml:space="preserve">La Direction des risques, a la charge de revoir et de challenger l’exhaustivité et la précision de l’identification, de la mesure, de la gestion, du suivi et du reporting des risques. </w:t>
      </w:r>
    </w:p>
    <w:p w14:paraId="4E47DFE6" w14:textId="4EE3CF2D" w:rsidR="002A2E42" w:rsidRPr="00A74D23" w:rsidRDefault="002A2E42" w:rsidP="009D6EE5">
      <w:pPr>
        <w:spacing w:line="22" w:lineRule="atLeast"/>
        <w:jc w:val="both"/>
        <w:rPr>
          <w:rFonts w:asciiTheme="minorHAnsi" w:hAnsiTheme="minorHAnsi" w:cs="Open Sans"/>
          <w:sz w:val="20"/>
          <w:szCs w:val="20"/>
          <w:lang w:val="fr-FR"/>
        </w:rPr>
      </w:pPr>
    </w:p>
    <w:p w14:paraId="69C22895" w14:textId="1584E345" w:rsidR="002A2E42" w:rsidRPr="00A74D23" w:rsidRDefault="002A2E42" w:rsidP="009D6EE5">
      <w:pPr>
        <w:spacing w:line="22" w:lineRule="atLeast"/>
        <w:jc w:val="both"/>
        <w:rPr>
          <w:rFonts w:asciiTheme="minorHAnsi" w:hAnsiTheme="minorHAnsi" w:cs="Open Sans"/>
          <w:sz w:val="20"/>
          <w:szCs w:val="20"/>
          <w:lang w:val="fr-FR"/>
        </w:rPr>
      </w:pPr>
    </w:p>
    <w:p w14:paraId="020C1721" w14:textId="260F951A" w:rsidR="00615552" w:rsidRDefault="00254F54" w:rsidP="009D6EE5">
      <w:pPr>
        <w:spacing w:line="22" w:lineRule="atLeast"/>
        <w:jc w:val="both"/>
        <w:rPr>
          <w:rFonts w:asciiTheme="minorHAnsi" w:hAnsiTheme="minorHAnsi" w:cs="Open Sans"/>
          <w:i/>
          <w:sz w:val="20"/>
          <w:szCs w:val="20"/>
          <w:lang w:val="fr-FR"/>
        </w:rPr>
      </w:pPr>
      <w:r w:rsidRPr="00A74D23">
        <w:rPr>
          <w:rFonts w:asciiTheme="minorHAnsi" w:hAnsiTheme="minorHAnsi"/>
          <w:noProof/>
        </w:rPr>
        <mc:AlternateContent>
          <mc:Choice Requires="wps">
            <w:drawing>
              <wp:anchor distT="0" distB="0" distL="114300" distR="114300" simplePos="0" relativeHeight="251959296" behindDoc="0" locked="0" layoutInCell="1" allowOverlap="1" wp14:anchorId="57F82583" wp14:editId="7A7FD0B1">
                <wp:simplePos x="0" y="0"/>
                <wp:positionH relativeFrom="margin">
                  <wp:posOffset>1605244</wp:posOffset>
                </wp:positionH>
                <wp:positionV relativeFrom="paragraph">
                  <wp:posOffset>53783</wp:posOffset>
                </wp:positionV>
                <wp:extent cx="2668138" cy="260350"/>
                <wp:effectExtent l="0" t="0" r="0" b="3175"/>
                <wp:wrapNone/>
                <wp:docPr id="438402036" name="Rectangle : coins arrondis 438402036"/>
                <wp:cNvGraphicFramePr/>
                <a:graphic xmlns:a="http://schemas.openxmlformats.org/drawingml/2006/main">
                  <a:graphicData uri="http://schemas.microsoft.com/office/word/2010/wordprocessingShape">
                    <wps:wsp>
                      <wps:cNvSpPr/>
                      <wps:spPr>
                        <a:xfrm>
                          <a:off x="0" y="0"/>
                          <a:ext cx="2668138" cy="260350"/>
                        </a:xfrm>
                        <a:prstGeom prst="roundRect">
                          <a:avLst>
                            <a:gd name="adj" fmla="val 0"/>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E30A3C" w14:textId="77777777" w:rsidR="00254F54" w:rsidRPr="00C56941" w:rsidRDefault="00254F54" w:rsidP="00254F54">
                            <w:pPr>
                              <w:jc w:val="center"/>
                              <w:rPr>
                                <w:b/>
                                <w:bCs/>
                                <w:color w:val="F6F6F6"/>
                                <w:sz w:val="32"/>
                                <w:szCs w:val="32"/>
                              </w:rPr>
                            </w:pPr>
                            <w:r w:rsidRPr="00C56941">
                              <w:rPr>
                                <w:rFonts w:ascii="Source Sans Pro" w:hAnsi="Source Sans Pro"/>
                                <w:b/>
                                <w:bCs/>
                                <w:color w:val="F6F6F6"/>
                              </w:rPr>
                              <w:t>Plan d’amélioration 202</w:t>
                            </w:r>
                            <w:r>
                              <w:rPr>
                                <w:rFonts w:ascii="Source Sans Pro" w:hAnsi="Source Sans Pro"/>
                                <w:b/>
                                <w:bCs/>
                                <w:color w:val="F6F6F6"/>
                              </w:rPr>
                              <w:t>6</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roundrect w14:anchorId="57F82583" id="Rectangle : coins arrondis 438402036" o:spid="_x0000_s1099" style="position:absolute;left:0;text-align:left;margin-left:126.4pt;margin-top:4.25pt;width:210.1pt;height:20.5pt;z-index:2519592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" fillcolor="#8a2c24 [3205]" stroked="f" strokeweight="1pt">
                <v:stroke joinstyle="miter"/>
                <v:textbox style="mso-fit-shape-to-text:t" inset="2.5mm,1mm,2.5mm,1mm">
                  <w:txbxContent>
                    <w:p w14:paraId="43E30A3C" w14:textId="77777777" w:rsidR="00254F54" w:rsidRPr="00C56941" w:rsidRDefault="00254F54" w:rsidP="00254F54">
                      <w:pPr>
                        <w:jc w:val="center"/>
                        <w:rPr>
                          <w:b/>
                          <w:bCs/>
                          <w:color w:val="F6F6F6"/>
                          <w:sz w:val="32"/>
                          <w:szCs w:val="32"/>
                        </w:rPr>
                      </w:pPr>
                      <w:r w:rsidRPr="00C56941">
                        <w:rPr>
                          <w:rFonts w:ascii="Source Sans Pro" w:hAnsi="Source Sans Pro"/>
                          <w:b/>
                          <w:bCs/>
                          <w:color w:val="F6F6F6"/>
                        </w:rPr>
                        <w:t>Plan d’amélioration 202</w:t>
                      </w:r>
                      <w:r>
                        <w:rPr>
                          <w:rFonts w:ascii="Source Sans Pro" w:hAnsi="Source Sans Pro"/>
                          <w:b/>
                          <w:bCs/>
                          <w:color w:val="F6F6F6"/>
                        </w:rPr>
                        <w:t>6</w:t>
                      </w:r>
                    </w:p>
                  </w:txbxContent>
                </v:textbox>
                <w10:wrap anchorx="margin"/>
              </v:roundrect>
            </w:pict>
          </mc:Fallback>
        </mc:AlternateContent>
      </w:r>
    </w:p>
    <w:p w14:paraId="707C0811" w14:textId="0B6ECE91" w:rsidR="00254F54" w:rsidRDefault="00254F54" w:rsidP="009D6EE5">
      <w:pPr>
        <w:spacing w:line="22" w:lineRule="atLeast"/>
        <w:jc w:val="both"/>
        <w:rPr>
          <w:rFonts w:asciiTheme="minorHAnsi" w:hAnsiTheme="minorHAnsi" w:cs="Open Sans"/>
          <w:i/>
          <w:sz w:val="20"/>
          <w:szCs w:val="20"/>
          <w:lang w:val="fr-FR"/>
        </w:rPr>
      </w:pPr>
      <w:r w:rsidRPr="00A74D23">
        <w:rPr>
          <w:rFonts w:asciiTheme="minorHAnsi" w:hAnsiTheme="minorHAnsi"/>
          <w:noProof/>
        </w:rPr>
        <mc:AlternateContent>
          <mc:Choice Requires="wps">
            <w:drawing>
              <wp:anchor distT="0" distB="0" distL="114300" distR="114300" simplePos="0" relativeHeight="251945984" behindDoc="1" locked="0" layoutInCell="1" allowOverlap="1" wp14:anchorId="354FB791" wp14:editId="64DB2E2D">
                <wp:simplePos x="0" y="0"/>
                <wp:positionH relativeFrom="margin">
                  <wp:posOffset>-26706</wp:posOffset>
                </wp:positionH>
                <wp:positionV relativeFrom="paragraph">
                  <wp:posOffset>63823</wp:posOffset>
                </wp:positionV>
                <wp:extent cx="5972810" cy="638355"/>
                <wp:effectExtent l="0" t="0" r="8890" b="9525"/>
                <wp:wrapNone/>
                <wp:docPr id="877342764" name="Rectangle : coins arrondis 877342764"/>
                <wp:cNvGraphicFramePr/>
                <a:graphic xmlns:a="http://schemas.openxmlformats.org/drawingml/2006/main">
                  <a:graphicData uri="http://schemas.microsoft.com/office/word/2010/wordprocessingShape">
                    <wps:wsp>
                      <wps:cNvSpPr/>
                      <wps:spPr>
                        <a:xfrm>
                          <a:off x="0" y="0"/>
                          <a:ext cx="5972810" cy="638355"/>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573254" w14:textId="77777777" w:rsidR="00254F54" w:rsidRPr="00254F54" w:rsidRDefault="00254F54" w:rsidP="00590DD1">
                            <w:pPr>
                              <w:pStyle w:val="Paragraphedeliste"/>
                              <w:numPr>
                                <w:ilvl w:val="0"/>
                                <w:numId w:val="32"/>
                              </w:numPr>
                              <w:spacing w:after="0" w:line="240" w:lineRule="auto"/>
                              <w:ind w:right="335"/>
                              <w:jc w:val="both"/>
                              <w:rPr>
                                <w:rFonts w:ascii="Source Sans Pro" w:hAnsi="Source Sans Pro"/>
                                <w:color w:val="000000" w:themeColor="text1"/>
                                <w:sz w:val="20"/>
                                <w:szCs w:val="20"/>
                              </w:rPr>
                            </w:pPr>
                            <w:r w:rsidRPr="00254F54">
                              <w:rPr>
                                <w:rFonts w:ascii="Source Sans Pro" w:hAnsi="Source Sans Pro"/>
                                <w:color w:val="000000" w:themeColor="text1"/>
                                <w:sz w:val="20"/>
                                <w:szCs w:val="20"/>
                              </w:rPr>
                              <w:t>Mise à jour du règlement du Conseil d’administration pour intégrer les sujets de durabilité</w:t>
                            </w:r>
                          </w:p>
                          <w:p w14:paraId="6372BDAA" w14:textId="016262D8" w:rsidR="00254F54" w:rsidRPr="00254F54" w:rsidRDefault="00254F54" w:rsidP="00590DD1">
                            <w:pPr>
                              <w:pStyle w:val="Paragraphedeliste"/>
                              <w:numPr>
                                <w:ilvl w:val="0"/>
                                <w:numId w:val="32"/>
                              </w:numPr>
                              <w:spacing w:after="0" w:line="240" w:lineRule="auto"/>
                              <w:ind w:right="335"/>
                              <w:rPr>
                                <w:rFonts w:ascii="Source Sans Pro" w:hAnsi="Source Sans Pro"/>
                                <w:color w:val="000000" w:themeColor="text1"/>
                                <w:sz w:val="20"/>
                                <w:szCs w:val="20"/>
                              </w:rPr>
                            </w:pPr>
                            <w:r w:rsidRPr="00254F54">
                              <w:rPr>
                                <w:rFonts w:ascii="Source Sans Pro" w:hAnsi="Source Sans Pro"/>
                                <w:color w:val="000000" w:themeColor="text1"/>
                                <w:sz w:val="20"/>
                                <w:szCs w:val="20"/>
                              </w:rPr>
                              <w:t xml:space="preserve">Assurer le </w:t>
                            </w:r>
                            <w:r w:rsidR="00327C98">
                              <w:rPr>
                                <w:rFonts w:ascii="Source Sans Pro" w:hAnsi="Source Sans Pro"/>
                                <w:color w:val="000000" w:themeColor="text1"/>
                                <w:sz w:val="20"/>
                                <w:szCs w:val="20"/>
                              </w:rPr>
                              <w:t xml:space="preserve">suivi </w:t>
                            </w:r>
                            <w:r w:rsidRPr="00254F54">
                              <w:rPr>
                                <w:rFonts w:ascii="Source Sans Pro" w:hAnsi="Source Sans Pro"/>
                                <w:color w:val="000000" w:themeColor="text1"/>
                                <w:sz w:val="20"/>
                                <w:szCs w:val="20"/>
                              </w:rPr>
                              <w:t>régulier du risque de durabilité par les organes de contrôle.</w:t>
                            </w:r>
                          </w:p>
                        </w:txbxContent>
                      </wps:txbx>
                      <wps:bodyPr rot="0" spcFirstLastPara="0" vertOverflow="overflow" horzOverflow="overflow" vert="horz" wrap="square" lIns="180000" tIns="72000" rIns="180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4FB791" id="Rectangle : coins arrondis 877342764" o:spid="_x0000_s1100" style="position:absolute;left:0;text-align:left;margin-left:-2.1pt;margin-top:5.05pt;width:470.3pt;height:50.25pt;z-index:-251370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" fillcolor="#d8d8d8 [2732]" stroked="f" strokeweight="1pt">
                <v:stroke joinstyle="miter"/>
                <v:textbox inset="5mm,2mm,5mm,3mm">
                  <w:txbxContent>
                    <w:p w14:paraId="5B573254" w14:textId="77777777" w:rsidR="00254F54" w:rsidRPr="00254F54" w:rsidRDefault="00254F54" w:rsidP="00590DD1">
                      <w:pPr>
                        <w:pStyle w:val="Paragraphedeliste"/>
                        <w:numPr>
                          <w:ilvl w:val="0"/>
                          <w:numId w:val="32"/>
                        </w:numPr>
                        <w:spacing w:after="0" w:line="240" w:lineRule="auto"/>
                        <w:ind w:right="335"/>
                        <w:jc w:val="both"/>
                        <w:rPr>
                          <w:rFonts w:ascii="Source Sans Pro" w:hAnsi="Source Sans Pro"/>
                          <w:color w:val="000000" w:themeColor="text1"/>
                          <w:sz w:val="20"/>
                          <w:szCs w:val="20"/>
                        </w:rPr>
                      </w:pPr>
                      <w:r w:rsidRPr="00254F54">
                        <w:rPr>
                          <w:rFonts w:ascii="Source Sans Pro" w:hAnsi="Source Sans Pro"/>
                          <w:color w:val="000000" w:themeColor="text1"/>
                          <w:sz w:val="20"/>
                          <w:szCs w:val="20"/>
                        </w:rPr>
                        <w:t>Mise à jour du règlement du Conseil d’administration pour intégrer les sujets de durabilité</w:t>
                      </w:r>
                    </w:p>
                    <w:p w14:paraId="6372BDAA" w14:textId="016262D8" w:rsidR="00254F54" w:rsidRPr="00254F54" w:rsidRDefault="00254F54" w:rsidP="00590DD1">
                      <w:pPr>
                        <w:pStyle w:val="Paragraphedeliste"/>
                        <w:numPr>
                          <w:ilvl w:val="0"/>
                          <w:numId w:val="32"/>
                        </w:numPr>
                        <w:spacing w:after="0" w:line="240" w:lineRule="auto"/>
                        <w:ind w:right="335"/>
                        <w:rPr>
                          <w:rFonts w:ascii="Source Sans Pro" w:hAnsi="Source Sans Pro"/>
                          <w:color w:val="000000" w:themeColor="text1"/>
                          <w:sz w:val="20"/>
                          <w:szCs w:val="20"/>
                        </w:rPr>
                      </w:pPr>
                      <w:r w:rsidRPr="00254F54">
                        <w:rPr>
                          <w:rFonts w:ascii="Source Sans Pro" w:hAnsi="Source Sans Pro"/>
                          <w:color w:val="000000" w:themeColor="text1"/>
                          <w:sz w:val="20"/>
                          <w:szCs w:val="20"/>
                        </w:rPr>
                        <w:t xml:space="preserve">Assurer le </w:t>
                      </w:r>
                      <w:r w:rsidR="00327C98">
                        <w:rPr>
                          <w:rFonts w:ascii="Source Sans Pro" w:hAnsi="Source Sans Pro"/>
                          <w:color w:val="000000" w:themeColor="text1"/>
                          <w:sz w:val="20"/>
                          <w:szCs w:val="20"/>
                        </w:rPr>
                        <w:t xml:space="preserve">suivi </w:t>
                      </w:r>
                      <w:r w:rsidRPr="00254F54">
                        <w:rPr>
                          <w:rFonts w:ascii="Source Sans Pro" w:hAnsi="Source Sans Pro"/>
                          <w:color w:val="000000" w:themeColor="text1"/>
                          <w:sz w:val="20"/>
                          <w:szCs w:val="20"/>
                        </w:rPr>
                        <w:t>régulier du risque de durabilité par les organes de contrôle.</w:t>
                      </w:r>
                    </w:p>
                  </w:txbxContent>
                </v:textbox>
                <w10:wrap anchorx="margin"/>
              </v:roundrect>
            </w:pict>
          </mc:Fallback>
        </mc:AlternateContent>
      </w:r>
    </w:p>
    <w:p w14:paraId="199A0193" w14:textId="77777777" w:rsidR="00254F54" w:rsidRDefault="00254F54" w:rsidP="009D6EE5">
      <w:pPr>
        <w:spacing w:line="22" w:lineRule="atLeast"/>
        <w:jc w:val="both"/>
        <w:rPr>
          <w:rFonts w:asciiTheme="minorHAnsi" w:hAnsiTheme="minorHAnsi" w:cs="Open Sans"/>
          <w:i/>
          <w:sz w:val="20"/>
          <w:szCs w:val="20"/>
          <w:lang w:val="fr-FR"/>
        </w:rPr>
      </w:pPr>
    </w:p>
    <w:p w14:paraId="2BE46F55" w14:textId="77777777" w:rsidR="00254F54" w:rsidRDefault="00254F54" w:rsidP="009D6EE5">
      <w:pPr>
        <w:spacing w:line="22" w:lineRule="atLeast"/>
        <w:jc w:val="both"/>
        <w:rPr>
          <w:rFonts w:asciiTheme="minorHAnsi" w:hAnsiTheme="minorHAnsi" w:cs="Open Sans"/>
          <w:i/>
          <w:sz w:val="20"/>
          <w:szCs w:val="20"/>
          <w:lang w:val="fr-FR"/>
        </w:rPr>
      </w:pPr>
    </w:p>
    <w:p w14:paraId="2A068C0C" w14:textId="77777777" w:rsidR="00254F54" w:rsidRDefault="00254F54" w:rsidP="009D6EE5">
      <w:pPr>
        <w:spacing w:line="22" w:lineRule="atLeast"/>
        <w:jc w:val="both"/>
        <w:rPr>
          <w:rFonts w:asciiTheme="minorHAnsi" w:hAnsiTheme="minorHAnsi" w:cs="Open Sans"/>
          <w:i/>
          <w:sz w:val="20"/>
          <w:szCs w:val="20"/>
          <w:lang w:val="fr-FR"/>
        </w:rPr>
      </w:pPr>
    </w:p>
    <w:p w14:paraId="62A7C5ED" w14:textId="77777777" w:rsidR="00254F54" w:rsidRDefault="00254F54" w:rsidP="009D6EE5">
      <w:pPr>
        <w:spacing w:line="22" w:lineRule="atLeast"/>
        <w:jc w:val="both"/>
        <w:rPr>
          <w:rFonts w:asciiTheme="minorHAnsi" w:hAnsiTheme="minorHAnsi" w:cs="Open Sans"/>
          <w:i/>
          <w:sz w:val="20"/>
          <w:szCs w:val="20"/>
          <w:lang w:val="fr-FR"/>
        </w:rPr>
      </w:pPr>
    </w:p>
    <w:p w14:paraId="76EEFC87" w14:textId="77777777" w:rsidR="00254F54" w:rsidRDefault="00254F54" w:rsidP="009D6EE5">
      <w:pPr>
        <w:spacing w:line="22" w:lineRule="atLeast"/>
        <w:jc w:val="both"/>
        <w:rPr>
          <w:rFonts w:asciiTheme="minorHAnsi" w:hAnsiTheme="minorHAnsi" w:cs="Open Sans"/>
          <w:i/>
          <w:sz w:val="20"/>
          <w:szCs w:val="20"/>
          <w:lang w:val="fr-FR"/>
        </w:rPr>
      </w:pPr>
    </w:p>
    <w:p w14:paraId="1FF93FBD" w14:textId="77777777" w:rsidR="00254F54" w:rsidRPr="00A74D23" w:rsidRDefault="00254F54" w:rsidP="009D6EE5">
      <w:pPr>
        <w:spacing w:line="22" w:lineRule="atLeast"/>
        <w:jc w:val="both"/>
        <w:rPr>
          <w:rFonts w:asciiTheme="minorHAnsi" w:hAnsiTheme="minorHAnsi" w:cs="Open Sans"/>
          <w:i/>
          <w:sz w:val="20"/>
          <w:szCs w:val="20"/>
          <w:lang w:val="fr-FR"/>
        </w:rPr>
      </w:pPr>
    </w:p>
    <w:p w14:paraId="24E0075C" w14:textId="77777777" w:rsidR="00615552" w:rsidRPr="00A74D23" w:rsidRDefault="00615552" w:rsidP="009D6EE5">
      <w:pPr>
        <w:spacing w:line="22" w:lineRule="atLeast"/>
        <w:jc w:val="both"/>
        <w:rPr>
          <w:rFonts w:asciiTheme="minorHAnsi" w:hAnsiTheme="minorHAnsi" w:cs="Open Sans"/>
          <w:sz w:val="20"/>
          <w:szCs w:val="20"/>
          <w:lang w:val="fr-FR"/>
        </w:rPr>
      </w:pPr>
    </w:p>
    <w:p w14:paraId="37E25CEC" w14:textId="74BFBA9B" w:rsidR="002A2E42" w:rsidRPr="00A74D23" w:rsidRDefault="00615552" w:rsidP="009D6EE5">
      <w:pPr>
        <w:pStyle w:val="Style4"/>
        <w:spacing w:line="22" w:lineRule="atLeast"/>
        <w:contextualSpacing w:val="0"/>
        <w:jc w:val="both"/>
        <w:rPr>
          <w:rFonts w:asciiTheme="minorHAnsi" w:hAnsiTheme="minorHAnsi" w:cs="Open Sans"/>
          <w:b/>
          <w:bCs/>
          <w:i w:val="0"/>
          <w:iCs w:val="0"/>
          <w:color w:val="000000" w:themeColor="text1"/>
          <w:sz w:val="20"/>
          <w:szCs w:val="20"/>
          <w:lang w:eastAsia="fr-FR"/>
        </w:rPr>
      </w:pPr>
      <w:r w:rsidRPr="00A74D23">
        <w:rPr>
          <w:rFonts w:asciiTheme="minorHAnsi" w:hAnsiTheme="minorHAnsi" w:cs="Open Sans"/>
          <w:b/>
          <w:bCs/>
          <w:i w:val="0"/>
          <w:iCs w:val="0"/>
          <w:color w:val="000000" w:themeColor="text1"/>
          <w:sz w:val="20"/>
          <w:szCs w:val="20"/>
          <w:lang w:eastAsia="fr-FR"/>
        </w:rPr>
        <w:t>Politique</w:t>
      </w:r>
      <w:r w:rsidR="003B0542" w:rsidRPr="00A74D23">
        <w:rPr>
          <w:rFonts w:asciiTheme="minorHAnsi" w:hAnsiTheme="minorHAnsi" w:cs="Open Sans"/>
          <w:b/>
          <w:bCs/>
          <w:i w:val="0"/>
          <w:iCs w:val="0"/>
          <w:color w:val="000000" w:themeColor="text1"/>
          <w:sz w:val="20"/>
          <w:szCs w:val="20"/>
          <w:lang w:eastAsia="fr-FR"/>
        </w:rPr>
        <w:t>s de stratégie d’investissement</w:t>
      </w:r>
    </w:p>
    <w:p w14:paraId="46604D64" w14:textId="68FA4EBC" w:rsidR="00615552" w:rsidRPr="00A74D23" w:rsidRDefault="00615552"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 xml:space="preserve">Abeille Assurances </w:t>
      </w:r>
      <w:r w:rsidR="00806030" w:rsidRPr="00A74D23">
        <w:rPr>
          <w:rFonts w:asciiTheme="minorHAnsi" w:hAnsiTheme="minorHAnsi" w:cs="Open Sans"/>
          <w:sz w:val="20"/>
          <w:szCs w:val="20"/>
          <w:lang w:val="fr-FR"/>
        </w:rPr>
        <w:t>met à jour tous les ans</w:t>
      </w:r>
      <w:r w:rsidRPr="00A74D23">
        <w:rPr>
          <w:rFonts w:asciiTheme="minorHAnsi" w:hAnsiTheme="minorHAnsi" w:cs="Open Sans"/>
          <w:sz w:val="20"/>
          <w:szCs w:val="20"/>
          <w:lang w:val="fr-FR"/>
        </w:rPr>
        <w:t xml:space="preserve"> ses politiques de gouvernance </w:t>
      </w:r>
      <w:r w:rsidR="00806030" w:rsidRPr="00A74D23">
        <w:rPr>
          <w:rFonts w:asciiTheme="minorHAnsi" w:hAnsiTheme="minorHAnsi" w:cs="Open Sans"/>
          <w:sz w:val="20"/>
          <w:szCs w:val="20"/>
          <w:lang w:val="fr-FR"/>
        </w:rPr>
        <w:t>qui intègre</w:t>
      </w:r>
      <w:r w:rsidRPr="00A74D23">
        <w:rPr>
          <w:rFonts w:asciiTheme="minorHAnsi" w:hAnsiTheme="minorHAnsi" w:cs="Open Sans"/>
          <w:sz w:val="20"/>
          <w:szCs w:val="20"/>
          <w:lang w:val="fr-FR"/>
        </w:rPr>
        <w:t xml:space="preserve"> la durabilité dans ses métiers et ses processus de décisions. La politique de souscription prévoit l’intégration de la durabilité dans les processus métiers. Abeille Assurances s’assure notamment que ses produits d’assurance dommage encouragent des comportements plus durables. Par exemple, en encourageant la souscription des véhicules électriques ou hybrides, avec une réduction de prime de 5%, ou encore en encourageant l’utilisation de transports en commun avec une réduction associée. La politique de gestion des risques prévoit quant à elle que la fonction clef gestion des risques identifie et évalue les risques en matière de durabilité dans sa cartographie (voir partie </w:t>
      </w:r>
      <w:r w:rsidR="005979B5" w:rsidRPr="00A74D23">
        <w:rPr>
          <w:rFonts w:asciiTheme="minorHAnsi" w:hAnsiTheme="minorHAnsi" w:cs="Open Sans"/>
          <w:sz w:val="20"/>
          <w:szCs w:val="20"/>
          <w:lang w:val="fr-FR"/>
        </w:rPr>
        <w:t>i sur la d</w:t>
      </w:r>
      <w:r w:rsidR="008D14AB" w:rsidRPr="00A74D23">
        <w:rPr>
          <w:rFonts w:asciiTheme="minorHAnsi" w:hAnsiTheme="minorHAnsi" w:cs="Open Sans"/>
          <w:sz w:val="20"/>
          <w:szCs w:val="20"/>
          <w:lang w:val="fr-FR"/>
        </w:rPr>
        <w:t>émarche de prise en compte dans la gestion des risques</w:t>
      </w:r>
      <w:r w:rsidRPr="00A74D23">
        <w:rPr>
          <w:rFonts w:asciiTheme="minorHAnsi" w:hAnsiTheme="minorHAnsi" w:cs="Open Sans"/>
          <w:sz w:val="20"/>
          <w:szCs w:val="20"/>
          <w:lang w:val="fr-FR"/>
        </w:rPr>
        <w:t xml:space="preserve">) ; quant à l’ORSA, il intègre désormais une dimension durabilité dans ses calculs prospectifs (voir partie ORSA). </w:t>
      </w:r>
    </w:p>
    <w:p w14:paraId="7785D65B" w14:textId="77777777" w:rsidR="00615552" w:rsidRPr="00A74D23" w:rsidRDefault="00615552"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 xml:space="preserve">Par ailleurs, les deux politiques d’investissement suivantes traitent plus particulièrement des questions de durabilité : </w:t>
      </w:r>
    </w:p>
    <w:p w14:paraId="647D69E0" w14:textId="77777777" w:rsidR="00615552" w:rsidRPr="00A74D23" w:rsidRDefault="00615552" w:rsidP="00590DD1">
      <w:pPr>
        <w:pStyle w:val="Paragraphedeliste"/>
        <w:numPr>
          <w:ilvl w:val="0"/>
          <w:numId w:val="33"/>
        </w:numPr>
        <w:spacing w:after="120" w:line="22" w:lineRule="atLeast"/>
        <w:ind w:left="426" w:hanging="426"/>
        <w:contextualSpacing w:val="0"/>
        <w:jc w:val="both"/>
        <w:rPr>
          <w:rFonts w:cs="Open Sans"/>
          <w:sz w:val="20"/>
          <w:szCs w:val="20"/>
        </w:rPr>
      </w:pPr>
      <w:r w:rsidRPr="00A74D23">
        <w:rPr>
          <w:rFonts w:cs="Open Sans"/>
          <w:sz w:val="20"/>
          <w:szCs w:val="20"/>
        </w:rPr>
        <w:t>La politique de diligence raisonnable sur les principales incidences négatives des décisions d’investissement sur les facteurs de durabilité (conformément à l’article 4 du règlement UE 2019/2088 du parlement européen et du conseil du 27 novembre 2019 sur la publication d’informations en matière de durabilité dans le secteur des services financiers),</w:t>
      </w:r>
    </w:p>
    <w:p w14:paraId="3A53AA4A" w14:textId="77777777" w:rsidR="00615552" w:rsidRPr="00A74D23" w:rsidRDefault="00615552" w:rsidP="00590DD1">
      <w:pPr>
        <w:pStyle w:val="Paragraphedeliste"/>
        <w:numPr>
          <w:ilvl w:val="0"/>
          <w:numId w:val="33"/>
        </w:numPr>
        <w:spacing w:line="22" w:lineRule="atLeast"/>
        <w:ind w:left="426" w:hanging="426"/>
        <w:jc w:val="both"/>
        <w:rPr>
          <w:rFonts w:cs="Open Sans"/>
          <w:sz w:val="20"/>
          <w:szCs w:val="20"/>
        </w:rPr>
      </w:pPr>
      <w:r w:rsidRPr="00A74D23">
        <w:rPr>
          <w:rFonts w:cs="Open Sans"/>
          <w:sz w:val="20"/>
          <w:szCs w:val="20"/>
        </w:rPr>
        <w:t xml:space="preserve">La politique d’intégration des risques en matière de durabilité dans le processus de prise de décision en matière d’investissement (conformément au règlement UE 2019/2088). </w:t>
      </w:r>
    </w:p>
    <w:p w14:paraId="36B8B2A6" w14:textId="77777777" w:rsidR="00615552" w:rsidRPr="00A74D23" w:rsidRDefault="00615552"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Abeille Assurances prend en compte les principales incidences négatives de ses décisions d’investissement et a mis en place un cadre méthodologique pour les identifier, les mesurer et les atténuer. Cela passe notamment par la prise en compte des critères ESG par classe d’actifs et par émetteur, et par la politique d’engagement actionnarial, afin d’exercer un rôle d’actionnaire responsable, avec un effet bénéfique sur les entreprises dans lesquelles nous investissons.</w:t>
      </w:r>
    </w:p>
    <w:p w14:paraId="66AA5502" w14:textId="77777777" w:rsidR="00615552" w:rsidRPr="00A74D23" w:rsidRDefault="00615552" w:rsidP="009D6EE5">
      <w:pPr>
        <w:spacing w:after="240"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Les politiques d’Abeille Assurances intègrent les exigences de France Assureurs en matière de charbon thermique : exclusion des entreprises qui développent des projets d’extraction de charbon ou en utilisent abondamment.</w:t>
      </w:r>
    </w:p>
    <w:p w14:paraId="1EA3E38D" w14:textId="0C9B8061" w:rsidR="007A4A77" w:rsidRPr="00A74D23" w:rsidRDefault="007A4A77" w:rsidP="00590DD1">
      <w:pPr>
        <w:pStyle w:val="StyleYO"/>
        <w:numPr>
          <w:ilvl w:val="0"/>
          <w:numId w:val="70"/>
        </w:numPr>
        <w:spacing w:line="22" w:lineRule="atLeast"/>
        <w:jc w:val="both"/>
      </w:pPr>
      <w:bookmarkStart w:id="55" w:name="_Toc231337007"/>
      <w:r w:rsidRPr="00A74D23">
        <w:t>Au sein d’Aéma Groupe</w:t>
      </w:r>
      <w:bookmarkEnd w:id="55"/>
      <w:r w:rsidRPr="00A74D23">
        <w:t xml:space="preserve"> </w:t>
      </w:r>
    </w:p>
    <w:p w14:paraId="5503AD17" w14:textId="77777777" w:rsidR="00B40176" w:rsidRPr="00A74D23" w:rsidRDefault="00B40176" w:rsidP="009D6EE5">
      <w:pPr>
        <w:spacing w:line="22" w:lineRule="atLeast"/>
        <w:ind w:right="-125"/>
        <w:jc w:val="both"/>
        <w:rPr>
          <w:rFonts w:asciiTheme="minorHAnsi" w:hAnsiTheme="minorHAnsi" w:cs="Open Sans"/>
          <w:sz w:val="20"/>
          <w:szCs w:val="20"/>
        </w:rPr>
      </w:pPr>
    </w:p>
    <w:p w14:paraId="401C43A7" w14:textId="6EEC6C0B" w:rsidR="00DA298E" w:rsidRPr="00A74D23" w:rsidRDefault="00452B3C" w:rsidP="009D6EE5">
      <w:pPr>
        <w:spacing w:after="120" w:line="22" w:lineRule="atLeast"/>
        <w:ind w:right="-125"/>
        <w:jc w:val="both"/>
        <w:rPr>
          <w:rFonts w:asciiTheme="minorHAnsi" w:hAnsiTheme="minorHAnsi" w:cs="Open Sans"/>
          <w:sz w:val="20"/>
          <w:szCs w:val="20"/>
          <w:lang w:val="fr-FR"/>
        </w:rPr>
      </w:pPr>
      <w:r w:rsidRPr="00A74D23">
        <w:rPr>
          <w:rFonts w:asciiTheme="minorHAnsi" w:hAnsiTheme="minorHAnsi" w:cs="Open Sans"/>
          <w:sz w:val="20"/>
          <w:szCs w:val="20"/>
          <w:lang w:val="fr-FR"/>
        </w:rPr>
        <w:t xml:space="preserve">Abeille Assurances </w:t>
      </w:r>
      <w:r w:rsidR="00BC688E" w:rsidRPr="00A74D23">
        <w:rPr>
          <w:rFonts w:asciiTheme="minorHAnsi" w:hAnsiTheme="minorHAnsi" w:cs="Open Sans"/>
          <w:sz w:val="20"/>
          <w:szCs w:val="20"/>
          <w:lang w:val="fr-FR"/>
        </w:rPr>
        <w:t>fait partie du Groupe Aéma</w:t>
      </w:r>
      <w:r w:rsidR="0055651D" w:rsidRPr="00A74D23">
        <w:rPr>
          <w:rFonts w:asciiTheme="minorHAnsi" w:hAnsiTheme="minorHAnsi" w:cs="Open Sans"/>
          <w:sz w:val="20"/>
          <w:szCs w:val="20"/>
          <w:lang w:val="fr-FR"/>
        </w:rPr>
        <w:t xml:space="preserve">. </w:t>
      </w:r>
      <w:r w:rsidR="00DA298E" w:rsidRPr="00A74D23">
        <w:rPr>
          <w:rFonts w:asciiTheme="minorHAnsi" w:hAnsiTheme="minorHAnsi" w:cs="Open Sans"/>
          <w:sz w:val="20"/>
          <w:szCs w:val="20"/>
          <w:lang w:val="fr-FR"/>
        </w:rPr>
        <w:t xml:space="preserve">Aéma Groupe est administré par un conseil d’administration composé au 31 décembre </w:t>
      </w:r>
      <w:r w:rsidR="006841B8" w:rsidRPr="00A74D23">
        <w:rPr>
          <w:rFonts w:asciiTheme="minorHAnsi" w:hAnsiTheme="minorHAnsi" w:cs="Open Sans"/>
          <w:sz w:val="20"/>
          <w:szCs w:val="20"/>
          <w:lang w:val="fr-FR"/>
        </w:rPr>
        <w:t>202</w:t>
      </w:r>
      <w:r w:rsidR="002A7AE4" w:rsidRPr="00A74D23">
        <w:rPr>
          <w:rFonts w:asciiTheme="minorHAnsi" w:hAnsiTheme="minorHAnsi" w:cs="Open Sans"/>
          <w:sz w:val="20"/>
          <w:szCs w:val="20"/>
          <w:lang w:val="fr-FR"/>
        </w:rPr>
        <w:t>5</w:t>
      </w:r>
      <w:r w:rsidR="006841B8" w:rsidRPr="00A74D23">
        <w:rPr>
          <w:rFonts w:asciiTheme="minorHAnsi" w:hAnsiTheme="minorHAnsi" w:cs="Open Sans"/>
          <w:sz w:val="20"/>
          <w:szCs w:val="20"/>
          <w:lang w:val="fr-FR"/>
        </w:rPr>
        <w:t xml:space="preserve"> </w:t>
      </w:r>
      <w:r w:rsidR="00DA298E" w:rsidRPr="00A74D23">
        <w:rPr>
          <w:rFonts w:asciiTheme="minorHAnsi" w:hAnsiTheme="minorHAnsi" w:cs="Open Sans"/>
          <w:sz w:val="20"/>
          <w:szCs w:val="20"/>
          <w:lang w:val="fr-FR"/>
        </w:rPr>
        <w:t>de</w:t>
      </w:r>
      <w:r w:rsidR="00196684" w:rsidRPr="00A74D23">
        <w:rPr>
          <w:rFonts w:asciiTheme="minorHAnsi" w:hAnsiTheme="minorHAnsi" w:cs="Open Sans"/>
          <w:sz w:val="20"/>
          <w:szCs w:val="20"/>
          <w:lang w:val="fr-FR"/>
        </w:rPr>
        <w:t xml:space="preserve"> </w:t>
      </w:r>
      <w:r w:rsidR="00DA298E" w:rsidRPr="00A74D23">
        <w:rPr>
          <w:rFonts w:asciiTheme="minorHAnsi" w:hAnsiTheme="minorHAnsi" w:cs="Open Sans"/>
          <w:sz w:val="20"/>
          <w:szCs w:val="20"/>
          <w:lang w:val="fr-FR"/>
        </w:rPr>
        <w:t>:</w:t>
      </w:r>
    </w:p>
    <w:p w14:paraId="1192FD9F" w14:textId="7872C830" w:rsidR="0055651D" w:rsidRPr="00A74D23" w:rsidRDefault="002A7AE4" w:rsidP="00590DD1">
      <w:pPr>
        <w:pStyle w:val="Paragraphedeliste"/>
        <w:numPr>
          <w:ilvl w:val="0"/>
          <w:numId w:val="49"/>
        </w:numPr>
        <w:tabs>
          <w:tab w:val="left" w:pos="851"/>
        </w:tabs>
        <w:spacing w:after="120" w:line="22" w:lineRule="atLeast"/>
        <w:ind w:left="284" w:hanging="284"/>
        <w:jc w:val="both"/>
        <w:rPr>
          <w:rFonts w:cs="Open Sans"/>
          <w:sz w:val="20"/>
          <w:szCs w:val="20"/>
        </w:rPr>
      </w:pPr>
      <w:r w:rsidRPr="00A74D23">
        <w:rPr>
          <w:rFonts w:cs="Open Sans"/>
          <w:sz w:val="20"/>
          <w:szCs w:val="20"/>
        </w:rPr>
        <w:t>29</w:t>
      </w:r>
      <w:r w:rsidR="006841B8" w:rsidRPr="00A74D23">
        <w:rPr>
          <w:rFonts w:cs="Open Sans"/>
          <w:sz w:val="20"/>
          <w:szCs w:val="20"/>
        </w:rPr>
        <w:t xml:space="preserve"> </w:t>
      </w:r>
      <w:r w:rsidR="00DA298E" w:rsidRPr="00A74D23">
        <w:rPr>
          <w:rFonts w:cs="Open Sans"/>
          <w:sz w:val="20"/>
          <w:szCs w:val="20"/>
        </w:rPr>
        <w:t>administrateurs élus par l’assemblée générale, sur candidatures proposées par chaque entité affiliée parmi ses propres administrateurs ;</w:t>
      </w:r>
    </w:p>
    <w:p w14:paraId="3FB79044" w14:textId="795FD0B2" w:rsidR="00DA298E" w:rsidRPr="00A74D23" w:rsidRDefault="002A7AE4" w:rsidP="00590DD1">
      <w:pPr>
        <w:pStyle w:val="Paragraphedeliste"/>
        <w:numPr>
          <w:ilvl w:val="0"/>
          <w:numId w:val="49"/>
        </w:numPr>
        <w:tabs>
          <w:tab w:val="left" w:pos="851"/>
        </w:tabs>
        <w:spacing w:after="120" w:line="22" w:lineRule="atLeast"/>
        <w:ind w:left="284" w:hanging="284"/>
        <w:jc w:val="both"/>
        <w:rPr>
          <w:rFonts w:cs="Open Sans"/>
          <w:sz w:val="20"/>
          <w:szCs w:val="20"/>
        </w:rPr>
      </w:pPr>
      <w:r w:rsidRPr="00A74D23">
        <w:rPr>
          <w:rFonts w:cs="Open Sans"/>
          <w:sz w:val="20"/>
          <w:szCs w:val="20"/>
        </w:rPr>
        <w:t>3</w:t>
      </w:r>
      <w:r w:rsidR="00DA298E" w:rsidRPr="00A74D23">
        <w:rPr>
          <w:rFonts w:cs="Open Sans"/>
          <w:sz w:val="20"/>
          <w:szCs w:val="20"/>
        </w:rPr>
        <w:t xml:space="preserve"> administrateurs représentant les salariés, désignés par une instance intersyndicale.</w:t>
      </w:r>
    </w:p>
    <w:p w14:paraId="65C101AA" w14:textId="169BEEF2" w:rsidR="00196684" w:rsidRPr="00A74D23" w:rsidRDefault="00420F56" w:rsidP="009D6EE5">
      <w:pPr>
        <w:spacing w:after="120" w:line="22" w:lineRule="atLeast"/>
        <w:ind w:right="-125"/>
        <w:jc w:val="both"/>
        <w:rPr>
          <w:rFonts w:asciiTheme="minorHAnsi" w:hAnsiTheme="minorHAnsi" w:cs="Open Sans"/>
          <w:sz w:val="20"/>
          <w:szCs w:val="20"/>
          <w:lang w:val="fr-FR"/>
        </w:rPr>
      </w:pPr>
      <w:r w:rsidRPr="00A74D23">
        <w:rPr>
          <w:rFonts w:asciiTheme="minorHAnsi" w:hAnsiTheme="minorHAnsi" w:cs="Open Sans"/>
          <w:sz w:val="20"/>
          <w:szCs w:val="20"/>
          <w:lang w:val="fr-FR"/>
        </w:rPr>
        <w:t>Au 31 décembre 202</w:t>
      </w:r>
      <w:r w:rsidR="002A7AE4" w:rsidRPr="00A74D23">
        <w:rPr>
          <w:rFonts w:asciiTheme="minorHAnsi" w:hAnsiTheme="minorHAnsi" w:cs="Open Sans"/>
          <w:sz w:val="20"/>
          <w:szCs w:val="20"/>
          <w:lang w:val="fr-FR"/>
        </w:rPr>
        <w:t>5</w:t>
      </w:r>
      <w:r w:rsidRPr="00A74D23">
        <w:rPr>
          <w:rFonts w:asciiTheme="minorHAnsi" w:hAnsiTheme="minorHAnsi" w:cs="Open Sans"/>
          <w:sz w:val="20"/>
          <w:szCs w:val="20"/>
          <w:lang w:val="fr-FR"/>
        </w:rPr>
        <w:t xml:space="preserve">, </w:t>
      </w:r>
      <w:r w:rsidR="002A7AE4" w:rsidRPr="00A74D23">
        <w:rPr>
          <w:rFonts w:asciiTheme="minorHAnsi" w:hAnsiTheme="minorHAnsi" w:cs="Open Sans"/>
          <w:sz w:val="20"/>
          <w:szCs w:val="20"/>
          <w:lang w:val="fr-FR"/>
        </w:rPr>
        <w:t>36</w:t>
      </w:r>
      <w:r w:rsidRPr="00A74D23">
        <w:rPr>
          <w:rFonts w:asciiTheme="minorHAnsi" w:hAnsiTheme="minorHAnsi" w:cs="Open Sans"/>
          <w:sz w:val="20"/>
          <w:szCs w:val="20"/>
          <w:lang w:val="fr-FR"/>
        </w:rPr>
        <w:t xml:space="preserve"> % des administrateurs élus par l’assemblée générale sont des femmes. </w:t>
      </w:r>
    </w:p>
    <w:p w14:paraId="08D7378F" w14:textId="4C6B2E32" w:rsidR="005D0194" w:rsidRPr="00A74D23" w:rsidRDefault="005D0194" w:rsidP="009D6EE5">
      <w:pPr>
        <w:spacing w:after="120" w:line="22" w:lineRule="atLeast"/>
        <w:ind w:right="-125"/>
        <w:jc w:val="both"/>
        <w:rPr>
          <w:rFonts w:asciiTheme="minorHAnsi" w:hAnsiTheme="minorHAnsi" w:cs="Open Sans"/>
          <w:sz w:val="20"/>
          <w:szCs w:val="20"/>
          <w:lang w:val="fr-FR"/>
        </w:rPr>
      </w:pPr>
      <w:r w:rsidRPr="00A74D23">
        <w:rPr>
          <w:rFonts w:asciiTheme="minorHAnsi" w:hAnsiTheme="minorHAnsi" w:cs="Open Sans"/>
          <w:sz w:val="20"/>
          <w:szCs w:val="20"/>
          <w:lang w:val="fr-FR"/>
        </w:rPr>
        <w:t xml:space="preserve">Conformément à la charte de gouvernance de la SGAM Aéma Groupe et au règlement intérieur du conseil d’administration, celui-ci s’appuie, pour prendre des décisions, sur les travaux de son bureau, du comité exécutif, </w:t>
      </w:r>
      <w:r w:rsidR="00D47286">
        <w:rPr>
          <w:rFonts w:asciiTheme="minorHAnsi" w:hAnsiTheme="minorHAnsi" w:cs="Open Sans"/>
          <w:sz w:val="20"/>
          <w:szCs w:val="20"/>
          <w:lang w:val="fr-FR"/>
        </w:rPr>
        <w:t>des diverses commissions, et notamment d</w:t>
      </w:r>
      <w:r w:rsidRPr="00A74D23">
        <w:rPr>
          <w:rFonts w:asciiTheme="minorHAnsi" w:hAnsiTheme="minorHAnsi" w:cs="Open Sans"/>
          <w:sz w:val="20"/>
          <w:szCs w:val="20"/>
          <w:lang w:val="fr-FR"/>
        </w:rPr>
        <w:t>e la commission « engagement</w:t>
      </w:r>
      <w:r w:rsidR="001D1AE9">
        <w:rPr>
          <w:rFonts w:asciiTheme="minorHAnsi" w:hAnsiTheme="minorHAnsi" w:cs="Open Sans"/>
          <w:sz w:val="20"/>
          <w:szCs w:val="20"/>
          <w:lang w:val="fr-FR"/>
        </w:rPr>
        <w:t xml:space="preserve"> mutualiste et performance extra-financière</w:t>
      </w:r>
      <w:r w:rsidR="00014B3E">
        <w:rPr>
          <w:rFonts w:asciiTheme="minorHAnsi" w:hAnsiTheme="minorHAnsi" w:cs="Open Sans"/>
          <w:sz w:val="20"/>
          <w:szCs w:val="20"/>
          <w:lang w:val="fr-FR"/>
        </w:rPr>
        <w:t xml:space="preserve"> </w:t>
      </w:r>
      <w:r w:rsidR="001D1AE9">
        <w:rPr>
          <w:rFonts w:asciiTheme="minorHAnsi" w:hAnsiTheme="minorHAnsi" w:cs="Open Sans"/>
          <w:sz w:val="20"/>
          <w:szCs w:val="20"/>
          <w:lang w:val="fr-FR"/>
        </w:rPr>
        <w:t>»</w:t>
      </w:r>
      <w:r w:rsidRPr="00A74D23">
        <w:rPr>
          <w:rFonts w:asciiTheme="minorHAnsi" w:hAnsiTheme="minorHAnsi" w:cs="Open Sans"/>
          <w:sz w:val="20"/>
          <w:szCs w:val="20"/>
          <w:lang w:val="fr-FR"/>
        </w:rPr>
        <w:t xml:space="preserve"> et</w:t>
      </w:r>
      <w:r w:rsidR="00D47286">
        <w:rPr>
          <w:rFonts w:asciiTheme="minorHAnsi" w:hAnsiTheme="minorHAnsi" w:cs="Open Sans"/>
          <w:sz w:val="20"/>
          <w:szCs w:val="20"/>
          <w:lang w:val="fr-FR"/>
        </w:rPr>
        <w:t xml:space="preserve"> des groupes de travail comme celui sur </w:t>
      </w:r>
      <w:r w:rsidRPr="00A74D23">
        <w:rPr>
          <w:rFonts w:asciiTheme="minorHAnsi" w:hAnsiTheme="minorHAnsi" w:cs="Open Sans"/>
          <w:sz w:val="20"/>
          <w:szCs w:val="20"/>
          <w:lang w:val="fr-FR"/>
        </w:rPr>
        <w:t>l’économie sociale et solidaire.</w:t>
      </w:r>
    </w:p>
    <w:p w14:paraId="67890B93" w14:textId="4176C218" w:rsidR="006074DF" w:rsidRPr="00A74D23" w:rsidRDefault="00341FD2" w:rsidP="0077789D">
      <w:pPr>
        <w:spacing w:after="120" w:line="22" w:lineRule="atLeast"/>
        <w:ind w:right="-125"/>
        <w:jc w:val="both"/>
        <w:rPr>
          <w:rFonts w:asciiTheme="minorHAnsi" w:hAnsiTheme="minorHAnsi" w:cs="Open Sans"/>
          <w:sz w:val="20"/>
          <w:szCs w:val="20"/>
          <w:lang w:val="fr-FR"/>
        </w:rPr>
      </w:pPr>
      <w:r>
        <w:rPr>
          <w:rFonts w:asciiTheme="minorHAnsi" w:hAnsiTheme="minorHAnsi" w:cs="Open Sans"/>
          <w:sz w:val="20"/>
          <w:szCs w:val="20"/>
          <w:lang w:val="fr-FR"/>
        </w:rPr>
        <w:t xml:space="preserve">La </w:t>
      </w:r>
      <w:r w:rsidR="00E6328F">
        <w:rPr>
          <w:rFonts w:asciiTheme="minorHAnsi" w:hAnsiTheme="minorHAnsi" w:cs="Open Sans"/>
          <w:sz w:val="20"/>
          <w:szCs w:val="20"/>
          <w:lang w:val="fr-FR"/>
        </w:rPr>
        <w:t xml:space="preserve">commission engagement mutualiste </w:t>
      </w:r>
      <w:r w:rsidR="00E6328F" w:rsidRPr="0077789D">
        <w:rPr>
          <w:rFonts w:asciiTheme="minorHAnsi" w:hAnsiTheme="minorHAnsi" w:cs="Open Sans"/>
          <w:sz w:val="20"/>
          <w:szCs w:val="20"/>
          <w:lang w:val="fr-FR"/>
        </w:rPr>
        <w:t>en charge d’élaborer la réflexion stratégique et le suivi des travaux du groupe sur les sujets de l’engagement mutualiste, de RSE, de devoir de vigilance, de durabilité et de performance extra</w:t>
      </w:r>
      <w:r w:rsidR="00E6328F" w:rsidRPr="0077789D">
        <w:rPr>
          <w:rFonts w:asciiTheme="minorHAnsi" w:hAnsiTheme="minorHAnsi" w:cs="Open Sans"/>
          <w:sz w:val="20"/>
          <w:szCs w:val="20"/>
          <w:lang w:val="fr-FR"/>
        </w:rPr>
        <w:noBreakHyphen/>
        <w:t>financière. Elle s’assure que le groupe intègre pleinement les enjeux sociaux, sociétaux et environnementaux auxquels ses activités sont confrontées et déploie les moyens nécessaires pour suivre, mesurer et valoriser sa performance extra</w:t>
      </w:r>
      <w:r w:rsidR="00E6328F" w:rsidRPr="0077789D">
        <w:rPr>
          <w:rFonts w:asciiTheme="minorHAnsi" w:hAnsiTheme="minorHAnsi" w:cs="Open Sans"/>
          <w:sz w:val="20"/>
          <w:szCs w:val="20"/>
          <w:lang w:val="fr-FR"/>
        </w:rPr>
        <w:noBreakHyphen/>
        <w:t>financière, en particulier dans le cadre réglementaire.</w:t>
      </w:r>
    </w:p>
    <w:p w14:paraId="01DDF98E" w14:textId="5D93304F" w:rsidR="00014B3E" w:rsidRDefault="006074DF" w:rsidP="009D6EE5">
      <w:pPr>
        <w:spacing w:after="120" w:line="22" w:lineRule="atLeast"/>
        <w:ind w:right="-125"/>
        <w:jc w:val="both"/>
        <w:rPr>
          <w:rFonts w:asciiTheme="minorHAnsi" w:hAnsiTheme="minorHAnsi" w:cs="Open Sans"/>
          <w:sz w:val="20"/>
          <w:szCs w:val="20"/>
          <w:lang w:val="fr-FR"/>
        </w:rPr>
      </w:pPr>
      <w:r w:rsidRPr="00A74D23">
        <w:rPr>
          <w:rFonts w:asciiTheme="minorHAnsi" w:hAnsiTheme="minorHAnsi" w:cs="Open Sans"/>
          <w:sz w:val="20"/>
          <w:szCs w:val="20"/>
          <w:lang w:val="fr-FR"/>
        </w:rPr>
        <w:t>Au cours de l’année 202</w:t>
      </w:r>
      <w:r w:rsidR="00260C57">
        <w:rPr>
          <w:rFonts w:asciiTheme="minorHAnsi" w:hAnsiTheme="minorHAnsi" w:cs="Open Sans"/>
          <w:sz w:val="20"/>
          <w:szCs w:val="20"/>
          <w:lang w:val="fr-FR"/>
        </w:rPr>
        <w:t>5</w:t>
      </w:r>
      <w:r w:rsidRPr="00A74D23">
        <w:rPr>
          <w:rFonts w:asciiTheme="minorHAnsi" w:hAnsiTheme="minorHAnsi" w:cs="Open Sans"/>
          <w:sz w:val="20"/>
          <w:szCs w:val="20"/>
          <w:lang w:val="fr-FR"/>
        </w:rPr>
        <w:t xml:space="preserve">, elle s’est réunie à </w:t>
      </w:r>
      <w:r w:rsidR="00260C57">
        <w:rPr>
          <w:rFonts w:asciiTheme="minorHAnsi" w:hAnsiTheme="minorHAnsi" w:cs="Open Sans"/>
          <w:sz w:val="20"/>
          <w:szCs w:val="20"/>
          <w:lang w:val="fr-FR"/>
        </w:rPr>
        <w:t>cinq</w:t>
      </w:r>
      <w:r w:rsidRPr="00A74D23">
        <w:rPr>
          <w:rFonts w:asciiTheme="minorHAnsi" w:hAnsiTheme="minorHAnsi" w:cs="Open Sans"/>
          <w:sz w:val="20"/>
          <w:szCs w:val="20"/>
          <w:lang w:val="fr-FR"/>
        </w:rPr>
        <w:t xml:space="preserve"> reprises. Le registre fait apparaître un taux de présence de </w:t>
      </w:r>
      <w:r w:rsidR="00260C57">
        <w:rPr>
          <w:rFonts w:asciiTheme="minorHAnsi" w:hAnsiTheme="minorHAnsi" w:cs="Open Sans"/>
          <w:sz w:val="20"/>
          <w:szCs w:val="20"/>
          <w:lang w:val="fr-FR"/>
        </w:rPr>
        <w:t>82</w:t>
      </w:r>
      <w:r w:rsidRPr="00A74D23">
        <w:rPr>
          <w:rFonts w:asciiTheme="minorHAnsi" w:hAnsiTheme="minorHAnsi" w:cs="Open Sans"/>
          <w:sz w:val="20"/>
          <w:szCs w:val="20"/>
          <w:lang w:val="fr-FR"/>
        </w:rPr>
        <w:t>%.</w:t>
      </w:r>
    </w:p>
    <w:p w14:paraId="3B3DFA91" w14:textId="7D807BE3" w:rsidR="0058644B" w:rsidRPr="0058644B" w:rsidRDefault="0058644B" w:rsidP="009D6EE5">
      <w:pPr>
        <w:spacing w:after="120" w:line="22" w:lineRule="atLeast"/>
        <w:ind w:right="-125"/>
        <w:jc w:val="both"/>
        <w:rPr>
          <w:rFonts w:asciiTheme="minorHAnsi" w:hAnsiTheme="minorHAnsi" w:cs="Open Sans"/>
          <w:sz w:val="20"/>
          <w:szCs w:val="20"/>
          <w:lang w:val="fr-FR"/>
        </w:rPr>
      </w:pPr>
      <w:r>
        <w:rPr>
          <w:rFonts w:asciiTheme="minorHAnsi" w:hAnsiTheme="minorHAnsi" w:cs="Open Sans"/>
          <w:sz w:val="20"/>
          <w:szCs w:val="20"/>
          <w:lang w:val="fr-FR"/>
        </w:rPr>
        <w:t>L</w:t>
      </w:r>
      <w:r w:rsidRPr="0077789D">
        <w:rPr>
          <w:rFonts w:asciiTheme="minorHAnsi" w:hAnsiTheme="minorHAnsi" w:cs="Open Sans"/>
          <w:sz w:val="20"/>
          <w:szCs w:val="20"/>
          <w:lang w:val="fr-FR"/>
        </w:rPr>
        <w:t>e groupe de travail</w:t>
      </w:r>
      <w:r>
        <w:rPr>
          <w:rFonts w:asciiTheme="minorHAnsi" w:hAnsiTheme="minorHAnsi" w:cs="Open Sans"/>
          <w:sz w:val="20"/>
          <w:szCs w:val="20"/>
          <w:lang w:val="fr-FR"/>
        </w:rPr>
        <w:t xml:space="preserve"> sur l’ESS </w:t>
      </w:r>
      <w:r w:rsidRPr="0077789D">
        <w:rPr>
          <w:rFonts w:asciiTheme="minorHAnsi" w:hAnsiTheme="minorHAnsi" w:cs="Open Sans"/>
          <w:sz w:val="20"/>
          <w:szCs w:val="20"/>
          <w:lang w:val="fr-FR"/>
        </w:rPr>
        <w:t>formalise l’ambition du groupe d’identifier et de coordonner les actions menées en matière de développement et de rayonnement de l’ESS. Il encourage également les initiatives et partenariats permettant au groupe et à ses marques de renforcer leur impact au sein de l’ESS.</w:t>
      </w:r>
    </w:p>
    <w:p w14:paraId="1393B10E" w14:textId="1FE227D5" w:rsidR="004A4096" w:rsidRPr="00A74D23" w:rsidRDefault="00BE3DB6" w:rsidP="009D6EE5">
      <w:pPr>
        <w:spacing w:after="120" w:line="22" w:lineRule="atLeast"/>
        <w:ind w:right="-125"/>
        <w:jc w:val="both"/>
        <w:rPr>
          <w:rFonts w:asciiTheme="minorHAnsi" w:hAnsiTheme="minorHAnsi" w:cs="Open Sans"/>
          <w:sz w:val="20"/>
          <w:szCs w:val="20"/>
          <w:lang w:val="fr-FR"/>
        </w:rPr>
      </w:pPr>
      <w:r w:rsidRPr="00A74D23">
        <w:rPr>
          <w:rFonts w:asciiTheme="minorHAnsi" w:hAnsiTheme="minorHAnsi" w:cs="Open Sans"/>
          <w:sz w:val="20"/>
          <w:szCs w:val="20"/>
          <w:lang w:val="fr-FR"/>
        </w:rPr>
        <w:t>Le comité des rémunérations d’Aéma Groupe a formalisé en 202</w:t>
      </w:r>
      <w:r w:rsidR="18CDBFC5" w:rsidRPr="00A74D23">
        <w:rPr>
          <w:rFonts w:asciiTheme="minorHAnsi" w:hAnsiTheme="minorHAnsi" w:cs="Open Sans"/>
          <w:sz w:val="20"/>
          <w:szCs w:val="20"/>
          <w:lang w:val="fr-FR"/>
        </w:rPr>
        <w:t>3</w:t>
      </w:r>
      <w:r w:rsidRPr="00A74D23">
        <w:rPr>
          <w:rFonts w:asciiTheme="minorHAnsi" w:hAnsiTheme="minorHAnsi" w:cs="Open Sans"/>
          <w:sz w:val="20"/>
          <w:szCs w:val="20"/>
          <w:lang w:val="fr-FR"/>
        </w:rPr>
        <w:t xml:space="preserve"> des objectifs de performance dont l’atteinte conditionne l’attribution de la part variable de la rémunération du directeur général. </w:t>
      </w:r>
      <w:r w:rsidR="763F412D" w:rsidRPr="00A74D23">
        <w:rPr>
          <w:rFonts w:asciiTheme="minorHAnsi" w:eastAsia="Source Sans Pro" w:hAnsiTheme="minorHAnsi" w:cs="Open Sans"/>
          <w:sz w:val="20"/>
          <w:szCs w:val="20"/>
          <w:lang w:val="fr-FR"/>
        </w:rPr>
        <w:t>Au 31 décembre 202</w:t>
      </w:r>
      <w:r w:rsidR="007E6ACB">
        <w:rPr>
          <w:rFonts w:asciiTheme="minorHAnsi" w:eastAsia="Source Sans Pro" w:hAnsiTheme="minorHAnsi" w:cs="Open Sans"/>
          <w:sz w:val="20"/>
          <w:szCs w:val="20"/>
          <w:lang w:val="fr-FR"/>
        </w:rPr>
        <w:t>5</w:t>
      </w:r>
      <w:r w:rsidR="763F412D" w:rsidRPr="00A74D23">
        <w:rPr>
          <w:rFonts w:asciiTheme="minorHAnsi" w:eastAsia="Source Sans Pro" w:hAnsiTheme="minorHAnsi" w:cs="Open Sans"/>
          <w:sz w:val="20"/>
          <w:szCs w:val="20"/>
          <w:lang w:val="fr-FR"/>
        </w:rPr>
        <w:t>, la part variable de la rémunération de la direction générale est indexée à hauteur de 40 % sur des objectifs de responsabilité sociale/sociétale des entreprises (RSE)</w:t>
      </w:r>
      <w:r w:rsidR="00296FFB" w:rsidRPr="00A74D23">
        <w:rPr>
          <w:rFonts w:asciiTheme="minorHAnsi" w:eastAsia="Source Sans Pro" w:hAnsiTheme="minorHAnsi" w:cs="Open Sans"/>
          <w:sz w:val="20"/>
          <w:szCs w:val="20"/>
          <w:lang w:val="fr-FR"/>
        </w:rPr>
        <w:t>, d</w:t>
      </w:r>
      <w:r w:rsidR="00296FFB" w:rsidRPr="00A74D23">
        <w:rPr>
          <w:rFonts w:asciiTheme="minorHAnsi" w:hAnsiTheme="minorHAnsi" w:cs="Open Sans"/>
          <w:sz w:val="20"/>
          <w:szCs w:val="20"/>
          <w:lang w:val="fr-FR"/>
        </w:rPr>
        <w:t>ont notamment sur</w:t>
      </w:r>
      <w:r w:rsidRPr="00A74D23">
        <w:rPr>
          <w:rFonts w:asciiTheme="minorHAnsi" w:hAnsiTheme="minorHAnsi" w:cs="Open Sans"/>
          <w:sz w:val="20"/>
          <w:szCs w:val="20"/>
          <w:lang w:val="fr-FR"/>
        </w:rPr>
        <w:t xml:space="preserve"> la part des encours placés dans des organismes de placements collectifs (OPCs) qui le sont en OPCs classifiés articles 8 et 9 selon le règlement européen </w:t>
      </w:r>
      <w:r w:rsidRPr="00A74D23">
        <w:rPr>
          <w:rFonts w:asciiTheme="minorHAnsi" w:hAnsiTheme="minorHAnsi" w:cs="Open Sans"/>
          <w:i/>
          <w:iCs/>
          <w:sz w:val="20"/>
          <w:szCs w:val="20"/>
          <w:lang w:val="fr-FR"/>
        </w:rPr>
        <w:t>Sustainable Finance Disclosure Regulation</w:t>
      </w:r>
      <w:r w:rsidRPr="00A74D23">
        <w:rPr>
          <w:rFonts w:asciiTheme="minorHAnsi" w:hAnsiTheme="minorHAnsi" w:cs="Open Sans"/>
          <w:sz w:val="20"/>
          <w:szCs w:val="20"/>
          <w:lang w:val="fr-FR"/>
        </w:rPr>
        <w:t xml:space="preserve"> (SFDR). </w:t>
      </w:r>
    </w:p>
    <w:p w14:paraId="74EA7942" w14:textId="1D45A33A" w:rsidR="00DA298E" w:rsidRPr="00A74D23" w:rsidRDefault="00DA298E" w:rsidP="009D6EE5">
      <w:pPr>
        <w:spacing w:after="120" w:line="22" w:lineRule="atLeast"/>
        <w:ind w:right="-125"/>
        <w:jc w:val="both"/>
        <w:rPr>
          <w:rFonts w:asciiTheme="minorHAnsi" w:hAnsiTheme="minorHAnsi" w:cs="Open Sans"/>
          <w:sz w:val="20"/>
          <w:szCs w:val="20"/>
          <w:lang w:val="fr-FR"/>
        </w:rPr>
      </w:pPr>
      <w:r w:rsidRPr="00A74D23">
        <w:rPr>
          <w:rFonts w:asciiTheme="minorHAnsi" w:hAnsiTheme="minorHAnsi" w:cs="Open Sans"/>
          <w:sz w:val="20"/>
          <w:szCs w:val="20"/>
          <w:lang w:val="fr-FR"/>
        </w:rPr>
        <w:t>S’agissant de la prise en compte de l’ESG au niveau de la direction du groupe, la Direction des investissements Groupe d’Aéma exerce un rôle de coordination des stratégies d’investissement de chacune des entités. Le Directeur des Investissements Groupe (ou le DGA Finance et Risques d’Aéma) assiste aux comités d’investissement trimestriels de chacune des entités de Macif SAM, au cours desquels sont présentées les évolutions de la stratégie ISR des entités, ainsi que des caractéristiques ESG des portefeuilles de Macif SAM et de ses entités. Le Directeur Général d’Aema Groupe est signataire des adhésions aux Principes pour l’Investissement Responsable, à la Net Zero Asset Owner Alliance et au Finance for Biodiversity Pledge et, à ce titre, garant des engagements pris au sein de ces alliances.</w:t>
      </w:r>
    </w:p>
    <w:p w14:paraId="7CE1A226" w14:textId="54F04EC2" w:rsidR="00E52553" w:rsidRPr="00A74D23" w:rsidRDefault="00E52553" w:rsidP="00590DD1">
      <w:pPr>
        <w:pStyle w:val="StyleYO"/>
        <w:numPr>
          <w:ilvl w:val="0"/>
          <w:numId w:val="70"/>
        </w:numPr>
        <w:spacing w:line="22" w:lineRule="atLeast"/>
        <w:jc w:val="both"/>
      </w:pPr>
      <w:bookmarkStart w:id="56" w:name="_Toc129091818"/>
      <w:bookmarkStart w:id="57" w:name="_Toc128735906"/>
      <w:bookmarkStart w:id="58" w:name="_Toc231337008"/>
      <w:bookmarkEnd w:id="53"/>
      <w:bookmarkEnd w:id="54"/>
      <w:r w:rsidRPr="00A74D23">
        <w:t>Intégration des enjeux de durabilité dans les politiques de rémunération</w:t>
      </w:r>
      <w:bookmarkEnd w:id="56"/>
      <w:bookmarkEnd w:id="57"/>
      <w:bookmarkEnd w:id="58"/>
    </w:p>
    <w:p w14:paraId="75567167" w14:textId="77777777" w:rsidR="00B479A7" w:rsidRPr="00A74D23" w:rsidRDefault="00B479A7" w:rsidP="009D6EE5">
      <w:pPr>
        <w:spacing w:line="22" w:lineRule="atLeast"/>
        <w:ind w:left="1701"/>
        <w:jc w:val="both"/>
        <w:textAlignment w:val="center"/>
        <w:rPr>
          <w:rFonts w:asciiTheme="minorHAnsi" w:hAnsiTheme="minorHAnsi" w:cs="Open Sans"/>
          <w:sz w:val="20"/>
          <w:lang w:val="fr-FR"/>
        </w:rPr>
      </w:pPr>
    </w:p>
    <w:p w14:paraId="7702B0B8" w14:textId="7E36B1BE" w:rsidR="002D2C3E" w:rsidRPr="00DF7E84" w:rsidRDefault="002D2C3E" w:rsidP="002D2C3E">
      <w:pPr>
        <w:spacing w:after="120" w:line="22" w:lineRule="atLeast"/>
        <w:jc w:val="both"/>
        <w:textAlignment w:val="center"/>
        <w:rPr>
          <w:rFonts w:asciiTheme="minorHAnsi" w:hAnsiTheme="minorHAnsi" w:cs="Open Sans"/>
          <w:sz w:val="20"/>
          <w:szCs w:val="20"/>
          <w:lang w:val="fr-FR"/>
        </w:rPr>
      </w:pPr>
      <w:r w:rsidRPr="00DF7E84">
        <w:rPr>
          <w:rFonts w:asciiTheme="minorHAnsi" w:hAnsiTheme="minorHAnsi" w:cs="Open Sans"/>
          <w:sz w:val="20"/>
          <w:szCs w:val="20"/>
          <w:lang w:val="fr-FR"/>
        </w:rPr>
        <w:t>Les engagements d’Abeille Assurances en faveur de la transition écologique et sociétale sont déclinés dans les objectifs fixés par le conseil d’administration d’Abeille Assurances Holding aux membres de la Direction Générale concernés.</w:t>
      </w:r>
    </w:p>
    <w:p w14:paraId="3D427D5A" w14:textId="77777777" w:rsidR="002D2C3E" w:rsidRPr="00DF7E84" w:rsidRDefault="002D2C3E" w:rsidP="002D2C3E">
      <w:pPr>
        <w:spacing w:after="120" w:line="22" w:lineRule="atLeast"/>
        <w:jc w:val="both"/>
        <w:textAlignment w:val="center"/>
        <w:rPr>
          <w:rFonts w:asciiTheme="minorHAnsi" w:hAnsiTheme="minorHAnsi" w:cs="Open Sans"/>
          <w:sz w:val="20"/>
          <w:szCs w:val="20"/>
          <w:lang w:val="fr-FR"/>
        </w:rPr>
      </w:pPr>
      <w:r w:rsidRPr="00DF7E84">
        <w:rPr>
          <w:rFonts w:asciiTheme="minorHAnsi" w:hAnsiTheme="minorHAnsi" w:cs="Open Sans"/>
          <w:sz w:val="20"/>
          <w:szCs w:val="20"/>
          <w:lang w:val="fr-FR"/>
        </w:rPr>
        <w:t>Ces objectifs s’appuient notamment sur les indicateurs suivants :</w:t>
      </w:r>
    </w:p>
    <w:p w14:paraId="3ACFBEF0" w14:textId="4870A757" w:rsidR="002D2C3E" w:rsidRPr="002D2C3E" w:rsidRDefault="002D2C3E" w:rsidP="00590DD1">
      <w:pPr>
        <w:pStyle w:val="Paragraphedeliste"/>
        <w:numPr>
          <w:ilvl w:val="0"/>
          <w:numId w:val="120"/>
        </w:numPr>
        <w:spacing w:after="120" w:line="22" w:lineRule="atLeast"/>
        <w:jc w:val="both"/>
        <w:textAlignment w:val="center"/>
        <w:rPr>
          <w:rFonts w:cs="Open Sans"/>
          <w:sz w:val="20"/>
          <w:szCs w:val="20"/>
        </w:rPr>
      </w:pPr>
      <w:r w:rsidRPr="002D2C3E">
        <w:rPr>
          <w:rFonts w:cs="Open Sans"/>
          <w:sz w:val="20"/>
          <w:szCs w:val="20"/>
        </w:rPr>
        <w:t>Poursuivre l’intégration des critères de durabilité dans la politique achats ;</w:t>
      </w:r>
    </w:p>
    <w:p w14:paraId="4EDCBD7A" w14:textId="24D0A2AD" w:rsidR="002D2C3E" w:rsidRPr="002D2C3E" w:rsidRDefault="002D2C3E" w:rsidP="00590DD1">
      <w:pPr>
        <w:pStyle w:val="Paragraphedeliste"/>
        <w:numPr>
          <w:ilvl w:val="0"/>
          <w:numId w:val="120"/>
        </w:numPr>
        <w:spacing w:after="120" w:line="22" w:lineRule="atLeast"/>
        <w:jc w:val="both"/>
        <w:textAlignment w:val="center"/>
        <w:rPr>
          <w:rFonts w:cs="Open Sans"/>
          <w:sz w:val="20"/>
          <w:szCs w:val="20"/>
        </w:rPr>
      </w:pPr>
      <w:r w:rsidRPr="002D2C3E">
        <w:rPr>
          <w:rFonts w:cs="Open Sans"/>
          <w:sz w:val="20"/>
          <w:szCs w:val="20"/>
        </w:rPr>
        <w:t>Intégrer les critères de durabilité dans la sélection des UC ;</w:t>
      </w:r>
    </w:p>
    <w:p w14:paraId="055DC552" w14:textId="72FD9A2A" w:rsidR="002D2C3E" w:rsidRPr="002D2C3E" w:rsidRDefault="002D2C3E" w:rsidP="00590DD1">
      <w:pPr>
        <w:pStyle w:val="Paragraphedeliste"/>
        <w:numPr>
          <w:ilvl w:val="0"/>
          <w:numId w:val="120"/>
        </w:numPr>
        <w:spacing w:after="120" w:line="22" w:lineRule="atLeast"/>
        <w:jc w:val="both"/>
        <w:textAlignment w:val="center"/>
        <w:rPr>
          <w:rFonts w:cs="Open Sans"/>
          <w:sz w:val="20"/>
          <w:szCs w:val="20"/>
        </w:rPr>
      </w:pPr>
      <w:r w:rsidRPr="002D2C3E">
        <w:rPr>
          <w:rFonts w:cs="Open Sans"/>
          <w:sz w:val="20"/>
          <w:szCs w:val="20"/>
        </w:rPr>
        <w:t>Respecter et renforcer les engagements et offres en matière d’investissements durables ;</w:t>
      </w:r>
    </w:p>
    <w:p w14:paraId="79677FA7" w14:textId="06103CDD" w:rsidR="002D2C3E" w:rsidRPr="002D2C3E" w:rsidRDefault="002D2C3E" w:rsidP="00590DD1">
      <w:pPr>
        <w:pStyle w:val="Paragraphedeliste"/>
        <w:numPr>
          <w:ilvl w:val="0"/>
          <w:numId w:val="120"/>
        </w:numPr>
        <w:spacing w:after="120" w:line="22" w:lineRule="atLeast"/>
        <w:jc w:val="both"/>
        <w:textAlignment w:val="center"/>
        <w:rPr>
          <w:rFonts w:cs="Open Sans"/>
          <w:sz w:val="20"/>
          <w:szCs w:val="20"/>
        </w:rPr>
      </w:pPr>
      <w:r w:rsidRPr="002D2C3E">
        <w:rPr>
          <w:rFonts w:cs="Open Sans"/>
          <w:sz w:val="20"/>
          <w:szCs w:val="20"/>
        </w:rPr>
        <w:t>Reconduire le projet green IT consistant à diminuer le volume du stockage numérique en encourageant les bonnes pratiques (stockage sur les drives, diminution du recours aux pièces jointes, nettoyage et archivage des boites mails …) ;</w:t>
      </w:r>
    </w:p>
    <w:p w14:paraId="1544CBAA" w14:textId="1C96E091" w:rsidR="002D2C3E" w:rsidRPr="002D2C3E" w:rsidRDefault="002D2C3E" w:rsidP="00590DD1">
      <w:pPr>
        <w:pStyle w:val="Paragraphedeliste"/>
        <w:numPr>
          <w:ilvl w:val="0"/>
          <w:numId w:val="120"/>
        </w:numPr>
        <w:spacing w:after="120" w:line="22" w:lineRule="atLeast"/>
        <w:jc w:val="both"/>
        <w:textAlignment w:val="center"/>
        <w:rPr>
          <w:rFonts w:cs="Open Sans"/>
          <w:sz w:val="20"/>
          <w:szCs w:val="20"/>
        </w:rPr>
      </w:pPr>
      <w:r w:rsidRPr="002D2C3E">
        <w:rPr>
          <w:rFonts w:cs="Open Sans"/>
          <w:sz w:val="20"/>
          <w:szCs w:val="20"/>
        </w:rPr>
        <w:t>Être force de proposition sur les dispositifs de prévention notamment dans le cadre des dispositifs RSE.</w:t>
      </w:r>
    </w:p>
    <w:p w14:paraId="145F2D27" w14:textId="5E919868" w:rsidR="002D2C3E" w:rsidRPr="00DF7E84" w:rsidRDefault="002D2C3E" w:rsidP="002D2C3E">
      <w:pPr>
        <w:spacing w:after="120" w:line="22" w:lineRule="atLeast"/>
        <w:jc w:val="both"/>
        <w:textAlignment w:val="center"/>
        <w:rPr>
          <w:rFonts w:asciiTheme="minorHAnsi" w:hAnsiTheme="minorHAnsi" w:cs="Open Sans"/>
          <w:sz w:val="20"/>
          <w:szCs w:val="20"/>
          <w:lang w:val="fr-FR"/>
        </w:rPr>
      </w:pPr>
      <w:r w:rsidRPr="00DF7E84">
        <w:rPr>
          <w:rFonts w:asciiTheme="minorHAnsi" w:hAnsiTheme="minorHAnsi" w:cs="Open Sans"/>
          <w:sz w:val="20"/>
          <w:szCs w:val="20"/>
          <w:lang w:val="fr-FR"/>
        </w:rPr>
        <w:t>Le comité des rémunérations d’Abeille Assurances assure chaque année le suivi de ces indicateurs et émet un avis sur l’atteinte des objectifs.</w:t>
      </w:r>
    </w:p>
    <w:p w14:paraId="2253F368" w14:textId="77777777" w:rsidR="002D2C3E" w:rsidRPr="00DF7E84" w:rsidRDefault="002D2C3E" w:rsidP="002D2C3E">
      <w:pPr>
        <w:spacing w:after="120" w:line="22" w:lineRule="atLeast"/>
        <w:jc w:val="both"/>
        <w:textAlignment w:val="center"/>
        <w:rPr>
          <w:rFonts w:asciiTheme="minorHAnsi" w:hAnsiTheme="minorHAnsi" w:cs="Open Sans"/>
          <w:sz w:val="20"/>
          <w:szCs w:val="20"/>
          <w:lang w:val="fr-FR"/>
        </w:rPr>
      </w:pPr>
      <w:r w:rsidRPr="00DF7E84">
        <w:rPr>
          <w:rFonts w:asciiTheme="minorHAnsi" w:hAnsiTheme="minorHAnsi" w:cs="Open Sans"/>
          <w:b/>
          <w:bCs/>
          <w:sz w:val="20"/>
          <w:szCs w:val="20"/>
          <w:lang w:val="fr-FR"/>
        </w:rPr>
        <w:t>Ces éléments comptent pour 5% à 15% des objectifs qui déterminent la part variable de la rémunération des membres de la Direction Générale concernés.</w:t>
      </w:r>
    </w:p>
    <w:p w14:paraId="4A4DB495" w14:textId="77777777" w:rsidR="00C91647" w:rsidRPr="00A74D23" w:rsidRDefault="00C91647" w:rsidP="009D6EE5">
      <w:pPr>
        <w:spacing w:line="22" w:lineRule="atLeast"/>
        <w:jc w:val="both"/>
        <w:textAlignment w:val="center"/>
        <w:rPr>
          <w:rFonts w:asciiTheme="minorHAnsi" w:hAnsiTheme="minorHAnsi" w:cs="Open Sans"/>
          <w:sz w:val="18"/>
          <w:szCs w:val="18"/>
          <w:lang w:val="fr-FR"/>
        </w:rPr>
      </w:pPr>
    </w:p>
    <w:p w14:paraId="54077B2C" w14:textId="77777777" w:rsidR="00F17674" w:rsidRPr="00A74D23" w:rsidRDefault="00F17674" w:rsidP="009D6EE5">
      <w:pPr>
        <w:spacing w:line="22" w:lineRule="atLeast"/>
        <w:jc w:val="both"/>
        <w:textAlignment w:val="center"/>
        <w:rPr>
          <w:rFonts w:asciiTheme="minorHAnsi" w:hAnsiTheme="minorHAnsi" w:cs="Open Sans"/>
          <w:sz w:val="18"/>
          <w:szCs w:val="18"/>
          <w:lang w:val="fr-FR"/>
        </w:rPr>
      </w:pPr>
    </w:p>
    <w:p w14:paraId="5C56CD08" w14:textId="77777777" w:rsidR="004A4096" w:rsidRDefault="004A4096" w:rsidP="009D6EE5">
      <w:pPr>
        <w:spacing w:line="22" w:lineRule="atLeast"/>
        <w:jc w:val="both"/>
        <w:textAlignment w:val="center"/>
        <w:rPr>
          <w:rFonts w:asciiTheme="minorHAnsi" w:hAnsiTheme="minorHAnsi" w:cs="Open Sans"/>
          <w:sz w:val="20"/>
          <w:lang w:val="fr-FR"/>
        </w:rPr>
      </w:pPr>
    </w:p>
    <w:p w14:paraId="7D414284" w14:textId="77777777" w:rsidR="002D2C3E" w:rsidRDefault="002D2C3E" w:rsidP="009D6EE5">
      <w:pPr>
        <w:spacing w:line="22" w:lineRule="atLeast"/>
        <w:jc w:val="both"/>
        <w:textAlignment w:val="center"/>
        <w:rPr>
          <w:rFonts w:asciiTheme="minorHAnsi" w:hAnsiTheme="minorHAnsi" w:cs="Open Sans"/>
          <w:sz w:val="20"/>
          <w:lang w:val="fr-FR"/>
        </w:rPr>
      </w:pPr>
    </w:p>
    <w:p w14:paraId="27984964" w14:textId="77777777" w:rsidR="00E34574" w:rsidRDefault="00E34574" w:rsidP="009D6EE5">
      <w:pPr>
        <w:spacing w:line="22" w:lineRule="atLeast"/>
        <w:jc w:val="both"/>
        <w:textAlignment w:val="center"/>
        <w:rPr>
          <w:rFonts w:asciiTheme="minorHAnsi" w:hAnsiTheme="minorHAnsi" w:cs="Open Sans"/>
          <w:sz w:val="20"/>
          <w:lang w:val="fr-FR"/>
        </w:rPr>
      </w:pPr>
    </w:p>
    <w:p w14:paraId="0F004E1A" w14:textId="77777777" w:rsidR="00E34574" w:rsidRDefault="00E34574" w:rsidP="009D6EE5">
      <w:pPr>
        <w:spacing w:line="22" w:lineRule="atLeast"/>
        <w:jc w:val="both"/>
        <w:textAlignment w:val="center"/>
        <w:rPr>
          <w:rFonts w:asciiTheme="minorHAnsi" w:hAnsiTheme="minorHAnsi" w:cs="Open Sans"/>
          <w:sz w:val="20"/>
          <w:lang w:val="fr-FR"/>
        </w:rPr>
      </w:pPr>
    </w:p>
    <w:p w14:paraId="5E20A675" w14:textId="77777777" w:rsidR="00E34574" w:rsidRDefault="00E34574" w:rsidP="009D6EE5">
      <w:pPr>
        <w:spacing w:line="22" w:lineRule="atLeast"/>
        <w:jc w:val="both"/>
        <w:textAlignment w:val="center"/>
        <w:rPr>
          <w:rFonts w:asciiTheme="minorHAnsi" w:hAnsiTheme="minorHAnsi" w:cs="Open Sans"/>
          <w:sz w:val="20"/>
          <w:lang w:val="fr-FR"/>
        </w:rPr>
      </w:pPr>
    </w:p>
    <w:p w14:paraId="0A4B5367" w14:textId="77777777" w:rsidR="00E34574" w:rsidRDefault="00E34574" w:rsidP="009D6EE5">
      <w:pPr>
        <w:spacing w:line="22" w:lineRule="atLeast"/>
        <w:jc w:val="both"/>
        <w:textAlignment w:val="center"/>
        <w:rPr>
          <w:rFonts w:asciiTheme="minorHAnsi" w:hAnsiTheme="minorHAnsi" w:cs="Open Sans"/>
          <w:sz w:val="20"/>
          <w:lang w:val="fr-FR"/>
        </w:rPr>
      </w:pPr>
    </w:p>
    <w:p w14:paraId="1F82AAA8" w14:textId="77777777" w:rsidR="00E34574" w:rsidRDefault="00E34574" w:rsidP="009D6EE5">
      <w:pPr>
        <w:spacing w:line="22" w:lineRule="atLeast"/>
        <w:jc w:val="both"/>
        <w:textAlignment w:val="center"/>
        <w:rPr>
          <w:rFonts w:asciiTheme="minorHAnsi" w:hAnsiTheme="minorHAnsi" w:cs="Open Sans"/>
          <w:sz w:val="20"/>
          <w:lang w:val="fr-FR"/>
        </w:rPr>
      </w:pPr>
    </w:p>
    <w:p w14:paraId="08B0E105" w14:textId="77777777" w:rsidR="00E34574" w:rsidRDefault="00E34574" w:rsidP="009D6EE5">
      <w:pPr>
        <w:spacing w:line="22" w:lineRule="atLeast"/>
        <w:jc w:val="both"/>
        <w:textAlignment w:val="center"/>
        <w:rPr>
          <w:rFonts w:asciiTheme="minorHAnsi" w:hAnsiTheme="minorHAnsi" w:cs="Open Sans"/>
          <w:sz w:val="20"/>
          <w:lang w:val="fr-FR"/>
        </w:rPr>
      </w:pPr>
    </w:p>
    <w:p w14:paraId="744E8A67" w14:textId="77777777" w:rsidR="00E34574" w:rsidRDefault="00E34574" w:rsidP="009D6EE5">
      <w:pPr>
        <w:spacing w:line="22" w:lineRule="atLeast"/>
        <w:jc w:val="both"/>
        <w:textAlignment w:val="center"/>
        <w:rPr>
          <w:rFonts w:asciiTheme="minorHAnsi" w:hAnsiTheme="minorHAnsi" w:cs="Open Sans"/>
          <w:sz w:val="20"/>
          <w:lang w:val="fr-FR"/>
        </w:rPr>
      </w:pPr>
    </w:p>
    <w:p w14:paraId="3BBB1247" w14:textId="77777777" w:rsidR="00E34574" w:rsidRDefault="00E34574" w:rsidP="009D6EE5">
      <w:pPr>
        <w:spacing w:line="22" w:lineRule="atLeast"/>
        <w:jc w:val="both"/>
        <w:textAlignment w:val="center"/>
        <w:rPr>
          <w:rFonts w:asciiTheme="minorHAnsi" w:hAnsiTheme="minorHAnsi" w:cs="Open Sans"/>
          <w:sz w:val="20"/>
          <w:lang w:val="fr-FR"/>
        </w:rPr>
      </w:pPr>
    </w:p>
    <w:p w14:paraId="3069513D" w14:textId="77777777" w:rsidR="00E34574" w:rsidRDefault="00E34574" w:rsidP="009D6EE5">
      <w:pPr>
        <w:spacing w:line="22" w:lineRule="atLeast"/>
        <w:jc w:val="both"/>
        <w:textAlignment w:val="center"/>
        <w:rPr>
          <w:rFonts w:asciiTheme="minorHAnsi" w:hAnsiTheme="minorHAnsi" w:cs="Open Sans"/>
          <w:sz w:val="20"/>
          <w:lang w:val="fr-FR"/>
        </w:rPr>
      </w:pPr>
    </w:p>
    <w:p w14:paraId="23A8EEF6" w14:textId="77777777" w:rsidR="00E34574" w:rsidRDefault="00E34574" w:rsidP="009D6EE5">
      <w:pPr>
        <w:spacing w:line="22" w:lineRule="atLeast"/>
        <w:jc w:val="both"/>
        <w:textAlignment w:val="center"/>
        <w:rPr>
          <w:rFonts w:asciiTheme="minorHAnsi" w:hAnsiTheme="minorHAnsi" w:cs="Open Sans"/>
          <w:sz w:val="20"/>
          <w:lang w:val="fr-FR"/>
        </w:rPr>
      </w:pPr>
    </w:p>
    <w:p w14:paraId="342D5C17" w14:textId="77777777" w:rsidR="00E34574" w:rsidRDefault="00E34574" w:rsidP="009D6EE5">
      <w:pPr>
        <w:spacing w:line="22" w:lineRule="atLeast"/>
        <w:jc w:val="both"/>
        <w:textAlignment w:val="center"/>
        <w:rPr>
          <w:rFonts w:asciiTheme="minorHAnsi" w:hAnsiTheme="minorHAnsi" w:cs="Open Sans"/>
          <w:sz w:val="20"/>
          <w:lang w:val="fr-FR"/>
        </w:rPr>
      </w:pPr>
    </w:p>
    <w:p w14:paraId="444B4DEB" w14:textId="77777777" w:rsidR="00E34574" w:rsidRDefault="00E34574" w:rsidP="009D6EE5">
      <w:pPr>
        <w:spacing w:line="22" w:lineRule="atLeast"/>
        <w:jc w:val="both"/>
        <w:textAlignment w:val="center"/>
        <w:rPr>
          <w:rFonts w:asciiTheme="minorHAnsi" w:hAnsiTheme="minorHAnsi" w:cs="Open Sans"/>
          <w:sz w:val="20"/>
          <w:lang w:val="fr-FR"/>
        </w:rPr>
      </w:pPr>
    </w:p>
    <w:p w14:paraId="76AEE84D" w14:textId="77777777" w:rsidR="00E34574" w:rsidRDefault="00E34574" w:rsidP="009D6EE5">
      <w:pPr>
        <w:spacing w:line="22" w:lineRule="atLeast"/>
        <w:jc w:val="both"/>
        <w:textAlignment w:val="center"/>
        <w:rPr>
          <w:rFonts w:asciiTheme="minorHAnsi" w:hAnsiTheme="minorHAnsi" w:cs="Open Sans"/>
          <w:sz w:val="20"/>
          <w:lang w:val="fr-FR"/>
        </w:rPr>
      </w:pPr>
    </w:p>
    <w:p w14:paraId="7985E3E7" w14:textId="77777777" w:rsidR="00E34574" w:rsidRDefault="00E34574" w:rsidP="009D6EE5">
      <w:pPr>
        <w:spacing w:line="22" w:lineRule="atLeast"/>
        <w:jc w:val="both"/>
        <w:textAlignment w:val="center"/>
        <w:rPr>
          <w:rFonts w:asciiTheme="minorHAnsi" w:hAnsiTheme="minorHAnsi" w:cs="Open Sans"/>
          <w:sz w:val="20"/>
          <w:lang w:val="fr-FR"/>
        </w:rPr>
      </w:pPr>
    </w:p>
    <w:p w14:paraId="6D21C220" w14:textId="77777777" w:rsidR="00E34574" w:rsidRDefault="00E34574" w:rsidP="009D6EE5">
      <w:pPr>
        <w:spacing w:line="22" w:lineRule="atLeast"/>
        <w:jc w:val="both"/>
        <w:textAlignment w:val="center"/>
        <w:rPr>
          <w:rFonts w:asciiTheme="minorHAnsi" w:hAnsiTheme="minorHAnsi" w:cs="Open Sans"/>
          <w:sz w:val="20"/>
          <w:lang w:val="fr-FR"/>
        </w:rPr>
      </w:pPr>
    </w:p>
    <w:p w14:paraId="7FF0769A" w14:textId="77777777" w:rsidR="00E34574" w:rsidRDefault="00E34574" w:rsidP="009D6EE5">
      <w:pPr>
        <w:spacing w:line="22" w:lineRule="atLeast"/>
        <w:jc w:val="both"/>
        <w:textAlignment w:val="center"/>
        <w:rPr>
          <w:rFonts w:asciiTheme="minorHAnsi" w:hAnsiTheme="minorHAnsi" w:cs="Open Sans"/>
          <w:sz w:val="20"/>
          <w:lang w:val="fr-FR"/>
        </w:rPr>
      </w:pPr>
    </w:p>
    <w:p w14:paraId="110A2131" w14:textId="77777777" w:rsidR="00E34574" w:rsidRDefault="00E34574" w:rsidP="009D6EE5">
      <w:pPr>
        <w:spacing w:line="22" w:lineRule="atLeast"/>
        <w:jc w:val="both"/>
        <w:textAlignment w:val="center"/>
        <w:rPr>
          <w:rFonts w:asciiTheme="minorHAnsi" w:hAnsiTheme="minorHAnsi" w:cs="Open Sans"/>
          <w:sz w:val="20"/>
          <w:lang w:val="fr-FR"/>
        </w:rPr>
      </w:pPr>
    </w:p>
    <w:p w14:paraId="51592300" w14:textId="77777777" w:rsidR="00E34574" w:rsidRDefault="00E34574" w:rsidP="009D6EE5">
      <w:pPr>
        <w:spacing w:line="22" w:lineRule="atLeast"/>
        <w:jc w:val="both"/>
        <w:textAlignment w:val="center"/>
        <w:rPr>
          <w:rFonts w:asciiTheme="minorHAnsi" w:hAnsiTheme="minorHAnsi" w:cs="Open Sans"/>
          <w:sz w:val="20"/>
          <w:lang w:val="fr-FR"/>
        </w:rPr>
      </w:pPr>
    </w:p>
    <w:p w14:paraId="165E2E33" w14:textId="77777777" w:rsidR="00E34574" w:rsidRDefault="00E34574" w:rsidP="009D6EE5">
      <w:pPr>
        <w:spacing w:line="22" w:lineRule="atLeast"/>
        <w:jc w:val="both"/>
        <w:textAlignment w:val="center"/>
        <w:rPr>
          <w:rFonts w:asciiTheme="minorHAnsi" w:hAnsiTheme="minorHAnsi" w:cs="Open Sans"/>
          <w:sz w:val="20"/>
          <w:lang w:val="fr-FR"/>
        </w:rPr>
      </w:pPr>
    </w:p>
    <w:p w14:paraId="30A81631" w14:textId="77777777" w:rsidR="00E34574" w:rsidRDefault="00E34574" w:rsidP="009D6EE5">
      <w:pPr>
        <w:spacing w:line="22" w:lineRule="atLeast"/>
        <w:jc w:val="both"/>
        <w:textAlignment w:val="center"/>
        <w:rPr>
          <w:rFonts w:asciiTheme="minorHAnsi" w:hAnsiTheme="minorHAnsi" w:cs="Open Sans"/>
          <w:sz w:val="20"/>
          <w:lang w:val="fr-FR"/>
        </w:rPr>
      </w:pPr>
    </w:p>
    <w:p w14:paraId="79316D1E" w14:textId="77777777" w:rsidR="00E34574" w:rsidRDefault="00E34574" w:rsidP="009D6EE5">
      <w:pPr>
        <w:spacing w:line="22" w:lineRule="atLeast"/>
        <w:jc w:val="both"/>
        <w:textAlignment w:val="center"/>
        <w:rPr>
          <w:rFonts w:asciiTheme="minorHAnsi" w:hAnsiTheme="minorHAnsi" w:cs="Open Sans"/>
          <w:sz w:val="20"/>
          <w:lang w:val="fr-FR"/>
        </w:rPr>
      </w:pPr>
    </w:p>
    <w:p w14:paraId="6A480FAE" w14:textId="77777777" w:rsidR="00E34574" w:rsidRDefault="00E34574" w:rsidP="009D6EE5">
      <w:pPr>
        <w:spacing w:line="22" w:lineRule="atLeast"/>
        <w:jc w:val="both"/>
        <w:textAlignment w:val="center"/>
        <w:rPr>
          <w:rFonts w:asciiTheme="minorHAnsi" w:hAnsiTheme="minorHAnsi" w:cs="Open Sans"/>
          <w:sz w:val="20"/>
          <w:lang w:val="fr-FR"/>
        </w:rPr>
      </w:pPr>
    </w:p>
    <w:p w14:paraId="72BD77A2" w14:textId="77777777" w:rsidR="00E34574" w:rsidRDefault="00E34574" w:rsidP="009D6EE5">
      <w:pPr>
        <w:spacing w:line="22" w:lineRule="atLeast"/>
        <w:jc w:val="both"/>
        <w:textAlignment w:val="center"/>
        <w:rPr>
          <w:rFonts w:asciiTheme="minorHAnsi" w:hAnsiTheme="minorHAnsi" w:cs="Open Sans"/>
          <w:sz w:val="20"/>
          <w:lang w:val="fr-FR"/>
        </w:rPr>
      </w:pPr>
    </w:p>
    <w:p w14:paraId="69451384" w14:textId="77777777" w:rsidR="00E34574" w:rsidRDefault="00E34574" w:rsidP="009D6EE5">
      <w:pPr>
        <w:spacing w:line="22" w:lineRule="atLeast"/>
        <w:jc w:val="both"/>
        <w:textAlignment w:val="center"/>
        <w:rPr>
          <w:rFonts w:asciiTheme="minorHAnsi" w:hAnsiTheme="minorHAnsi" w:cs="Open Sans"/>
          <w:sz w:val="20"/>
          <w:lang w:val="fr-FR"/>
        </w:rPr>
      </w:pPr>
    </w:p>
    <w:p w14:paraId="0C0C9EC4" w14:textId="77777777" w:rsidR="00E34574" w:rsidRDefault="00E34574" w:rsidP="009D6EE5">
      <w:pPr>
        <w:spacing w:line="22" w:lineRule="atLeast"/>
        <w:jc w:val="both"/>
        <w:textAlignment w:val="center"/>
        <w:rPr>
          <w:rFonts w:asciiTheme="minorHAnsi" w:hAnsiTheme="minorHAnsi" w:cs="Open Sans"/>
          <w:sz w:val="20"/>
          <w:lang w:val="fr-FR"/>
        </w:rPr>
      </w:pPr>
    </w:p>
    <w:p w14:paraId="4827AD0F" w14:textId="77777777" w:rsidR="00E34574" w:rsidRDefault="00E34574" w:rsidP="009D6EE5">
      <w:pPr>
        <w:spacing w:line="22" w:lineRule="atLeast"/>
        <w:jc w:val="both"/>
        <w:textAlignment w:val="center"/>
        <w:rPr>
          <w:rFonts w:asciiTheme="minorHAnsi" w:hAnsiTheme="minorHAnsi" w:cs="Open Sans"/>
          <w:sz w:val="20"/>
          <w:lang w:val="fr-FR"/>
        </w:rPr>
      </w:pPr>
    </w:p>
    <w:p w14:paraId="282D4D5E" w14:textId="77777777" w:rsidR="00E34574" w:rsidRDefault="00E34574" w:rsidP="009D6EE5">
      <w:pPr>
        <w:spacing w:line="22" w:lineRule="atLeast"/>
        <w:jc w:val="both"/>
        <w:textAlignment w:val="center"/>
        <w:rPr>
          <w:rFonts w:asciiTheme="minorHAnsi" w:hAnsiTheme="minorHAnsi" w:cs="Open Sans"/>
          <w:sz w:val="20"/>
          <w:lang w:val="fr-FR"/>
        </w:rPr>
      </w:pPr>
    </w:p>
    <w:p w14:paraId="08328ADB" w14:textId="77777777" w:rsidR="00343FD7" w:rsidRDefault="00343FD7" w:rsidP="009D6EE5">
      <w:pPr>
        <w:spacing w:line="22" w:lineRule="atLeast"/>
        <w:jc w:val="both"/>
        <w:textAlignment w:val="center"/>
        <w:rPr>
          <w:rFonts w:asciiTheme="minorHAnsi" w:hAnsiTheme="minorHAnsi" w:cs="Open Sans"/>
          <w:sz w:val="20"/>
          <w:lang w:val="fr-FR"/>
        </w:rPr>
      </w:pPr>
    </w:p>
    <w:p w14:paraId="7491F729" w14:textId="77777777" w:rsidR="00343FD7" w:rsidRDefault="00343FD7" w:rsidP="009D6EE5">
      <w:pPr>
        <w:spacing w:line="22" w:lineRule="atLeast"/>
        <w:jc w:val="both"/>
        <w:textAlignment w:val="center"/>
        <w:rPr>
          <w:rFonts w:asciiTheme="minorHAnsi" w:hAnsiTheme="minorHAnsi" w:cs="Open Sans"/>
          <w:sz w:val="20"/>
          <w:lang w:val="fr-FR"/>
        </w:rPr>
      </w:pPr>
    </w:p>
    <w:p w14:paraId="5826171C" w14:textId="77777777" w:rsidR="00343FD7" w:rsidRDefault="00343FD7" w:rsidP="009D6EE5">
      <w:pPr>
        <w:spacing w:line="22" w:lineRule="atLeast"/>
        <w:jc w:val="both"/>
        <w:textAlignment w:val="center"/>
        <w:rPr>
          <w:rFonts w:asciiTheme="minorHAnsi" w:hAnsiTheme="minorHAnsi" w:cs="Open Sans"/>
          <w:sz w:val="20"/>
          <w:lang w:val="fr-FR"/>
        </w:rPr>
      </w:pPr>
    </w:p>
    <w:p w14:paraId="75B8D1F5" w14:textId="77777777" w:rsidR="00343FD7" w:rsidRDefault="00343FD7" w:rsidP="009D6EE5">
      <w:pPr>
        <w:spacing w:line="22" w:lineRule="atLeast"/>
        <w:jc w:val="both"/>
        <w:textAlignment w:val="center"/>
        <w:rPr>
          <w:rFonts w:asciiTheme="minorHAnsi" w:hAnsiTheme="minorHAnsi" w:cs="Open Sans"/>
          <w:sz w:val="20"/>
          <w:lang w:val="fr-FR"/>
        </w:rPr>
      </w:pPr>
    </w:p>
    <w:p w14:paraId="2BA64337" w14:textId="77777777" w:rsidR="00343FD7" w:rsidRDefault="00343FD7" w:rsidP="009D6EE5">
      <w:pPr>
        <w:spacing w:line="22" w:lineRule="atLeast"/>
        <w:jc w:val="both"/>
        <w:textAlignment w:val="center"/>
        <w:rPr>
          <w:rFonts w:asciiTheme="minorHAnsi" w:hAnsiTheme="minorHAnsi" w:cs="Open Sans"/>
          <w:sz w:val="20"/>
          <w:lang w:val="fr-FR"/>
        </w:rPr>
      </w:pPr>
    </w:p>
    <w:p w14:paraId="109E1560" w14:textId="77777777" w:rsidR="00343FD7" w:rsidRDefault="00343FD7" w:rsidP="009D6EE5">
      <w:pPr>
        <w:spacing w:line="22" w:lineRule="atLeast"/>
        <w:jc w:val="both"/>
        <w:textAlignment w:val="center"/>
        <w:rPr>
          <w:rFonts w:asciiTheme="minorHAnsi" w:hAnsiTheme="minorHAnsi" w:cs="Open Sans"/>
          <w:sz w:val="20"/>
          <w:lang w:val="fr-FR"/>
        </w:rPr>
      </w:pPr>
    </w:p>
    <w:p w14:paraId="7D712D0F" w14:textId="77777777" w:rsidR="00E34574" w:rsidRDefault="00E34574" w:rsidP="009D6EE5">
      <w:pPr>
        <w:spacing w:line="22" w:lineRule="atLeast"/>
        <w:jc w:val="both"/>
        <w:textAlignment w:val="center"/>
        <w:rPr>
          <w:rFonts w:asciiTheme="minorHAnsi" w:hAnsiTheme="minorHAnsi" w:cs="Open Sans"/>
          <w:sz w:val="20"/>
          <w:lang w:val="fr-FR"/>
        </w:rPr>
      </w:pPr>
    </w:p>
    <w:p w14:paraId="3AAC0B04" w14:textId="77777777" w:rsidR="00E34574" w:rsidRDefault="00E34574" w:rsidP="009D6EE5">
      <w:pPr>
        <w:spacing w:line="22" w:lineRule="atLeast"/>
        <w:jc w:val="both"/>
        <w:textAlignment w:val="center"/>
        <w:rPr>
          <w:rFonts w:asciiTheme="minorHAnsi" w:hAnsiTheme="minorHAnsi" w:cs="Open Sans"/>
          <w:sz w:val="20"/>
          <w:lang w:val="fr-FR"/>
        </w:rPr>
      </w:pPr>
    </w:p>
    <w:p w14:paraId="2745A28E" w14:textId="77777777" w:rsidR="00E34574" w:rsidRPr="00A74D23" w:rsidRDefault="00E34574" w:rsidP="009D6EE5">
      <w:pPr>
        <w:spacing w:line="22" w:lineRule="atLeast"/>
        <w:jc w:val="both"/>
        <w:textAlignment w:val="center"/>
        <w:rPr>
          <w:rFonts w:asciiTheme="minorHAnsi" w:hAnsiTheme="minorHAnsi" w:cs="Open Sans"/>
          <w:sz w:val="20"/>
          <w:lang w:val="fr-FR"/>
        </w:rPr>
      </w:pPr>
    </w:p>
    <w:p w14:paraId="593F6422" w14:textId="7F31CFBC" w:rsidR="009559F8" w:rsidRPr="002D2C3E" w:rsidRDefault="00896E05" w:rsidP="009D6EE5">
      <w:pPr>
        <w:pStyle w:val="Titre10"/>
        <w:spacing w:line="22" w:lineRule="atLeast"/>
        <w:ind w:left="425" w:hanging="425"/>
        <w:jc w:val="both"/>
        <w:rPr>
          <w:rFonts w:asciiTheme="minorHAnsi" w:hAnsiTheme="minorHAnsi" w:cs="Open Sans"/>
          <w:b w:val="0"/>
          <w:bCs/>
          <w:color w:val="DBE1ED" w:themeColor="accent6"/>
          <w:sz w:val="44"/>
          <w:szCs w:val="44"/>
        </w:rPr>
      </w:pPr>
      <w:bookmarkStart w:id="59" w:name="_Toc231337009"/>
      <w:bookmarkStart w:id="60" w:name="_Toc129091819"/>
      <w:bookmarkStart w:id="61" w:name="_Toc128735907"/>
      <w:r w:rsidRPr="002D2C3E">
        <w:rPr>
          <w:rFonts w:asciiTheme="minorHAnsi" w:hAnsiTheme="minorHAnsi" w:cs="Open Sans"/>
          <w:b w:val="0"/>
          <w:bCs/>
          <w:sz w:val="44"/>
          <w:szCs w:val="44"/>
        </w:rPr>
        <w:t xml:space="preserve">E. </w:t>
      </w:r>
      <w:r w:rsidR="009559F8" w:rsidRPr="002D2C3E">
        <w:rPr>
          <w:rFonts w:asciiTheme="minorHAnsi" w:hAnsiTheme="minorHAnsi" w:cs="Open Sans"/>
          <w:b w:val="0"/>
          <w:bCs/>
          <w:sz w:val="44"/>
          <w:szCs w:val="44"/>
        </w:rPr>
        <w:t>Stratégie d'engagement auprès des émetteurs ou vis-à-vis des sociétés de gestion ainsi que sur sa mise en œuvre</w:t>
      </w:r>
      <w:bookmarkEnd w:id="59"/>
      <w:r w:rsidR="006A7BA4" w:rsidRPr="002D2C3E">
        <w:rPr>
          <w:rFonts w:asciiTheme="minorHAnsi" w:hAnsiTheme="minorHAnsi" w:cs="Open Sans"/>
          <w:b w:val="0"/>
          <w:bCs/>
          <w:color w:val="DBE1ED" w:themeColor="accent6"/>
          <w:sz w:val="44"/>
          <w:szCs w:val="44"/>
        </w:rPr>
        <w:t xml:space="preserve"> </w:t>
      </w:r>
      <w:bookmarkEnd w:id="60"/>
      <w:bookmarkEnd w:id="61"/>
    </w:p>
    <w:p w14:paraId="59116943" w14:textId="77777777" w:rsidR="00213597" w:rsidRPr="00A74D23" w:rsidRDefault="00213597" w:rsidP="009D6EE5">
      <w:pPr>
        <w:spacing w:line="22" w:lineRule="atLeast"/>
        <w:jc w:val="both"/>
        <w:rPr>
          <w:rFonts w:asciiTheme="minorHAnsi" w:hAnsiTheme="minorHAnsi"/>
          <w:lang w:val="fr-FR"/>
        </w:rPr>
      </w:pPr>
    </w:p>
    <w:p w14:paraId="3E218A9A" w14:textId="136C3750" w:rsidR="00BB013E" w:rsidRPr="00A74D23" w:rsidRDefault="0046321C" w:rsidP="00590DD1">
      <w:pPr>
        <w:pStyle w:val="StyleYO"/>
        <w:numPr>
          <w:ilvl w:val="0"/>
          <w:numId w:val="71"/>
        </w:numPr>
        <w:spacing w:line="22" w:lineRule="atLeast"/>
        <w:jc w:val="both"/>
      </w:pPr>
      <w:bookmarkStart w:id="62" w:name="_Toc129091820"/>
      <w:bookmarkStart w:id="63" w:name="_Toc128735908"/>
      <w:bookmarkStart w:id="64" w:name="_Toc231337010"/>
      <w:r w:rsidRPr="00A74D23">
        <w:t xml:space="preserve">Abeille Assurances, </w:t>
      </w:r>
      <w:r w:rsidR="00896E05" w:rsidRPr="00A74D23">
        <w:t>moteur</w:t>
      </w:r>
      <w:r w:rsidRPr="00A74D23">
        <w:t xml:space="preserve"> du changement</w:t>
      </w:r>
      <w:bookmarkEnd w:id="62"/>
      <w:bookmarkEnd w:id="63"/>
      <w:bookmarkEnd w:id="64"/>
    </w:p>
    <w:p w14:paraId="25FF980C" w14:textId="43A4AA2F" w:rsidR="0089506C" w:rsidRPr="00A74D23" w:rsidRDefault="0089506C" w:rsidP="009D6EE5">
      <w:pPr>
        <w:pStyle w:val="NormalWeb"/>
        <w:shd w:val="clear" w:color="auto" w:fill="FFFFFF"/>
        <w:spacing w:before="0" w:beforeAutospacing="0" w:after="120" w:afterAutospacing="0" w:line="22" w:lineRule="atLeast"/>
        <w:jc w:val="both"/>
        <w:textAlignment w:val="baseline"/>
        <w:rPr>
          <w:rFonts w:asciiTheme="minorHAnsi" w:hAnsiTheme="minorHAnsi"/>
          <w:sz w:val="20"/>
          <w:shd w:val="clear" w:color="auto" w:fill="FFFFFF"/>
        </w:rPr>
      </w:pPr>
      <w:r w:rsidRPr="00A74D23">
        <w:rPr>
          <w:rFonts w:asciiTheme="minorHAnsi" w:hAnsiTheme="minorHAnsi"/>
          <w:sz w:val="20"/>
          <w:shd w:val="clear" w:color="auto" w:fill="FFFFFF"/>
        </w:rPr>
        <w:t xml:space="preserve">L’engagement actionnarial, </w:t>
      </w:r>
      <w:r w:rsidRPr="00A74D23">
        <w:rPr>
          <w:rFonts w:asciiTheme="minorHAnsi" w:hAnsiTheme="minorHAnsi" w:cstheme="minorHAnsi"/>
          <w:sz w:val="20"/>
          <w:szCs w:val="20"/>
          <w:shd w:val="clear" w:color="auto" w:fill="FFFFFF"/>
        </w:rPr>
        <w:t>qui</w:t>
      </w:r>
      <w:r w:rsidRPr="00A74D23">
        <w:rPr>
          <w:rFonts w:asciiTheme="minorHAnsi" w:hAnsiTheme="minorHAnsi"/>
          <w:sz w:val="20"/>
          <w:shd w:val="clear" w:color="auto" w:fill="FFFFFF"/>
        </w:rPr>
        <w:t xml:space="preserve"> se </w:t>
      </w:r>
      <w:r w:rsidRPr="00A74D23">
        <w:rPr>
          <w:rFonts w:asciiTheme="minorHAnsi" w:hAnsiTheme="minorHAnsi" w:cstheme="minorHAnsi"/>
          <w:sz w:val="20"/>
          <w:szCs w:val="20"/>
          <w:shd w:val="clear" w:color="auto" w:fill="FFFFFF"/>
        </w:rPr>
        <w:t xml:space="preserve">manifeste à travers </w:t>
      </w:r>
      <w:r w:rsidRPr="00A74D23">
        <w:rPr>
          <w:rFonts w:asciiTheme="minorHAnsi" w:hAnsiTheme="minorHAnsi"/>
          <w:sz w:val="20"/>
          <w:shd w:val="clear" w:color="auto" w:fill="FFFFFF"/>
        </w:rPr>
        <w:t xml:space="preserve">un dialogue </w:t>
      </w:r>
      <w:r w:rsidRPr="00A74D23">
        <w:rPr>
          <w:rFonts w:asciiTheme="minorHAnsi" w:hAnsiTheme="minorHAnsi" w:cstheme="minorHAnsi"/>
          <w:sz w:val="20"/>
          <w:szCs w:val="20"/>
          <w:shd w:val="clear" w:color="auto" w:fill="FFFFFF"/>
        </w:rPr>
        <w:t xml:space="preserve">continu </w:t>
      </w:r>
      <w:r w:rsidRPr="00A74D23">
        <w:rPr>
          <w:rFonts w:asciiTheme="minorHAnsi" w:hAnsiTheme="minorHAnsi"/>
          <w:sz w:val="20"/>
          <w:shd w:val="clear" w:color="auto" w:fill="FFFFFF"/>
        </w:rPr>
        <w:t>avec les entreprises</w:t>
      </w:r>
      <w:r w:rsidRPr="00A74D23">
        <w:rPr>
          <w:rFonts w:asciiTheme="minorHAnsi" w:hAnsiTheme="minorHAnsi" w:cstheme="minorHAnsi"/>
          <w:sz w:val="20"/>
          <w:szCs w:val="20"/>
          <w:shd w:val="clear" w:color="auto" w:fill="FFFFFF"/>
        </w:rPr>
        <w:t xml:space="preserve">, </w:t>
      </w:r>
      <w:r w:rsidRPr="00A74D23">
        <w:rPr>
          <w:rFonts w:asciiTheme="minorHAnsi" w:hAnsiTheme="minorHAnsi"/>
          <w:sz w:val="20"/>
          <w:shd w:val="clear" w:color="auto" w:fill="FFFFFF"/>
        </w:rPr>
        <w:t xml:space="preserve">et une politique de vote active </w:t>
      </w:r>
      <w:r w:rsidRPr="00A74D23">
        <w:rPr>
          <w:rFonts w:asciiTheme="minorHAnsi" w:hAnsiTheme="minorHAnsi" w:cstheme="minorHAnsi"/>
          <w:sz w:val="20"/>
          <w:szCs w:val="20"/>
          <w:shd w:val="clear" w:color="auto" w:fill="FFFFFF"/>
        </w:rPr>
        <w:t xml:space="preserve">aux assemblées générales d’actionnaires est délégué à </w:t>
      </w:r>
      <w:r w:rsidR="00495330" w:rsidRPr="00A74D23">
        <w:rPr>
          <w:rFonts w:asciiTheme="minorHAnsi" w:hAnsiTheme="minorHAnsi" w:cstheme="minorHAnsi"/>
          <w:sz w:val="20"/>
          <w:szCs w:val="20"/>
          <w:shd w:val="clear" w:color="auto" w:fill="FFFFFF"/>
        </w:rPr>
        <w:t>Ofi</w:t>
      </w:r>
      <w:r w:rsidRPr="00A74D23">
        <w:rPr>
          <w:rFonts w:asciiTheme="minorHAnsi" w:hAnsiTheme="minorHAnsi" w:cstheme="minorHAnsi"/>
          <w:sz w:val="20"/>
          <w:szCs w:val="20"/>
          <w:shd w:val="clear" w:color="auto" w:fill="FFFFFF"/>
        </w:rPr>
        <w:t xml:space="preserve"> Invest AM. Cet engagement</w:t>
      </w:r>
      <w:r w:rsidRPr="00A74D23">
        <w:rPr>
          <w:rFonts w:asciiTheme="minorHAnsi" w:hAnsiTheme="minorHAnsi"/>
          <w:sz w:val="20"/>
          <w:shd w:val="clear" w:color="auto" w:fill="FFFFFF"/>
        </w:rPr>
        <w:t xml:space="preserve"> vise à susciter une meilleure prise en compte des facteurs ESG par les émetteurs, notamment en les sensibilisant aux bonnes pratiques en matière d’ESG. En 2025, </w:t>
      </w:r>
      <w:r w:rsidR="00495330" w:rsidRPr="00A74D23">
        <w:rPr>
          <w:rFonts w:asciiTheme="minorHAnsi" w:hAnsiTheme="minorHAnsi"/>
          <w:sz w:val="20"/>
          <w:shd w:val="clear" w:color="auto" w:fill="FFFFFF"/>
        </w:rPr>
        <w:t>Ofi</w:t>
      </w:r>
      <w:r w:rsidRPr="00A74D23">
        <w:rPr>
          <w:rFonts w:asciiTheme="minorHAnsi" w:hAnsiTheme="minorHAnsi"/>
          <w:sz w:val="20"/>
          <w:shd w:val="clear" w:color="auto" w:fill="FFFFFF"/>
        </w:rPr>
        <w:t xml:space="preserve"> Invest AM a participé à 77,0% des assemblées générales de nos investissements (vs. 82,1% % l’an passé).</w:t>
      </w:r>
    </w:p>
    <w:p w14:paraId="5978BFED" w14:textId="6A748083" w:rsidR="0089506C" w:rsidRPr="00A74D23" w:rsidRDefault="0089506C" w:rsidP="009D6EE5">
      <w:pPr>
        <w:spacing w:after="120" w:line="22" w:lineRule="atLeast"/>
        <w:jc w:val="both"/>
        <w:rPr>
          <w:rFonts w:asciiTheme="minorHAnsi" w:hAnsiTheme="minorHAnsi" w:cstheme="minorHAnsi"/>
          <w:sz w:val="20"/>
          <w:szCs w:val="20"/>
          <w:shd w:val="clear" w:color="auto" w:fill="FFFFFF"/>
          <w:lang w:val="fr-FR"/>
        </w:rPr>
      </w:pPr>
      <w:r w:rsidRPr="00A74D23">
        <w:rPr>
          <w:rFonts w:asciiTheme="minorHAnsi" w:hAnsiTheme="minorHAnsi" w:cstheme="minorHAnsi"/>
          <w:sz w:val="20"/>
          <w:szCs w:val="20"/>
          <w:shd w:val="clear" w:color="auto" w:fill="FFFFFF"/>
          <w:lang w:val="fr-FR"/>
        </w:rPr>
        <w:t xml:space="preserve">Abeille Assurances mandate également </w:t>
      </w:r>
      <w:r w:rsidR="00495330" w:rsidRPr="00A74D23">
        <w:rPr>
          <w:rFonts w:asciiTheme="minorHAnsi" w:hAnsiTheme="minorHAnsi" w:cstheme="minorHAnsi"/>
          <w:sz w:val="20"/>
          <w:szCs w:val="20"/>
          <w:shd w:val="clear" w:color="auto" w:fill="FFFFFF"/>
          <w:lang w:val="fr-FR"/>
        </w:rPr>
        <w:t>Ofi</w:t>
      </w:r>
      <w:r w:rsidRPr="00A74D23">
        <w:rPr>
          <w:rFonts w:asciiTheme="minorHAnsi" w:hAnsiTheme="minorHAnsi" w:cstheme="minorHAnsi"/>
          <w:sz w:val="20"/>
          <w:szCs w:val="20"/>
          <w:shd w:val="clear" w:color="auto" w:fill="FFFFFF"/>
          <w:lang w:val="fr-FR"/>
        </w:rPr>
        <w:t xml:space="preserve"> Invest AM pour conduire des actions d’engagement dans le cadre de ses politiques d’investissement sectorielles.</w:t>
      </w:r>
    </w:p>
    <w:p w14:paraId="0867D073" w14:textId="635D7784" w:rsidR="0089506C" w:rsidRPr="00A74D23" w:rsidRDefault="0089506C" w:rsidP="009D6EE5">
      <w:pPr>
        <w:spacing w:after="120" w:line="22" w:lineRule="atLeast"/>
        <w:jc w:val="both"/>
        <w:rPr>
          <w:rFonts w:asciiTheme="minorHAnsi" w:hAnsiTheme="minorHAnsi"/>
          <w:sz w:val="20"/>
          <w:shd w:val="clear" w:color="auto" w:fill="FFFFFF"/>
          <w:lang w:val="fr-FR"/>
        </w:rPr>
      </w:pPr>
      <w:r w:rsidRPr="00A74D23">
        <w:rPr>
          <w:rFonts w:asciiTheme="minorHAnsi" w:hAnsiTheme="minorHAnsi" w:cstheme="minorHAnsi"/>
          <w:sz w:val="20"/>
          <w:szCs w:val="20"/>
          <w:shd w:val="clear" w:color="auto" w:fill="FFFFFF"/>
          <w:lang w:val="fr-FR" w:eastAsia="fr-FR"/>
        </w:rPr>
        <w:t>La politique d’engagement et de vote applicable est celle d’</w:t>
      </w:r>
      <w:r w:rsidR="00495330" w:rsidRPr="00A74D23">
        <w:rPr>
          <w:rFonts w:asciiTheme="minorHAnsi" w:hAnsiTheme="minorHAnsi" w:cstheme="minorHAnsi"/>
          <w:sz w:val="20"/>
          <w:szCs w:val="20"/>
          <w:shd w:val="clear" w:color="auto" w:fill="FFFFFF"/>
          <w:lang w:val="fr-FR" w:eastAsia="fr-FR"/>
        </w:rPr>
        <w:t>Ofi</w:t>
      </w:r>
      <w:r w:rsidRPr="00A74D23">
        <w:rPr>
          <w:rFonts w:asciiTheme="minorHAnsi" w:hAnsiTheme="minorHAnsi" w:cstheme="minorHAnsi"/>
          <w:sz w:val="20"/>
          <w:szCs w:val="20"/>
          <w:shd w:val="clear" w:color="auto" w:fill="FFFFFF"/>
          <w:lang w:val="fr-FR" w:eastAsia="fr-FR"/>
        </w:rPr>
        <w:t xml:space="preserve"> Invest AM, le périmètre des entreprises concernées est donc celui des entreprises dans lesquelles Abeille Assurances investit par le biais de la gestion d’</w:t>
      </w:r>
      <w:r w:rsidR="00495330" w:rsidRPr="00A74D23">
        <w:rPr>
          <w:rFonts w:asciiTheme="minorHAnsi" w:hAnsiTheme="minorHAnsi" w:cstheme="minorHAnsi"/>
          <w:sz w:val="20"/>
          <w:szCs w:val="20"/>
          <w:shd w:val="clear" w:color="auto" w:fill="FFFFFF"/>
          <w:lang w:val="fr-FR" w:eastAsia="fr-FR"/>
        </w:rPr>
        <w:t>Ofi</w:t>
      </w:r>
      <w:r w:rsidRPr="00A74D23">
        <w:rPr>
          <w:rFonts w:asciiTheme="minorHAnsi" w:hAnsiTheme="minorHAnsi" w:cstheme="minorHAnsi"/>
          <w:sz w:val="20"/>
          <w:szCs w:val="20"/>
          <w:shd w:val="clear" w:color="auto" w:fill="FFFFFF"/>
          <w:lang w:val="fr-FR" w:eastAsia="fr-FR"/>
        </w:rPr>
        <w:t xml:space="preserve"> Invest AM. Cette politique d’engagement</w:t>
      </w:r>
      <w:r w:rsidRPr="00A74D23">
        <w:rPr>
          <w:rFonts w:asciiTheme="minorHAnsi" w:hAnsiTheme="minorHAnsi"/>
          <w:sz w:val="20"/>
          <w:shd w:val="clear" w:color="auto" w:fill="FFFFFF"/>
          <w:lang w:val="fr-FR"/>
        </w:rPr>
        <w:t xml:space="preserve"> obéit aux principes suivants : </w:t>
      </w:r>
    </w:p>
    <w:p w14:paraId="11B48E18" w14:textId="77777777" w:rsidR="0089506C" w:rsidRPr="00A74D23" w:rsidRDefault="0089506C" w:rsidP="00590DD1">
      <w:pPr>
        <w:pStyle w:val="Paragraphedeliste"/>
        <w:numPr>
          <w:ilvl w:val="0"/>
          <w:numId w:val="34"/>
        </w:numPr>
        <w:spacing w:after="0" w:line="22" w:lineRule="atLeast"/>
        <w:ind w:left="425" w:hanging="425"/>
        <w:contextualSpacing w:val="0"/>
        <w:jc w:val="both"/>
        <w:rPr>
          <w:sz w:val="20"/>
          <w:shd w:val="clear" w:color="auto" w:fill="FFFFFF"/>
        </w:rPr>
      </w:pPr>
      <w:r w:rsidRPr="00A74D23">
        <w:rPr>
          <w:sz w:val="20"/>
          <w:shd w:val="clear" w:color="auto" w:fill="FFFFFF"/>
        </w:rPr>
        <w:t>Respect des actionnaires minoritaires</w:t>
      </w:r>
      <w:r w:rsidRPr="00A74D23">
        <w:rPr>
          <w:rFonts w:eastAsia="Times New Roman" w:cstheme="minorHAnsi"/>
          <w:sz w:val="20"/>
          <w:szCs w:val="20"/>
          <w:shd w:val="clear" w:color="auto" w:fill="FFFFFF"/>
          <w:lang w:eastAsia="fr-FR"/>
        </w:rPr>
        <w:t> ;</w:t>
      </w:r>
    </w:p>
    <w:p w14:paraId="56BBD8AD" w14:textId="77777777" w:rsidR="0089506C" w:rsidRPr="00A74D23" w:rsidRDefault="0089506C" w:rsidP="00590DD1">
      <w:pPr>
        <w:pStyle w:val="Paragraphedeliste"/>
        <w:numPr>
          <w:ilvl w:val="0"/>
          <w:numId w:val="34"/>
        </w:numPr>
        <w:spacing w:after="0" w:line="22" w:lineRule="atLeast"/>
        <w:ind w:left="425" w:hanging="425"/>
        <w:contextualSpacing w:val="0"/>
        <w:jc w:val="both"/>
        <w:rPr>
          <w:sz w:val="20"/>
          <w:shd w:val="clear" w:color="auto" w:fill="FFFFFF"/>
        </w:rPr>
      </w:pPr>
      <w:r w:rsidRPr="00A74D23">
        <w:rPr>
          <w:sz w:val="20"/>
          <w:shd w:val="clear" w:color="auto" w:fill="FFFFFF"/>
        </w:rPr>
        <w:t>Intégrité, continuité et transparence des comptes</w:t>
      </w:r>
      <w:r w:rsidRPr="00A74D23">
        <w:rPr>
          <w:rFonts w:eastAsia="Times New Roman" w:cstheme="minorHAnsi"/>
          <w:sz w:val="20"/>
          <w:szCs w:val="20"/>
          <w:shd w:val="clear" w:color="auto" w:fill="FFFFFF"/>
          <w:lang w:eastAsia="fr-FR"/>
        </w:rPr>
        <w:t> ;</w:t>
      </w:r>
    </w:p>
    <w:p w14:paraId="7F745A42" w14:textId="77777777" w:rsidR="0089506C" w:rsidRPr="00A74D23" w:rsidRDefault="0089506C" w:rsidP="00590DD1">
      <w:pPr>
        <w:pStyle w:val="Paragraphedeliste"/>
        <w:numPr>
          <w:ilvl w:val="0"/>
          <w:numId w:val="34"/>
        </w:numPr>
        <w:spacing w:after="0" w:line="22" w:lineRule="atLeast"/>
        <w:ind w:left="425" w:hanging="425"/>
        <w:contextualSpacing w:val="0"/>
        <w:jc w:val="both"/>
        <w:rPr>
          <w:sz w:val="20"/>
          <w:shd w:val="clear" w:color="auto" w:fill="FFFFFF"/>
        </w:rPr>
      </w:pPr>
      <w:r w:rsidRPr="00A74D23">
        <w:rPr>
          <w:sz w:val="20"/>
          <w:shd w:val="clear" w:color="auto" w:fill="FFFFFF"/>
        </w:rPr>
        <w:t>Indépendance, compétence, diversité des organes de gouvernance et séparation des fonctions de contrôle et de gestion</w:t>
      </w:r>
      <w:r w:rsidRPr="00A74D23">
        <w:rPr>
          <w:rFonts w:eastAsia="Times New Roman" w:cstheme="minorHAnsi"/>
          <w:sz w:val="20"/>
          <w:szCs w:val="20"/>
          <w:shd w:val="clear" w:color="auto" w:fill="FFFFFF"/>
          <w:lang w:eastAsia="fr-FR"/>
        </w:rPr>
        <w:t> ;</w:t>
      </w:r>
    </w:p>
    <w:p w14:paraId="2DB78805" w14:textId="77777777" w:rsidR="0089506C" w:rsidRPr="00A74D23" w:rsidRDefault="0089506C" w:rsidP="00590DD1">
      <w:pPr>
        <w:pStyle w:val="Paragraphedeliste"/>
        <w:numPr>
          <w:ilvl w:val="0"/>
          <w:numId w:val="34"/>
        </w:numPr>
        <w:spacing w:after="0" w:line="22" w:lineRule="atLeast"/>
        <w:ind w:left="425" w:hanging="425"/>
        <w:contextualSpacing w:val="0"/>
        <w:jc w:val="both"/>
        <w:rPr>
          <w:sz w:val="20"/>
          <w:shd w:val="clear" w:color="auto" w:fill="FFFFFF"/>
        </w:rPr>
      </w:pPr>
      <w:r w:rsidRPr="00A74D23">
        <w:rPr>
          <w:sz w:val="20"/>
          <w:shd w:val="clear" w:color="auto" w:fill="FFFFFF"/>
        </w:rPr>
        <w:t xml:space="preserve">Transparence, durabilité, équité de la politique de rémunération ; </w:t>
      </w:r>
    </w:p>
    <w:p w14:paraId="74E9ECF9" w14:textId="77777777" w:rsidR="0089506C" w:rsidRPr="00A74D23" w:rsidRDefault="0089506C" w:rsidP="00590DD1">
      <w:pPr>
        <w:pStyle w:val="Paragraphedeliste"/>
        <w:numPr>
          <w:ilvl w:val="0"/>
          <w:numId w:val="34"/>
        </w:numPr>
        <w:spacing w:after="0" w:line="22" w:lineRule="atLeast"/>
        <w:ind w:left="425" w:hanging="425"/>
        <w:contextualSpacing w:val="0"/>
        <w:jc w:val="both"/>
        <w:rPr>
          <w:sz w:val="20"/>
          <w:shd w:val="clear" w:color="auto" w:fill="FFFFFF"/>
        </w:rPr>
      </w:pPr>
      <w:r w:rsidRPr="00A74D23">
        <w:rPr>
          <w:sz w:val="20"/>
          <w:shd w:val="clear" w:color="auto" w:fill="FFFFFF"/>
        </w:rPr>
        <w:t>Gestion appropriée et équitable des fonds propres</w:t>
      </w:r>
      <w:r w:rsidRPr="00A74D23">
        <w:rPr>
          <w:rFonts w:eastAsia="Times New Roman" w:cstheme="minorHAnsi"/>
          <w:sz w:val="20"/>
          <w:szCs w:val="20"/>
          <w:shd w:val="clear" w:color="auto" w:fill="FFFFFF"/>
          <w:lang w:eastAsia="fr-FR"/>
        </w:rPr>
        <w:t> ;</w:t>
      </w:r>
    </w:p>
    <w:p w14:paraId="4D34FF66" w14:textId="77777777" w:rsidR="0089506C" w:rsidRPr="00A74D23" w:rsidRDefault="0089506C" w:rsidP="00590DD1">
      <w:pPr>
        <w:pStyle w:val="Paragraphedeliste"/>
        <w:numPr>
          <w:ilvl w:val="0"/>
          <w:numId w:val="34"/>
        </w:numPr>
        <w:spacing w:after="0" w:line="22" w:lineRule="atLeast"/>
        <w:ind w:left="425" w:hanging="425"/>
        <w:contextualSpacing w:val="0"/>
        <w:jc w:val="both"/>
        <w:rPr>
          <w:sz w:val="20"/>
          <w:shd w:val="clear" w:color="auto" w:fill="FFFFFF"/>
        </w:rPr>
      </w:pPr>
      <w:r w:rsidRPr="00A74D23">
        <w:rPr>
          <w:sz w:val="20"/>
          <w:shd w:val="clear" w:color="auto" w:fill="FFFFFF"/>
        </w:rPr>
        <w:t>Transparence des décisions de gestion</w:t>
      </w:r>
      <w:r w:rsidRPr="00A74D23">
        <w:rPr>
          <w:rFonts w:eastAsia="Times New Roman" w:cstheme="minorHAnsi"/>
          <w:sz w:val="20"/>
          <w:szCs w:val="20"/>
          <w:shd w:val="clear" w:color="auto" w:fill="FFFFFF"/>
          <w:lang w:eastAsia="fr-FR"/>
        </w:rPr>
        <w:t> ;</w:t>
      </w:r>
    </w:p>
    <w:p w14:paraId="0536B81C" w14:textId="77777777" w:rsidR="0089506C" w:rsidRPr="00A74D23" w:rsidRDefault="0089506C" w:rsidP="00590DD1">
      <w:pPr>
        <w:pStyle w:val="Paragraphedeliste"/>
        <w:numPr>
          <w:ilvl w:val="0"/>
          <w:numId w:val="34"/>
        </w:numPr>
        <w:spacing w:after="0" w:line="22" w:lineRule="atLeast"/>
        <w:ind w:left="425" w:hanging="425"/>
        <w:contextualSpacing w:val="0"/>
        <w:jc w:val="both"/>
        <w:rPr>
          <w:sz w:val="20"/>
          <w:shd w:val="clear" w:color="auto" w:fill="FFFFFF"/>
        </w:rPr>
      </w:pPr>
      <w:r w:rsidRPr="00A74D23">
        <w:rPr>
          <w:sz w:val="20"/>
          <w:shd w:val="clear" w:color="auto" w:fill="FFFFFF"/>
        </w:rPr>
        <w:t>Transparence, cohérence et intérêt stratégique des décisions relatives à des enjeux environnementaux et sociaux.</w:t>
      </w:r>
    </w:p>
    <w:p w14:paraId="4248D7B7" w14:textId="77777777" w:rsidR="008B66CB" w:rsidRPr="00A74D23" w:rsidRDefault="008B66CB" w:rsidP="009D6EE5">
      <w:pPr>
        <w:spacing w:after="80" w:line="22" w:lineRule="atLeast"/>
        <w:jc w:val="both"/>
        <w:rPr>
          <w:rFonts w:asciiTheme="minorHAnsi" w:hAnsiTheme="minorHAnsi"/>
          <w:sz w:val="20"/>
          <w:szCs w:val="20"/>
          <w:shd w:val="clear" w:color="auto" w:fill="FFFFFF"/>
          <w:lang w:val="fr-FR" w:eastAsia="fr-FR"/>
        </w:rPr>
      </w:pPr>
    </w:p>
    <w:p w14:paraId="2B8F150B" w14:textId="2CE676FE" w:rsidR="008B66CB" w:rsidRPr="00A74D23" w:rsidRDefault="008B66CB" w:rsidP="009D6EE5">
      <w:pPr>
        <w:spacing w:after="80" w:line="22" w:lineRule="atLeast"/>
        <w:jc w:val="both"/>
        <w:rPr>
          <w:rFonts w:asciiTheme="minorHAnsi" w:hAnsiTheme="minorHAnsi"/>
          <w:sz w:val="20"/>
          <w:szCs w:val="20"/>
          <w:shd w:val="clear" w:color="auto" w:fill="FFFFFF"/>
          <w:lang w:val="fr-FR" w:eastAsia="fr-FR"/>
        </w:rPr>
      </w:pPr>
    </w:p>
    <w:p w14:paraId="3A2EE2CB" w14:textId="206FCB69" w:rsidR="0089506C" w:rsidRPr="00A74D23" w:rsidRDefault="008B66CB" w:rsidP="009D6EE5">
      <w:pPr>
        <w:spacing w:after="80" w:line="22" w:lineRule="atLeast"/>
        <w:jc w:val="both"/>
        <w:rPr>
          <w:rFonts w:asciiTheme="minorHAnsi" w:hAnsiTheme="minorHAnsi"/>
          <w:sz w:val="20"/>
          <w:szCs w:val="20"/>
          <w:shd w:val="clear" w:color="auto" w:fill="FFFFFF"/>
          <w:lang w:val="fr-FR" w:eastAsia="fr-FR"/>
        </w:rPr>
      </w:pPr>
      <w:r w:rsidRPr="00A74D23">
        <w:rPr>
          <w:rFonts w:asciiTheme="minorHAnsi" w:hAnsiTheme="minorHAnsi"/>
          <w:noProof/>
          <w:sz w:val="20"/>
          <w:szCs w:val="20"/>
          <w:shd w:val="clear" w:color="auto" w:fill="FFFFFF"/>
          <w:lang w:eastAsia="fr-FR"/>
        </w:rPr>
        <w:drawing>
          <wp:anchor distT="0" distB="0" distL="114300" distR="114300" simplePos="0" relativeHeight="251838464" behindDoc="0" locked="0" layoutInCell="1" allowOverlap="1" wp14:anchorId="4C81BBBB" wp14:editId="6D3898E1">
            <wp:simplePos x="0" y="0"/>
            <wp:positionH relativeFrom="column">
              <wp:posOffset>267224</wp:posOffset>
            </wp:positionH>
            <wp:positionV relativeFrom="paragraph">
              <wp:posOffset>35775</wp:posOffset>
            </wp:positionV>
            <wp:extent cx="5257234" cy="2572385"/>
            <wp:effectExtent l="0" t="0" r="635" b="18415"/>
            <wp:wrapSquare wrapText="bothSides"/>
            <wp:docPr id="1054036687" name="Graphique 1">
              <a:extLst xmlns:a="http://schemas.openxmlformats.org/drawingml/2006/main">
                <a:ext uri="{FF2B5EF4-FFF2-40B4-BE49-F238E27FC236}">
                  <a16:creationId xmlns:a16="http://schemas.microsoft.com/office/drawing/2014/main" id="{085214DE-02E0-A3BA-DF5B-81752A0CB8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anchor>
        </w:drawing>
      </w:r>
    </w:p>
    <w:p w14:paraId="1596D544" w14:textId="77777777" w:rsidR="008B66CB" w:rsidRPr="00A74D23" w:rsidRDefault="008B66CB" w:rsidP="009D6EE5">
      <w:pPr>
        <w:spacing w:line="22" w:lineRule="atLeast"/>
        <w:ind w:left="426"/>
        <w:jc w:val="both"/>
        <w:rPr>
          <w:rFonts w:asciiTheme="minorHAnsi" w:hAnsiTheme="minorHAnsi"/>
          <w:i/>
          <w:sz w:val="18"/>
          <w:szCs w:val="22"/>
          <w:lang w:val="fr-FR"/>
        </w:rPr>
      </w:pPr>
    </w:p>
    <w:p w14:paraId="10D6D3CD" w14:textId="77777777" w:rsidR="008B66CB" w:rsidRPr="00A74D23" w:rsidRDefault="008B66CB" w:rsidP="009D6EE5">
      <w:pPr>
        <w:spacing w:line="22" w:lineRule="atLeast"/>
        <w:ind w:left="426"/>
        <w:jc w:val="both"/>
        <w:rPr>
          <w:rFonts w:asciiTheme="minorHAnsi" w:hAnsiTheme="minorHAnsi"/>
          <w:i/>
          <w:sz w:val="18"/>
          <w:szCs w:val="22"/>
          <w:lang w:val="fr-FR"/>
        </w:rPr>
      </w:pPr>
    </w:p>
    <w:p w14:paraId="2D067209" w14:textId="77777777" w:rsidR="008B66CB" w:rsidRPr="00A74D23" w:rsidRDefault="008B66CB" w:rsidP="009D6EE5">
      <w:pPr>
        <w:spacing w:line="22" w:lineRule="atLeast"/>
        <w:ind w:left="426"/>
        <w:jc w:val="both"/>
        <w:rPr>
          <w:rFonts w:asciiTheme="minorHAnsi" w:hAnsiTheme="minorHAnsi"/>
          <w:i/>
          <w:sz w:val="18"/>
          <w:szCs w:val="22"/>
          <w:lang w:val="fr-FR"/>
        </w:rPr>
      </w:pPr>
    </w:p>
    <w:p w14:paraId="31D4B193" w14:textId="77777777" w:rsidR="008B66CB" w:rsidRPr="00A74D23" w:rsidRDefault="008B66CB" w:rsidP="009D6EE5">
      <w:pPr>
        <w:spacing w:line="22" w:lineRule="atLeast"/>
        <w:ind w:left="426"/>
        <w:jc w:val="both"/>
        <w:rPr>
          <w:rFonts w:asciiTheme="minorHAnsi" w:hAnsiTheme="minorHAnsi"/>
          <w:i/>
          <w:sz w:val="18"/>
          <w:szCs w:val="22"/>
          <w:lang w:val="fr-FR"/>
        </w:rPr>
      </w:pPr>
    </w:p>
    <w:p w14:paraId="56F3F34D" w14:textId="77777777" w:rsidR="008B66CB" w:rsidRPr="00A74D23" w:rsidRDefault="008B66CB" w:rsidP="009D6EE5">
      <w:pPr>
        <w:spacing w:line="22" w:lineRule="atLeast"/>
        <w:ind w:left="426"/>
        <w:jc w:val="both"/>
        <w:rPr>
          <w:rFonts w:asciiTheme="minorHAnsi" w:hAnsiTheme="minorHAnsi"/>
          <w:i/>
          <w:sz w:val="18"/>
          <w:szCs w:val="22"/>
          <w:lang w:val="fr-FR"/>
        </w:rPr>
      </w:pPr>
    </w:p>
    <w:p w14:paraId="41795EE7" w14:textId="77777777" w:rsidR="008B66CB" w:rsidRPr="00A74D23" w:rsidRDefault="008B66CB" w:rsidP="009D6EE5">
      <w:pPr>
        <w:spacing w:line="22" w:lineRule="atLeast"/>
        <w:ind w:left="426"/>
        <w:jc w:val="both"/>
        <w:rPr>
          <w:rFonts w:asciiTheme="minorHAnsi" w:hAnsiTheme="minorHAnsi"/>
          <w:i/>
          <w:sz w:val="18"/>
          <w:szCs w:val="22"/>
          <w:lang w:val="fr-FR"/>
        </w:rPr>
      </w:pPr>
    </w:p>
    <w:p w14:paraId="2C86645B" w14:textId="77777777" w:rsidR="008B66CB" w:rsidRPr="00A74D23" w:rsidRDefault="008B66CB" w:rsidP="009D6EE5">
      <w:pPr>
        <w:spacing w:line="22" w:lineRule="atLeast"/>
        <w:ind w:left="426"/>
        <w:jc w:val="both"/>
        <w:rPr>
          <w:rFonts w:asciiTheme="minorHAnsi" w:hAnsiTheme="minorHAnsi"/>
          <w:i/>
          <w:sz w:val="18"/>
          <w:szCs w:val="22"/>
          <w:lang w:val="fr-FR"/>
        </w:rPr>
      </w:pPr>
    </w:p>
    <w:p w14:paraId="29BD2E2E" w14:textId="77777777" w:rsidR="008B66CB" w:rsidRPr="00A74D23" w:rsidRDefault="008B66CB" w:rsidP="009D6EE5">
      <w:pPr>
        <w:spacing w:line="22" w:lineRule="atLeast"/>
        <w:ind w:left="426"/>
        <w:jc w:val="both"/>
        <w:rPr>
          <w:rFonts w:asciiTheme="minorHAnsi" w:hAnsiTheme="minorHAnsi"/>
          <w:i/>
          <w:sz w:val="18"/>
          <w:szCs w:val="22"/>
          <w:lang w:val="fr-FR"/>
        </w:rPr>
      </w:pPr>
    </w:p>
    <w:p w14:paraId="1E803F3F" w14:textId="77777777" w:rsidR="008B66CB" w:rsidRPr="00A74D23" w:rsidRDefault="008B66CB" w:rsidP="009D6EE5">
      <w:pPr>
        <w:spacing w:line="22" w:lineRule="atLeast"/>
        <w:ind w:left="426"/>
        <w:jc w:val="both"/>
        <w:rPr>
          <w:rFonts w:asciiTheme="minorHAnsi" w:hAnsiTheme="minorHAnsi"/>
          <w:i/>
          <w:sz w:val="18"/>
          <w:szCs w:val="22"/>
          <w:lang w:val="fr-FR"/>
        </w:rPr>
      </w:pPr>
    </w:p>
    <w:p w14:paraId="6097EB17" w14:textId="77777777" w:rsidR="008B66CB" w:rsidRPr="00A74D23" w:rsidRDefault="008B66CB" w:rsidP="009D6EE5">
      <w:pPr>
        <w:spacing w:line="22" w:lineRule="atLeast"/>
        <w:ind w:left="426"/>
        <w:jc w:val="both"/>
        <w:rPr>
          <w:rFonts w:asciiTheme="minorHAnsi" w:hAnsiTheme="minorHAnsi"/>
          <w:i/>
          <w:sz w:val="18"/>
          <w:szCs w:val="22"/>
          <w:lang w:val="fr-FR"/>
        </w:rPr>
      </w:pPr>
    </w:p>
    <w:p w14:paraId="31A0DCBB" w14:textId="77777777" w:rsidR="008B66CB" w:rsidRPr="00A74D23" w:rsidRDefault="008B66CB" w:rsidP="009D6EE5">
      <w:pPr>
        <w:spacing w:line="22" w:lineRule="atLeast"/>
        <w:ind w:left="426"/>
        <w:jc w:val="both"/>
        <w:rPr>
          <w:rFonts w:asciiTheme="minorHAnsi" w:hAnsiTheme="minorHAnsi"/>
          <w:i/>
          <w:sz w:val="18"/>
          <w:szCs w:val="22"/>
          <w:lang w:val="fr-FR"/>
        </w:rPr>
      </w:pPr>
    </w:p>
    <w:p w14:paraId="678B7FF6" w14:textId="77777777" w:rsidR="008B66CB" w:rsidRPr="00A74D23" w:rsidRDefault="008B66CB" w:rsidP="009D6EE5">
      <w:pPr>
        <w:spacing w:line="22" w:lineRule="atLeast"/>
        <w:ind w:left="426"/>
        <w:jc w:val="both"/>
        <w:rPr>
          <w:rFonts w:asciiTheme="minorHAnsi" w:hAnsiTheme="minorHAnsi"/>
          <w:i/>
          <w:sz w:val="18"/>
          <w:szCs w:val="22"/>
          <w:lang w:val="fr-FR"/>
        </w:rPr>
      </w:pPr>
    </w:p>
    <w:p w14:paraId="6C15D832" w14:textId="77777777" w:rsidR="008B66CB" w:rsidRPr="00A74D23" w:rsidRDefault="008B66CB" w:rsidP="009D6EE5">
      <w:pPr>
        <w:spacing w:line="22" w:lineRule="atLeast"/>
        <w:ind w:left="426"/>
        <w:jc w:val="both"/>
        <w:rPr>
          <w:rFonts w:asciiTheme="minorHAnsi" w:hAnsiTheme="minorHAnsi"/>
          <w:i/>
          <w:sz w:val="18"/>
          <w:szCs w:val="22"/>
          <w:lang w:val="fr-FR"/>
        </w:rPr>
      </w:pPr>
    </w:p>
    <w:p w14:paraId="20A31420" w14:textId="77777777" w:rsidR="008B66CB" w:rsidRPr="00A74D23" w:rsidRDefault="008B66CB" w:rsidP="009D6EE5">
      <w:pPr>
        <w:spacing w:line="22" w:lineRule="atLeast"/>
        <w:ind w:left="426"/>
        <w:jc w:val="both"/>
        <w:rPr>
          <w:rFonts w:asciiTheme="minorHAnsi" w:hAnsiTheme="minorHAnsi"/>
          <w:i/>
          <w:sz w:val="18"/>
          <w:szCs w:val="22"/>
          <w:lang w:val="fr-FR"/>
        </w:rPr>
      </w:pPr>
    </w:p>
    <w:p w14:paraId="7B006F05" w14:textId="77777777" w:rsidR="008B66CB" w:rsidRPr="00A74D23" w:rsidRDefault="008B66CB" w:rsidP="009D6EE5">
      <w:pPr>
        <w:spacing w:line="22" w:lineRule="atLeast"/>
        <w:ind w:left="426"/>
        <w:jc w:val="both"/>
        <w:rPr>
          <w:rFonts w:asciiTheme="minorHAnsi" w:hAnsiTheme="minorHAnsi"/>
          <w:i/>
          <w:sz w:val="18"/>
          <w:szCs w:val="22"/>
          <w:lang w:val="fr-FR"/>
        </w:rPr>
      </w:pPr>
    </w:p>
    <w:p w14:paraId="2E5829D7" w14:textId="77777777" w:rsidR="008B66CB" w:rsidRPr="00A74D23" w:rsidRDefault="008B66CB" w:rsidP="009D6EE5">
      <w:pPr>
        <w:spacing w:line="22" w:lineRule="atLeast"/>
        <w:ind w:left="426"/>
        <w:jc w:val="both"/>
        <w:rPr>
          <w:rFonts w:asciiTheme="minorHAnsi" w:hAnsiTheme="minorHAnsi"/>
          <w:i/>
          <w:sz w:val="18"/>
          <w:szCs w:val="22"/>
          <w:lang w:val="fr-FR"/>
        </w:rPr>
      </w:pPr>
    </w:p>
    <w:p w14:paraId="397FAB83" w14:textId="77777777" w:rsidR="008B66CB" w:rsidRPr="00A74D23" w:rsidRDefault="008B66CB" w:rsidP="009D6EE5">
      <w:pPr>
        <w:spacing w:line="22" w:lineRule="atLeast"/>
        <w:ind w:left="426"/>
        <w:jc w:val="both"/>
        <w:rPr>
          <w:rFonts w:asciiTheme="minorHAnsi" w:hAnsiTheme="minorHAnsi"/>
          <w:i/>
          <w:sz w:val="18"/>
          <w:szCs w:val="22"/>
          <w:lang w:val="fr-FR"/>
        </w:rPr>
      </w:pPr>
    </w:p>
    <w:p w14:paraId="33BF5BC4" w14:textId="0749E916" w:rsidR="0089506C" w:rsidRPr="00A74D23" w:rsidRDefault="0089506C" w:rsidP="009D6EE5">
      <w:pPr>
        <w:spacing w:line="22" w:lineRule="atLeast"/>
        <w:ind w:left="426"/>
        <w:jc w:val="both"/>
        <w:rPr>
          <w:rFonts w:asciiTheme="minorHAnsi" w:hAnsiTheme="minorHAnsi"/>
          <w:i/>
          <w:sz w:val="18"/>
          <w:szCs w:val="22"/>
          <w:lang w:val="fr-FR"/>
        </w:rPr>
      </w:pPr>
      <w:r w:rsidRPr="00A74D23">
        <w:rPr>
          <w:rFonts w:asciiTheme="minorHAnsi" w:hAnsiTheme="minorHAnsi"/>
          <w:i/>
          <w:sz w:val="18"/>
          <w:szCs w:val="22"/>
          <w:lang w:val="fr-FR"/>
        </w:rPr>
        <w:t xml:space="preserve">Périmètre : </w:t>
      </w:r>
      <w:r w:rsidR="00A82E31" w:rsidRPr="00A74D23">
        <w:rPr>
          <w:rFonts w:asciiTheme="minorHAnsi" w:hAnsiTheme="minorHAnsi"/>
          <w:i/>
          <w:sz w:val="18"/>
          <w:szCs w:val="22"/>
          <w:lang w:val="fr-FR"/>
        </w:rPr>
        <w:t>Portefeuille d’investissements corporate</w:t>
      </w:r>
      <w:r w:rsidRPr="00A74D23">
        <w:rPr>
          <w:rFonts w:asciiTheme="minorHAnsi" w:hAnsiTheme="minorHAnsi"/>
          <w:i/>
          <w:sz w:val="18"/>
          <w:szCs w:val="22"/>
          <w:lang w:val="fr-FR"/>
        </w:rPr>
        <w:t>, mandats de gestion</w:t>
      </w:r>
      <w:r w:rsidR="00A82E31" w:rsidRPr="00A74D23">
        <w:rPr>
          <w:rFonts w:asciiTheme="minorHAnsi" w:hAnsiTheme="minorHAnsi"/>
          <w:i/>
          <w:sz w:val="18"/>
          <w:szCs w:val="22"/>
          <w:lang w:val="fr-FR"/>
        </w:rPr>
        <w:t xml:space="preserve"> Ofi Invest AM,</w:t>
      </w:r>
      <w:r w:rsidRPr="00A74D23">
        <w:rPr>
          <w:rFonts w:asciiTheme="minorHAnsi" w:hAnsiTheme="minorHAnsi"/>
          <w:i/>
          <w:sz w:val="18"/>
          <w:szCs w:val="22"/>
          <w:lang w:val="fr-FR"/>
        </w:rPr>
        <w:t xml:space="preserve"> au 31/12/2025</w:t>
      </w:r>
    </w:p>
    <w:p w14:paraId="4F3035C2" w14:textId="62CBE07E" w:rsidR="0089506C" w:rsidRPr="00A74D23" w:rsidRDefault="0089506C" w:rsidP="009D6EE5">
      <w:pPr>
        <w:spacing w:line="22" w:lineRule="atLeast"/>
        <w:ind w:left="426"/>
        <w:jc w:val="both"/>
        <w:rPr>
          <w:rFonts w:asciiTheme="minorHAnsi" w:hAnsiTheme="minorHAnsi"/>
          <w:i/>
          <w:sz w:val="18"/>
          <w:szCs w:val="22"/>
          <w:lang w:val="fr-FR"/>
        </w:rPr>
      </w:pPr>
      <w:r w:rsidRPr="00A74D23">
        <w:rPr>
          <w:rFonts w:asciiTheme="minorHAnsi" w:hAnsiTheme="minorHAnsi"/>
          <w:i/>
          <w:sz w:val="18"/>
          <w:szCs w:val="22"/>
          <w:lang w:val="fr-FR"/>
        </w:rPr>
        <w:t xml:space="preserve">Source : </w:t>
      </w:r>
      <w:r w:rsidR="00495330" w:rsidRPr="00A74D23">
        <w:rPr>
          <w:rFonts w:asciiTheme="minorHAnsi" w:hAnsiTheme="minorHAnsi"/>
          <w:i/>
          <w:sz w:val="18"/>
          <w:szCs w:val="22"/>
          <w:lang w:val="fr-FR"/>
        </w:rPr>
        <w:t>Ofi</w:t>
      </w:r>
      <w:r w:rsidRPr="00A74D23">
        <w:rPr>
          <w:rFonts w:asciiTheme="minorHAnsi" w:hAnsiTheme="minorHAnsi"/>
          <w:i/>
          <w:sz w:val="18"/>
          <w:szCs w:val="22"/>
          <w:lang w:val="fr-FR"/>
        </w:rPr>
        <w:t xml:space="preserve"> Invest AM</w:t>
      </w:r>
    </w:p>
    <w:p w14:paraId="078B3F3A" w14:textId="77777777" w:rsidR="0089506C" w:rsidRPr="00A74D23" w:rsidRDefault="0089506C" w:rsidP="009D6EE5">
      <w:pPr>
        <w:pStyle w:val="NormalWeb"/>
        <w:shd w:val="clear" w:color="auto" w:fill="FFFFFF"/>
        <w:spacing w:before="0" w:beforeAutospacing="0" w:after="0" w:afterAutospacing="0" w:line="22" w:lineRule="atLeast"/>
        <w:jc w:val="both"/>
        <w:textAlignment w:val="baseline"/>
        <w:rPr>
          <w:rFonts w:asciiTheme="minorHAnsi" w:hAnsiTheme="minorHAnsi"/>
          <w:sz w:val="20"/>
          <w:shd w:val="clear" w:color="auto" w:fill="FFFFFF"/>
        </w:rPr>
      </w:pPr>
    </w:p>
    <w:p w14:paraId="04054F31" w14:textId="6715EBB3" w:rsidR="0089506C" w:rsidRPr="00A74D23" w:rsidRDefault="0089506C" w:rsidP="009D6EE5">
      <w:pPr>
        <w:spacing w:after="120" w:line="22" w:lineRule="atLeast"/>
        <w:jc w:val="both"/>
        <w:textAlignment w:val="center"/>
        <w:rPr>
          <w:rFonts w:asciiTheme="minorHAnsi" w:hAnsiTheme="minorHAnsi"/>
          <w:sz w:val="20"/>
          <w:shd w:val="clear" w:color="auto" w:fill="FFFFFF"/>
          <w:lang w:val="fr-FR"/>
        </w:rPr>
      </w:pPr>
      <w:r w:rsidRPr="00A74D23">
        <w:rPr>
          <w:rFonts w:asciiTheme="minorHAnsi" w:hAnsiTheme="minorHAnsi"/>
          <w:sz w:val="20"/>
          <w:shd w:val="clear" w:color="auto" w:fill="FFFFFF"/>
          <w:lang w:val="fr-FR"/>
        </w:rPr>
        <w:t xml:space="preserve">En 2025, 12 989 résolutions ont été votées dans 833 assemblées d'actionnaires (versus 14 588 résolutions dans 941 assemblées d’actionnaires en 2024). Parmi elles, 9 593 résolutions concernaient des sujets ESG, dont la majorité des sujets de gouvernance (9 392, soit 72%). </w:t>
      </w:r>
      <w:r w:rsidR="00495330" w:rsidRPr="00A74D23">
        <w:rPr>
          <w:rFonts w:asciiTheme="minorHAnsi" w:hAnsiTheme="minorHAnsi"/>
          <w:sz w:val="20"/>
          <w:shd w:val="clear" w:color="auto" w:fill="FFFFFF"/>
          <w:lang w:val="fr-FR"/>
        </w:rPr>
        <w:t>Ofi</w:t>
      </w:r>
      <w:r w:rsidRPr="00A74D23">
        <w:rPr>
          <w:rFonts w:asciiTheme="minorHAnsi" w:hAnsiTheme="minorHAnsi"/>
          <w:sz w:val="20"/>
          <w:shd w:val="clear" w:color="auto" w:fill="FFFFFF"/>
          <w:lang w:val="fr-FR"/>
        </w:rPr>
        <w:t xml:space="preserve"> Invest AM s’est opposé à plus de 29% des résolutions contre 27,7 % en 2024. </w:t>
      </w:r>
    </w:p>
    <w:p w14:paraId="5ABBCA57" w14:textId="5E7FC37B" w:rsidR="0089506C" w:rsidRPr="00A74D23" w:rsidRDefault="0089506C" w:rsidP="003519AD">
      <w:pPr>
        <w:spacing w:after="120" w:line="22" w:lineRule="atLeast"/>
        <w:jc w:val="both"/>
        <w:rPr>
          <w:rFonts w:asciiTheme="minorHAnsi" w:hAnsiTheme="minorHAnsi"/>
          <w:sz w:val="20"/>
          <w:shd w:val="clear" w:color="auto" w:fill="FFFFFF"/>
          <w:lang w:val="fr-FR" w:eastAsia="fr-FR"/>
        </w:rPr>
      </w:pPr>
      <w:r w:rsidRPr="00A74D23">
        <w:rPr>
          <w:rFonts w:asciiTheme="minorHAnsi" w:hAnsiTheme="minorHAnsi"/>
          <w:sz w:val="20"/>
          <w:shd w:val="clear" w:color="auto" w:fill="FFFFFF"/>
          <w:lang w:val="fr-FR" w:eastAsia="fr-FR"/>
        </w:rPr>
        <w:t xml:space="preserve">L’engagement actionnarial désigne le fait, pour un investisseur, de prendre position sur des enjeux ESG et d’exiger des entreprises visées qu’elles améliorent leurs pratiques dans la durée. Ces exigences sont formulées via une démarche structurée comprenant un dialogue direct avec l’entreprise et un suivi sur le long </w:t>
      </w:r>
      <w:r w:rsidR="00DD75F4" w:rsidRPr="00A74D23">
        <w:rPr>
          <w:rFonts w:asciiTheme="minorHAnsi" w:hAnsiTheme="minorHAnsi"/>
          <w:sz w:val="20"/>
          <w:shd w:val="clear" w:color="auto" w:fill="FFFFFF"/>
          <w:lang w:val="fr-FR" w:eastAsia="fr-FR"/>
        </w:rPr>
        <w:t>terme.</w:t>
      </w:r>
    </w:p>
    <w:p w14:paraId="714E46A4" w14:textId="77777777" w:rsidR="0089506C" w:rsidRPr="00A74D23" w:rsidRDefault="0089506C" w:rsidP="009D6EE5">
      <w:pPr>
        <w:spacing w:line="22" w:lineRule="atLeast"/>
        <w:jc w:val="both"/>
        <w:rPr>
          <w:rFonts w:asciiTheme="minorHAnsi" w:hAnsiTheme="minorHAnsi"/>
          <w:sz w:val="20"/>
          <w:shd w:val="clear" w:color="auto" w:fill="FFFFFF"/>
          <w:lang w:val="fr-FR" w:eastAsia="fr-FR"/>
        </w:rPr>
      </w:pPr>
      <w:r w:rsidRPr="00A74D23">
        <w:rPr>
          <w:rFonts w:asciiTheme="minorHAnsi" w:hAnsiTheme="minorHAnsi"/>
          <w:sz w:val="20"/>
          <w:shd w:val="clear" w:color="auto" w:fill="FFFFFF"/>
          <w:lang w:val="fr-FR" w:eastAsia="fr-FR"/>
        </w:rPr>
        <w:t xml:space="preserve">Le format des contacts avec les entreprises engagées varie en fonction du contexte de l’engagement : </w:t>
      </w:r>
    </w:p>
    <w:p w14:paraId="62F8F604" w14:textId="77777777" w:rsidR="0089506C" w:rsidRPr="00A74D23" w:rsidRDefault="0089506C" w:rsidP="00590DD1">
      <w:pPr>
        <w:pStyle w:val="Paragraphedeliste"/>
        <w:numPr>
          <w:ilvl w:val="0"/>
          <w:numId w:val="35"/>
        </w:numPr>
        <w:spacing w:after="120" w:line="22" w:lineRule="atLeast"/>
        <w:ind w:left="284" w:hanging="284"/>
        <w:contextualSpacing w:val="0"/>
        <w:jc w:val="both"/>
        <w:rPr>
          <w:rFonts w:eastAsia="Times New Roman" w:cs="Times New Roman"/>
          <w:sz w:val="20"/>
          <w:szCs w:val="24"/>
          <w:shd w:val="clear" w:color="auto" w:fill="FFFFFF"/>
          <w:lang w:eastAsia="fr-FR"/>
        </w:rPr>
      </w:pPr>
      <w:r w:rsidRPr="00A74D23">
        <w:rPr>
          <w:rFonts w:eastAsia="Times New Roman" w:cs="Times New Roman"/>
          <w:sz w:val="20"/>
          <w:szCs w:val="24"/>
          <w:shd w:val="clear" w:color="auto" w:fill="FFFFFF"/>
          <w:lang w:eastAsia="fr-FR"/>
        </w:rPr>
        <w:t xml:space="preserve">L’engagement peut être conduit de manière individuelle à travers l’échange de courriels, l’envoi de lettres, de questionnaires, des rencontres avec l’entreprise ; </w:t>
      </w:r>
    </w:p>
    <w:p w14:paraId="0402DBC9" w14:textId="50A8CBC0" w:rsidR="0089506C" w:rsidRPr="00A74D23" w:rsidRDefault="0089506C" w:rsidP="00590DD1">
      <w:pPr>
        <w:pStyle w:val="Paragraphedeliste"/>
        <w:numPr>
          <w:ilvl w:val="0"/>
          <w:numId w:val="35"/>
        </w:numPr>
        <w:spacing w:line="22" w:lineRule="atLeast"/>
        <w:ind w:left="284" w:hanging="284"/>
        <w:jc w:val="both"/>
        <w:rPr>
          <w:rFonts w:eastAsia="Times New Roman" w:cs="Times New Roman"/>
          <w:sz w:val="20"/>
          <w:szCs w:val="24"/>
          <w:shd w:val="clear" w:color="auto" w:fill="FFFFFF"/>
          <w:lang w:eastAsia="fr-FR"/>
        </w:rPr>
      </w:pPr>
      <w:r w:rsidRPr="00A74D23">
        <w:rPr>
          <w:rFonts w:eastAsia="Times New Roman" w:cs="Times New Roman"/>
          <w:sz w:val="20"/>
          <w:szCs w:val="24"/>
          <w:shd w:val="clear" w:color="auto" w:fill="FFFFFF"/>
          <w:lang w:eastAsia="fr-FR"/>
        </w:rPr>
        <w:t xml:space="preserve">L’engagement peut être conduit collectivement avec d’autres investisseurs et/ou instances de place affichant des objectifs et des ambitions similaires. Ce format d’engagement est particulièrement utilisé par </w:t>
      </w:r>
      <w:r w:rsidR="00495330" w:rsidRPr="00A74D23">
        <w:rPr>
          <w:rFonts w:eastAsia="Times New Roman" w:cs="Times New Roman"/>
          <w:sz w:val="20"/>
          <w:szCs w:val="24"/>
          <w:shd w:val="clear" w:color="auto" w:fill="FFFFFF"/>
          <w:lang w:eastAsia="fr-FR"/>
        </w:rPr>
        <w:t>Ofi</w:t>
      </w:r>
      <w:r w:rsidRPr="00A74D23">
        <w:rPr>
          <w:rFonts w:eastAsia="Times New Roman" w:cs="Times New Roman"/>
          <w:sz w:val="20"/>
          <w:szCs w:val="24"/>
          <w:shd w:val="clear" w:color="auto" w:fill="FFFFFF"/>
          <w:lang w:eastAsia="fr-FR"/>
        </w:rPr>
        <w:t xml:space="preserve"> Invest Asset Management dès lors que l’engagement cible une transformation importante de l’entreprise.</w:t>
      </w:r>
    </w:p>
    <w:p w14:paraId="7CB669CF" w14:textId="77777777" w:rsidR="0089506C" w:rsidRPr="00A74D23" w:rsidRDefault="0089506C" w:rsidP="009D6EE5">
      <w:pPr>
        <w:spacing w:line="22" w:lineRule="atLeast"/>
        <w:jc w:val="both"/>
        <w:rPr>
          <w:rFonts w:asciiTheme="minorHAnsi" w:hAnsiTheme="minorHAnsi"/>
          <w:sz w:val="20"/>
          <w:shd w:val="clear" w:color="auto" w:fill="FFFFFF"/>
          <w:lang w:val="fr-FR" w:eastAsia="fr-FR"/>
        </w:rPr>
      </w:pPr>
      <w:r w:rsidRPr="00A74D23">
        <w:rPr>
          <w:rFonts w:asciiTheme="minorHAnsi" w:hAnsiTheme="minorHAnsi"/>
          <w:sz w:val="20"/>
          <w:shd w:val="clear" w:color="auto" w:fill="FFFFFF"/>
          <w:lang w:val="fr-FR" w:eastAsia="fr-FR"/>
        </w:rPr>
        <w:t>La réussite d’une campagne d’engagement auprès d’une entreprise est conditionnée par trois facteurs :</w:t>
      </w:r>
    </w:p>
    <w:p w14:paraId="7D062873" w14:textId="77777777" w:rsidR="0089506C" w:rsidRPr="00A74D23" w:rsidRDefault="0089506C" w:rsidP="00590DD1">
      <w:pPr>
        <w:pStyle w:val="Paragraphedeliste"/>
        <w:numPr>
          <w:ilvl w:val="0"/>
          <w:numId w:val="36"/>
        </w:numPr>
        <w:spacing w:after="120" w:line="22" w:lineRule="atLeast"/>
        <w:ind w:left="284" w:hanging="284"/>
        <w:contextualSpacing w:val="0"/>
        <w:jc w:val="both"/>
        <w:rPr>
          <w:rFonts w:eastAsia="Times New Roman" w:cs="Times New Roman"/>
          <w:sz w:val="20"/>
          <w:szCs w:val="24"/>
          <w:shd w:val="clear" w:color="auto" w:fill="FFFFFF"/>
          <w:lang w:eastAsia="fr-FR"/>
        </w:rPr>
      </w:pPr>
      <w:r w:rsidRPr="00A74D23">
        <w:rPr>
          <w:rFonts w:eastAsia="Times New Roman" w:cs="Times New Roman"/>
          <w:sz w:val="20"/>
          <w:szCs w:val="24"/>
          <w:shd w:val="clear" w:color="auto" w:fill="FFFFFF"/>
          <w:lang w:eastAsia="fr-FR"/>
        </w:rPr>
        <w:t>Une demande d’amélioration des pratiques environnementales, sociales et/ou de gouvernance des instances dirigeantes des sociétés cotées fondée sur des standards internationaux ou des règlementations, comme le Pacte mondial, les conventions de l’OIT, l’accord de Paris ou l’Article 29 de la loi énergie climat par exemple ;</w:t>
      </w:r>
    </w:p>
    <w:p w14:paraId="704AC686" w14:textId="77777777" w:rsidR="0089506C" w:rsidRPr="00A74D23" w:rsidRDefault="0089506C" w:rsidP="00590DD1">
      <w:pPr>
        <w:pStyle w:val="Paragraphedeliste"/>
        <w:numPr>
          <w:ilvl w:val="0"/>
          <w:numId w:val="36"/>
        </w:numPr>
        <w:spacing w:after="120" w:line="22" w:lineRule="atLeast"/>
        <w:ind w:left="284" w:hanging="284"/>
        <w:contextualSpacing w:val="0"/>
        <w:jc w:val="both"/>
        <w:rPr>
          <w:rFonts w:eastAsia="Times New Roman" w:cs="Times New Roman"/>
          <w:sz w:val="20"/>
          <w:szCs w:val="24"/>
          <w:shd w:val="clear" w:color="auto" w:fill="FFFFFF"/>
          <w:lang w:eastAsia="fr-FR"/>
        </w:rPr>
      </w:pPr>
      <w:r w:rsidRPr="00A74D23">
        <w:rPr>
          <w:rFonts w:eastAsia="Times New Roman" w:cs="Times New Roman"/>
          <w:sz w:val="20"/>
          <w:szCs w:val="24"/>
          <w:shd w:val="clear" w:color="auto" w:fill="FFFFFF"/>
          <w:lang w:eastAsia="fr-FR"/>
        </w:rPr>
        <w:t>Un positionnement objectif et indépendant de la société de gestion, qui lui permet d’adresser des questions, de voter des résolutions ou d’interroger l’entreprise en toute liberté ;</w:t>
      </w:r>
    </w:p>
    <w:p w14:paraId="7FAF0188" w14:textId="77777777" w:rsidR="0089506C" w:rsidRPr="00A74D23" w:rsidRDefault="0089506C" w:rsidP="00590DD1">
      <w:pPr>
        <w:pStyle w:val="Paragraphedeliste"/>
        <w:numPr>
          <w:ilvl w:val="0"/>
          <w:numId w:val="36"/>
        </w:numPr>
        <w:spacing w:after="120" w:line="22" w:lineRule="atLeast"/>
        <w:ind w:left="284" w:hanging="284"/>
        <w:contextualSpacing w:val="0"/>
        <w:jc w:val="both"/>
        <w:rPr>
          <w:rFonts w:eastAsia="Times New Roman" w:cs="Times New Roman"/>
          <w:sz w:val="20"/>
          <w:szCs w:val="24"/>
          <w:shd w:val="clear" w:color="auto" w:fill="FFFFFF"/>
          <w:lang w:eastAsia="fr-FR"/>
        </w:rPr>
      </w:pPr>
      <w:r w:rsidRPr="00A74D23">
        <w:rPr>
          <w:rFonts w:eastAsia="Times New Roman" w:cs="Times New Roman"/>
          <w:sz w:val="20"/>
          <w:szCs w:val="24"/>
          <w:shd w:val="clear" w:color="auto" w:fill="FFFFFF"/>
          <w:lang w:eastAsia="fr-FR"/>
        </w:rPr>
        <w:t xml:space="preserve">Un format d’engagement adéquat et des mesures d’escalades appropriées au contexte (voir section « Procédure d’escalade » ci-dessous). </w:t>
      </w:r>
    </w:p>
    <w:p w14:paraId="77DAAC2C" w14:textId="77777777" w:rsidR="0089506C" w:rsidRPr="00A74D23" w:rsidRDefault="0089506C" w:rsidP="009D6EE5">
      <w:pPr>
        <w:spacing w:after="120" w:line="22" w:lineRule="atLeast"/>
        <w:jc w:val="both"/>
        <w:textAlignment w:val="center"/>
        <w:rPr>
          <w:rFonts w:asciiTheme="minorHAnsi" w:hAnsiTheme="minorHAnsi"/>
          <w:sz w:val="20"/>
          <w:shd w:val="clear" w:color="auto" w:fill="FFFFFF"/>
          <w:lang w:val="fr-FR" w:eastAsia="fr-FR"/>
        </w:rPr>
      </w:pPr>
      <w:r w:rsidRPr="00A74D23">
        <w:rPr>
          <w:rFonts w:asciiTheme="minorHAnsi" w:hAnsiTheme="minorHAnsi"/>
          <w:sz w:val="20"/>
          <w:shd w:val="clear" w:color="auto" w:fill="FFFFFF"/>
          <w:lang w:val="fr-FR" w:eastAsia="fr-FR"/>
        </w:rPr>
        <w:t>Le dialogue avec les entreprises a pour but de sensibiliser les entreprises aux bonnes pratiques en matière de responsabilité sociétale, de gouvernement d'entreprise et d’enjeux du développement durable, afin de favoriser un processus d'amélioration. En retour, cette sensibilisation doit permettre de réduire les risques de dysfonctionnement des entreprises, de les inciter à communiquer en toute transparence auprès des différentes parties prenantes. Une telle vision nous paraît de nature à créer de la valeur à long terme et à faire valoir nos convictions d’investisseur responsable, ainsi que celles de nos clients.</w:t>
      </w:r>
    </w:p>
    <w:p w14:paraId="1B0C183C" w14:textId="65971058" w:rsidR="0089506C" w:rsidRPr="00A74D23" w:rsidRDefault="0089506C" w:rsidP="009D6EE5">
      <w:pPr>
        <w:spacing w:after="120" w:line="22" w:lineRule="atLeast"/>
        <w:jc w:val="both"/>
        <w:textAlignment w:val="center"/>
        <w:rPr>
          <w:rFonts w:asciiTheme="minorHAnsi" w:hAnsiTheme="minorHAnsi"/>
          <w:sz w:val="20"/>
          <w:shd w:val="clear" w:color="auto" w:fill="FFFFFF"/>
          <w:lang w:val="fr-FR" w:eastAsia="fr-FR"/>
        </w:rPr>
      </w:pPr>
      <w:r w:rsidRPr="00A74D23">
        <w:rPr>
          <w:rFonts w:asciiTheme="minorHAnsi" w:hAnsiTheme="minorHAnsi"/>
          <w:sz w:val="20"/>
          <w:shd w:val="clear" w:color="auto" w:fill="FFFFFF"/>
          <w:lang w:val="fr-FR" w:eastAsia="fr-FR"/>
        </w:rPr>
        <w:t xml:space="preserve">Lorsqu’une entreprise ne respecte pas son engagement, </w:t>
      </w:r>
      <w:r w:rsidR="00495330" w:rsidRPr="00A74D23">
        <w:rPr>
          <w:rFonts w:asciiTheme="minorHAnsi" w:hAnsiTheme="minorHAnsi"/>
          <w:sz w:val="20"/>
          <w:shd w:val="clear" w:color="auto" w:fill="FFFFFF"/>
          <w:lang w:val="fr-FR" w:eastAsia="fr-FR"/>
        </w:rPr>
        <w:t>Ofi</w:t>
      </w:r>
      <w:r w:rsidRPr="00A74D23">
        <w:rPr>
          <w:rFonts w:asciiTheme="minorHAnsi" w:hAnsiTheme="minorHAnsi"/>
          <w:sz w:val="20"/>
          <w:shd w:val="clear" w:color="auto" w:fill="FFFFFF"/>
          <w:lang w:val="fr-FR" w:eastAsia="fr-FR"/>
        </w:rPr>
        <w:t xml:space="preserve"> Invest AM a prévu un processus d'escalade qui peut conduire à un dialogue renforcé, à des mesures publiques ou à des actes de gestion. </w:t>
      </w:r>
      <w:r w:rsidR="00495330" w:rsidRPr="00A74D23">
        <w:rPr>
          <w:rFonts w:asciiTheme="minorHAnsi" w:hAnsiTheme="minorHAnsi"/>
          <w:sz w:val="20"/>
          <w:shd w:val="clear" w:color="auto" w:fill="FFFFFF"/>
          <w:lang w:val="fr-FR" w:eastAsia="fr-FR"/>
        </w:rPr>
        <w:t>Ofi</w:t>
      </w:r>
      <w:r w:rsidRPr="00A74D23">
        <w:rPr>
          <w:rFonts w:asciiTheme="minorHAnsi" w:hAnsiTheme="minorHAnsi"/>
          <w:sz w:val="20"/>
          <w:shd w:val="clear" w:color="auto" w:fill="FFFFFF"/>
          <w:lang w:val="fr-FR" w:eastAsia="fr-FR"/>
        </w:rPr>
        <w:t xml:space="preserve"> Invest AM peut utiliser, entre autres, les mesures suivantes :  </w:t>
      </w:r>
    </w:p>
    <w:p w14:paraId="3A0A8034" w14:textId="77777777" w:rsidR="0089506C" w:rsidRPr="00A74D23" w:rsidRDefault="0089506C" w:rsidP="00590DD1">
      <w:pPr>
        <w:pStyle w:val="Paragraphedeliste"/>
        <w:numPr>
          <w:ilvl w:val="0"/>
          <w:numId w:val="37"/>
        </w:numPr>
        <w:spacing w:after="120" w:line="22" w:lineRule="atLeast"/>
        <w:ind w:left="284" w:hanging="284"/>
        <w:jc w:val="both"/>
        <w:textAlignment w:val="center"/>
        <w:rPr>
          <w:rFonts w:eastAsia="Times New Roman" w:cs="Times New Roman"/>
          <w:sz w:val="20"/>
          <w:szCs w:val="24"/>
          <w:shd w:val="clear" w:color="auto" w:fill="FFFFFF"/>
          <w:lang w:eastAsia="fr-FR"/>
        </w:rPr>
      </w:pPr>
      <w:r w:rsidRPr="00A74D23">
        <w:rPr>
          <w:rFonts w:eastAsia="Times New Roman" w:cs="Times New Roman"/>
          <w:sz w:val="20"/>
          <w:szCs w:val="24"/>
          <w:shd w:val="clear" w:color="auto" w:fill="FFFFFF"/>
          <w:lang w:eastAsia="fr-FR"/>
        </w:rPr>
        <w:t>Dialoguer avec le Conseil de la société ou tout membre de la Direction ;</w:t>
      </w:r>
    </w:p>
    <w:p w14:paraId="3FE50C87" w14:textId="77777777" w:rsidR="0089506C" w:rsidRPr="00A74D23" w:rsidRDefault="0089506C" w:rsidP="00590DD1">
      <w:pPr>
        <w:pStyle w:val="Paragraphedeliste"/>
        <w:numPr>
          <w:ilvl w:val="0"/>
          <w:numId w:val="37"/>
        </w:numPr>
        <w:spacing w:after="120" w:line="22" w:lineRule="atLeast"/>
        <w:ind w:left="284" w:hanging="284"/>
        <w:jc w:val="both"/>
        <w:textAlignment w:val="center"/>
        <w:rPr>
          <w:rFonts w:eastAsia="Times New Roman" w:cs="Times New Roman"/>
          <w:sz w:val="20"/>
          <w:szCs w:val="24"/>
          <w:shd w:val="clear" w:color="auto" w:fill="FFFFFF"/>
          <w:lang w:eastAsia="fr-FR"/>
        </w:rPr>
      </w:pPr>
      <w:r w:rsidRPr="00A74D23">
        <w:rPr>
          <w:rFonts w:eastAsia="Times New Roman" w:cs="Times New Roman"/>
          <w:sz w:val="20"/>
          <w:szCs w:val="24"/>
          <w:shd w:val="clear" w:color="auto" w:fill="FFFFFF"/>
          <w:lang w:eastAsia="fr-FR"/>
        </w:rPr>
        <w:t>Une ou plusieurs questions écrites en assemblée générale ;</w:t>
      </w:r>
    </w:p>
    <w:p w14:paraId="511E7561" w14:textId="77777777" w:rsidR="0089506C" w:rsidRPr="00A74D23" w:rsidRDefault="0089506C" w:rsidP="00590DD1">
      <w:pPr>
        <w:pStyle w:val="Paragraphedeliste"/>
        <w:numPr>
          <w:ilvl w:val="0"/>
          <w:numId w:val="37"/>
        </w:numPr>
        <w:spacing w:after="120" w:line="22" w:lineRule="atLeast"/>
        <w:ind w:left="284" w:hanging="284"/>
        <w:jc w:val="both"/>
        <w:textAlignment w:val="center"/>
        <w:rPr>
          <w:rFonts w:eastAsia="Times New Roman" w:cs="Times New Roman"/>
          <w:sz w:val="20"/>
          <w:szCs w:val="24"/>
          <w:shd w:val="clear" w:color="auto" w:fill="FFFFFF"/>
          <w:lang w:eastAsia="fr-FR"/>
        </w:rPr>
      </w:pPr>
      <w:r w:rsidRPr="00A74D23">
        <w:rPr>
          <w:rFonts w:eastAsia="Times New Roman" w:cs="Times New Roman"/>
          <w:sz w:val="20"/>
          <w:szCs w:val="24"/>
          <w:shd w:val="clear" w:color="auto" w:fill="FFFFFF"/>
          <w:lang w:eastAsia="fr-FR"/>
        </w:rPr>
        <w:t>D’agir avec d’autres actionnaires dans le but de demander une modification de l’ordre du jour ou de déposer une résolution à soumettre au vote des actionnaires ;</w:t>
      </w:r>
    </w:p>
    <w:p w14:paraId="1889D804" w14:textId="77777777" w:rsidR="0089506C" w:rsidRPr="00A74D23" w:rsidRDefault="0089506C" w:rsidP="00590DD1">
      <w:pPr>
        <w:pStyle w:val="Paragraphedeliste"/>
        <w:numPr>
          <w:ilvl w:val="0"/>
          <w:numId w:val="37"/>
        </w:numPr>
        <w:spacing w:after="120" w:line="22" w:lineRule="atLeast"/>
        <w:ind w:left="284" w:hanging="284"/>
        <w:jc w:val="both"/>
        <w:textAlignment w:val="center"/>
        <w:rPr>
          <w:rFonts w:eastAsia="Times New Roman" w:cs="Times New Roman"/>
          <w:sz w:val="20"/>
          <w:szCs w:val="24"/>
          <w:shd w:val="clear" w:color="auto" w:fill="FFFFFF"/>
          <w:lang w:eastAsia="fr-FR"/>
        </w:rPr>
      </w:pPr>
      <w:r w:rsidRPr="00A74D23">
        <w:rPr>
          <w:rFonts w:eastAsia="Times New Roman" w:cs="Times New Roman"/>
          <w:sz w:val="20"/>
          <w:szCs w:val="24"/>
          <w:shd w:val="clear" w:color="auto" w:fill="FFFFFF"/>
          <w:lang w:eastAsia="fr-FR"/>
        </w:rPr>
        <w:t>De voter négativement des résolutions relatives aux comptes, à la rémunération des dirigeants ou à la nomination des administrateurs, notamment du Président du Conseil ;</w:t>
      </w:r>
    </w:p>
    <w:p w14:paraId="7B30D9C1" w14:textId="77777777" w:rsidR="0089506C" w:rsidRPr="00A74D23" w:rsidRDefault="0089506C" w:rsidP="00590DD1">
      <w:pPr>
        <w:pStyle w:val="Paragraphedeliste"/>
        <w:numPr>
          <w:ilvl w:val="0"/>
          <w:numId w:val="37"/>
        </w:numPr>
        <w:spacing w:after="120" w:line="22" w:lineRule="atLeast"/>
        <w:ind w:left="284" w:hanging="284"/>
        <w:jc w:val="both"/>
        <w:textAlignment w:val="center"/>
        <w:rPr>
          <w:rFonts w:eastAsia="Times New Roman" w:cs="Times New Roman"/>
          <w:sz w:val="20"/>
          <w:szCs w:val="24"/>
          <w:shd w:val="clear" w:color="auto" w:fill="FFFFFF"/>
          <w:lang w:eastAsia="fr-FR"/>
        </w:rPr>
      </w:pPr>
      <w:r w:rsidRPr="00A74D23">
        <w:rPr>
          <w:rFonts w:eastAsia="Times New Roman" w:cs="Times New Roman"/>
          <w:sz w:val="20"/>
          <w:szCs w:val="24"/>
          <w:shd w:val="clear" w:color="auto" w:fill="FFFFFF"/>
          <w:lang w:eastAsia="fr-FR"/>
        </w:rPr>
        <w:t>Communiquer publiquement sur les objectifs attendus et les résultats qui ne sont pas atteints ;</w:t>
      </w:r>
    </w:p>
    <w:p w14:paraId="1C1ECC2F" w14:textId="77777777" w:rsidR="0089506C" w:rsidRPr="00A74D23" w:rsidRDefault="0089506C" w:rsidP="00590DD1">
      <w:pPr>
        <w:pStyle w:val="Paragraphedeliste"/>
        <w:numPr>
          <w:ilvl w:val="0"/>
          <w:numId w:val="37"/>
        </w:numPr>
        <w:spacing w:after="120" w:line="22" w:lineRule="atLeast"/>
        <w:ind w:left="284" w:hanging="284"/>
        <w:jc w:val="both"/>
        <w:textAlignment w:val="center"/>
        <w:rPr>
          <w:rFonts w:eastAsia="Times New Roman" w:cs="Times New Roman"/>
          <w:sz w:val="20"/>
          <w:szCs w:val="24"/>
          <w:shd w:val="clear" w:color="auto" w:fill="FFFFFF"/>
          <w:lang w:eastAsia="fr-FR"/>
        </w:rPr>
      </w:pPr>
      <w:r w:rsidRPr="00A74D23">
        <w:rPr>
          <w:rFonts w:eastAsia="Times New Roman" w:cs="Times New Roman"/>
          <w:sz w:val="20"/>
          <w:szCs w:val="24"/>
          <w:shd w:val="clear" w:color="auto" w:fill="FFFFFF"/>
          <w:lang w:eastAsia="fr-FR"/>
        </w:rPr>
        <w:t xml:space="preserve">Ecrire des lettres publiques aux entreprises ; </w:t>
      </w:r>
    </w:p>
    <w:p w14:paraId="648BDF58" w14:textId="77777777" w:rsidR="0089506C" w:rsidRPr="00A74D23" w:rsidRDefault="0089506C" w:rsidP="00590DD1">
      <w:pPr>
        <w:pStyle w:val="Paragraphedeliste"/>
        <w:numPr>
          <w:ilvl w:val="0"/>
          <w:numId w:val="37"/>
        </w:numPr>
        <w:spacing w:after="120" w:line="22" w:lineRule="atLeast"/>
        <w:ind w:left="284" w:hanging="284"/>
        <w:jc w:val="both"/>
        <w:textAlignment w:val="center"/>
        <w:rPr>
          <w:rFonts w:eastAsia="Times New Roman" w:cs="Times New Roman"/>
          <w:sz w:val="20"/>
          <w:szCs w:val="24"/>
          <w:shd w:val="clear" w:color="auto" w:fill="FFFFFF"/>
          <w:lang w:eastAsia="fr-FR"/>
        </w:rPr>
      </w:pPr>
      <w:r w:rsidRPr="00A74D23">
        <w:rPr>
          <w:rFonts w:eastAsia="Times New Roman" w:cs="Times New Roman"/>
          <w:sz w:val="20"/>
          <w:szCs w:val="24"/>
          <w:shd w:val="clear" w:color="auto" w:fill="FFFFFF"/>
          <w:lang w:eastAsia="fr-FR"/>
        </w:rPr>
        <w:t>Participer à des campagnes de lobbying ou signer des tribunes ;</w:t>
      </w:r>
    </w:p>
    <w:p w14:paraId="65041C9E" w14:textId="77777777" w:rsidR="0089506C" w:rsidRPr="00A74D23" w:rsidRDefault="0089506C" w:rsidP="00590DD1">
      <w:pPr>
        <w:pStyle w:val="Paragraphedeliste"/>
        <w:numPr>
          <w:ilvl w:val="0"/>
          <w:numId w:val="37"/>
        </w:numPr>
        <w:spacing w:after="120" w:line="22" w:lineRule="atLeast"/>
        <w:ind w:left="284" w:hanging="284"/>
        <w:jc w:val="both"/>
        <w:textAlignment w:val="center"/>
        <w:rPr>
          <w:rFonts w:eastAsia="Times New Roman" w:cs="Times New Roman"/>
          <w:sz w:val="20"/>
          <w:szCs w:val="24"/>
          <w:shd w:val="clear" w:color="auto" w:fill="FFFFFF"/>
          <w:lang w:eastAsia="fr-FR"/>
        </w:rPr>
      </w:pPr>
      <w:r w:rsidRPr="00A74D23">
        <w:rPr>
          <w:rFonts w:eastAsia="Times New Roman" w:cs="Times New Roman"/>
          <w:sz w:val="20"/>
          <w:szCs w:val="24"/>
          <w:shd w:val="clear" w:color="auto" w:fill="FFFFFF"/>
          <w:lang w:eastAsia="fr-FR"/>
        </w:rPr>
        <w:t>Attribuer une pénalité sur la note ESG de l'entreprise ;</w:t>
      </w:r>
    </w:p>
    <w:p w14:paraId="69CAB795" w14:textId="77777777" w:rsidR="0089506C" w:rsidRPr="00A74D23" w:rsidRDefault="0089506C" w:rsidP="00590DD1">
      <w:pPr>
        <w:pStyle w:val="Paragraphedeliste"/>
        <w:numPr>
          <w:ilvl w:val="0"/>
          <w:numId w:val="37"/>
        </w:numPr>
        <w:spacing w:after="240" w:line="22" w:lineRule="atLeast"/>
        <w:ind w:left="284" w:hanging="284"/>
        <w:contextualSpacing w:val="0"/>
        <w:jc w:val="both"/>
        <w:textAlignment w:val="center"/>
        <w:rPr>
          <w:rFonts w:eastAsia="Times New Roman" w:cs="Times New Roman"/>
          <w:sz w:val="20"/>
          <w:szCs w:val="24"/>
          <w:shd w:val="clear" w:color="auto" w:fill="FFFFFF"/>
          <w:lang w:eastAsia="fr-FR"/>
        </w:rPr>
      </w:pPr>
      <w:r w:rsidRPr="00A74D23">
        <w:rPr>
          <w:rFonts w:eastAsia="Times New Roman" w:cs="Times New Roman"/>
          <w:sz w:val="20"/>
          <w:szCs w:val="24"/>
          <w:shd w:val="clear" w:color="auto" w:fill="FFFFFF"/>
          <w:lang w:eastAsia="fr-FR"/>
        </w:rPr>
        <w:t xml:space="preserve">Générer un impact en portefeuille : vente ou gel des positions. </w:t>
      </w:r>
    </w:p>
    <w:p w14:paraId="20F1B555" w14:textId="3712ABBC" w:rsidR="0089506C" w:rsidRPr="00A74D23" w:rsidRDefault="0089506C" w:rsidP="009D6EE5">
      <w:pPr>
        <w:spacing w:after="120" w:line="22" w:lineRule="atLeast"/>
        <w:jc w:val="both"/>
        <w:textAlignment w:val="center"/>
        <w:rPr>
          <w:rFonts w:asciiTheme="minorHAnsi" w:hAnsiTheme="minorHAnsi"/>
          <w:sz w:val="20"/>
          <w:shd w:val="clear" w:color="auto" w:fill="FFFFFF"/>
          <w:lang w:val="fr-FR"/>
        </w:rPr>
      </w:pPr>
      <w:r w:rsidRPr="00A74D23">
        <w:rPr>
          <w:rFonts w:asciiTheme="minorHAnsi" w:hAnsiTheme="minorHAnsi"/>
          <w:b/>
          <w:bCs/>
          <w:sz w:val="20"/>
          <w:shd w:val="clear" w:color="auto" w:fill="FFFFFF"/>
          <w:lang w:val="fr-FR"/>
        </w:rPr>
        <w:t>En 2025, 300</w:t>
      </w:r>
      <w:r w:rsidR="00ED7EC6" w:rsidRPr="00A74D23">
        <w:rPr>
          <w:rFonts w:asciiTheme="minorHAnsi" w:hAnsiTheme="minorHAnsi"/>
          <w:b/>
          <w:bCs/>
          <w:sz w:val="20"/>
          <w:shd w:val="clear" w:color="auto" w:fill="FFFFFF"/>
          <w:lang w:val="fr-FR"/>
        </w:rPr>
        <w:t xml:space="preserve"> </w:t>
      </w:r>
      <w:r w:rsidRPr="00A74D23">
        <w:rPr>
          <w:rFonts w:asciiTheme="minorHAnsi" w:hAnsiTheme="minorHAnsi"/>
          <w:b/>
          <w:bCs/>
          <w:sz w:val="20"/>
          <w:shd w:val="clear" w:color="auto" w:fill="FFFFFF"/>
          <w:lang w:val="fr-FR"/>
        </w:rPr>
        <w:t>engagements sur des sujets ESG ont eu lieu à travers différents moyens (lettres, consultations, points téléphoniques, engagements collectifs etc.) avec 236 entreprises</w:t>
      </w:r>
      <w:r w:rsidRPr="00A74D23">
        <w:rPr>
          <w:rFonts w:asciiTheme="minorHAnsi" w:hAnsiTheme="minorHAnsi"/>
          <w:sz w:val="20"/>
          <w:shd w:val="clear" w:color="auto" w:fill="FFFFFF"/>
          <w:lang w:val="fr-FR"/>
        </w:rPr>
        <w:t xml:space="preserve">. 40 entreprises ont été engagées sur de multiples thématiques. Le taux de satisfaction des engagements est de 33% (cela inclut les entreprises qui refusent d’engager le dialogue). </w:t>
      </w:r>
    </w:p>
    <w:p w14:paraId="73C64E6D" w14:textId="77777777" w:rsidR="0089506C" w:rsidRPr="00A74D23" w:rsidRDefault="0089506C" w:rsidP="009D6EE5">
      <w:pPr>
        <w:spacing w:after="120" w:line="22" w:lineRule="atLeast"/>
        <w:jc w:val="both"/>
        <w:textAlignment w:val="center"/>
        <w:rPr>
          <w:rFonts w:asciiTheme="minorHAnsi" w:hAnsiTheme="minorHAnsi"/>
          <w:sz w:val="20"/>
          <w:shd w:val="clear" w:color="auto" w:fill="FFFFFF"/>
          <w:lang w:val="fr-FR"/>
        </w:rPr>
      </w:pPr>
      <w:r w:rsidRPr="00A74D23">
        <w:rPr>
          <w:rFonts w:asciiTheme="minorHAnsi" w:hAnsiTheme="minorHAnsi"/>
          <w:sz w:val="20"/>
          <w:shd w:val="clear" w:color="auto" w:fill="FFFFFF"/>
          <w:lang w:val="fr-FR"/>
        </w:rPr>
        <w:t>24 de ces engagements ont été menés dans le cadre d’initiative collectives.</w:t>
      </w:r>
    </w:p>
    <w:p w14:paraId="614B98CA" w14:textId="0D277FC4" w:rsidR="0089506C" w:rsidRPr="00A74D23" w:rsidRDefault="00495330" w:rsidP="009D6EE5">
      <w:pPr>
        <w:spacing w:line="22" w:lineRule="atLeast"/>
        <w:jc w:val="both"/>
        <w:textAlignment w:val="center"/>
        <w:rPr>
          <w:rFonts w:asciiTheme="minorHAnsi" w:hAnsiTheme="minorHAnsi"/>
          <w:sz w:val="20"/>
          <w:shd w:val="clear" w:color="auto" w:fill="FFFFFF"/>
          <w:lang w:val="fr-FR"/>
        </w:rPr>
      </w:pPr>
      <w:r w:rsidRPr="00A74D23">
        <w:rPr>
          <w:rFonts w:asciiTheme="minorHAnsi" w:hAnsiTheme="minorHAnsi"/>
          <w:sz w:val="20"/>
          <w:shd w:val="clear" w:color="auto" w:fill="FFFFFF"/>
          <w:lang w:val="fr-FR"/>
        </w:rPr>
        <w:t>Ofi</w:t>
      </w:r>
      <w:r w:rsidR="0089506C" w:rsidRPr="00A74D23">
        <w:rPr>
          <w:rFonts w:asciiTheme="minorHAnsi" w:hAnsiTheme="minorHAnsi"/>
          <w:sz w:val="20"/>
          <w:shd w:val="clear" w:color="auto" w:fill="FFFFFF"/>
          <w:lang w:val="fr-FR"/>
        </w:rPr>
        <w:t xml:space="preserve"> Invest Asset Management est également membre de différentes initiatives d’engagement collectif :</w:t>
      </w:r>
    </w:p>
    <w:p w14:paraId="2C3175F2" w14:textId="77777777" w:rsidR="0089506C" w:rsidRPr="00A74D23" w:rsidRDefault="0089506C" w:rsidP="00590DD1">
      <w:pPr>
        <w:pStyle w:val="Paragraphedeliste"/>
        <w:numPr>
          <w:ilvl w:val="0"/>
          <w:numId w:val="38"/>
        </w:numPr>
        <w:spacing w:after="0" w:line="22" w:lineRule="atLeast"/>
        <w:ind w:left="284" w:hanging="284"/>
        <w:contextualSpacing w:val="0"/>
        <w:jc w:val="both"/>
        <w:textAlignment w:val="center"/>
        <w:rPr>
          <w:sz w:val="20"/>
          <w:shd w:val="clear" w:color="auto" w:fill="FFFFFF"/>
        </w:rPr>
      </w:pPr>
      <w:r w:rsidRPr="00A74D23">
        <w:rPr>
          <w:sz w:val="20"/>
          <w:shd w:val="clear" w:color="auto" w:fill="FFFFFF"/>
        </w:rPr>
        <w:t xml:space="preserve">L’initiative Advance de l’UNPRI afin d’agir sur la protection et la progression des droits de l'homme et les questions sociales. </w:t>
      </w:r>
    </w:p>
    <w:p w14:paraId="0086825C" w14:textId="77777777" w:rsidR="0089506C" w:rsidRPr="00A74D23" w:rsidRDefault="0089506C" w:rsidP="00590DD1">
      <w:pPr>
        <w:pStyle w:val="Paragraphedeliste"/>
        <w:numPr>
          <w:ilvl w:val="0"/>
          <w:numId w:val="38"/>
        </w:numPr>
        <w:spacing w:after="0" w:line="22" w:lineRule="atLeast"/>
        <w:ind w:left="284" w:hanging="284"/>
        <w:contextualSpacing w:val="0"/>
        <w:jc w:val="both"/>
        <w:textAlignment w:val="center"/>
        <w:rPr>
          <w:sz w:val="20"/>
          <w:shd w:val="clear" w:color="auto" w:fill="FFFFFF"/>
        </w:rPr>
      </w:pPr>
      <w:r w:rsidRPr="00A74D23">
        <w:rPr>
          <w:sz w:val="20"/>
          <w:shd w:val="clear" w:color="auto" w:fill="FFFFFF"/>
        </w:rPr>
        <w:t>L’initiative Climate Action 100+, afin d’engager les plus grandes entreprises émettrices de gaz à effet de serre pour qu’elles prennent les mesures nécessaires pour lutter contre le changement climatique.</w:t>
      </w:r>
    </w:p>
    <w:p w14:paraId="4343B4CD" w14:textId="77777777" w:rsidR="0089506C" w:rsidRPr="00A74D23" w:rsidRDefault="0089506C" w:rsidP="00590DD1">
      <w:pPr>
        <w:pStyle w:val="Paragraphedeliste"/>
        <w:numPr>
          <w:ilvl w:val="0"/>
          <w:numId w:val="38"/>
        </w:numPr>
        <w:spacing w:after="0" w:line="22" w:lineRule="atLeast"/>
        <w:ind w:left="284" w:hanging="284"/>
        <w:contextualSpacing w:val="0"/>
        <w:jc w:val="both"/>
        <w:textAlignment w:val="center"/>
        <w:rPr>
          <w:sz w:val="20"/>
          <w:shd w:val="clear" w:color="auto" w:fill="FFFFFF"/>
        </w:rPr>
      </w:pPr>
      <w:r w:rsidRPr="00A74D23">
        <w:rPr>
          <w:sz w:val="20"/>
          <w:shd w:val="clear" w:color="auto" w:fill="FFFFFF"/>
        </w:rPr>
        <w:t xml:space="preserve">Les initiatives Fabric de Finance for Biodiversity Pledge et Spring de l’UNPRI afin d’agir sur les entreprises impactant négativement la biodiversité par leur activité. </w:t>
      </w:r>
    </w:p>
    <w:p w14:paraId="177BEADA" w14:textId="77777777" w:rsidR="0089506C" w:rsidRPr="00A74D23" w:rsidRDefault="0089506C" w:rsidP="00590DD1">
      <w:pPr>
        <w:pStyle w:val="Paragraphedeliste"/>
        <w:numPr>
          <w:ilvl w:val="0"/>
          <w:numId w:val="38"/>
        </w:numPr>
        <w:spacing w:after="0" w:line="22" w:lineRule="atLeast"/>
        <w:ind w:left="284" w:hanging="284"/>
        <w:contextualSpacing w:val="0"/>
        <w:jc w:val="both"/>
        <w:textAlignment w:val="center"/>
        <w:rPr>
          <w:sz w:val="20"/>
          <w:shd w:val="clear" w:color="auto" w:fill="FFFFFF"/>
        </w:rPr>
      </w:pPr>
      <w:r w:rsidRPr="00A74D23">
        <w:rPr>
          <w:sz w:val="20"/>
          <w:shd w:val="clear" w:color="auto" w:fill="FFFFFF"/>
        </w:rPr>
        <w:t>Le Club Smid du Forum de l’investissement Responsable afin d’influer sur la gouvernance des petites capitalisations</w:t>
      </w:r>
    </w:p>
    <w:p w14:paraId="3A5484A1" w14:textId="77777777" w:rsidR="0089506C" w:rsidRPr="00A74D23" w:rsidRDefault="0089506C" w:rsidP="008B71D8">
      <w:pPr>
        <w:spacing w:line="22" w:lineRule="atLeast"/>
        <w:jc w:val="both"/>
        <w:textAlignment w:val="center"/>
        <w:rPr>
          <w:rFonts w:asciiTheme="minorHAnsi" w:hAnsiTheme="minorHAnsi"/>
          <w:sz w:val="20"/>
          <w:shd w:val="clear" w:color="auto" w:fill="FFFFFF"/>
          <w:lang w:val="fr-FR"/>
        </w:rPr>
      </w:pPr>
    </w:p>
    <w:p w14:paraId="0F6477D7" w14:textId="77777777" w:rsidR="0089506C" w:rsidRPr="00A74D23" w:rsidRDefault="0089506C" w:rsidP="009D6EE5">
      <w:pPr>
        <w:spacing w:line="22" w:lineRule="atLeast"/>
        <w:jc w:val="both"/>
        <w:textAlignment w:val="center"/>
        <w:rPr>
          <w:rFonts w:asciiTheme="minorHAnsi" w:hAnsiTheme="minorHAnsi"/>
          <w:sz w:val="20"/>
          <w:shd w:val="clear" w:color="auto" w:fill="FFFFFF"/>
          <w:lang w:val="fr-FR"/>
        </w:rPr>
      </w:pPr>
    </w:p>
    <w:p w14:paraId="1C563B1D" w14:textId="77777777" w:rsidR="0089506C" w:rsidRPr="00A74D23" w:rsidRDefault="0089506C" w:rsidP="009D6EE5">
      <w:pPr>
        <w:spacing w:line="22" w:lineRule="atLeast"/>
        <w:jc w:val="both"/>
        <w:textAlignment w:val="center"/>
        <w:rPr>
          <w:rFonts w:asciiTheme="minorHAnsi" w:hAnsiTheme="minorHAnsi"/>
          <w:b/>
          <w:bCs/>
          <w:sz w:val="20"/>
          <w:shd w:val="clear" w:color="auto" w:fill="FFFFFF"/>
          <w:lang w:val="fr-FR"/>
        </w:rPr>
      </w:pPr>
      <w:r w:rsidRPr="00A74D23">
        <w:rPr>
          <w:rFonts w:asciiTheme="minorHAnsi" w:hAnsiTheme="minorHAnsi"/>
          <w:b/>
          <w:bCs/>
          <w:sz w:val="20"/>
          <w:shd w:val="clear" w:color="auto" w:fill="FFFFFF"/>
          <w:lang w:val="fr-FR"/>
        </w:rPr>
        <w:t xml:space="preserve">Exemple – Carrefour dans le cadre de Spring – PRI  </w:t>
      </w:r>
    </w:p>
    <w:p w14:paraId="3326905E" w14:textId="77777777" w:rsidR="0089506C" w:rsidRPr="00A74D23" w:rsidRDefault="0089506C" w:rsidP="009D6EE5">
      <w:pPr>
        <w:spacing w:line="22" w:lineRule="atLeast"/>
        <w:jc w:val="both"/>
        <w:textAlignment w:val="center"/>
        <w:rPr>
          <w:rFonts w:asciiTheme="minorHAnsi" w:hAnsiTheme="minorHAnsi"/>
          <w:sz w:val="20"/>
          <w:shd w:val="clear" w:color="auto" w:fill="FFFFFF"/>
          <w:lang w:val="fr-FR"/>
        </w:rPr>
      </w:pPr>
      <w:r w:rsidRPr="00A74D23">
        <w:rPr>
          <w:rFonts w:asciiTheme="minorHAnsi" w:hAnsiTheme="minorHAnsi"/>
          <w:noProof/>
        </w:rPr>
        <mc:AlternateContent>
          <mc:Choice Requires="wps">
            <w:drawing>
              <wp:anchor distT="0" distB="0" distL="114300" distR="114300" simplePos="0" relativeHeight="251508736" behindDoc="0" locked="0" layoutInCell="1" allowOverlap="1" wp14:anchorId="6A640F72" wp14:editId="0ADAB032">
                <wp:simplePos x="0" y="0"/>
                <wp:positionH relativeFrom="margin">
                  <wp:align>left</wp:align>
                </wp:positionH>
                <wp:positionV relativeFrom="paragraph">
                  <wp:posOffset>36195</wp:posOffset>
                </wp:positionV>
                <wp:extent cx="2940050" cy="12700"/>
                <wp:effectExtent l="0" t="0" r="31750" b="25400"/>
                <wp:wrapNone/>
                <wp:docPr id="1821828427" name="Connecteur droit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40050" cy="1270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F40BAB" id="Connecteur droit 8" o:spid="_x0000_s1026" style="position:absolute;z-index:251508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85pt" to="231.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" strokecolor="#ffd400 [3204]" strokeweight="1.5pt">
                <v:stroke joinstyle="miter"/>
                <o:lock v:ext="edit" shapetype="f"/>
                <w10:wrap anchorx="margin"/>
              </v:line>
            </w:pict>
          </mc:Fallback>
        </mc:AlternateContent>
      </w:r>
    </w:p>
    <w:p w14:paraId="697D2EE7" w14:textId="77777777" w:rsidR="0089506C" w:rsidRPr="00A74D23" w:rsidRDefault="0089506C" w:rsidP="009D6EE5">
      <w:pPr>
        <w:spacing w:line="22" w:lineRule="atLeast"/>
        <w:jc w:val="both"/>
        <w:textAlignment w:val="center"/>
        <w:rPr>
          <w:rFonts w:asciiTheme="minorHAnsi" w:hAnsiTheme="minorHAnsi"/>
          <w:sz w:val="20"/>
          <w:szCs w:val="20"/>
          <w:lang w:val="fr-FR"/>
        </w:rPr>
      </w:pPr>
      <w:r w:rsidRPr="00A74D23">
        <w:rPr>
          <w:rFonts w:asciiTheme="minorHAnsi" w:hAnsiTheme="minorHAnsi"/>
          <w:sz w:val="20"/>
          <w:szCs w:val="20"/>
          <w:lang w:val="fr-FR"/>
        </w:rPr>
        <w:t xml:space="preserve">Le secteur de la distribution alimentaire exerce des pressions importantes sur la biodiversité, notamment via l’usage des sols, la pollution et la dépendance aux ressources naturelles. Dans ce contexte, l’engagement avec </w:t>
      </w:r>
      <w:r w:rsidRPr="00A74D23">
        <w:rPr>
          <w:rFonts w:asciiTheme="minorHAnsi" w:hAnsiTheme="minorHAnsi"/>
          <w:b/>
          <w:bCs/>
          <w:sz w:val="20"/>
          <w:szCs w:val="20"/>
          <w:lang w:val="fr-FR"/>
        </w:rPr>
        <w:t>Carrefour</w:t>
      </w:r>
      <w:r w:rsidRPr="00A74D23">
        <w:rPr>
          <w:rFonts w:asciiTheme="minorHAnsi" w:hAnsiTheme="minorHAnsi"/>
          <w:sz w:val="20"/>
          <w:szCs w:val="20"/>
          <w:lang w:val="fr-FR"/>
        </w:rPr>
        <w:t xml:space="preserve">, initié en 2025 dans le cadre de l’initiative </w:t>
      </w:r>
      <w:r w:rsidRPr="00A74D23">
        <w:rPr>
          <w:rFonts w:asciiTheme="minorHAnsi" w:hAnsiTheme="minorHAnsi"/>
          <w:b/>
          <w:bCs/>
          <w:sz w:val="20"/>
          <w:szCs w:val="20"/>
          <w:lang w:val="fr-FR"/>
        </w:rPr>
        <w:t>SPRING des PRI</w:t>
      </w:r>
      <w:r w:rsidRPr="00A74D23">
        <w:rPr>
          <w:rFonts w:asciiTheme="minorHAnsi" w:hAnsiTheme="minorHAnsi"/>
          <w:sz w:val="20"/>
          <w:szCs w:val="20"/>
          <w:lang w:val="fr-FR"/>
        </w:rPr>
        <w:t>, vise à renforcer la gestion de ses impacts, la lutte contre la déforestation et l’adoption de pratiques responsables tout au long de la chaîne de valeur. Carrefour, dont plus de 80 % des produits dépendent des services écosystémiques, joue un rôle clé dans la promotion d’une agriculture durable.</w:t>
      </w:r>
    </w:p>
    <w:p w14:paraId="027D3C13" w14:textId="77777777" w:rsidR="0089506C" w:rsidRPr="00A74D23" w:rsidRDefault="0089506C" w:rsidP="007F7D42">
      <w:pPr>
        <w:spacing w:after="120" w:line="22" w:lineRule="atLeast"/>
        <w:jc w:val="both"/>
        <w:textAlignment w:val="center"/>
        <w:rPr>
          <w:rFonts w:asciiTheme="minorHAnsi" w:hAnsiTheme="minorHAnsi"/>
          <w:sz w:val="20"/>
          <w:szCs w:val="20"/>
          <w:lang w:val="fr-FR"/>
        </w:rPr>
      </w:pPr>
      <w:r w:rsidRPr="00A74D23">
        <w:rPr>
          <w:rFonts w:asciiTheme="minorHAnsi" w:hAnsiTheme="minorHAnsi"/>
          <w:sz w:val="20"/>
          <w:szCs w:val="20"/>
          <w:lang w:val="fr-FR"/>
        </w:rPr>
        <w:t xml:space="preserve">Un premier échange s’est tenu en septembre 2025 afin de passer en revue la stratégie déforestation du groupe, ses engagements et leur niveau d’avancement. À la suite de cet échange, et en tant que </w:t>
      </w:r>
      <w:r w:rsidRPr="00A74D23">
        <w:rPr>
          <w:rFonts w:asciiTheme="minorHAnsi" w:hAnsiTheme="minorHAnsi"/>
          <w:i/>
          <w:iCs/>
          <w:sz w:val="20"/>
          <w:szCs w:val="20"/>
          <w:lang w:val="fr-FR"/>
        </w:rPr>
        <w:t>lead investor</w:t>
      </w:r>
      <w:r w:rsidRPr="00A74D23">
        <w:rPr>
          <w:rFonts w:asciiTheme="minorHAnsi" w:hAnsiTheme="minorHAnsi"/>
          <w:sz w:val="20"/>
          <w:szCs w:val="20"/>
          <w:lang w:val="fr-FR"/>
        </w:rPr>
        <w:t>, nous avons approfondi notre analyse en rencontrant des parties prenantes et en comparant les pratiques de Carrefour à celles de ses principaux concurrents, commodité par commodité.</w:t>
      </w:r>
    </w:p>
    <w:p w14:paraId="19764473" w14:textId="77777777" w:rsidR="0089506C" w:rsidRPr="00A74D23" w:rsidRDefault="0089506C" w:rsidP="007F7D42">
      <w:pPr>
        <w:spacing w:after="120" w:line="22" w:lineRule="atLeast"/>
        <w:jc w:val="both"/>
        <w:textAlignment w:val="center"/>
        <w:rPr>
          <w:rFonts w:asciiTheme="minorHAnsi" w:hAnsiTheme="minorHAnsi"/>
          <w:sz w:val="20"/>
          <w:szCs w:val="20"/>
          <w:lang w:val="fr-FR"/>
        </w:rPr>
      </w:pPr>
      <w:r w:rsidRPr="00A74D23">
        <w:rPr>
          <w:rFonts w:asciiTheme="minorHAnsi" w:hAnsiTheme="minorHAnsi"/>
          <w:sz w:val="20"/>
          <w:szCs w:val="20"/>
          <w:lang w:val="fr-FR"/>
        </w:rPr>
        <w:t>Ce travail a permis d’engager un second dialogue en février 2026, centré sur la gestion des fournisseurs, la transparence de la chaîne d’approvisionnement et la préparation à l’entrée en application du règlement européen EUDR.</w:t>
      </w:r>
    </w:p>
    <w:p w14:paraId="692CB550" w14:textId="77777777" w:rsidR="0089506C" w:rsidRPr="00A74D23" w:rsidRDefault="0089506C" w:rsidP="009D6EE5">
      <w:pPr>
        <w:spacing w:line="22" w:lineRule="atLeast"/>
        <w:jc w:val="both"/>
        <w:textAlignment w:val="center"/>
        <w:rPr>
          <w:rFonts w:asciiTheme="minorHAnsi" w:hAnsiTheme="minorHAnsi"/>
          <w:sz w:val="20"/>
          <w:szCs w:val="20"/>
          <w:lang w:val="fr-FR"/>
        </w:rPr>
      </w:pPr>
      <w:r w:rsidRPr="00A74D23">
        <w:rPr>
          <w:rFonts w:asciiTheme="minorHAnsi" w:hAnsiTheme="minorHAnsi"/>
          <w:sz w:val="20"/>
          <w:szCs w:val="20"/>
          <w:lang w:val="fr-FR"/>
        </w:rPr>
        <w:t>Cet engagement a renforcé notre compréhension des enjeux stratégiques de biodiversité et de déforestation pour Carrefour. Il a permis d’orienter le dialogue vers une amélioration de la traçabilité, de la transparence et de l’anticipation réglementaire, tout en posant les bases d’un suivi plus structuré afin d’accompagner l’entreprise dans l’alignement progressif de ses pratiques avec les attentes du marché et les standards internationaux.</w:t>
      </w:r>
    </w:p>
    <w:p w14:paraId="46068BD0" w14:textId="32002847" w:rsidR="0089506C" w:rsidRPr="00A74D23" w:rsidRDefault="0089506C" w:rsidP="009D6EE5">
      <w:pPr>
        <w:spacing w:line="22" w:lineRule="atLeast"/>
        <w:jc w:val="both"/>
        <w:rPr>
          <w:rFonts w:asciiTheme="minorHAnsi" w:eastAsiaTheme="majorEastAsia" w:hAnsiTheme="minorHAnsi" w:cstheme="majorBidi"/>
          <w:b/>
          <w:sz w:val="32"/>
          <w:szCs w:val="32"/>
          <w:lang w:val="fr-FR"/>
        </w:rPr>
      </w:pPr>
    </w:p>
    <w:p w14:paraId="042E80CF" w14:textId="77777777" w:rsidR="0089506C" w:rsidRPr="00A74D23" w:rsidRDefault="0089506C" w:rsidP="00590DD1">
      <w:pPr>
        <w:pStyle w:val="StyleYO"/>
        <w:numPr>
          <w:ilvl w:val="0"/>
          <w:numId w:val="71"/>
        </w:numPr>
        <w:spacing w:line="22" w:lineRule="atLeast"/>
        <w:jc w:val="both"/>
      </w:pPr>
      <w:bookmarkStart w:id="65" w:name="_Toc199944147"/>
      <w:bookmarkStart w:id="66" w:name="_Toc231337011"/>
      <w:r w:rsidRPr="00A74D23">
        <w:t>Des stratégies d’engagement dédiées aux secteurs les plus exposés aux risques de durabilité</w:t>
      </w:r>
      <w:bookmarkEnd w:id="65"/>
      <w:bookmarkEnd w:id="66"/>
    </w:p>
    <w:p w14:paraId="07103B4D" w14:textId="77777777" w:rsidR="0089506C" w:rsidRPr="00A74D23" w:rsidRDefault="0089506C" w:rsidP="009D6EE5">
      <w:pPr>
        <w:pStyle w:val="Default"/>
        <w:spacing w:line="22" w:lineRule="atLeast"/>
        <w:jc w:val="both"/>
        <w:rPr>
          <w:rFonts w:asciiTheme="minorHAnsi" w:hAnsiTheme="minorHAnsi"/>
          <w:sz w:val="20"/>
        </w:rPr>
      </w:pPr>
    </w:p>
    <w:p w14:paraId="14BFB1FF" w14:textId="77777777" w:rsidR="0089506C" w:rsidRPr="00A74D23" w:rsidRDefault="0089506C" w:rsidP="009D6EE5">
      <w:pPr>
        <w:pStyle w:val="Default"/>
        <w:spacing w:line="22" w:lineRule="atLeast"/>
        <w:jc w:val="both"/>
        <w:rPr>
          <w:rFonts w:asciiTheme="minorHAnsi" w:hAnsiTheme="minorHAnsi"/>
          <w:sz w:val="20"/>
        </w:rPr>
      </w:pPr>
      <w:r w:rsidRPr="00A74D23">
        <w:rPr>
          <w:rFonts w:asciiTheme="minorHAnsi" w:hAnsiTheme="minorHAnsi"/>
          <w:sz w:val="20"/>
        </w:rPr>
        <w:t xml:space="preserve">Nos stratégies d’investissement et d’exclusion s’accompagnent de politiques d’engagement actif. </w:t>
      </w:r>
    </w:p>
    <w:p w14:paraId="191C3FE2" w14:textId="77777777" w:rsidR="0089506C" w:rsidRPr="00A74D23" w:rsidRDefault="0089506C" w:rsidP="009D6EE5">
      <w:pPr>
        <w:pStyle w:val="Default"/>
        <w:spacing w:line="22" w:lineRule="atLeast"/>
        <w:jc w:val="both"/>
        <w:rPr>
          <w:rFonts w:asciiTheme="minorHAnsi" w:hAnsiTheme="minorHAnsi"/>
          <w:sz w:val="20"/>
          <w:szCs w:val="20"/>
        </w:rPr>
      </w:pPr>
    </w:p>
    <w:p w14:paraId="6BCB7613" w14:textId="48B4FF84" w:rsidR="0089506C" w:rsidRPr="00A74D23" w:rsidRDefault="0089506C" w:rsidP="009D6EE5">
      <w:pPr>
        <w:pStyle w:val="Default"/>
        <w:spacing w:after="120" w:line="22" w:lineRule="atLeast"/>
        <w:jc w:val="both"/>
        <w:rPr>
          <w:rFonts w:asciiTheme="minorHAnsi" w:hAnsiTheme="minorHAnsi" w:cstheme="minorHAnsi"/>
          <w:b/>
          <w:bCs/>
          <w:sz w:val="20"/>
          <w:szCs w:val="20"/>
        </w:rPr>
      </w:pPr>
      <w:r w:rsidRPr="00A74D23">
        <w:rPr>
          <w:rFonts w:asciiTheme="minorHAnsi" w:hAnsiTheme="minorHAnsi"/>
          <w:noProof/>
        </w:rPr>
        <mc:AlternateContent>
          <mc:Choice Requires="wps">
            <w:drawing>
              <wp:anchor distT="0" distB="0" distL="114300" distR="114300" simplePos="0" relativeHeight="251514880" behindDoc="0" locked="0" layoutInCell="1" allowOverlap="1" wp14:anchorId="437CF2F2" wp14:editId="136592C2">
                <wp:simplePos x="0" y="0"/>
                <wp:positionH relativeFrom="margin">
                  <wp:align>left</wp:align>
                </wp:positionH>
                <wp:positionV relativeFrom="paragraph">
                  <wp:posOffset>201930</wp:posOffset>
                </wp:positionV>
                <wp:extent cx="2940050" cy="12700"/>
                <wp:effectExtent l="0" t="0" r="31750" b="25400"/>
                <wp:wrapNone/>
                <wp:docPr id="1224887344" name="Connecteur droit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40050" cy="1270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35079E" id="Connecteur droit 6" o:spid="_x0000_s1026" style="position:absolute;z-index:251514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5.9pt" to="231.5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" strokecolor="#ffd400 [3204]" strokeweight="1.5pt">
                <v:stroke joinstyle="miter"/>
                <o:lock v:ext="edit" shapetype="f"/>
                <w10:wrap anchorx="margin"/>
              </v:line>
            </w:pict>
          </mc:Fallback>
        </mc:AlternateContent>
      </w:r>
      <w:r w:rsidRPr="00A74D23">
        <w:rPr>
          <w:rFonts w:asciiTheme="minorHAnsi" w:hAnsiTheme="minorHAnsi"/>
          <w:noProof/>
        </w:rPr>
        <mc:AlternateContent>
          <mc:Choice Requires="wps">
            <w:drawing>
              <wp:anchor distT="0" distB="0" distL="114300" distR="114300" simplePos="0" relativeHeight="251510784" behindDoc="0" locked="0" layoutInCell="1" allowOverlap="1" wp14:anchorId="0F9D6E17" wp14:editId="02A62B29">
                <wp:simplePos x="0" y="0"/>
                <wp:positionH relativeFrom="margin">
                  <wp:align>left</wp:align>
                </wp:positionH>
                <wp:positionV relativeFrom="paragraph">
                  <wp:posOffset>201930</wp:posOffset>
                </wp:positionV>
                <wp:extent cx="2940050" cy="12700"/>
                <wp:effectExtent l="0" t="0" r="31750" b="25400"/>
                <wp:wrapNone/>
                <wp:docPr id="1656311858" name="Connecteur droit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40050" cy="1270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1BD6D9" id="Connecteur droit 5" o:spid="_x0000_s1026" style="position:absolute;z-index:2515107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5.9pt" to="231.5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" strokecolor="#ffd400 [3204]" strokeweight="1.5pt">
                <v:stroke joinstyle="miter"/>
                <o:lock v:ext="edit" shapetype="f"/>
                <w10:wrap anchorx="margin"/>
              </v:line>
            </w:pict>
          </mc:Fallback>
        </mc:AlternateContent>
      </w:r>
      <w:r w:rsidRPr="00A74D23">
        <w:rPr>
          <w:rFonts w:asciiTheme="minorHAnsi" w:hAnsiTheme="minorHAnsi" w:cstheme="minorHAnsi"/>
          <w:b/>
          <w:bCs/>
          <w:sz w:val="20"/>
          <w:szCs w:val="20"/>
        </w:rPr>
        <w:t>Engagement Net Zero Asset Owner Alliance (NZAOA)</w:t>
      </w:r>
    </w:p>
    <w:p w14:paraId="777DA0D9" w14:textId="477FA1EA" w:rsidR="0089506C" w:rsidRPr="00A74D23" w:rsidRDefault="0089506C" w:rsidP="009D6EE5">
      <w:pPr>
        <w:pStyle w:val="Default"/>
        <w:spacing w:after="120" w:line="22" w:lineRule="atLeast"/>
        <w:jc w:val="both"/>
        <w:rPr>
          <w:rFonts w:asciiTheme="minorHAnsi" w:hAnsiTheme="minorHAnsi"/>
          <w:b/>
          <w:bCs/>
          <w:sz w:val="20"/>
          <w:szCs w:val="20"/>
        </w:rPr>
      </w:pPr>
      <w:r w:rsidRPr="00A74D23">
        <w:rPr>
          <w:rFonts w:asciiTheme="minorHAnsi" w:hAnsiTheme="minorHAnsi"/>
          <w:b/>
          <w:bCs/>
          <w:sz w:val="20"/>
          <w:szCs w:val="20"/>
        </w:rPr>
        <w:t xml:space="preserve">Sur la thématique du changement climatique, </w:t>
      </w:r>
      <w:r w:rsidR="00495330" w:rsidRPr="00A74D23">
        <w:rPr>
          <w:rFonts w:asciiTheme="minorHAnsi" w:hAnsiTheme="minorHAnsi"/>
          <w:b/>
          <w:bCs/>
          <w:sz w:val="20"/>
          <w:szCs w:val="20"/>
        </w:rPr>
        <w:t>Ofi</w:t>
      </w:r>
      <w:r w:rsidRPr="00A74D23">
        <w:rPr>
          <w:rFonts w:asciiTheme="minorHAnsi" w:hAnsiTheme="minorHAnsi"/>
          <w:b/>
          <w:bCs/>
          <w:sz w:val="20"/>
          <w:szCs w:val="20"/>
        </w:rPr>
        <w:t xml:space="preserve"> Invest AM a poursuivi en 202</w:t>
      </w:r>
      <w:r w:rsidR="008B66CB" w:rsidRPr="00A74D23">
        <w:rPr>
          <w:rFonts w:asciiTheme="minorHAnsi" w:hAnsiTheme="minorHAnsi"/>
          <w:b/>
          <w:bCs/>
          <w:sz w:val="20"/>
          <w:szCs w:val="20"/>
        </w:rPr>
        <w:t>5</w:t>
      </w:r>
      <w:r w:rsidRPr="00A74D23">
        <w:rPr>
          <w:rFonts w:asciiTheme="minorHAnsi" w:hAnsiTheme="minorHAnsi"/>
          <w:b/>
          <w:bCs/>
          <w:sz w:val="20"/>
          <w:szCs w:val="20"/>
        </w:rPr>
        <w:t xml:space="preserve"> sa campagne d’engagement pour le compte d’Aéma Groupe dans le cadre de son adhésion à la Net Zero Asset Owner Alliance (NZAO). Cette nouvelle phase avait pour objectif d’approfondir les échanges avec certaines entreprises et, le cas échéant, d’activer des leviers d’escalade afin de renforcer l’alignement des émetteurs avec les objectifs de transition climatique.</w:t>
      </w:r>
    </w:p>
    <w:p w14:paraId="29909F0B" w14:textId="77777777" w:rsidR="0089506C" w:rsidRPr="00A74D23" w:rsidRDefault="0089506C" w:rsidP="009D6EE5">
      <w:pPr>
        <w:pStyle w:val="Default"/>
        <w:spacing w:after="120" w:line="22" w:lineRule="atLeast"/>
        <w:jc w:val="both"/>
        <w:rPr>
          <w:rFonts w:asciiTheme="minorHAnsi" w:hAnsiTheme="minorHAnsi"/>
          <w:sz w:val="20"/>
          <w:szCs w:val="20"/>
        </w:rPr>
      </w:pPr>
      <w:r w:rsidRPr="00A74D23">
        <w:rPr>
          <w:rFonts w:asciiTheme="minorHAnsi" w:hAnsiTheme="minorHAnsi"/>
          <w:sz w:val="20"/>
          <w:szCs w:val="20"/>
        </w:rPr>
        <w:t>Pour rappel, la campagne globale menée en 2023 et 2024 a conduit à l’envoi de 35 questionnaires, pour un total de 28 réponses et 22 meetings. À l’issue de cette première phase, plusieurs entreprises n’avaient toutefois pas répondu aux sollicitations. La campagne d’approfondissement et d’escalade lancée en 2026 a ainsi consisté à recontacter 10 entreprises, selon une segmentation fondée sur leur intensité carbone, leur capacité de progrès et la qualité des interactions antérieures.</w:t>
      </w:r>
    </w:p>
    <w:p w14:paraId="2C32265D" w14:textId="77777777" w:rsidR="0089506C" w:rsidRPr="00A74D23" w:rsidRDefault="0089506C" w:rsidP="009D6EE5">
      <w:pPr>
        <w:pStyle w:val="Default"/>
        <w:spacing w:after="120" w:line="22" w:lineRule="atLeast"/>
        <w:jc w:val="both"/>
        <w:rPr>
          <w:rFonts w:asciiTheme="minorHAnsi" w:hAnsiTheme="minorHAnsi"/>
          <w:sz w:val="20"/>
          <w:szCs w:val="20"/>
        </w:rPr>
      </w:pPr>
      <w:r w:rsidRPr="00A74D23">
        <w:rPr>
          <w:rFonts w:asciiTheme="minorHAnsi" w:hAnsiTheme="minorHAnsi"/>
          <w:sz w:val="20"/>
          <w:szCs w:val="20"/>
        </w:rPr>
        <w:t>Dans ce cadre, 5 émetteurs carbone</w:t>
      </w:r>
      <w:r w:rsidRPr="00A74D23">
        <w:rPr>
          <w:rFonts w:asciiTheme="minorHAnsi" w:hAnsiTheme="minorHAnsi"/>
          <w:sz w:val="20"/>
          <w:szCs w:val="20"/>
        </w:rPr>
        <w:noBreakHyphen/>
        <w:t>intensifs ayant déjà fait l’objet d’un dialogue ont été sélectionnés pour un engagement renforcé, en raison de leur potentiel d’amélioration sur les points identifiés (stratégie climat, trajectoires de décarbonation et gouvernance). Nous avons pu échanger avec l’ensemble de ces entreprises.</w:t>
      </w:r>
    </w:p>
    <w:p w14:paraId="1AF68E8F" w14:textId="77777777" w:rsidR="0089506C" w:rsidRPr="00A74D23" w:rsidRDefault="0089506C" w:rsidP="009D6EE5">
      <w:pPr>
        <w:pStyle w:val="Default"/>
        <w:spacing w:after="120" w:line="22" w:lineRule="atLeast"/>
        <w:jc w:val="both"/>
        <w:rPr>
          <w:rFonts w:asciiTheme="minorHAnsi" w:hAnsiTheme="minorHAnsi"/>
          <w:sz w:val="20"/>
          <w:szCs w:val="20"/>
        </w:rPr>
      </w:pPr>
      <w:r w:rsidRPr="00A74D23">
        <w:rPr>
          <w:rFonts w:asciiTheme="minorHAnsi" w:hAnsiTheme="minorHAnsi"/>
          <w:sz w:val="20"/>
          <w:szCs w:val="20"/>
        </w:rPr>
        <w:t xml:space="preserve">En parallèle, 5 émetteurs précédemment non-répondants ont fait l’objet de mesures d’escalade sous la forme de lettres officielles, rappelant les raisons de cette démarche ainsi que les impacts potentiels liés à une absence de retour et de progrès sur les enjeux climatiques (désinvestissement, </w:t>
      </w:r>
      <w:r w:rsidRPr="00A74D23">
        <w:rPr>
          <w:rFonts w:asciiTheme="minorHAnsi" w:hAnsiTheme="minorHAnsi"/>
          <w:i/>
          <w:iCs/>
          <w:sz w:val="20"/>
          <w:szCs w:val="20"/>
        </w:rPr>
        <w:t>name and shame</w:t>
      </w:r>
      <w:r w:rsidRPr="00A74D23">
        <w:rPr>
          <w:rFonts w:asciiTheme="minorHAnsi" w:hAnsiTheme="minorHAnsi"/>
          <w:sz w:val="20"/>
          <w:szCs w:val="20"/>
        </w:rPr>
        <w:t xml:space="preserve"> ou gel des investissements). Un dialogue effectif a pu être instauré avec 3 des 5 entreprises concernées. Néanmoins, les informations obtenues sont restées limitées, notamment chez 2 des 3 émetteurs nord</w:t>
      </w:r>
      <w:r w:rsidRPr="00A74D23">
        <w:rPr>
          <w:rFonts w:asciiTheme="minorHAnsi" w:hAnsiTheme="minorHAnsi"/>
          <w:sz w:val="20"/>
          <w:szCs w:val="20"/>
        </w:rPr>
        <w:noBreakHyphen/>
        <w:t>américains. Une entreprise européenne, traditionnellement réfractaire au dialogue, n’a quant à elle pas répondu.</w:t>
      </w:r>
    </w:p>
    <w:p w14:paraId="307AACBB" w14:textId="4D467735" w:rsidR="0089506C" w:rsidRPr="00A74D23" w:rsidRDefault="0089506C" w:rsidP="009D6EE5">
      <w:pPr>
        <w:pStyle w:val="Default"/>
        <w:spacing w:after="120" w:line="22" w:lineRule="atLeast"/>
        <w:jc w:val="both"/>
        <w:rPr>
          <w:rFonts w:asciiTheme="minorHAnsi" w:hAnsiTheme="minorHAnsi"/>
          <w:sz w:val="20"/>
          <w:szCs w:val="20"/>
        </w:rPr>
      </w:pPr>
      <w:r w:rsidRPr="00A74D23">
        <w:rPr>
          <w:rFonts w:asciiTheme="minorHAnsi" w:hAnsiTheme="minorHAnsi"/>
          <w:sz w:val="20"/>
          <w:szCs w:val="20"/>
        </w:rPr>
        <w:t>Sur le fond, les échanges témoignent d’une prise de conscience généralisée des enjeux climatiques et de démarches de transition globalement structurées. L’ensemble des entreprises intègre désormais l’enjeu climatique dans la rémunération du management et affiche une volonté claire de progression. Les émetteurs européens se distinguent par une maturité plus élevée et une plus grande ouverture au dialogue. Des efforts de réduction de l’intensité carbone et/ou des émissions de scope 3 sont observés de manière quasi systématique. Des limites subsistent cependant, notamment une absence de reporting exhaustif sur le scope 3, une couverture inégale de celui</w:t>
      </w:r>
      <w:r w:rsidRPr="00A74D23">
        <w:rPr>
          <w:rFonts w:asciiTheme="minorHAnsi" w:hAnsiTheme="minorHAnsi"/>
          <w:sz w:val="20"/>
          <w:szCs w:val="20"/>
        </w:rPr>
        <w:noBreakHyphen/>
        <w:t>ci dans les objectifs climatiques et une prise en compte encore insuffisamment formalisée des impacts sociaux de la transition.</w:t>
      </w:r>
    </w:p>
    <w:p w14:paraId="6D414930" w14:textId="77777777" w:rsidR="0089506C" w:rsidRPr="00A74D23" w:rsidRDefault="0089506C" w:rsidP="009D6EE5">
      <w:pPr>
        <w:pStyle w:val="Default"/>
        <w:spacing w:line="22" w:lineRule="atLeast"/>
        <w:jc w:val="both"/>
        <w:rPr>
          <w:rFonts w:asciiTheme="minorHAnsi" w:hAnsiTheme="minorHAnsi"/>
          <w:sz w:val="20"/>
          <w:szCs w:val="20"/>
        </w:rPr>
      </w:pPr>
    </w:p>
    <w:p w14:paraId="7CA1ACAC" w14:textId="457A3491" w:rsidR="0089506C" w:rsidRPr="00A74D23" w:rsidRDefault="0089506C" w:rsidP="009D6EE5">
      <w:pPr>
        <w:pStyle w:val="Default"/>
        <w:spacing w:line="22" w:lineRule="atLeast"/>
        <w:jc w:val="both"/>
        <w:rPr>
          <w:rFonts w:asciiTheme="minorHAnsi" w:hAnsiTheme="minorHAnsi"/>
          <w:b/>
          <w:bCs/>
          <w:sz w:val="20"/>
          <w:szCs w:val="20"/>
        </w:rPr>
      </w:pPr>
      <w:r w:rsidRPr="00A74D23">
        <w:rPr>
          <w:rFonts w:asciiTheme="minorHAnsi" w:hAnsiTheme="minorHAnsi"/>
          <w:noProof/>
        </w:rPr>
        <mc:AlternateContent>
          <mc:Choice Requires="wps">
            <w:drawing>
              <wp:anchor distT="4294967295" distB="4294967295" distL="114300" distR="114300" simplePos="0" relativeHeight="251521024" behindDoc="0" locked="0" layoutInCell="1" allowOverlap="1" wp14:anchorId="669B520E" wp14:editId="7C81B762">
                <wp:simplePos x="0" y="0"/>
                <wp:positionH relativeFrom="margin">
                  <wp:posOffset>-8255</wp:posOffset>
                </wp:positionH>
                <wp:positionV relativeFrom="paragraph">
                  <wp:posOffset>165099</wp:posOffset>
                </wp:positionV>
                <wp:extent cx="1114425" cy="0"/>
                <wp:effectExtent l="0" t="0" r="0" b="0"/>
                <wp:wrapNone/>
                <wp:docPr id="1129107286" name="Connecteur droit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1442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FDC88E" id="Connecteur droit 4" o:spid="_x0000_s1026" style="position:absolute;z-index:25152102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65pt,13pt" to="87.1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" strokecolor="#ffd400 [3204]" strokeweight="1.5pt">
                <v:stroke joinstyle="miter"/>
                <o:lock v:ext="edit" shapetype="f"/>
                <w10:wrap anchorx="margin"/>
              </v:line>
            </w:pict>
          </mc:Fallback>
        </mc:AlternateContent>
      </w:r>
      <w:r w:rsidRPr="00A74D23">
        <w:rPr>
          <w:rFonts w:asciiTheme="minorHAnsi" w:hAnsiTheme="minorHAnsi"/>
          <w:noProof/>
        </w:rPr>
        <mc:AlternateContent>
          <mc:Choice Requires="wps">
            <w:drawing>
              <wp:anchor distT="4294967295" distB="4294967295" distL="114300" distR="114300" simplePos="0" relativeHeight="251518976" behindDoc="0" locked="0" layoutInCell="1" allowOverlap="1" wp14:anchorId="134F2785" wp14:editId="553C11BF">
                <wp:simplePos x="0" y="0"/>
                <wp:positionH relativeFrom="margin">
                  <wp:posOffset>-8255</wp:posOffset>
                </wp:positionH>
                <wp:positionV relativeFrom="paragraph">
                  <wp:posOffset>165099</wp:posOffset>
                </wp:positionV>
                <wp:extent cx="1114425" cy="0"/>
                <wp:effectExtent l="0" t="0" r="0" b="0"/>
                <wp:wrapNone/>
                <wp:docPr id="1243965455" name="Connecteur droit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1442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564F70" id="Connecteur droit 3" o:spid="_x0000_s1026" style="position:absolute;z-index:25151897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65pt,13pt" to="87.1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" strokecolor="#ffd400 [3204]" strokeweight="1.5pt">
                <v:stroke joinstyle="miter"/>
                <o:lock v:ext="edit" shapetype="f"/>
                <w10:wrap anchorx="margin"/>
              </v:line>
            </w:pict>
          </mc:Fallback>
        </mc:AlternateContent>
      </w:r>
      <w:r w:rsidRPr="00A74D23">
        <w:rPr>
          <w:rFonts w:asciiTheme="minorHAnsi" w:hAnsiTheme="minorHAnsi"/>
          <w:b/>
          <w:bCs/>
          <w:sz w:val="20"/>
          <w:szCs w:val="20"/>
        </w:rPr>
        <w:t xml:space="preserve">Exemple : Hera </w:t>
      </w:r>
    </w:p>
    <w:p w14:paraId="616A3499" w14:textId="77777777" w:rsidR="0089506C" w:rsidRPr="00A74D23" w:rsidRDefault="0089506C" w:rsidP="009D6EE5">
      <w:pPr>
        <w:pStyle w:val="Default"/>
        <w:spacing w:line="22" w:lineRule="atLeast"/>
        <w:jc w:val="both"/>
        <w:rPr>
          <w:rFonts w:asciiTheme="minorHAnsi" w:hAnsiTheme="minorHAnsi"/>
          <w:b/>
          <w:bCs/>
          <w:sz w:val="12"/>
          <w:szCs w:val="12"/>
        </w:rPr>
      </w:pPr>
    </w:p>
    <w:p w14:paraId="4270C3FF" w14:textId="669B74E2" w:rsidR="0089506C" w:rsidRPr="00A74D23" w:rsidRDefault="0089506C" w:rsidP="00252441">
      <w:pPr>
        <w:pStyle w:val="Default"/>
        <w:spacing w:after="120" w:line="22" w:lineRule="atLeast"/>
        <w:jc w:val="both"/>
        <w:rPr>
          <w:rFonts w:asciiTheme="minorHAnsi" w:hAnsiTheme="minorHAnsi"/>
          <w:sz w:val="20"/>
          <w:szCs w:val="20"/>
        </w:rPr>
      </w:pPr>
      <w:r w:rsidRPr="00A74D23">
        <w:rPr>
          <w:rFonts w:asciiTheme="minorHAnsi" w:hAnsiTheme="minorHAnsi"/>
          <w:sz w:val="20"/>
          <w:szCs w:val="20"/>
        </w:rPr>
        <w:t xml:space="preserve">Un premier échange a eu lieu en novembre 2023 avec le responsable des relations investisseurs de </w:t>
      </w:r>
      <w:r w:rsidRPr="00A74D23">
        <w:rPr>
          <w:rFonts w:asciiTheme="minorHAnsi" w:hAnsiTheme="minorHAnsi"/>
          <w:b/>
          <w:bCs/>
          <w:sz w:val="20"/>
          <w:szCs w:val="20"/>
        </w:rPr>
        <w:t>Hera SpA</w:t>
      </w:r>
      <w:r w:rsidRPr="00A74D23">
        <w:rPr>
          <w:rFonts w:asciiTheme="minorHAnsi" w:hAnsiTheme="minorHAnsi"/>
          <w:sz w:val="20"/>
          <w:szCs w:val="20"/>
        </w:rPr>
        <w:t xml:space="preserve">, au cours duquel la société a annoncé la publication de sa stratégie Net </w:t>
      </w:r>
      <w:r w:rsidR="00252441" w:rsidRPr="00A74D23">
        <w:rPr>
          <w:rFonts w:asciiTheme="minorHAnsi" w:hAnsiTheme="minorHAnsi"/>
          <w:sz w:val="20"/>
          <w:szCs w:val="20"/>
        </w:rPr>
        <w:t>Z</w:t>
      </w:r>
      <w:r w:rsidRPr="00A74D23">
        <w:rPr>
          <w:rFonts w:asciiTheme="minorHAnsi" w:hAnsiTheme="minorHAnsi"/>
          <w:sz w:val="20"/>
          <w:szCs w:val="20"/>
        </w:rPr>
        <w:t>éro début 2024, dans le cadre de son plan d’affaires à horizon 2027. Ce dialogue a mis en évidence la dynamique du groupe en matière de services d’efficacité énergétique (isolation, panneaux solaires, pompes à chaleur) et ses bonnes performances en gestion des déchets, avec un taux de mise en décharge des déchets urbains limité à 2,3 %, très inférieur à l’objectif de 10 % fixé par l’ONU pour 2030 et à la moyenne italienne de 23 %. Hera valorise par ailleurs l’énergie issue des déchets de tiers.</w:t>
      </w:r>
    </w:p>
    <w:p w14:paraId="7AA58CCE" w14:textId="62EAFDEF" w:rsidR="0089506C" w:rsidRPr="00A74D23" w:rsidRDefault="0089506C" w:rsidP="00DD4741">
      <w:pPr>
        <w:pStyle w:val="Default"/>
        <w:spacing w:after="120" w:line="22" w:lineRule="atLeast"/>
        <w:jc w:val="both"/>
        <w:rPr>
          <w:rFonts w:asciiTheme="minorHAnsi" w:hAnsiTheme="minorHAnsi"/>
          <w:sz w:val="20"/>
          <w:szCs w:val="20"/>
        </w:rPr>
      </w:pPr>
      <w:r w:rsidRPr="00A74D23">
        <w:rPr>
          <w:rFonts w:asciiTheme="minorHAnsi" w:hAnsiTheme="minorHAnsi"/>
          <w:sz w:val="20"/>
          <w:szCs w:val="20"/>
        </w:rPr>
        <w:t>En septembre 2025, nous avons réengagé le dialogue avec deux responsables des relations investisseurs afin d’analyser la stratégie Net zéro publiée en 2024 et ses premières déclinaisons. Hera SpA vise une réduction de 37 % de ses émissions à horizon 2030 (scopes 1, 2 et 3) et la neutralité carbone en 2050, impliquant une baisse de 94 % des émissions de scope 3 par contrat de gaz ou d’électricité par client. Malgré une hausse des émissions en 2024 liée à des changements méthodologiques et à la croissance des volumes traités, celles</w:t>
      </w:r>
      <w:r w:rsidRPr="00A74D23">
        <w:rPr>
          <w:rFonts w:asciiTheme="minorHAnsi" w:hAnsiTheme="minorHAnsi"/>
          <w:sz w:val="20"/>
          <w:szCs w:val="20"/>
        </w:rPr>
        <w:noBreakHyphen/>
        <w:t>ci restent en recul de 14 % par rapport à 2019. Le groupe renforce ses investissements alignés avec la taxonomie européenne, avec un programme de 4,6 milliards d’euros sur 2024</w:t>
      </w:r>
      <w:r w:rsidRPr="00A74D23">
        <w:rPr>
          <w:rFonts w:asciiTheme="minorHAnsi" w:hAnsiTheme="minorHAnsi"/>
          <w:sz w:val="20"/>
          <w:szCs w:val="20"/>
        </w:rPr>
        <w:noBreakHyphen/>
        <w:t>2028 axé sur la décarbonisation, la transition juste et le développement des compétences, et mène plusieurs projets innovants, dont la capture de CO₂ et le recyclage avancé.</w:t>
      </w:r>
    </w:p>
    <w:p w14:paraId="3C17B74B" w14:textId="421172C6" w:rsidR="0089506C" w:rsidRPr="00A74D23" w:rsidRDefault="0089506C" w:rsidP="009D6EE5">
      <w:pPr>
        <w:pStyle w:val="Default"/>
        <w:spacing w:line="22" w:lineRule="atLeast"/>
        <w:jc w:val="both"/>
        <w:rPr>
          <w:rFonts w:asciiTheme="minorHAnsi" w:hAnsiTheme="minorHAnsi"/>
          <w:sz w:val="20"/>
          <w:szCs w:val="20"/>
        </w:rPr>
      </w:pPr>
      <w:r w:rsidRPr="00A74D23">
        <w:rPr>
          <w:rFonts w:asciiTheme="minorHAnsi" w:hAnsiTheme="minorHAnsi"/>
          <w:sz w:val="20"/>
          <w:szCs w:val="20"/>
        </w:rPr>
        <w:t xml:space="preserve">L’engagement confirme une gestion globalement maîtrisée de la trajectoire carbone de cette société </w:t>
      </w:r>
      <w:r w:rsidR="00426579" w:rsidRPr="00A74D23">
        <w:rPr>
          <w:rFonts w:asciiTheme="minorHAnsi" w:hAnsiTheme="minorHAnsi"/>
          <w:sz w:val="20"/>
          <w:szCs w:val="20"/>
        </w:rPr>
        <w:t xml:space="preserve">italienne </w:t>
      </w:r>
      <w:r w:rsidRPr="00A74D23">
        <w:rPr>
          <w:rFonts w:asciiTheme="minorHAnsi" w:hAnsiTheme="minorHAnsi"/>
          <w:sz w:val="20"/>
          <w:szCs w:val="20"/>
        </w:rPr>
        <w:t>multi</w:t>
      </w:r>
      <w:r w:rsidRPr="00A74D23">
        <w:rPr>
          <w:rFonts w:asciiTheme="minorHAnsi" w:hAnsiTheme="minorHAnsi"/>
          <w:sz w:val="20"/>
          <w:szCs w:val="20"/>
        </w:rPr>
        <w:noBreakHyphen/>
      </w:r>
      <w:r w:rsidR="00426579" w:rsidRPr="00A74D23">
        <w:rPr>
          <w:rFonts w:asciiTheme="minorHAnsi" w:hAnsiTheme="minorHAnsi"/>
          <w:sz w:val="20"/>
          <w:szCs w:val="20"/>
        </w:rPr>
        <w:t>services</w:t>
      </w:r>
      <w:r w:rsidRPr="00A74D23">
        <w:rPr>
          <w:rFonts w:asciiTheme="minorHAnsi" w:hAnsiTheme="minorHAnsi"/>
          <w:sz w:val="20"/>
          <w:szCs w:val="20"/>
        </w:rPr>
        <w:t>. Des points de vigilance subsistent toutefois, notamment l’absence d’un objectif intermédiaire à horizon 2040 et une dépendance partielle des émissions à des facteurs exogènes (acteurs tiers, politiques publiques). Par ailleurs, la poursuite de la croissance du groupe, soutenue par des opportunités de consolidation du marché italien, pourrait entraîner une hausse des émissions absolues à court terme. Dans ce contexte, un nouveau point d’étape apparaît pertinent au cours des deux prochaines années.</w:t>
      </w:r>
    </w:p>
    <w:p w14:paraId="74DF86D8" w14:textId="77777777" w:rsidR="0089506C" w:rsidRPr="00A74D23" w:rsidRDefault="0089506C" w:rsidP="009D6EE5">
      <w:pPr>
        <w:pStyle w:val="Default"/>
        <w:spacing w:line="22" w:lineRule="atLeast"/>
        <w:jc w:val="both"/>
        <w:rPr>
          <w:rFonts w:asciiTheme="minorHAnsi" w:hAnsiTheme="minorHAnsi"/>
          <w:sz w:val="20"/>
          <w:szCs w:val="20"/>
        </w:rPr>
      </w:pPr>
    </w:p>
    <w:p w14:paraId="3E44FB10" w14:textId="77777777" w:rsidR="0089506C" w:rsidRPr="00A74D23" w:rsidRDefault="0089506C" w:rsidP="009D6EE5">
      <w:pPr>
        <w:pStyle w:val="Default"/>
        <w:spacing w:line="22" w:lineRule="atLeast"/>
        <w:jc w:val="both"/>
        <w:rPr>
          <w:rFonts w:asciiTheme="minorHAnsi" w:hAnsiTheme="minorHAnsi"/>
          <w:sz w:val="20"/>
          <w:szCs w:val="20"/>
        </w:rPr>
      </w:pPr>
    </w:p>
    <w:p w14:paraId="7760728B" w14:textId="77777777" w:rsidR="0089506C" w:rsidRPr="00A74D23" w:rsidRDefault="0089506C" w:rsidP="009D6EE5">
      <w:pPr>
        <w:pStyle w:val="Default"/>
        <w:spacing w:line="22" w:lineRule="atLeast"/>
        <w:jc w:val="both"/>
        <w:rPr>
          <w:rFonts w:asciiTheme="minorHAnsi" w:hAnsiTheme="minorHAnsi" w:cstheme="minorHAnsi"/>
          <w:b/>
          <w:bCs/>
          <w:sz w:val="20"/>
          <w:szCs w:val="20"/>
        </w:rPr>
      </w:pPr>
      <w:r w:rsidRPr="00A74D23">
        <w:rPr>
          <w:rFonts w:asciiTheme="minorHAnsi" w:hAnsiTheme="minorHAnsi" w:cstheme="minorHAnsi"/>
          <w:b/>
          <w:bCs/>
          <w:sz w:val="20"/>
          <w:szCs w:val="20"/>
        </w:rPr>
        <w:t xml:space="preserve">Engagement thématique sur l’eau </w:t>
      </w:r>
    </w:p>
    <w:p w14:paraId="4A17479D" w14:textId="77777777" w:rsidR="0089506C" w:rsidRPr="00A74D23" w:rsidRDefault="0089506C" w:rsidP="009D6EE5">
      <w:pPr>
        <w:pStyle w:val="Default"/>
        <w:spacing w:line="22" w:lineRule="atLeast"/>
        <w:jc w:val="both"/>
        <w:rPr>
          <w:rFonts w:asciiTheme="minorHAnsi" w:hAnsiTheme="minorHAnsi"/>
          <w:sz w:val="20"/>
          <w:szCs w:val="20"/>
        </w:rPr>
      </w:pPr>
      <w:r w:rsidRPr="00A74D23">
        <w:rPr>
          <w:rFonts w:asciiTheme="minorHAnsi" w:hAnsiTheme="minorHAnsi"/>
          <w:noProof/>
        </w:rPr>
        <mc:AlternateContent>
          <mc:Choice Requires="wps">
            <w:drawing>
              <wp:anchor distT="0" distB="0" distL="114300" distR="114300" simplePos="0" relativeHeight="251516928" behindDoc="0" locked="0" layoutInCell="1" allowOverlap="1" wp14:anchorId="00EA8D44" wp14:editId="3ABBE48F">
                <wp:simplePos x="0" y="0"/>
                <wp:positionH relativeFrom="margin">
                  <wp:align>left</wp:align>
                </wp:positionH>
                <wp:positionV relativeFrom="paragraph">
                  <wp:posOffset>41000</wp:posOffset>
                </wp:positionV>
                <wp:extent cx="1884460" cy="0"/>
                <wp:effectExtent l="0" t="0" r="0" b="0"/>
                <wp:wrapNone/>
                <wp:docPr id="120362443" name="Connecteur droit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8446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192FB0" id="Connecteur droit 2" o:spid="_x0000_s1026" style="position:absolute;z-index:251516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25pt" to="148.4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" strokecolor="#ffd400 [3204]" strokeweight="1.5pt">
                <v:stroke joinstyle="miter"/>
                <o:lock v:ext="edit" shapetype="f"/>
                <w10:wrap anchorx="margin"/>
              </v:line>
            </w:pict>
          </mc:Fallback>
        </mc:AlternateContent>
      </w:r>
    </w:p>
    <w:p w14:paraId="7A233B75" w14:textId="77777777" w:rsidR="0089506C" w:rsidRPr="00A74D23" w:rsidRDefault="0089506C" w:rsidP="009D6EE5">
      <w:pPr>
        <w:pStyle w:val="Default"/>
        <w:spacing w:after="120" w:line="22" w:lineRule="atLeast"/>
        <w:jc w:val="both"/>
        <w:rPr>
          <w:rFonts w:asciiTheme="minorHAnsi" w:hAnsiTheme="minorHAnsi"/>
          <w:sz w:val="20"/>
          <w:szCs w:val="20"/>
        </w:rPr>
      </w:pPr>
      <w:r w:rsidRPr="00A74D23">
        <w:rPr>
          <w:rFonts w:asciiTheme="minorHAnsi" w:hAnsiTheme="minorHAnsi"/>
          <w:sz w:val="20"/>
          <w:szCs w:val="20"/>
        </w:rPr>
        <w:t>En 2024, nous avons initié un premier engagement thématique sur la gestion de l’eau, en entrant en dialogue avec une dizaine d’entreprises issues de différentes géographies et dont les activités présentent une forte dépendance et un impact significatif sur la ressource. Ce travail a été poursuivi en 2025 afin d’évaluer les progrès des entreprises déjà rencontrées et d’élargir l’analyse à de nouveaux émetteurs.</w:t>
      </w:r>
    </w:p>
    <w:p w14:paraId="34ACE726" w14:textId="77777777" w:rsidR="0089506C" w:rsidRPr="00A74D23" w:rsidRDefault="0089506C" w:rsidP="009D6EE5">
      <w:pPr>
        <w:pStyle w:val="Default"/>
        <w:spacing w:after="120" w:line="22" w:lineRule="atLeast"/>
        <w:jc w:val="both"/>
        <w:rPr>
          <w:rFonts w:asciiTheme="minorHAnsi" w:hAnsiTheme="minorHAnsi"/>
          <w:sz w:val="20"/>
          <w:szCs w:val="20"/>
        </w:rPr>
      </w:pPr>
      <w:r w:rsidRPr="00A74D23">
        <w:rPr>
          <w:rFonts w:asciiTheme="minorHAnsi" w:hAnsiTheme="minorHAnsi"/>
          <w:sz w:val="20"/>
          <w:szCs w:val="20"/>
        </w:rPr>
        <w:t>Cet engagement s’inscrit dans un contexte de pression croissante sur la ressource en eau, essentielle au fonctionnement de l’ensemble des secteurs économiques. Les activités humaines exercent une pression importante tant par la consommation que par la dégradation de la qualité de l’eau, justifiant une attention particulière portée à la gouvernance, à la stratégie et aux pratiques opérationnelles des entreprises exposées.</w:t>
      </w:r>
    </w:p>
    <w:p w14:paraId="682C6928" w14:textId="77777777" w:rsidR="0089506C" w:rsidRPr="00A74D23" w:rsidRDefault="0089506C" w:rsidP="009D6EE5">
      <w:pPr>
        <w:pStyle w:val="Default"/>
        <w:spacing w:after="120" w:line="22" w:lineRule="atLeast"/>
        <w:jc w:val="both"/>
        <w:rPr>
          <w:rFonts w:asciiTheme="minorHAnsi" w:hAnsiTheme="minorHAnsi"/>
          <w:sz w:val="20"/>
          <w:szCs w:val="20"/>
        </w:rPr>
      </w:pPr>
      <w:r w:rsidRPr="00A74D23">
        <w:rPr>
          <w:rFonts w:asciiTheme="minorHAnsi" w:hAnsiTheme="minorHAnsi"/>
          <w:sz w:val="20"/>
          <w:szCs w:val="20"/>
        </w:rPr>
        <w:t>Notre analyse porte en priorité sur la gouvernance de l’eau (responsabilité identifiée au niveau du conseil d’administration, intégration dans la rémunération variable), la stratégie et les objectifs de réduction de la consommation, ainsi que l’évolution des volumes d’eau utilisés. Nous évaluons également l’exposition des entreprises — dans leurs opérations ou leur chaîne d’approvisionnement — aux zones de stress hydrique, les mesures d’atténuation mises en place et les éventuelles controverses liées à l’usage ou à la pollution de l’eau. Des critères sectoriels spécifiques complètent cette analyse, notamment la gestion des fournisseurs, l’optimisation des procédés industriels et la prévention des risques de pollution.</w:t>
      </w:r>
    </w:p>
    <w:p w14:paraId="0ACB00E5" w14:textId="77777777" w:rsidR="0089506C" w:rsidRPr="00A74D23" w:rsidRDefault="0089506C" w:rsidP="009D6EE5">
      <w:pPr>
        <w:pStyle w:val="Default"/>
        <w:spacing w:after="120" w:line="22" w:lineRule="atLeast"/>
        <w:jc w:val="both"/>
        <w:rPr>
          <w:rFonts w:asciiTheme="minorHAnsi" w:hAnsiTheme="minorHAnsi"/>
          <w:sz w:val="20"/>
          <w:szCs w:val="20"/>
        </w:rPr>
      </w:pPr>
      <w:r w:rsidRPr="00A74D23">
        <w:rPr>
          <w:rFonts w:asciiTheme="minorHAnsi" w:hAnsiTheme="minorHAnsi"/>
          <w:sz w:val="20"/>
          <w:szCs w:val="20"/>
        </w:rPr>
        <w:t>En 2025, 8 entreprises issues de secteurs variés (chimie, agroalimentaire, services publics, construction) ont été contactées. Un entretien a pu être mené avec 6 d’entre elles ; une entreprise a répondu par écrit de manière jugée insuffisante et une autre n’a pas donné suite malgré plusieurs relances. Le recours à des intermédiaires a permis d’améliorer l’accès au dialogue, notamment avec des entreprises basées en Amérique du Nord.</w:t>
      </w:r>
    </w:p>
    <w:p w14:paraId="50131053" w14:textId="3DD38413" w:rsidR="0089506C" w:rsidRPr="00A74D23" w:rsidRDefault="0089506C" w:rsidP="009D6EE5">
      <w:pPr>
        <w:pStyle w:val="Default"/>
        <w:spacing w:after="120" w:line="22" w:lineRule="atLeast"/>
        <w:jc w:val="both"/>
        <w:rPr>
          <w:rFonts w:asciiTheme="minorHAnsi" w:hAnsiTheme="minorHAnsi"/>
          <w:sz w:val="20"/>
          <w:szCs w:val="20"/>
        </w:rPr>
      </w:pPr>
      <w:r w:rsidRPr="00A74D23">
        <w:rPr>
          <w:rFonts w:asciiTheme="minorHAnsi" w:hAnsiTheme="minorHAnsi"/>
          <w:sz w:val="20"/>
          <w:szCs w:val="20"/>
        </w:rPr>
        <w:t>L’engagement met en évidence des entreprises globalement conscientes de leur dépendance à l’eau et disposant de dispositifs de gestion majoritairement robustes. Toutes les entreprises répondantes ont mis en place des plans de gestion de l’eau, bien que ceux</w:t>
      </w:r>
      <w:r w:rsidRPr="00A74D23">
        <w:rPr>
          <w:rFonts w:asciiTheme="minorHAnsi" w:hAnsiTheme="minorHAnsi"/>
          <w:sz w:val="20"/>
          <w:szCs w:val="20"/>
        </w:rPr>
        <w:noBreakHyphen/>
        <w:t>ci puissent encore gagner en précision, notamment en termes d’objectifs chiffrés et de leviers opérationnels. Les enjeux liés à l’eau sont systématiquement traités au niveau du conseil d’administration et intégrés à la rémunération, même si ces critères restent souvent agrégés. La transparence apparaît satisfaisante, l’ensemble des entreprises répondant au CDP Water ; des marges de progrès subsistent toutefois, notamment via une évolution vers les recommandations de la TNFD. Enfin, des avancées concrètes ont été observées chez plusieurs entreprises suivies dans la durée, en particulier en matière de reporting, de fixation de nouveaux objectifs et d’optimisation de la consommation d’eau.</w:t>
      </w:r>
    </w:p>
    <w:p w14:paraId="06661FFD" w14:textId="77777777" w:rsidR="0089506C" w:rsidRPr="00A74D23" w:rsidRDefault="0089506C" w:rsidP="009D6EE5">
      <w:pPr>
        <w:pStyle w:val="Default"/>
        <w:spacing w:line="22" w:lineRule="atLeast"/>
        <w:jc w:val="both"/>
        <w:rPr>
          <w:rFonts w:asciiTheme="minorHAnsi" w:hAnsiTheme="minorHAnsi"/>
          <w:sz w:val="20"/>
          <w:szCs w:val="20"/>
        </w:rPr>
      </w:pPr>
    </w:p>
    <w:p w14:paraId="16E5EC9A" w14:textId="77777777" w:rsidR="0089506C" w:rsidRPr="00A74D23" w:rsidRDefault="0089506C" w:rsidP="009D6EE5">
      <w:pPr>
        <w:pStyle w:val="Default"/>
        <w:spacing w:line="22" w:lineRule="atLeast"/>
        <w:jc w:val="both"/>
        <w:rPr>
          <w:rFonts w:asciiTheme="minorHAnsi" w:hAnsiTheme="minorHAnsi"/>
          <w:sz w:val="20"/>
          <w:szCs w:val="20"/>
        </w:rPr>
      </w:pPr>
    </w:p>
    <w:p w14:paraId="0DB2928F" w14:textId="1CF949DE" w:rsidR="0089506C" w:rsidRPr="00A74D23" w:rsidRDefault="0089506C" w:rsidP="009D6EE5">
      <w:pPr>
        <w:pStyle w:val="Default"/>
        <w:spacing w:line="22" w:lineRule="atLeast"/>
        <w:jc w:val="both"/>
        <w:rPr>
          <w:rFonts w:asciiTheme="minorHAnsi" w:hAnsiTheme="minorHAnsi"/>
          <w:b/>
          <w:bCs/>
          <w:sz w:val="20"/>
          <w:szCs w:val="20"/>
        </w:rPr>
      </w:pPr>
      <w:r w:rsidRPr="00A74D23">
        <w:rPr>
          <w:rFonts w:asciiTheme="minorHAnsi" w:hAnsiTheme="minorHAnsi"/>
          <w:b/>
          <w:bCs/>
          <w:sz w:val="20"/>
          <w:szCs w:val="20"/>
        </w:rPr>
        <w:t xml:space="preserve">Exemple d’engagement : General Mills </w:t>
      </w:r>
    </w:p>
    <w:p w14:paraId="16AD3DC9" w14:textId="2293934E" w:rsidR="0089506C" w:rsidRPr="00A74D23" w:rsidRDefault="00426579" w:rsidP="009D6EE5">
      <w:pPr>
        <w:pStyle w:val="Default"/>
        <w:spacing w:line="22" w:lineRule="atLeast"/>
        <w:jc w:val="both"/>
        <w:rPr>
          <w:rFonts w:asciiTheme="minorHAnsi" w:hAnsiTheme="minorHAnsi"/>
          <w:b/>
          <w:bCs/>
          <w:sz w:val="8"/>
          <w:szCs w:val="8"/>
        </w:rPr>
      </w:pPr>
      <w:r w:rsidRPr="00A74D23">
        <w:rPr>
          <w:rFonts w:asciiTheme="minorHAnsi" w:hAnsiTheme="minorHAnsi"/>
          <w:noProof/>
        </w:rPr>
        <mc:AlternateContent>
          <mc:Choice Requires="wps">
            <w:drawing>
              <wp:anchor distT="0" distB="0" distL="114300" distR="114300" simplePos="0" relativeHeight="251512832" behindDoc="0" locked="0" layoutInCell="1" allowOverlap="1" wp14:anchorId="6CDD46A0" wp14:editId="3BD271D3">
                <wp:simplePos x="0" y="0"/>
                <wp:positionH relativeFrom="margin">
                  <wp:align>left</wp:align>
                </wp:positionH>
                <wp:positionV relativeFrom="paragraph">
                  <wp:posOffset>3919</wp:posOffset>
                </wp:positionV>
                <wp:extent cx="2138901" cy="0"/>
                <wp:effectExtent l="0" t="0" r="0" b="0"/>
                <wp:wrapNone/>
                <wp:docPr id="930827865" name="Connecteur droit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138901"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C642AF" id="Connecteur droit 1" o:spid="_x0000_s1026" style="position:absolute;flip:y;z-index:251512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pt" to="168.4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" strokecolor="#ffd400 [3204]" strokeweight="1.5pt">
                <v:stroke joinstyle="miter"/>
                <o:lock v:ext="edit" shapetype="f"/>
                <w10:wrap anchorx="margin"/>
              </v:line>
            </w:pict>
          </mc:Fallback>
        </mc:AlternateContent>
      </w:r>
    </w:p>
    <w:p w14:paraId="0F280697" w14:textId="77777777" w:rsidR="0089506C" w:rsidRPr="00A74D23" w:rsidRDefault="0089506C" w:rsidP="009D6EE5">
      <w:pPr>
        <w:pStyle w:val="NormalWeb"/>
        <w:spacing w:line="22" w:lineRule="atLeast"/>
        <w:jc w:val="both"/>
        <w:rPr>
          <w:rFonts w:asciiTheme="minorHAnsi" w:hAnsiTheme="minorHAnsi" w:cs="Prompt Light"/>
          <w:sz w:val="20"/>
          <w:szCs w:val="20"/>
        </w:rPr>
      </w:pPr>
      <w:r w:rsidRPr="00A74D23">
        <w:rPr>
          <w:rFonts w:asciiTheme="minorHAnsi" w:hAnsiTheme="minorHAnsi" w:cs="Prompt Light"/>
          <w:sz w:val="20"/>
          <w:szCs w:val="20"/>
        </w:rPr>
        <w:t xml:space="preserve">Compte tenu de la forte dépendance de </w:t>
      </w:r>
      <w:r w:rsidRPr="00A74D23">
        <w:rPr>
          <w:rStyle w:val="lev"/>
          <w:rFonts w:asciiTheme="minorHAnsi" w:eastAsiaTheme="majorEastAsia" w:hAnsiTheme="minorHAnsi" w:cs="Prompt Light"/>
          <w:sz w:val="20"/>
          <w:szCs w:val="20"/>
        </w:rPr>
        <w:t>General Mills</w:t>
      </w:r>
      <w:r w:rsidRPr="00A74D23">
        <w:rPr>
          <w:rFonts w:asciiTheme="minorHAnsi" w:hAnsiTheme="minorHAnsi" w:cs="Prompt Light"/>
          <w:sz w:val="20"/>
          <w:szCs w:val="20"/>
        </w:rPr>
        <w:t xml:space="preserve"> aux matières premières agricoles, la gestion durable de l’eau au sein de sa chaîne d’approvisionnement constitue un enjeu clé de résilience opérationnelle et de durabilité. Notre engagement visait à évaluer la stratégie du groupe en matière de gestion de l’eau tout au long de sa chaîne de valeur, l’exposition de ses filières agricoles aux zones de stress hydrique, ainsi que la maturité de sa gouvernance sur ces enjeux.</w:t>
      </w:r>
    </w:p>
    <w:p w14:paraId="0D9175AC" w14:textId="77777777" w:rsidR="0089506C" w:rsidRPr="00A74D23" w:rsidRDefault="0089506C" w:rsidP="00363E47">
      <w:pPr>
        <w:spacing w:after="120" w:line="22" w:lineRule="atLeast"/>
        <w:jc w:val="both"/>
        <w:rPr>
          <w:rFonts w:asciiTheme="minorHAnsi" w:hAnsiTheme="minorHAnsi" w:cs="Prompt Light"/>
          <w:sz w:val="20"/>
          <w:szCs w:val="20"/>
          <w:lang w:val="fr-FR"/>
        </w:rPr>
      </w:pPr>
      <w:r w:rsidRPr="00A74D23">
        <w:rPr>
          <w:rFonts w:asciiTheme="minorHAnsi" w:hAnsiTheme="minorHAnsi" w:cs="Prompt Light"/>
          <w:sz w:val="20"/>
          <w:szCs w:val="20"/>
          <w:lang w:val="fr-FR"/>
        </w:rPr>
        <w:t>General Mills a été sollicitée au cours des deux années de la campagne, avec l’établissement d’un dialogue continu. Deux entretiens successifs, complétés par des échanges écrits, ont permis d’approfondir la compréhension de sa stratégie hydrique. Dès la première année, plusieurs axes de progrès ont été identifiés : renforcement de la gestion de l’eau sur l’ensemble de la chaîne d’approvisionnement, formalisation des attentes à destination des fournisseurs exposés au stress hydrique et meilleure intégration d’indicateurs liés à la biodiversité et à l’eau dans la rémunération du management. Au fil des échanges, l’entreprise a présenté des initiatives mises en œuvre auprès de fournisseurs situés dans des bassins à risque, ainsi que l’avancement de ses programmes d’agriculture régénérative.</w:t>
      </w:r>
    </w:p>
    <w:p w14:paraId="205BFE69" w14:textId="77777777" w:rsidR="0089506C" w:rsidRPr="00A74D23" w:rsidRDefault="0089506C" w:rsidP="009D6EE5">
      <w:pPr>
        <w:spacing w:line="22" w:lineRule="atLeast"/>
        <w:jc w:val="both"/>
        <w:rPr>
          <w:rFonts w:asciiTheme="minorHAnsi" w:hAnsiTheme="minorHAnsi" w:cs="Prompt Light"/>
          <w:sz w:val="20"/>
          <w:szCs w:val="20"/>
          <w:lang w:val="fr-FR"/>
        </w:rPr>
      </w:pPr>
      <w:r w:rsidRPr="00A74D23">
        <w:rPr>
          <w:rFonts w:asciiTheme="minorHAnsi" w:hAnsiTheme="minorHAnsi" w:cs="Prompt Light"/>
          <w:sz w:val="20"/>
          <w:szCs w:val="20"/>
          <w:lang w:val="fr-FR"/>
        </w:rPr>
        <w:t>Les échanges ont permis de constater des avancées positives, notamment en matière de transparence sur l’exposition aux zones de stress hydrique et sur les actions correctrices déployées. Néanmoins, les initiatives demeurent encore partielles et insuffisamment structurées à l’échelle de l’ensemble des fournisseurs, et le plan de gestion de l’eau manque d’indicateurs permettant un suivi précis des progrès. Sur le plan de la gouvernance, l’intégration d’objectifs de durabilité dans les priorités annuelles du CEO, influençant sa rémunération variable de court terme, constitue une amélioration notable. Toutefois, l’absence d’indicateurs chiffrés et de dispositifs incitatifs de long terme limite encore la portée de ces avancées.</w:t>
      </w:r>
    </w:p>
    <w:p w14:paraId="043BBB18" w14:textId="5195000B" w:rsidR="0089506C" w:rsidRPr="00A74D23" w:rsidRDefault="0089506C" w:rsidP="009D6EE5">
      <w:pPr>
        <w:spacing w:line="22" w:lineRule="atLeast"/>
        <w:jc w:val="both"/>
        <w:rPr>
          <w:rFonts w:asciiTheme="minorHAnsi" w:hAnsiTheme="minorHAnsi"/>
          <w:lang w:val="fr-FR"/>
        </w:rPr>
      </w:pPr>
    </w:p>
    <w:p w14:paraId="0DF606E5" w14:textId="100F8FCD" w:rsidR="00EC561F" w:rsidRPr="00A74D23" w:rsidRDefault="00EC561F" w:rsidP="00815239">
      <w:pPr>
        <w:spacing w:line="22" w:lineRule="atLeast"/>
        <w:jc w:val="both"/>
        <w:textAlignment w:val="center"/>
        <w:rPr>
          <w:rFonts w:asciiTheme="minorHAnsi" w:hAnsiTheme="minorHAnsi"/>
          <w:sz w:val="20"/>
          <w:shd w:val="clear" w:color="auto" w:fill="FFFFFF"/>
          <w:lang w:val="fr-FR"/>
        </w:rPr>
      </w:pPr>
    </w:p>
    <w:p w14:paraId="7664479F" w14:textId="77777777" w:rsidR="00815239" w:rsidRPr="00A74D23" w:rsidRDefault="00815239" w:rsidP="00815239">
      <w:pPr>
        <w:spacing w:line="22" w:lineRule="atLeast"/>
        <w:jc w:val="both"/>
        <w:textAlignment w:val="center"/>
        <w:rPr>
          <w:rFonts w:asciiTheme="minorHAnsi" w:hAnsiTheme="minorHAnsi" w:cs="Open Sans"/>
          <w:sz w:val="18"/>
          <w:szCs w:val="18"/>
          <w:lang w:val="fr-FR"/>
        </w:rPr>
      </w:pPr>
    </w:p>
    <w:p w14:paraId="0BA1B6CF" w14:textId="77777777" w:rsidR="00EC561F" w:rsidRPr="00A74D23" w:rsidRDefault="00EC561F" w:rsidP="009D6EE5">
      <w:pPr>
        <w:pStyle w:val="Default"/>
        <w:spacing w:line="22" w:lineRule="atLeast"/>
        <w:jc w:val="both"/>
        <w:rPr>
          <w:rFonts w:asciiTheme="minorHAnsi" w:hAnsiTheme="minorHAnsi" w:cs="Open Sans"/>
          <w:sz w:val="18"/>
          <w:szCs w:val="18"/>
        </w:rPr>
      </w:pPr>
    </w:p>
    <w:p w14:paraId="48356AEE" w14:textId="77777777" w:rsidR="00EC561F" w:rsidRPr="00A74D23" w:rsidRDefault="00EC561F" w:rsidP="009D6EE5">
      <w:pPr>
        <w:pStyle w:val="Default"/>
        <w:spacing w:line="22" w:lineRule="atLeast"/>
        <w:jc w:val="both"/>
        <w:rPr>
          <w:rFonts w:asciiTheme="minorHAnsi" w:hAnsiTheme="minorHAnsi" w:cs="Open Sans"/>
          <w:sz w:val="18"/>
          <w:szCs w:val="18"/>
        </w:rPr>
      </w:pPr>
    </w:p>
    <w:p w14:paraId="68B0308E" w14:textId="77777777" w:rsidR="00EC561F" w:rsidRPr="00A74D23" w:rsidRDefault="00EC561F" w:rsidP="009D6EE5">
      <w:pPr>
        <w:pStyle w:val="Default"/>
        <w:spacing w:line="22" w:lineRule="atLeast"/>
        <w:jc w:val="both"/>
        <w:rPr>
          <w:rFonts w:asciiTheme="minorHAnsi" w:hAnsiTheme="minorHAnsi" w:cs="Open Sans"/>
          <w:sz w:val="18"/>
          <w:szCs w:val="18"/>
        </w:rPr>
      </w:pPr>
    </w:p>
    <w:p w14:paraId="1E094A71" w14:textId="77777777" w:rsidR="00EC561F" w:rsidRPr="00A74D23" w:rsidRDefault="00EC561F" w:rsidP="009D6EE5">
      <w:pPr>
        <w:pStyle w:val="Default"/>
        <w:spacing w:line="22" w:lineRule="atLeast"/>
        <w:jc w:val="both"/>
        <w:rPr>
          <w:rFonts w:asciiTheme="minorHAnsi" w:hAnsiTheme="minorHAnsi" w:cs="Open Sans"/>
          <w:sz w:val="18"/>
          <w:szCs w:val="18"/>
        </w:rPr>
      </w:pPr>
    </w:p>
    <w:p w14:paraId="069B0A25" w14:textId="77777777" w:rsidR="00EC561F" w:rsidRPr="00A74D23" w:rsidRDefault="00EC561F" w:rsidP="009D6EE5">
      <w:pPr>
        <w:pStyle w:val="Default"/>
        <w:spacing w:line="22" w:lineRule="atLeast"/>
        <w:jc w:val="both"/>
        <w:rPr>
          <w:rFonts w:asciiTheme="minorHAnsi" w:hAnsiTheme="minorHAnsi" w:cs="Open Sans"/>
          <w:sz w:val="18"/>
          <w:szCs w:val="18"/>
        </w:rPr>
      </w:pPr>
    </w:p>
    <w:p w14:paraId="40277FCE" w14:textId="77777777" w:rsidR="00EC561F" w:rsidRPr="00A74D23" w:rsidRDefault="00EC561F" w:rsidP="009D6EE5">
      <w:pPr>
        <w:pStyle w:val="Default"/>
        <w:spacing w:line="22" w:lineRule="atLeast"/>
        <w:jc w:val="both"/>
        <w:rPr>
          <w:rFonts w:asciiTheme="minorHAnsi" w:hAnsiTheme="minorHAnsi" w:cs="Open Sans"/>
          <w:sz w:val="18"/>
          <w:szCs w:val="18"/>
        </w:rPr>
      </w:pPr>
    </w:p>
    <w:p w14:paraId="3F831481" w14:textId="77777777" w:rsidR="00EC561F" w:rsidRPr="00A74D23" w:rsidRDefault="00EC561F" w:rsidP="009D6EE5">
      <w:pPr>
        <w:pStyle w:val="Default"/>
        <w:spacing w:line="22" w:lineRule="atLeast"/>
        <w:jc w:val="both"/>
        <w:rPr>
          <w:rFonts w:asciiTheme="minorHAnsi" w:hAnsiTheme="minorHAnsi" w:cs="Open Sans"/>
          <w:sz w:val="18"/>
          <w:szCs w:val="18"/>
        </w:rPr>
      </w:pPr>
    </w:p>
    <w:p w14:paraId="4B24C308" w14:textId="77777777" w:rsidR="00EC561F" w:rsidRPr="00A74D23" w:rsidRDefault="00EC561F" w:rsidP="009D6EE5">
      <w:pPr>
        <w:pStyle w:val="Default"/>
        <w:spacing w:line="22" w:lineRule="atLeast"/>
        <w:jc w:val="both"/>
        <w:rPr>
          <w:rFonts w:asciiTheme="minorHAnsi" w:hAnsiTheme="minorHAnsi" w:cs="Open Sans"/>
          <w:sz w:val="18"/>
          <w:szCs w:val="18"/>
        </w:rPr>
      </w:pPr>
    </w:p>
    <w:p w14:paraId="23844338" w14:textId="77777777" w:rsidR="00EC561F" w:rsidRPr="00A74D23" w:rsidRDefault="00EC561F" w:rsidP="009D6EE5">
      <w:pPr>
        <w:pStyle w:val="Default"/>
        <w:spacing w:line="22" w:lineRule="atLeast"/>
        <w:jc w:val="both"/>
        <w:rPr>
          <w:rFonts w:asciiTheme="minorHAnsi" w:hAnsiTheme="minorHAnsi" w:cs="Open Sans"/>
          <w:sz w:val="18"/>
          <w:szCs w:val="18"/>
        </w:rPr>
      </w:pPr>
    </w:p>
    <w:p w14:paraId="1BB41BC1" w14:textId="77777777" w:rsidR="00EC561F" w:rsidRPr="00A74D23" w:rsidRDefault="00EC561F" w:rsidP="009D6EE5">
      <w:pPr>
        <w:pStyle w:val="Default"/>
        <w:spacing w:line="22" w:lineRule="atLeast"/>
        <w:jc w:val="both"/>
        <w:rPr>
          <w:rFonts w:asciiTheme="minorHAnsi" w:hAnsiTheme="minorHAnsi" w:cs="Open Sans"/>
          <w:sz w:val="18"/>
          <w:szCs w:val="18"/>
        </w:rPr>
      </w:pPr>
    </w:p>
    <w:p w14:paraId="03B02E7B" w14:textId="77777777" w:rsidR="00EC561F" w:rsidRPr="00A74D23" w:rsidRDefault="00EC561F" w:rsidP="009D6EE5">
      <w:pPr>
        <w:pStyle w:val="Default"/>
        <w:spacing w:line="22" w:lineRule="atLeast"/>
        <w:jc w:val="both"/>
        <w:rPr>
          <w:rFonts w:asciiTheme="minorHAnsi" w:hAnsiTheme="minorHAnsi" w:cs="Open Sans"/>
          <w:sz w:val="18"/>
          <w:szCs w:val="18"/>
        </w:rPr>
      </w:pPr>
    </w:p>
    <w:p w14:paraId="5D50F338" w14:textId="77777777" w:rsidR="00EC561F" w:rsidRPr="00A74D23" w:rsidRDefault="00EC561F" w:rsidP="009D6EE5">
      <w:pPr>
        <w:pStyle w:val="Default"/>
        <w:spacing w:line="22" w:lineRule="atLeast"/>
        <w:jc w:val="both"/>
        <w:rPr>
          <w:rFonts w:asciiTheme="minorHAnsi" w:hAnsiTheme="minorHAnsi" w:cs="Open Sans"/>
          <w:sz w:val="18"/>
          <w:szCs w:val="18"/>
        </w:rPr>
      </w:pPr>
    </w:p>
    <w:p w14:paraId="72E03519" w14:textId="77777777" w:rsidR="00EC561F" w:rsidRPr="00A74D23" w:rsidRDefault="00EC561F" w:rsidP="009D6EE5">
      <w:pPr>
        <w:pStyle w:val="Default"/>
        <w:spacing w:line="22" w:lineRule="atLeast"/>
        <w:jc w:val="both"/>
        <w:rPr>
          <w:rFonts w:asciiTheme="minorHAnsi" w:hAnsiTheme="minorHAnsi" w:cs="Open Sans"/>
          <w:sz w:val="18"/>
          <w:szCs w:val="18"/>
        </w:rPr>
      </w:pPr>
    </w:p>
    <w:p w14:paraId="3055C668" w14:textId="77777777" w:rsidR="00EC561F" w:rsidRPr="00A74D23" w:rsidRDefault="00EC561F" w:rsidP="009D6EE5">
      <w:pPr>
        <w:pStyle w:val="Default"/>
        <w:spacing w:line="22" w:lineRule="atLeast"/>
        <w:jc w:val="both"/>
        <w:rPr>
          <w:rFonts w:asciiTheme="minorHAnsi" w:hAnsiTheme="minorHAnsi" w:cs="Open Sans"/>
          <w:sz w:val="18"/>
          <w:szCs w:val="18"/>
        </w:rPr>
      </w:pPr>
    </w:p>
    <w:p w14:paraId="2B37A86E" w14:textId="77777777" w:rsidR="00EC561F" w:rsidRPr="00A74D23" w:rsidRDefault="00EC561F" w:rsidP="009D6EE5">
      <w:pPr>
        <w:pStyle w:val="Default"/>
        <w:spacing w:line="22" w:lineRule="atLeast"/>
        <w:jc w:val="both"/>
        <w:rPr>
          <w:rFonts w:asciiTheme="minorHAnsi" w:hAnsiTheme="minorHAnsi" w:cs="Open Sans"/>
          <w:sz w:val="18"/>
          <w:szCs w:val="18"/>
        </w:rPr>
      </w:pPr>
    </w:p>
    <w:p w14:paraId="2AC24EF4" w14:textId="77777777" w:rsidR="00EC561F" w:rsidRPr="00A74D23" w:rsidRDefault="00EC561F" w:rsidP="009D6EE5">
      <w:pPr>
        <w:pStyle w:val="Default"/>
        <w:spacing w:line="22" w:lineRule="atLeast"/>
        <w:jc w:val="both"/>
        <w:rPr>
          <w:rFonts w:asciiTheme="minorHAnsi" w:hAnsiTheme="minorHAnsi" w:cs="Open Sans"/>
          <w:sz w:val="18"/>
          <w:szCs w:val="18"/>
        </w:rPr>
      </w:pPr>
    </w:p>
    <w:p w14:paraId="04AFDD03" w14:textId="77777777" w:rsidR="00EC561F" w:rsidRPr="00A74D23" w:rsidRDefault="00EC561F" w:rsidP="009D6EE5">
      <w:pPr>
        <w:pStyle w:val="Default"/>
        <w:spacing w:line="22" w:lineRule="atLeast"/>
        <w:jc w:val="both"/>
        <w:rPr>
          <w:rFonts w:asciiTheme="minorHAnsi" w:hAnsiTheme="minorHAnsi" w:cs="Open Sans"/>
          <w:sz w:val="18"/>
          <w:szCs w:val="18"/>
        </w:rPr>
      </w:pPr>
    </w:p>
    <w:p w14:paraId="4BED06C6" w14:textId="77777777" w:rsidR="00EC561F" w:rsidRPr="00A74D23" w:rsidRDefault="00EC561F" w:rsidP="009D6EE5">
      <w:pPr>
        <w:pStyle w:val="Default"/>
        <w:spacing w:line="22" w:lineRule="atLeast"/>
        <w:jc w:val="both"/>
        <w:rPr>
          <w:rFonts w:asciiTheme="minorHAnsi" w:hAnsiTheme="minorHAnsi" w:cs="Open Sans"/>
          <w:sz w:val="18"/>
          <w:szCs w:val="18"/>
        </w:rPr>
      </w:pPr>
    </w:p>
    <w:p w14:paraId="613537F5" w14:textId="77777777" w:rsidR="00EC561F" w:rsidRPr="00A74D23" w:rsidRDefault="00EC561F" w:rsidP="009D6EE5">
      <w:pPr>
        <w:pStyle w:val="Default"/>
        <w:spacing w:line="22" w:lineRule="atLeast"/>
        <w:jc w:val="both"/>
        <w:rPr>
          <w:rFonts w:asciiTheme="minorHAnsi" w:hAnsiTheme="minorHAnsi" w:cs="Open Sans"/>
          <w:sz w:val="18"/>
          <w:szCs w:val="18"/>
        </w:rPr>
      </w:pPr>
    </w:p>
    <w:p w14:paraId="181EBBDD" w14:textId="77777777" w:rsidR="00EC561F" w:rsidRPr="00A74D23" w:rsidRDefault="00EC561F" w:rsidP="009D6EE5">
      <w:pPr>
        <w:pStyle w:val="Default"/>
        <w:spacing w:line="22" w:lineRule="atLeast"/>
        <w:jc w:val="both"/>
        <w:rPr>
          <w:rFonts w:asciiTheme="minorHAnsi" w:hAnsiTheme="minorHAnsi" w:cs="Open Sans"/>
          <w:sz w:val="18"/>
          <w:szCs w:val="18"/>
        </w:rPr>
      </w:pPr>
    </w:p>
    <w:p w14:paraId="6FB0EBBB" w14:textId="77777777" w:rsidR="00EC561F" w:rsidRPr="00A74D23" w:rsidRDefault="00EC561F" w:rsidP="009D6EE5">
      <w:pPr>
        <w:pStyle w:val="Default"/>
        <w:spacing w:line="22" w:lineRule="atLeast"/>
        <w:jc w:val="both"/>
        <w:rPr>
          <w:rFonts w:asciiTheme="minorHAnsi" w:hAnsiTheme="minorHAnsi" w:cs="Open Sans"/>
          <w:sz w:val="18"/>
          <w:szCs w:val="18"/>
        </w:rPr>
      </w:pPr>
    </w:p>
    <w:p w14:paraId="30F1E7BE" w14:textId="77777777" w:rsidR="00EC561F" w:rsidRPr="00A74D23" w:rsidRDefault="00EC561F" w:rsidP="009D6EE5">
      <w:pPr>
        <w:pStyle w:val="Default"/>
        <w:spacing w:line="22" w:lineRule="atLeast"/>
        <w:jc w:val="both"/>
        <w:rPr>
          <w:rFonts w:asciiTheme="minorHAnsi" w:hAnsiTheme="minorHAnsi" w:cs="Open Sans"/>
          <w:sz w:val="18"/>
          <w:szCs w:val="18"/>
        </w:rPr>
      </w:pPr>
    </w:p>
    <w:p w14:paraId="79A81B06" w14:textId="77777777" w:rsidR="00EC561F" w:rsidRPr="00A74D23" w:rsidRDefault="00EC561F" w:rsidP="009D6EE5">
      <w:pPr>
        <w:pStyle w:val="Default"/>
        <w:spacing w:line="22" w:lineRule="atLeast"/>
        <w:jc w:val="both"/>
        <w:rPr>
          <w:rFonts w:asciiTheme="minorHAnsi" w:hAnsiTheme="minorHAnsi" w:cs="Open Sans"/>
          <w:sz w:val="18"/>
          <w:szCs w:val="18"/>
        </w:rPr>
      </w:pPr>
    </w:p>
    <w:p w14:paraId="438915BF" w14:textId="77777777" w:rsidR="00EC561F" w:rsidRPr="00A74D23" w:rsidRDefault="00EC561F" w:rsidP="009D6EE5">
      <w:pPr>
        <w:pStyle w:val="Default"/>
        <w:spacing w:line="22" w:lineRule="atLeast"/>
        <w:jc w:val="both"/>
        <w:rPr>
          <w:rFonts w:asciiTheme="minorHAnsi" w:hAnsiTheme="minorHAnsi" w:cs="Open Sans"/>
          <w:sz w:val="18"/>
          <w:szCs w:val="18"/>
        </w:rPr>
      </w:pPr>
    </w:p>
    <w:p w14:paraId="08DFC1FE" w14:textId="77777777" w:rsidR="00EC561F" w:rsidRPr="00A74D23" w:rsidRDefault="00EC561F" w:rsidP="009D6EE5">
      <w:pPr>
        <w:pStyle w:val="Default"/>
        <w:spacing w:line="22" w:lineRule="atLeast"/>
        <w:jc w:val="both"/>
        <w:rPr>
          <w:rFonts w:asciiTheme="minorHAnsi" w:hAnsiTheme="minorHAnsi" w:cs="Open Sans"/>
          <w:sz w:val="18"/>
          <w:szCs w:val="18"/>
        </w:rPr>
      </w:pPr>
    </w:p>
    <w:p w14:paraId="30195C02" w14:textId="77777777" w:rsidR="00EC561F" w:rsidRPr="00A74D23" w:rsidRDefault="00EC561F" w:rsidP="009D6EE5">
      <w:pPr>
        <w:pStyle w:val="Default"/>
        <w:spacing w:line="22" w:lineRule="atLeast"/>
        <w:jc w:val="both"/>
        <w:rPr>
          <w:rFonts w:asciiTheme="minorHAnsi" w:hAnsiTheme="minorHAnsi" w:cs="Open Sans"/>
          <w:sz w:val="18"/>
          <w:szCs w:val="18"/>
        </w:rPr>
      </w:pPr>
    </w:p>
    <w:p w14:paraId="52A67448" w14:textId="77777777" w:rsidR="00EC561F" w:rsidRPr="00A74D23" w:rsidRDefault="00EC561F" w:rsidP="009D6EE5">
      <w:pPr>
        <w:pStyle w:val="Default"/>
        <w:spacing w:line="22" w:lineRule="atLeast"/>
        <w:jc w:val="both"/>
        <w:rPr>
          <w:rFonts w:asciiTheme="minorHAnsi" w:hAnsiTheme="minorHAnsi" w:cs="Open Sans"/>
          <w:sz w:val="18"/>
          <w:szCs w:val="18"/>
        </w:rPr>
      </w:pPr>
    </w:p>
    <w:p w14:paraId="5DAD8C8C" w14:textId="77777777" w:rsidR="00C572C5" w:rsidRPr="00A74D23" w:rsidRDefault="00C572C5" w:rsidP="009D6EE5">
      <w:pPr>
        <w:pStyle w:val="Default"/>
        <w:spacing w:line="22" w:lineRule="atLeast"/>
        <w:jc w:val="both"/>
        <w:rPr>
          <w:rFonts w:asciiTheme="minorHAnsi" w:hAnsiTheme="minorHAnsi" w:cs="Open Sans"/>
          <w:sz w:val="18"/>
          <w:szCs w:val="18"/>
        </w:rPr>
      </w:pPr>
    </w:p>
    <w:p w14:paraId="6041167C" w14:textId="7E6F0C4B" w:rsidR="000A7664" w:rsidRPr="00D94E57" w:rsidRDefault="00B54753" w:rsidP="009D6EE5">
      <w:pPr>
        <w:pStyle w:val="Titre10"/>
        <w:spacing w:before="120" w:line="22" w:lineRule="atLeast"/>
        <w:jc w:val="both"/>
        <w:rPr>
          <w:rFonts w:asciiTheme="minorHAnsi" w:hAnsiTheme="minorHAnsi" w:cs="Open Sans"/>
          <w:b w:val="0"/>
          <w:bCs/>
          <w:sz w:val="44"/>
          <w:szCs w:val="44"/>
        </w:rPr>
      </w:pPr>
      <w:bookmarkStart w:id="67" w:name="_Toc231337012"/>
      <w:bookmarkStart w:id="68" w:name="_Toc129091823"/>
      <w:bookmarkStart w:id="69" w:name="_Toc128735911"/>
      <w:r w:rsidRPr="00D94E57">
        <w:rPr>
          <w:rFonts w:asciiTheme="minorHAnsi" w:hAnsiTheme="minorHAnsi" w:cs="Open Sans"/>
          <w:b w:val="0"/>
          <w:bCs/>
          <w:sz w:val="44"/>
          <w:szCs w:val="44"/>
        </w:rPr>
        <w:t xml:space="preserve">F. </w:t>
      </w:r>
      <w:r w:rsidR="009559F8" w:rsidRPr="00D94E57">
        <w:rPr>
          <w:rFonts w:asciiTheme="minorHAnsi" w:hAnsiTheme="minorHAnsi" w:cs="Open Sans"/>
          <w:b w:val="0"/>
          <w:bCs/>
          <w:sz w:val="44"/>
          <w:szCs w:val="44"/>
        </w:rPr>
        <w:t>Taxonomie européenne et combustibles fossiles</w:t>
      </w:r>
      <w:bookmarkEnd w:id="67"/>
      <w:r w:rsidR="0020578A" w:rsidRPr="00D94E57">
        <w:rPr>
          <w:rFonts w:asciiTheme="minorHAnsi" w:hAnsiTheme="minorHAnsi" w:cs="Open Sans"/>
          <w:b w:val="0"/>
          <w:bCs/>
          <w:sz w:val="44"/>
          <w:szCs w:val="44"/>
        </w:rPr>
        <w:t xml:space="preserve"> </w:t>
      </w:r>
      <w:bookmarkEnd w:id="68"/>
      <w:bookmarkEnd w:id="69"/>
    </w:p>
    <w:p w14:paraId="1BC0EA5B" w14:textId="77777777" w:rsidR="00213597" w:rsidRPr="00A74D23" w:rsidRDefault="00213597" w:rsidP="009D6EE5">
      <w:pPr>
        <w:spacing w:line="22" w:lineRule="atLeast"/>
        <w:jc w:val="both"/>
        <w:rPr>
          <w:rFonts w:asciiTheme="minorHAnsi" w:hAnsiTheme="minorHAnsi"/>
          <w:lang w:val="fr-FR"/>
        </w:rPr>
      </w:pPr>
    </w:p>
    <w:p w14:paraId="2B582681" w14:textId="085B2379" w:rsidR="00E9044E" w:rsidRPr="00E9044E" w:rsidRDefault="00830ED5" w:rsidP="00590DD1">
      <w:pPr>
        <w:pStyle w:val="StyleYO"/>
        <w:numPr>
          <w:ilvl w:val="0"/>
          <w:numId w:val="72"/>
        </w:numPr>
        <w:spacing w:line="22" w:lineRule="atLeast"/>
        <w:jc w:val="both"/>
      </w:pPr>
      <w:bookmarkStart w:id="70" w:name="_Toc231337013"/>
      <w:r w:rsidRPr="00A74D23">
        <w:t>Contribuer au développement d’activités économiques considérées comme durables sur le plan environnemental</w:t>
      </w:r>
      <w:bookmarkEnd w:id="70"/>
    </w:p>
    <w:p w14:paraId="62731B46" w14:textId="2E9A8363" w:rsidR="00196640" w:rsidRPr="00A74D23" w:rsidRDefault="00196640" w:rsidP="009D6EE5">
      <w:pPr>
        <w:spacing w:line="22" w:lineRule="atLeast"/>
        <w:jc w:val="both"/>
        <w:rPr>
          <w:rFonts w:asciiTheme="minorHAnsi" w:hAnsiTheme="minorHAnsi" w:cs="Open Sans"/>
          <w:sz w:val="20"/>
          <w:szCs w:val="20"/>
          <w:lang w:val="fr-FR"/>
        </w:rPr>
      </w:pPr>
      <w:r w:rsidRPr="00A74D23">
        <w:rPr>
          <w:rFonts w:asciiTheme="minorHAnsi" w:hAnsiTheme="minorHAnsi"/>
          <w:sz w:val="20"/>
          <w:szCs w:val="20"/>
          <w:lang w:val="fr-FR"/>
        </w:rPr>
        <w:t>Cette section présente les informations relatives aux exigences du règlement (UE) 2020/852 du Parlement européen et du Conseil du 18 juin 2020, établissant un cadre visant à favoriser les investissements durables et modifiant le règlement (UE) 2019/2088 (règlement Taxonomie de l’Union européenne), ainsi qu’aux actes délégués complémentaires de la Commission européenne en vigueur à la date du présent rapport (ensemble, les «</w:t>
      </w:r>
      <w:r w:rsidRPr="00A74D23">
        <w:rPr>
          <w:rFonts w:asciiTheme="minorHAnsi" w:hAnsiTheme="minorHAnsi" w:cs="Arial"/>
          <w:sz w:val="20"/>
          <w:szCs w:val="20"/>
          <w:lang w:val="fr-FR"/>
        </w:rPr>
        <w:t> </w:t>
      </w:r>
      <w:r w:rsidRPr="00A74D23">
        <w:rPr>
          <w:rFonts w:asciiTheme="minorHAnsi" w:hAnsiTheme="minorHAnsi"/>
          <w:sz w:val="20"/>
          <w:szCs w:val="20"/>
          <w:lang w:val="fr-FR"/>
        </w:rPr>
        <w:t>Actes délégués</w:t>
      </w:r>
      <w:r w:rsidRPr="00A74D23">
        <w:rPr>
          <w:rFonts w:asciiTheme="minorHAnsi" w:hAnsiTheme="minorHAnsi" w:cs="Arial"/>
          <w:sz w:val="20"/>
          <w:szCs w:val="20"/>
          <w:lang w:val="fr-FR"/>
        </w:rPr>
        <w:t> </w:t>
      </w:r>
      <w:r w:rsidRPr="00A74D23">
        <w:rPr>
          <w:rFonts w:asciiTheme="minorHAnsi" w:hAnsiTheme="minorHAnsi"/>
          <w:sz w:val="20"/>
          <w:szCs w:val="20"/>
          <w:lang w:val="fr-FR"/>
        </w:rPr>
        <w:t>»).</w:t>
      </w:r>
      <w:r w:rsidR="009263D4" w:rsidRPr="00A74D23">
        <w:rPr>
          <w:rFonts w:asciiTheme="minorHAnsi" w:hAnsiTheme="minorHAnsi"/>
          <w:sz w:val="20"/>
          <w:szCs w:val="20"/>
          <w:lang w:val="fr-FR"/>
        </w:rPr>
        <w:t xml:space="preserve"> </w:t>
      </w:r>
      <w:r w:rsidRPr="00A74D23">
        <w:rPr>
          <w:rFonts w:asciiTheme="minorHAnsi" w:hAnsiTheme="minorHAnsi" w:cs="Open Sans"/>
          <w:sz w:val="20"/>
          <w:szCs w:val="20"/>
          <w:lang w:val="fr-FR"/>
        </w:rPr>
        <w:t>Le règlement Taxonomie de l’Union européenne, complété par le règlement délégué (UE) 2021/2178 du 6 juillet 2021 relatif à la publication d’informations, impose aux acteurs financiers, dont Abeille Assurances, de publier la part de leurs investissements associée à des activités économiques durables d’un point de vue environnemental, ainsi que le degré d’alignement de ces investissements avec les critères définis par la Taxonomie, conformément aux articles 3 et 9 du règlement.</w:t>
      </w:r>
    </w:p>
    <w:p w14:paraId="7689E686" w14:textId="77777777" w:rsidR="009263D4" w:rsidRPr="00A74D23" w:rsidRDefault="009263D4" w:rsidP="009D6EE5">
      <w:pPr>
        <w:spacing w:line="22" w:lineRule="atLeast"/>
        <w:jc w:val="both"/>
        <w:rPr>
          <w:rFonts w:asciiTheme="minorHAnsi" w:hAnsiTheme="minorHAnsi"/>
          <w:sz w:val="20"/>
          <w:szCs w:val="20"/>
          <w:lang w:val="fr-FR"/>
        </w:rPr>
      </w:pPr>
    </w:p>
    <w:p w14:paraId="74EA3327" w14:textId="77777777" w:rsidR="00196640" w:rsidRPr="00A74D23" w:rsidRDefault="00196640"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Conformément à l’article 3 du règlement Taxonomie, une activité économique est considérée comme durable d’un point de vue environnemental et alignée avec la Taxonomie lorsqu’elle remplit cumulativement les conditions suivantes</w:t>
      </w:r>
      <w:r w:rsidRPr="00A74D23">
        <w:rPr>
          <w:rFonts w:asciiTheme="minorHAnsi" w:hAnsiTheme="minorHAnsi" w:cs="Arial"/>
          <w:sz w:val="20"/>
          <w:szCs w:val="20"/>
          <w:lang w:val="fr-FR"/>
        </w:rPr>
        <w:t> </w:t>
      </w:r>
      <w:r w:rsidRPr="00A74D23">
        <w:rPr>
          <w:rFonts w:asciiTheme="minorHAnsi" w:hAnsiTheme="minorHAnsi" w:cs="Open Sans"/>
          <w:sz w:val="20"/>
          <w:szCs w:val="20"/>
          <w:lang w:val="fr-FR"/>
        </w:rPr>
        <w:t>:</w:t>
      </w:r>
    </w:p>
    <w:p w14:paraId="57B9607E" w14:textId="77777777" w:rsidR="00196640" w:rsidRPr="00A74D23" w:rsidRDefault="00196640" w:rsidP="00590DD1">
      <w:pPr>
        <w:pStyle w:val="Paragraphedeliste"/>
        <w:numPr>
          <w:ilvl w:val="0"/>
          <w:numId w:val="107"/>
        </w:numPr>
        <w:spacing w:after="0" w:line="22" w:lineRule="atLeast"/>
        <w:jc w:val="both"/>
        <w:rPr>
          <w:rFonts w:cs="Open Sans"/>
          <w:sz w:val="20"/>
          <w:szCs w:val="20"/>
        </w:rPr>
      </w:pPr>
      <w:r w:rsidRPr="00A74D23">
        <w:rPr>
          <w:rFonts w:cs="Open Sans"/>
          <w:b/>
          <w:bCs/>
          <w:sz w:val="20"/>
          <w:szCs w:val="20"/>
        </w:rPr>
        <w:t>contribuer de manière substantielle à au moins l’un des six objectifs environnementaux</w:t>
      </w:r>
      <w:r w:rsidRPr="00A74D23">
        <w:rPr>
          <w:rFonts w:cs="Open Sans"/>
          <w:sz w:val="20"/>
          <w:szCs w:val="20"/>
        </w:rPr>
        <w:t xml:space="preserve"> définis à l’article 9 du règlement, en respectant les critères d’examen technique établis par la Commission européenne ;</w:t>
      </w:r>
    </w:p>
    <w:p w14:paraId="7DB7AF64" w14:textId="77777777" w:rsidR="00196640" w:rsidRPr="00A74D23" w:rsidRDefault="00196640" w:rsidP="00590DD1">
      <w:pPr>
        <w:pStyle w:val="Paragraphedeliste"/>
        <w:numPr>
          <w:ilvl w:val="0"/>
          <w:numId w:val="107"/>
        </w:numPr>
        <w:spacing w:after="0" w:line="22" w:lineRule="atLeast"/>
        <w:jc w:val="both"/>
        <w:rPr>
          <w:rFonts w:cs="Open Sans"/>
          <w:sz w:val="20"/>
          <w:szCs w:val="20"/>
        </w:rPr>
      </w:pPr>
      <w:r w:rsidRPr="00A74D23">
        <w:rPr>
          <w:rFonts w:cs="Open Sans"/>
          <w:b/>
          <w:bCs/>
          <w:sz w:val="20"/>
          <w:szCs w:val="20"/>
        </w:rPr>
        <w:t>ne pas causer de préjudice important</w:t>
      </w:r>
      <w:r w:rsidRPr="00A74D23">
        <w:rPr>
          <w:rFonts w:cs="Open Sans"/>
          <w:sz w:val="20"/>
          <w:szCs w:val="20"/>
        </w:rPr>
        <w:t xml:space="preserve"> (DNSH) à l’un des autres objectifs environnementaux ;</w:t>
      </w:r>
    </w:p>
    <w:p w14:paraId="0AD08592" w14:textId="77777777" w:rsidR="00196640" w:rsidRPr="00A74D23" w:rsidRDefault="00196640" w:rsidP="00590DD1">
      <w:pPr>
        <w:pStyle w:val="Paragraphedeliste"/>
        <w:numPr>
          <w:ilvl w:val="0"/>
          <w:numId w:val="107"/>
        </w:numPr>
        <w:spacing w:after="0" w:line="22" w:lineRule="atLeast"/>
        <w:jc w:val="both"/>
        <w:rPr>
          <w:rFonts w:cs="Open Sans"/>
          <w:sz w:val="20"/>
          <w:szCs w:val="20"/>
        </w:rPr>
      </w:pPr>
      <w:r w:rsidRPr="00A74D23">
        <w:rPr>
          <w:rFonts w:cs="Open Sans"/>
          <w:b/>
          <w:bCs/>
          <w:sz w:val="20"/>
          <w:szCs w:val="20"/>
        </w:rPr>
        <w:t>respecter les garanties minimales</w:t>
      </w:r>
      <w:r w:rsidRPr="00A74D23">
        <w:rPr>
          <w:rFonts w:cs="Open Sans"/>
          <w:sz w:val="20"/>
          <w:szCs w:val="20"/>
        </w:rPr>
        <w:t xml:space="preserve"> prévues à l’article 18 du règlement, relatives notamment aux droits humains, aux normes sociales et aux conditions de travail.</w:t>
      </w:r>
    </w:p>
    <w:p w14:paraId="05CDD0DC" w14:textId="77777777" w:rsidR="00196640" w:rsidRPr="00A74D23" w:rsidRDefault="00196640" w:rsidP="009D6EE5">
      <w:pPr>
        <w:spacing w:line="22" w:lineRule="atLeast"/>
        <w:jc w:val="both"/>
        <w:rPr>
          <w:rFonts w:asciiTheme="minorHAnsi" w:hAnsiTheme="minorHAnsi" w:cs="Open Sans"/>
          <w:sz w:val="20"/>
          <w:szCs w:val="20"/>
          <w:lang w:val="fr-FR"/>
        </w:rPr>
      </w:pPr>
    </w:p>
    <w:p w14:paraId="2EF8BE7F" w14:textId="1E56367E" w:rsidR="0086487F" w:rsidRPr="00A74D23" w:rsidRDefault="00553C86" w:rsidP="009D6EE5">
      <w:pPr>
        <w:spacing w:line="22" w:lineRule="atLeast"/>
        <w:jc w:val="both"/>
        <w:rPr>
          <w:rFonts w:asciiTheme="minorHAnsi" w:hAnsiTheme="minorHAnsi" w:cs="Open Sans"/>
          <w:sz w:val="20"/>
          <w:szCs w:val="20"/>
          <w:lang w:val="fr-FR"/>
        </w:rPr>
      </w:pPr>
      <w:r w:rsidRPr="00A74D23">
        <w:rPr>
          <w:rFonts w:asciiTheme="minorHAnsi" w:eastAsiaTheme="majorEastAsia" w:hAnsiTheme="minorHAnsi" w:cs="Open Sans"/>
          <w:sz w:val="20"/>
          <w:szCs w:val="20"/>
          <w:lang w:val="fr-FR"/>
        </w:rPr>
        <w:t>Le 4 juillet 2025, la Commission a adopté un acte délégué visant à simplifier les obligations de reporting liées à la taxonomie de l’UE.</w:t>
      </w:r>
      <w:r w:rsidR="007860A4" w:rsidRPr="00A74D23">
        <w:rPr>
          <w:rFonts w:asciiTheme="minorHAnsi" w:hAnsiTheme="minorHAnsi" w:cs="Open Sans"/>
          <w:sz w:val="20"/>
          <w:szCs w:val="20"/>
          <w:lang w:val="fr-FR"/>
        </w:rPr>
        <w:t xml:space="preserve"> Le « package OMNIBUS » </w:t>
      </w:r>
      <w:r w:rsidR="00E364D4" w:rsidRPr="00A74D23">
        <w:rPr>
          <w:rFonts w:asciiTheme="minorHAnsi" w:hAnsiTheme="minorHAnsi" w:cs="Open Sans"/>
          <w:sz w:val="20"/>
          <w:szCs w:val="20"/>
          <w:lang w:val="fr-FR"/>
        </w:rPr>
        <w:t>porte principalement</w:t>
      </w:r>
      <w:r w:rsidR="000936DC" w:rsidRPr="00A74D23">
        <w:rPr>
          <w:rFonts w:asciiTheme="minorHAnsi" w:hAnsiTheme="minorHAnsi" w:cs="Open Sans"/>
          <w:sz w:val="20"/>
          <w:szCs w:val="20"/>
          <w:lang w:val="fr-FR"/>
        </w:rPr>
        <w:t xml:space="preserve"> sur un allègement et une clarification des exigences de reporting, notamment le traitement des données manquantes, la ventilation des actifs couverts et non couverts et la présentation plus agrégée des ratios taxonomiques</w:t>
      </w:r>
      <w:r w:rsidR="001E7F9E" w:rsidRPr="00A74D23">
        <w:rPr>
          <w:rFonts w:asciiTheme="minorHAnsi" w:hAnsiTheme="minorHAnsi" w:cs="Open Sans"/>
          <w:sz w:val="20"/>
          <w:szCs w:val="20"/>
          <w:lang w:val="fr-FR"/>
        </w:rPr>
        <w:t>.</w:t>
      </w:r>
      <w:r w:rsidR="00E364D4" w:rsidRPr="00A74D23">
        <w:rPr>
          <w:rFonts w:asciiTheme="minorHAnsi" w:hAnsiTheme="minorHAnsi" w:cs="Open Sans"/>
          <w:sz w:val="20"/>
          <w:szCs w:val="20"/>
          <w:lang w:val="fr-FR"/>
        </w:rPr>
        <w:t xml:space="preserve"> </w:t>
      </w:r>
    </w:p>
    <w:p w14:paraId="02F9B8BA" w14:textId="77777777" w:rsidR="009263D4" w:rsidRPr="00A74D23" w:rsidRDefault="009263D4" w:rsidP="009D6EE5">
      <w:pPr>
        <w:pStyle w:val="Paragraphedeliste"/>
        <w:spacing w:after="0" w:line="22" w:lineRule="atLeast"/>
        <w:ind w:left="0"/>
        <w:jc w:val="both"/>
        <w:rPr>
          <w:rFonts w:cs="Open Sans"/>
          <w:sz w:val="18"/>
          <w:szCs w:val="18"/>
        </w:rPr>
      </w:pPr>
    </w:p>
    <w:p w14:paraId="7928A14C" w14:textId="77777777" w:rsidR="009263D4" w:rsidRPr="00A74D23" w:rsidRDefault="009263D4" w:rsidP="009D6EE5">
      <w:pPr>
        <w:pStyle w:val="Paragraphedeliste"/>
        <w:spacing w:after="0" w:line="22" w:lineRule="atLeast"/>
        <w:ind w:left="0"/>
        <w:jc w:val="both"/>
        <w:rPr>
          <w:rFonts w:cs="Open Sans"/>
          <w:sz w:val="18"/>
          <w:szCs w:val="18"/>
        </w:rPr>
      </w:pPr>
    </w:p>
    <w:p w14:paraId="55622FF9" w14:textId="39D9DB39" w:rsidR="00800135" w:rsidRPr="00A74D23" w:rsidRDefault="0014595A" w:rsidP="009D6EE5">
      <w:pPr>
        <w:pStyle w:val="Paragraphedeliste"/>
        <w:spacing w:after="0" w:line="22" w:lineRule="atLeast"/>
        <w:ind w:left="0"/>
        <w:jc w:val="both"/>
        <w:rPr>
          <w:rFonts w:cs="Open Sans"/>
          <w:sz w:val="18"/>
          <w:szCs w:val="18"/>
        </w:rPr>
      </w:pPr>
      <w:r w:rsidRPr="00A74D23">
        <w:rPr>
          <w:rFonts w:cs="Open Sans"/>
          <w:noProof/>
          <w:sz w:val="18"/>
          <w:szCs w:val="18"/>
        </w:rPr>
        <mc:AlternateContent>
          <mc:Choice Requires="wps">
            <w:drawing>
              <wp:anchor distT="0" distB="0" distL="114300" distR="114300" simplePos="0" relativeHeight="251435008" behindDoc="0" locked="0" layoutInCell="1" allowOverlap="1" wp14:anchorId="44F30ABD" wp14:editId="038F111C">
                <wp:simplePos x="0" y="0"/>
                <wp:positionH relativeFrom="margin">
                  <wp:posOffset>1739062</wp:posOffset>
                </wp:positionH>
                <wp:positionV relativeFrom="paragraph">
                  <wp:posOffset>-5080</wp:posOffset>
                </wp:positionV>
                <wp:extent cx="2333549" cy="306654"/>
                <wp:effectExtent l="0" t="0" r="0" b="0"/>
                <wp:wrapNone/>
                <wp:docPr id="550350450" name="Rectangle : coins arrondis 550350450"/>
                <wp:cNvGraphicFramePr/>
                <a:graphic xmlns:a="http://schemas.openxmlformats.org/drawingml/2006/main">
                  <a:graphicData uri="http://schemas.microsoft.com/office/word/2010/wordprocessingShape">
                    <wps:wsp>
                      <wps:cNvSpPr/>
                      <wps:spPr>
                        <a:xfrm>
                          <a:off x="0" y="0"/>
                          <a:ext cx="2333549" cy="306654"/>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74287D" w14:textId="1EFEEEF4" w:rsidR="00DD56DB" w:rsidRPr="002151B6" w:rsidRDefault="000B31B8" w:rsidP="00DD56DB">
                            <w:pPr>
                              <w:jc w:val="center"/>
                              <w:rPr>
                                <w:b/>
                                <w:bCs/>
                                <w:color w:val="000000" w:themeColor="text1"/>
                                <w:sz w:val="32"/>
                                <w:szCs w:val="32"/>
                              </w:rPr>
                            </w:pPr>
                            <w:r w:rsidRPr="002151B6">
                              <w:rPr>
                                <w:rFonts w:ascii="Source Sans Pro" w:hAnsi="Source Sans Pro"/>
                                <w:b/>
                                <w:bCs/>
                                <w:color w:val="000000" w:themeColor="text1"/>
                              </w:rPr>
                              <w:t>Nos résultats en 2025</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F30ABD" id="Rectangle : coins arrondis 550350450" o:spid="_x0000_s1101" style="position:absolute;left:0;text-align:left;margin-left:136.95pt;margin-top:-.4pt;width:183.75pt;height:24.15pt;z-index:25143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" fillcolor="#ffc000" stroked="f" strokeweight="1pt">
                <v:stroke joinstyle="miter"/>
                <v:textbox inset="2.5mm,1mm,2.5mm,1mm">
                  <w:txbxContent>
                    <w:p w14:paraId="7474287D" w14:textId="1EFEEEF4" w:rsidR="00DD56DB" w:rsidRPr="002151B6" w:rsidRDefault="000B31B8" w:rsidP="00DD56DB">
                      <w:pPr>
                        <w:jc w:val="center"/>
                        <w:rPr>
                          <w:b/>
                          <w:bCs/>
                          <w:color w:val="000000" w:themeColor="text1"/>
                          <w:sz w:val="32"/>
                          <w:szCs w:val="32"/>
                        </w:rPr>
                      </w:pPr>
                      <w:r w:rsidRPr="002151B6">
                        <w:rPr>
                          <w:rFonts w:ascii="Source Sans Pro" w:hAnsi="Source Sans Pro"/>
                          <w:b/>
                          <w:bCs/>
                          <w:color w:val="000000" w:themeColor="text1"/>
                        </w:rPr>
                        <w:t>Nos résultats en 2025</w:t>
                      </w:r>
                    </w:p>
                  </w:txbxContent>
                </v:textbox>
                <w10:wrap anchorx="margin"/>
              </v:roundrect>
            </w:pict>
          </mc:Fallback>
        </mc:AlternateContent>
      </w:r>
    </w:p>
    <w:p w14:paraId="31B123A9" w14:textId="75BBE84E" w:rsidR="00DD56DB" w:rsidRPr="00A74D23" w:rsidRDefault="0014595A" w:rsidP="009D6EE5">
      <w:pPr>
        <w:pStyle w:val="Paragraphedeliste"/>
        <w:spacing w:after="0" w:line="22" w:lineRule="atLeast"/>
        <w:ind w:left="0"/>
        <w:jc w:val="both"/>
        <w:rPr>
          <w:rFonts w:cs="Open Sans"/>
          <w:sz w:val="18"/>
          <w:szCs w:val="18"/>
        </w:rPr>
      </w:pPr>
      <w:r w:rsidRPr="00A74D23">
        <w:rPr>
          <w:rFonts w:cs="Open Sans"/>
          <w:noProof/>
          <w:sz w:val="18"/>
          <w:szCs w:val="18"/>
        </w:rPr>
        <mc:AlternateContent>
          <mc:Choice Requires="wps">
            <w:drawing>
              <wp:anchor distT="0" distB="0" distL="114300" distR="114300" simplePos="0" relativeHeight="251432960" behindDoc="1" locked="0" layoutInCell="1" allowOverlap="1" wp14:anchorId="06F0646C" wp14:editId="2ED45296">
                <wp:simplePos x="0" y="0"/>
                <wp:positionH relativeFrom="margin">
                  <wp:posOffset>112395</wp:posOffset>
                </wp:positionH>
                <wp:positionV relativeFrom="paragraph">
                  <wp:posOffset>5715</wp:posOffset>
                </wp:positionV>
                <wp:extent cx="5762625" cy="3543300"/>
                <wp:effectExtent l="0" t="0" r="9525" b="0"/>
                <wp:wrapNone/>
                <wp:docPr id="640976461" name="Rectangle : coins arrondis 640976461"/>
                <wp:cNvGraphicFramePr/>
                <a:graphic xmlns:a="http://schemas.openxmlformats.org/drawingml/2006/main">
                  <a:graphicData uri="http://schemas.microsoft.com/office/word/2010/wordprocessingShape">
                    <wps:wsp>
                      <wps:cNvSpPr/>
                      <wps:spPr>
                        <a:xfrm>
                          <a:off x="0" y="0"/>
                          <a:ext cx="5762625" cy="3543300"/>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66D563" w14:textId="5628EDCD" w:rsidR="0083556A" w:rsidRPr="00DC419F" w:rsidRDefault="00DD56DB" w:rsidP="0049254A">
                            <w:pPr>
                              <w:pStyle w:val="paragraph"/>
                              <w:numPr>
                                <w:ilvl w:val="0"/>
                                <w:numId w:val="7"/>
                              </w:numPr>
                              <w:spacing w:before="0" w:beforeAutospacing="0" w:after="0" w:afterAutospacing="0"/>
                              <w:ind w:left="284" w:right="335" w:hanging="284"/>
                              <w:textAlignment w:val="baseline"/>
                              <w:rPr>
                                <w:color w:val="000000" w:themeColor="text1"/>
                                <w:sz w:val="20"/>
                                <w:szCs w:val="20"/>
                              </w:rPr>
                            </w:pPr>
                            <w:r w:rsidRPr="002151B6">
                              <w:rPr>
                                <w:rFonts w:ascii="Source Sans Pro" w:hAnsi="Source Sans Pro" w:cstheme="minorBidi"/>
                                <w:color w:val="000000" w:themeColor="text1"/>
                                <w:sz w:val="20"/>
                                <w:szCs w:val="20"/>
                                <w:lang w:eastAsia="en-US"/>
                              </w:rPr>
                              <w:t xml:space="preserve">En 2025, </w:t>
                            </w:r>
                            <w:r w:rsidR="000B31B8" w:rsidRPr="002151B6">
                              <w:rPr>
                                <w:rFonts w:ascii="Source Sans Pro" w:hAnsi="Source Sans Pro" w:cstheme="minorBidi"/>
                                <w:color w:val="000000" w:themeColor="text1"/>
                                <w:sz w:val="20"/>
                                <w:szCs w:val="20"/>
                                <w:lang w:eastAsia="en-US"/>
                              </w:rPr>
                              <w:t xml:space="preserve">la part verte totale du portefeuille </w:t>
                            </w:r>
                            <w:r w:rsidR="00DC419F">
                              <w:rPr>
                                <w:rFonts w:ascii="Source Sans Pro" w:hAnsi="Source Sans Pro" w:cstheme="minorBidi"/>
                                <w:color w:val="000000" w:themeColor="text1"/>
                                <w:sz w:val="20"/>
                                <w:szCs w:val="20"/>
                                <w:lang w:eastAsia="en-US"/>
                              </w:rPr>
                              <w:t>Abeille Retraite Professionnelle</w:t>
                            </w:r>
                            <w:r w:rsidR="00621F14" w:rsidRPr="002151B6">
                              <w:rPr>
                                <w:rFonts w:ascii="Source Sans Pro" w:hAnsi="Source Sans Pro" w:cstheme="minorBidi"/>
                                <w:color w:val="000000" w:themeColor="text1"/>
                                <w:sz w:val="20"/>
                                <w:szCs w:val="20"/>
                                <w:lang w:eastAsia="en-US"/>
                              </w:rPr>
                              <w:t xml:space="preserve"> </w:t>
                            </w:r>
                            <w:r w:rsidR="000B31B8" w:rsidRPr="002151B6">
                              <w:rPr>
                                <w:rFonts w:ascii="Source Sans Pro" w:hAnsi="Source Sans Pro" w:cstheme="minorBidi"/>
                                <w:color w:val="000000" w:themeColor="text1"/>
                                <w:sz w:val="20"/>
                                <w:szCs w:val="20"/>
                                <w:lang w:eastAsia="en-US"/>
                              </w:rPr>
                              <w:t>a augmenté par rapport à 2024</w:t>
                            </w:r>
                          </w:p>
                          <w:p w14:paraId="4A8BB513" w14:textId="68670DF1" w:rsidR="00DC419F" w:rsidRPr="00504470" w:rsidRDefault="00DC419F" w:rsidP="00DC419F">
                            <w:pPr>
                              <w:pStyle w:val="paragraph"/>
                              <w:numPr>
                                <w:ilvl w:val="1"/>
                                <w:numId w:val="108"/>
                              </w:numPr>
                              <w:spacing w:before="0" w:beforeAutospacing="0" w:after="0" w:afterAutospacing="0"/>
                              <w:ind w:left="709" w:right="335"/>
                              <w:jc w:val="both"/>
                              <w:textAlignment w:val="baseline"/>
                              <w:rPr>
                                <w:rFonts w:asciiTheme="minorHAnsi" w:hAnsiTheme="minorHAnsi"/>
                                <w:color w:val="000000" w:themeColor="text1"/>
                                <w:sz w:val="20"/>
                                <w:szCs w:val="20"/>
                              </w:rPr>
                            </w:pPr>
                            <w:r w:rsidRPr="00504470">
                              <w:rPr>
                                <w:rFonts w:asciiTheme="minorHAnsi" w:hAnsiTheme="minorHAnsi"/>
                                <w:color w:val="000000" w:themeColor="text1"/>
                                <w:sz w:val="20"/>
                                <w:szCs w:val="20"/>
                              </w:rPr>
                              <w:t xml:space="preserve">En chiffre d’affaires : </w:t>
                            </w:r>
                            <w:r>
                              <w:rPr>
                                <w:rFonts w:asciiTheme="minorHAnsi" w:hAnsiTheme="minorHAnsi"/>
                                <w:color w:val="000000" w:themeColor="text1"/>
                                <w:sz w:val="20"/>
                                <w:szCs w:val="20"/>
                              </w:rPr>
                              <w:t>6,1</w:t>
                            </w:r>
                            <w:r w:rsidRPr="00504470">
                              <w:rPr>
                                <w:rFonts w:asciiTheme="minorHAnsi" w:hAnsiTheme="minorHAnsi"/>
                                <w:color w:val="000000" w:themeColor="text1"/>
                                <w:sz w:val="20"/>
                                <w:szCs w:val="20"/>
                              </w:rPr>
                              <w:t>% (vs 2,</w:t>
                            </w:r>
                            <w:r w:rsidR="00F045AB">
                              <w:rPr>
                                <w:rFonts w:asciiTheme="minorHAnsi" w:hAnsiTheme="minorHAnsi"/>
                                <w:color w:val="000000" w:themeColor="text1"/>
                                <w:sz w:val="20"/>
                                <w:szCs w:val="20"/>
                              </w:rPr>
                              <w:t>8</w:t>
                            </w:r>
                            <w:r w:rsidRPr="00504470">
                              <w:rPr>
                                <w:rFonts w:asciiTheme="minorHAnsi" w:hAnsiTheme="minorHAnsi"/>
                                <w:color w:val="000000" w:themeColor="text1"/>
                                <w:sz w:val="20"/>
                                <w:szCs w:val="20"/>
                              </w:rPr>
                              <w:t>% en 2024)</w:t>
                            </w:r>
                          </w:p>
                          <w:p w14:paraId="6CAE6FFE" w14:textId="138D24E9" w:rsidR="00DC419F" w:rsidRPr="00504470" w:rsidRDefault="00DC419F" w:rsidP="00DC419F">
                            <w:pPr>
                              <w:pStyle w:val="paragraph"/>
                              <w:numPr>
                                <w:ilvl w:val="1"/>
                                <w:numId w:val="108"/>
                              </w:numPr>
                              <w:spacing w:before="0" w:beforeAutospacing="0" w:after="120" w:afterAutospacing="0"/>
                              <w:ind w:left="709" w:right="335" w:hanging="357"/>
                              <w:jc w:val="both"/>
                              <w:textAlignment w:val="baseline"/>
                              <w:rPr>
                                <w:rFonts w:asciiTheme="minorHAnsi" w:hAnsiTheme="minorHAnsi"/>
                                <w:color w:val="000000" w:themeColor="text1"/>
                                <w:sz w:val="20"/>
                                <w:szCs w:val="20"/>
                              </w:rPr>
                            </w:pPr>
                            <w:r w:rsidRPr="00504470">
                              <w:rPr>
                                <w:rFonts w:asciiTheme="minorHAnsi" w:hAnsiTheme="minorHAnsi"/>
                                <w:color w:val="000000" w:themeColor="text1"/>
                                <w:sz w:val="20"/>
                                <w:szCs w:val="20"/>
                              </w:rPr>
                              <w:t>En dépenses d’investissement : 6,</w:t>
                            </w:r>
                            <w:r>
                              <w:rPr>
                                <w:rFonts w:asciiTheme="minorHAnsi" w:hAnsiTheme="minorHAnsi"/>
                                <w:color w:val="000000" w:themeColor="text1"/>
                                <w:sz w:val="20"/>
                                <w:szCs w:val="20"/>
                              </w:rPr>
                              <w:t>2</w:t>
                            </w:r>
                            <w:r w:rsidRPr="00504470">
                              <w:rPr>
                                <w:rFonts w:asciiTheme="minorHAnsi" w:hAnsiTheme="minorHAnsi"/>
                                <w:color w:val="000000" w:themeColor="text1"/>
                                <w:sz w:val="20"/>
                                <w:szCs w:val="20"/>
                              </w:rPr>
                              <w:t xml:space="preserve">% (vs </w:t>
                            </w:r>
                            <w:r w:rsidR="00F045AB">
                              <w:rPr>
                                <w:rFonts w:asciiTheme="minorHAnsi" w:hAnsiTheme="minorHAnsi"/>
                                <w:color w:val="000000" w:themeColor="text1"/>
                                <w:sz w:val="20"/>
                                <w:szCs w:val="20"/>
                              </w:rPr>
                              <w:t>4,3</w:t>
                            </w:r>
                            <w:r w:rsidRPr="00504470">
                              <w:rPr>
                                <w:rFonts w:asciiTheme="minorHAnsi" w:hAnsiTheme="minorHAnsi"/>
                                <w:color w:val="000000" w:themeColor="text1"/>
                                <w:sz w:val="20"/>
                                <w:szCs w:val="20"/>
                              </w:rPr>
                              <w:t>% en 2024)</w:t>
                            </w:r>
                          </w:p>
                          <w:p w14:paraId="13E31028" w14:textId="77777777" w:rsidR="00DC419F" w:rsidRPr="002151B6" w:rsidRDefault="00DC419F" w:rsidP="00DC419F">
                            <w:pPr>
                              <w:pStyle w:val="paragraph"/>
                              <w:spacing w:before="0" w:beforeAutospacing="0" w:after="0" w:afterAutospacing="0"/>
                              <w:ind w:left="284" w:right="335"/>
                              <w:textAlignment w:val="baseline"/>
                              <w:rPr>
                                <w:color w:val="000000" w:themeColor="text1"/>
                                <w:sz w:val="20"/>
                                <w:szCs w:val="20"/>
                              </w:rPr>
                            </w:pPr>
                          </w:p>
                          <w:p w14:paraId="582D69D6" w14:textId="3CDC8406" w:rsidR="002C7725" w:rsidRPr="002151B6" w:rsidRDefault="002C7725" w:rsidP="00590DD1">
                            <w:pPr>
                              <w:pStyle w:val="paragraph"/>
                              <w:numPr>
                                <w:ilvl w:val="0"/>
                                <w:numId w:val="56"/>
                              </w:numPr>
                              <w:spacing w:before="0" w:beforeAutospacing="0" w:after="120" w:afterAutospacing="0"/>
                              <w:ind w:left="283" w:right="335" w:hanging="357"/>
                              <w:jc w:val="both"/>
                              <w:textAlignment w:val="baseline"/>
                              <w:rPr>
                                <w:rFonts w:ascii="Source Sans Pro" w:hAnsi="Source Sans Pro" w:cstheme="minorBidi"/>
                                <w:color w:val="000000" w:themeColor="text1"/>
                                <w:sz w:val="20"/>
                                <w:szCs w:val="20"/>
                                <w:lang w:eastAsia="en-US"/>
                              </w:rPr>
                            </w:pPr>
                            <w:r w:rsidRPr="002151B6">
                              <w:rPr>
                                <w:rFonts w:ascii="Source Sans Pro" w:hAnsi="Source Sans Pro" w:cstheme="minorBidi"/>
                                <w:color w:val="000000" w:themeColor="text1"/>
                                <w:sz w:val="20"/>
                                <w:szCs w:val="20"/>
                                <w:lang w:eastAsia="en-US"/>
                              </w:rPr>
                              <w:t>Cette hausse s’explique principalement par une meilleure disponibilité et qualité des données, liée à l’amélioration des processus de collecte et à la publication accrue d’informations par les entreprises. Cette progression concerne à la fois nos contreparties en direct et nos investissements via des OPC, tant dans les mandats que dans les Unités de Compte.</w:t>
                            </w:r>
                          </w:p>
                          <w:p w14:paraId="24E1AE24" w14:textId="3A94443E" w:rsidR="002C7725" w:rsidRPr="002151B6" w:rsidRDefault="002C7725" w:rsidP="00590DD1">
                            <w:pPr>
                              <w:pStyle w:val="paragraph"/>
                              <w:numPr>
                                <w:ilvl w:val="0"/>
                                <w:numId w:val="56"/>
                              </w:numPr>
                              <w:spacing w:after="120" w:afterAutospacing="0"/>
                              <w:ind w:left="283" w:right="335" w:hanging="357"/>
                              <w:jc w:val="both"/>
                              <w:textAlignment w:val="baseline"/>
                              <w:rPr>
                                <w:rFonts w:ascii="Source Sans Pro" w:hAnsi="Source Sans Pro" w:cstheme="minorBidi"/>
                                <w:color w:val="000000" w:themeColor="text1"/>
                                <w:sz w:val="20"/>
                                <w:szCs w:val="20"/>
                                <w:lang w:eastAsia="en-US"/>
                              </w:rPr>
                            </w:pPr>
                            <w:r w:rsidRPr="002151B6">
                              <w:rPr>
                                <w:rFonts w:ascii="Source Sans Pro" w:hAnsi="Source Sans Pro" w:cstheme="minorBidi"/>
                                <w:color w:val="000000" w:themeColor="text1"/>
                                <w:sz w:val="20"/>
                                <w:szCs w:val="20"/>
                                <w:lang w:eastAsia="en-US"/>
                              </w:rPr>
                              <w:t xml:space="preserve">Les données utilisées reposent majoritairement sur les publications des entreprises au titre de l’exercice 2024, celles-ci n’ayant, pour la plupart, pas encore publié leur part verte 2025 au moment de la publication du présent rapport au titre de l’article 29 de la </w:t>
                            </w:r>
                            <w:r w:rsidR="002151B6">
                              <w:rPr>
                                <w:rFonts w:ascii="Source Sans Pro" w:hAnsi="Source Sans Pro" w:cstheme="minorBidi"/>
                                <w:color w:val="000000" w:themeColor="text1"/>
                                <w:sz w:val="20"/>
                                <w:szCs w:val="20"/>
                                <w:lang w:eastAsia="en-US"/>
                              </w:rPr>
                              <w:t>L</w:t>
                            </w:r>
                            <w:r w:rsidRPr="002151B6">
                              <w:rPr>
                                <w:rFonts w:ascii="Source Sans Pro" w:hAnsi="Source Sans Pro" w:cstheme="minorBidi"/>
                                <w:color w:val="000000" w:themeColor="text1"/>
                                <w:sz w:val="20"/>
                                <w:szCs w:val="20"/>
                                <w:lang w:eastAsia="en-US"/>
                              </w:rPr>
                              <w:t>oi Énergie</w:t>
                            </w:r>
                            <w:r w:rsidRPr="002151B6">
                              <w:rPr>
                                <w:rFonts w:ascii="Cambria Math" w:hAnsi="Cambria Math" w:cs="Cambria Math"/>
                                <w:color w:val="000000" w:themeColor="text1"/>
                                <w:sz w:val="20"/>
                                <w:szCs w:val="20"/>
                                <w:lang w:eastAsia="en-US"/>
                              </w:rPr>
                              <w:t>‑</w:t>
                            </w:r>
                            <w:r w:rsidRPr="002151B6">
                              <w:rPr>
                                <w:rFonts w:ascii="Source Sans Pro" w:hAnsi="Source Sans Pro" w:cstheme="minorBidi"/>
                                <w:color w:val="000000" w:themeColor="text1"/>
                                <w:sz w:val="20"/>
                                <w:szCs w:val="20"/>
                                <w:lang w:eastAsia="en-US"/>
                              </w:rPr>
                              <w:t>Climat.</w:t>
                            </w:r>
                          </w:p>
                          <w:p w14:paraId="4E24D5EB" w14:textId="3AD4BA85" w:rsidR="00731688" w:rsidRPr="002151B6" w:rsidRDefault="002C7725" w:rsidP="00590DD1">
                            <w:pPr>
                              <w:pStyle w:val="paragraph"/>
                              <w:numPr>
                                <w:ilvl w:val="0"/>
                                <w:numId w:val="56"/>
                              </w:numPr>
                              <w:spacing w:before="0" w:beforeAutospacing="0" w:after="0" w:afterAutospacing="0"/>
                              <w:ind w:left="284" w:right="335"/>
                              <w:jc w:val="both"/>
                              <w:textAlignment w:val="baseline"/>
                              <w:rPr>
                                <w:color w:val="000000" w:themeColor="text1"/>
                                <w:sz w:val="20"/>
                                <w:szCs w:val="20"/>
                              </w:rPr>
                            </w:pPr>
                            <w:r w:rsidRPr="002151B6">
                              <w:rPr>
                                <w:rFonts w:ascii="Source Sans Pro" w:hAnsi="Source Sans Pro" w:cstheme="minorBidi"/>
                                <w:color w:val="000000" w:themeColor="text1"/>
                                <w:sz w:val="20"/>
                                <w:szCs w:val="20"/>
                                <w:lang w:eastAsia="en-US"/>
                              </w:rPr>
                              <w:t>La taxonomie européenne constitue un pilier central de notre stratégie d’investissement. La part verte y joue un rôle clé, notamment pour démontrer la contribution à un objectif environnemental dans le cadre de notre définition de l’investissement durable (voir section B.2</w:t>
                            </w:r>
                            <w:r w:rsidR="007B6014">
                              <w:rPr>
                                <w:rFonts w:ascii="Source Sans Pro" w:hAnsi="Source Sans Pro" w:cstheme="minorBidi"/>
                                <w:color w:val="000000" w:themeColor="text1"/>
                                <w:sz w:val="20"/>
                                <w:szCs w:val="20"/>
                                <w:lang w:eastAsia="en-US"/>
                              </w:rPr>
                              <w:t>.</w:t>
                            </w:r>
                            <w:r w:rsidRPr="002151B6">
                              <w:rPr>
                                <w:rFonts w:ascii="Source Sans Pro" w:hAnsi="Source Sans Pro" w:cstheme="minorBidi"/>
                                <w:color w:val="000000" w:themeColor="text1"/>
                                <w:sz w:val="20"/>
                                <w:szCs w:val="20"/>
                                <w:lang w:eastAsia="en-US"/>
                              </w:rPr>
                              <w:t>).</w:t>
                            </w:r>
                          </w:p>
                          <w:p w14:paraId="65D8F98D" w14:textId="06C10ABB" w:rsidR="00731688" w:rsidRPr="002151B6" w:rsidRDefault="00731688" w:rsidP="002C7725">
                            <w:pPr>
                              <w:pStyle w:val="paragraph"/>
                              <w:spacing w:before="0" w:beforeAutospacing="0" w:after="0" w:afterAutospacing="0"/>
                              <w:ind w:left="284" w:right="335"/>
                              <w:jc w:val="both"/>
                              <w:textAlignment w:val="baseline"/>
                              <w:rPr>
                                <w:color w:val="000000" w:themeColor="text1"/>
                                <w:sz w:val="20"/>
                                <w:szCs w:val="20"/>
                              </w:rPr>
                            </w:pPr>
                          </w:p>
                          <w:p w14:paraId="46A6F904" w14:textId="77777777" w:rsidR="00DD56DB" w:rsidRPr="002151B6" w:rsidRDefault="00DD56DB" w:rsidP="00DD56DB">
                            <w:pPr>
                              <w:ind w:right="337"/>
                              <w:rPr>
                                <w:color w:val="000000" w:themeColor="text1"/>
                                <w:sz w:val="20"/>
                                <w:szCs w:val="20"/>
                                <w:lang w:val="fr-FR"/>
                              </w:rPr>
                            </w:pPr>
                          </w:p>
                        </w:txbxContent>
                      </wps:txbx>
                      <wps:bodyPr rot="0" spcFirstLastPara="0" vertOverflow="overflow" horzOverflow="overflow" vert="horz" wrap="square" lIns="180000" tIns="72000" rIns="180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F0646C" id="Rectangle : coins arrondis 640976461" o:spid="_x0000_s1102" style="position:absolute;left:0;text-align:left;margin-left:8.85pt;margin-top:.45pt;width:453.75pt;height:279pt;z-index:-25188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" fillcolor="#d8d8d8 [2732]" stroked="f" strokeweight="1pt">
                <v:stroke joinstyle="miter"/>
                <v:textbox inset="5mm,2mm,5mm,3mm">
                  <w:txbxContent>
                    <w:p w14:paraId="1D66D563" w14:textId="5628EDCD" w:rsidR="0083556A" w:rsidRPr="00DC419F" w:rsidRDefault="00DD56DB" w:rsidP="0049254A">
                      <w:pPr>
                        <w:pStyle w:val="paragraph"/>
                        <w:numPr>
                          <w:ilvl w:val="0"/>
                          <w:numId w:val="7"/>
                        </w:numPr>
                        <w:spacing w:before="0" w:beforeAutospacing="0" w:after="0" w:afterAutospacing="0"/>
                        <w:ind w:left="284" w:right="335" w:hanging="284"/>
                        <w:textAlignment w:val="baseline"/>
                        <w:rPr>
                          <w:color w:val="000000" w:themeColor="text1"/>
                          <w:sz w:val="20"/>
                          <w:szCs w:val="20"/>
                        </w:rPr>
                      </w:pPr>
                      <w:r w:rsidRPr="002151B6">
                        <w:rPr>
                          <w:rFonts w:ascii="Source Sans Pro" w:hAnsi="Source Sans Pro" w:cstheme="minorBidi"/>
                          <w:color w:val="000000" w:themeColor="text1"/>
                          <w:sz w:val="20"/>
                          <w:szCs w:val="20"/>
                          <w:lang w:eastAsia="en-US"/>
                        </w:rPr>
                        <w:t xml:space="preserve">En 2025, </w:t>
                      </w:r>
                      <w:r w:rsidR="000B31B8" w:rsidRPr="002151B6">
                        <w:rPr>
                          <w:rFonts w:ascii="Source Sans Pro" w:hAnsi="Source Sans Pro" w:cstheme="minorBidi"/>
                          <w:color w:val="000000" w:themeColor="text1"/>
                          <w:sz w:val="20"/>
                          <w:szCs w:val="20"/>
                          <w:lang w:eastAsia="en-US"/>
                        </w:rPr>
                        <w:t xml:space="preserve">la part verte totale du portefeuille </w:t>
                      </w:r>
                      <w:r w:rsidR="00DC419F">
                        <w:rPr>
                          <w:rFonts w:ascii="Source Sans Pro" w:hAnsi="Source Sans Pro" w:cstheme="minorBidi"/>
                          <w:color w:val="000000" w:themeColor="text1"/>
                          <w:sz w:val="20"/>
                          <w:szCs w:val="20"/>
                          <w:lang w:eastAsia="en-US"/>
                        </w:rPr>
                        <w:t>Abeille Retraite Professionnelle</w:t>
                      </w:r>
                      <w:r w:rsidR="00621F14" w:rsidRPr="002151B6">
                        <w:rPr>
                          <w:rFonts w:ascii="Source Sans Pro" w:hAnsi="Source Sans Pro" w:cstheme="minorBidi"/>
                          <w:color w:val="000000" w:themeColor="text1"/>
                          <w:sz w:val="20"/>
                          <w:szCs w:val="20"/>
                          <w:lang w:eastAsia="en-US"/>
                        </w:rPr>
                        <w:t xml:space="preserve"> </w:t>
                      </w:r>
                      <w:r w:rsidR="000B31B8" w:rsidRPr="002151B6">
                        <w:rPr>
                          <w:rFonts w:ascii="Source Sans Pro" w:hAnsi="Source Sans Pro" w:cstheme="minorBidi"/>
                          <w:color w:val="000000" w:themeColor="text1"/>
                          <w:sz w:val="20"/>
                          <w:szCs w:val="20"/>
                          <w:lang w:eastAsia="en-US"/>
                        </w:rPr>
                        <w:t>a augmenté par rapport à 2024</w:t>
                      </w:r>
                    </w:p>
                    <w:p w14:paraId="4A8BB513" w14:textId="68670DF1" w:rsidR="00DC419F" w:rsidRPr="00504470" w:rsidRDefault="00DC419F" w:rsidP="00DC419F">
                      <w:pPr>
                        <w:pStyle w:val="paragraph"/>
                        <w:numPr>
                          <w:ilvl w:val="1"/>
                          <w:numId w:val="108"/>
                        </w:numPr>
                        <w:spacing w:before="0" w:beforeAutospacing="0" w:after="0" w:afterAutospacing="0"/>
                        <w:ind w:left="709" w:right="335"/>
                        <w:jc w:val="both"/>
                        <w:textAlignment w:val="baseline"/>
                        <w:rPr>
                          <w:rFonts w:asciiTheme="minorHAnsi" w:hAnsiTheme="minorHAnsi"/>
                          <w:color w:val="000000" w:themeColor="text1"/>
                          <w:sz w:val="20"/>
                          <w:szCs w:val="20"/>
                        </w:rPr>
                      </w:pPr>
                      <w:r w:rsidRPr="00504470">
                        <w:rPr>
                          <w:rFonts w:asciiTheme="minorHAnsi" w:hAnsiTheme="minorHAnsi"/>
                          <w:color w:val="000000" w:themeColor="text1"/>
                          <w:sz w:val="20"/>
                          <w:szCs w:val="20"/>
                        </w:rPr>
                        <w:t xml:space="preserve">En chiffre d’affaires : </w:t>
                      </w:r>
                      <w:r>
                        <w:rPr>
                          <w:rFonts w:asciiTheme="minorHAnsi" w:hAnsiTheme="minorHAnsi"/>
                          <w:color w:val="000000" w:themeColor="text1"/>
                          <w:sz w:val="20"/>
                          <w:szCs w:val="20"/>
                        </w:rPr>
                        <w:t>6,1</w:t>
                      </w:r>
                      <w:r w:rsidRPr="00504470">
                        <w:rPr>
                          <w:rFonts w:asciiTheme="minorHAnsi" w:hAnsiTheme="minorHAnsi"/>
                          <w:color w:val="000000" w:themeColor="text1"/>
                          <w:sz w:val="20"/>
                          <w:szCs w:val="20"/>
                        </w:rPr>
                        <w:t>% (vs 2,</w:t>
                      </w:r>
                      <w:r w:rsidR="00F045AB">
                        <w:rPr>
                          <w:rFonts w:asciiTheme="minorHAnsi" w:hAnsiTheme="minorHAnsi"/>
                          <w:color w:val="000000" w:themeColor="text1"/>
                          <w:sz w:val="20"/>
                          <w:szCs w:val="20"/>
                        </w:rPr>
                        <w:t>8</w:t>
                      </w:r>
                      <w:r w:rsidRPr="00504470">
                        <w:rPr>
                          <w:rFonts w:asciiTheme="minorHAnsi" w:hAnsiTheme="minorHAnsi"/>
                          <w:color w:val="000000" w:themeColor="text1"/>
                          <w:sz w:val="20"/>
                          <w:szCs w:val="20"/>
                        </w:rPr>
                        <w:t>% en 2024)</w:t>
                      </w:r>
                    </w:p>
                    <w:p w14:paraId="6CAE6FFE" w14:textId="138D24E9" w:rsidR="00DC419F" w:rsidRPr="00504470" w:rsidRDefault="00DC419F" w:rsidP="00DC419F">
                      <w:pPr>
                        <w:pStyle w:val="paragraph"/>
                        <w:numPr>
                          <w:ilvl w:val="1"/>
                          <w:numId w:val="108"/>
                        </w:numPr>
                        <w:spacing w:before="0" w:beforeAutospacing="0" w:after="120" w:afterAutospacing="0"/>
                        <w:ind w:left="709" w:right="335" w:hanging="357"/>
                        <w:jc w:val="both"/>
                        <w:textAlignment w:val="baseline"/>
                        <w:rPr>
                          <w:rFonts w:asciiTheme="minorHAnsi" w:hAnsiTheme="minorHAnsi"/>
                          <w:color w:val="000000" w:themeColor="text1"/>
                          <w:sz w:val="20"/>
                          <w:szCs w:val="20"/>
                        </w:rPr>
                      </w:pPr>
                      <w:r w:rsidRPr="00504470">
                        <w:rPr>
                          <w:rFonts w:asciiTheme="minorHAnsi" w:hAnsiTheme="minorHAnsi"/>
                          <w:color w:val="000000" w:themeColor="text1"/>
                          <w:sz w:val="20"/>
                          <w:szCs w:val="20"/>
                        </w:rPr>
                        <w:t>En dépenses d’investissement : 6,</w:t>
                      </w:r>
                      <w:r>
                        <w:rPr>
                          <w:rFonts w:asciiTheme="minorHAnsi" w:hAnsiTheme="minorHAnsi"/>
                          <w:color w:val="000000" w:themeColor="text1"/>
                          <w:sz w:val="20"/>
                          <w:szCs w:val="20"/>
                        </w:rPr>
                        <w:t>2</w:t>
                      </w:r>
                      <w:r w:rsidRPr="00504470">
                        <w:rPr>
                          <w:rFonts w:asciiTheme="minorHAnsi" w:hAnsiTheme="minorHAnsi"/>
                          <w:color w:val="000000" w:themeColor="text1"/>
                          <w:sz w:val="20"/>
                          <w:szCs w:val="20"/>
                        </w:rPr>
                        <w:t xml:space="preserve">% (vs </w:t>
                      </w:r>
                      <w:r w:rsidR="00F045AB">
                        <w:rPr>
                          <w:rFonts w:asciiTheme="minorHAnsi" w:hAnsiTheme="minorHAnsi"/>
                          <w:color w:val="000000" w:themeColor="text1"/>
                          <w:sz w:val="20"/>
                          <w:szCs w:val="20"/>
                        </w:rPr>
                        <w:t>4,3</w:t>
                      </w:r>
                      <w:r w:rsidRPr="00504470">
                        <w:rPr>
                          <w:rFonts w:asciiTheme="minorHAnsi" w:hAnsiTheme="minorHAnsi"/>
                          <w:color w:val="000000" w:themeColor="text1"/>
                          <w:sz w:val="20"/>
                          <w:szCs w:val="20"/>
                        </w:rPr>
                        <w:t>% en 2024)</w:t>
                      </w:r>
                    </w:p>
                    <w:p w14:paraId="13E31028" w14:textId="77777777" w:rsidR="00DC419F" w:rsidRPr="002151B6" w:rsidRDefault="00DC419F" w:rsidP="00DC419F">
                      <w:pPr>
                        <w:pStyle w:val="paragraph"/>
                        <w:spacing w:before="0" w:beforeAutospacing="0" w:after="0" w:afterAutospacing="0"/>
                        <w:ind w:left="284" w:right="335"/>
                        <w:textAlignment w:val="baseline"/>
                        <w:rPr>
                          <w:color w:val="000000" w:themeColor="text1"/>
                          <w:sz w:val="20"/>
                          <w:szCs w:val="20"/>
                        </w:rPr>
                      </w:pPr>
                    </w:p>
                    <w:p w14:paraId="582D69D6" w14:textId="3CDC8406" w:rsidR="002C7725" w:rsidRPr="002151B6" w:rsidRDefault="002C7725" w:rsidP="00590DD1">
                      <w:pPr>
                        <w:pStyle w:val="paragraph"/>
                        <w:numPr>
                          <w:ilvl w:val="0"/>
                          <w:numId w:val="56"/>
                        </w:numPr>
                        <w:spacing w:before="0" w:beforeAutospacing="0" w:after="120" w:afterAutospacing="0"/>
                        <w:ind w:left="283" w:right="335" w:hanging="357"/>
                        <w:jc w:val="both"/>
                        <w:textAlignment w:val="baseline"/>
                        <w:rPr>
                          <w:rFonts w:ascii="Source Sans Pro" w:hAnsi="Source Sans Pro" w:cstheme="minorBidi"/>
                          <w:color w:val="000000" w:themeColor="text1"/>
                          <w:sz w:val="20"/>
                          <w:szCs w:val="20"/>
                          <w:lang w:eastAsia="en-US"/>
                        </w:rPr>
                      </w:pPr>
                      <w:r w:rsidRPr="002151B6">
                        <w:rPr>
                          <w:rFonts w:ascii="Source Sans Pro" w:hAnsi="Source Sans Pro" w:cstheme="minorBidi"/>
                          <w:color w:val="000000" w:themeColor="text1"/>
                          <w:sz w:val="20"/>
                          <w:szCs w:val="20"/>
                          <w:lang w:eastAsia="en-US"/>
                        </w:rPr>
                        <w:t>Cette hausse s’explique principalement par une meilleure disponibilité et qualité des données, liée à l’amélioration des processus de collecte et à la publication accrue d’informations par les entreprises. Cette progression concerne à la fois nos contreparties en direct et nos investissements via des OPC, tant dans les mandats que dans les Unités de Compte.</w:t>
                      </w:r>
                    </w:p>
                    <w:p w14:paraId="24E1AE24" w14:textId="3A94443E" w:rsidR="002C7725" w:rsidRPr="002151B6" w:rsidRDefault="002C7725" w:rsidP="00590DD1">
                      <w:pPr>
                        <w:pStyle w:val="paragraph"/>
                        <w:numPr>
                          <w:ilvl w:val="0"/>
                          <w:numId w:val="56"/>
                        </w:numPr>
                        <w:spacing w:after="120" w:afterAutospacing="0"/>
                        <w:ind w:left="283" w:right="335" w:hanging="357"/>
                        <w:jc w:val="both"/>
                        <w:textAlignment w:val="baseline"/>
                        <w:rPr>
                          <w:rFonts w:ascii="Source Sans Pro" w:hAnsi="Source Sans Pro" w:cstheme="minorBidi"/>
                          <w:color w:val="000000" w:themeColor="text1"/>
                          <w:sz w:val="20"/>
                          <w:szCs w:val="20"/>
                          <w:lang w:eastAsia="en-US"/>
                        </w:rPr>
                      </w:pPr>
                      <w:r w:rsidRPr="002151B6">
                        <w:rPr>
                          <w:rFonts w:ascii="Source Sans Pro" w:hAnsi="Source Sans Pro" w:cstheme="minorBidi"/>
                          <w:color w:val="000000" w:themeColor="text1"/>
                          <w:sz w:val="20"/>
                          <w:szCs w:val="20"/>
                          <w:lang w:eastAsia="en-US"/>
                        </w:rPr>
                        <w:t xml:space="preserve">Les données utilisées reposent majoritairement sur les publications des entreprises au titre de l’exercice 2024, celles-ci n’ayant, pour la plupart, pas encore publié leur part verte 2025 au moment de la publication du présent rapport au titre de l’article 29 de la </w:t>
                      </w:r>
                      <w:r w:rsidR="002151B6">
                        <w:rPr>
                          <w:rFonts w:ascii="Source Sans Pro" w:hAnsi="Source Sans Pro" w:cstheme="minorBidi"/>
                          <w:color w:val="000000" w:themeColor="text1"/>
                          <w:sz w:val="20"/>
                          <w:szCs w:val="20"/>
                          <w:lang w:eastAsia="en-US"/>
                        </w:rPr>
                        <w:t>L</w:t>
                      </w:r>
                      <w:r w:rsidRPr="002151B6">
                        <w:rPr>
                          <w:rFonts w:ascii="Source Sans Pro" w:hAnsi="Source Sans Pro" w:cstheme="minorBidi"/>
                          <w:color w:val="000000" w:themeColor="text1"/>
                          <w:sz w:val="20"/>
                          <w:szCs w:val="20"/>
                          <w:lang w:eastAsia="en-US"/>
                        </w:rPr>
                        <w:t>oi Énergie</w:t>
                      </w:r>
                      <w:r w:rsidRPr="002151B6">
                        <w:rPr>
                          <w:rFonts w:ascii="Cambria Math" w:hAnsi="Cambria Math" w:cs="Cambria Math"/>
                          <w:color w:val="000000" w:themeColor="text1"/>
                          <w:sz w:val="20"/>
                          <w:szCs w:val="20"/>
                          <w:lang w:eastAsia="en-US"/>
                        </w:rPr>
                        <w:t>‑</w:t>
                      </w:r>
                      <w:r w:rsidRPr="002151B6">
                        <w:rPr>
                          <w:rFonts w:ascii="Source Sans Pro" w:hAnsi="Source Sans Pro" w:cstheme="minorBidi"/>
                          <w:color w:val="000000" w:themeColor="text1"/>
                          <w:sz w:val="20"/>
                          <w:szCs w:val="20"/>
                          <w:lang w:eastAsia="en-US"/>
                        </w:rPr>
                        <w:t>Climat.</w:t>
                      </w:r>
                    </w:p>
                    <w:p w14:paraId="4E24D5EB" w14:textId="3AD4BA85" w:rsidR="00731688" w:rsidRPr="002151B6" w:rsidRDefault="002C7725" w:rsidP="00590DD1">
                      <w:pPr>
                        <w:pStyle w:val="paragraph"/>
                        <w:numPr>
                          <w:ilvl w:val="0"/>
                          <w:numId w:val="56"/>
                        </w:numPr>
                        <w:spacing w:before="0" w:beforeAutospacing="0" w:after="0" w:afterAutospacing="0"/>
                        <w:ind w:left="284" w:right="335"/>
                        <w:jc w:val="both"/>
                        <w:textAlignment w:val="baseline"/>
                        <w:rPr>
                          <w:color w:val="000000" w:themeColor="text1"/>
                          <w:sz w:val="20"/>
                          <w:szCs w:val="20"/>
                        </w:rPr>
                      </w:pPr>
                      <w:r w:rsidRPr="002151B6">
                        <w:rPr>
                          <w:rFonts w:ascii="Source Sans Pro" w:hAnsi="Source Sans Pro" w:cstheme="minorBidi"/>
                          <w:color w:val="000000" w:themeColor="text1"/>
                          <w:sz w:val="20"/>
                          <w:szCs w:val="20"/>
                          <w:lang w:eastAsia="en-US"/>
                        </w:rPr>
                        <w:t>La taxonomie européenne constitue un pilier central de notre stratégie d’investissement. La part verte y joue un rôle clé, notamment pour démontrer la contribution à un objectif environnemental dans le cadre de notre définition de l’investissement durable (voir section B.2</w:t>
                      </w:r>
                      <w:r w:rsidR="007B6014">
                        <w:rPr>
                          <w:rFonts w:ascii="Source Sans Pro" w:hAnsi="Source Sans Pro" w:cstheme="minorBidi"/>
                          <w:color w:val="000000" w:themeColor="text1"/>
                          <w:sz w:val="20"/>
                          <w:szCs w:val="20"/>
                          <w:lang w:eastAsia="en-US"/>
                        </w:rPr>
                        <w:t>.</w:t>
                      </w:r>
                      <w:r w:rsidRPr="002151B6">
                        <w:rPr>
                          <w:rFonts w:ascii="Source Sans Pro" w:hAnsi="Source Sans Pro" w:cstheme="minorBidi"/>
                          <w:color w:val="000000" w:themeColor="text1"/>
                          <w:sz w:val="20"/>
                          <w:szCs w:val="20"/>
                          <w:lang w:eastAsia="en-US"/>
                        </w:rPr>
                        <w:t>).</w:t>
                      </w:r>
                    </w:p>
                    <w:p w14:paraId="65D8F98D" w14:textId="06C10ABB" w:rsidR="00731688" w:rsidRPr="002151B6" w:rsidRDefault="00731688" w:rsidP="002C7725">
                      <w:pPr>
                        <w:pStyle w:val="paragraph"/>
                        <w:spacing w:before="0" w:beforeAutospacing="0" w:after="0" w:afterAutospacing="0"/>
                        <w:ind w:left="284" w:right="335"/>
                        <w:jc w:val="both"/>
                        <w:textAlignment w:val="baseline"/>
                        <w:rPr>
                          <w:color w:val="000000" w:themeColor="text1"/>
                          <w:sz w:val="20"/>
                          <w:szCs w:val="20"/>
                        </w:rPr>
                      </w:pPr>
                    </w:p>
                    <w:p w14:paraId="46A6F904" w14:textId="77777777" w:rsidR="00DD56DB" w:rsidRPr="002151B6" w:rsidRDefault="00DD56DB" w:rsidP="00DD56DB">
                      <w:pPr>
                        <w:ind w:right="337"/>
                        <w:rPr>
                          <w:color w:val="000000" w:themeColor="text1"/>
                          <w:sz w:val="20"/>
                          <w:szCs w:val="20"/>
                          <w:lang w:val="fr-FR"/>
                        </w:rPr>
                      </w:pPr>
                    </w:p>
                  </w:txbxContent>
                </v:textbox>
                <w10:wrap anchorx="margin"/>
              </v:roundrect>
            </w:pict>
          </mc:Fallback>
        </mc:AlternateContent>
      </w:r>
    </w:p>
    <w:p w14:paraId="0B373BD8" w14:textId="547A325F" w:rsidR="00DD56DB" w:rsidRPr="00A74D23" w:rsidRDefault="00DD56DB" w:rsidP="009D6EE5">
      <w:pPr>
        <w:pStyle w:val="Paragraphedeliste"/>
        <w:spacing w:after="0" w:line="22" w:lineRule="atLeast"/>
        <w:ind w:left="0"/>
        <w:jc w:val="both"/>
        <w:rPr>
          <w:rFonts w:cs="Open Sans"/>
          <w:sz w:val="18"/>
          <w:szCs w:val="18"/>
        </w:rPr>
      </w:pPr>
    </w:p>
    <w:p w14:paraId="4302EC9B" w14:textId="6A51F382" w:rsidR="00DD56DB" w:rsidRPr="00A74D23" w:rsidRDefault="00DD56DB" w:rsidP="009D6EE5">
      <w:pPr>
        <w:pStyle w:val="Paragraphedeliste"/>
        <w:spacing w:after="0" w:line="22" w:lineRule="atLeast"/>
        <w:ind w:left="0"/>
        <w:jc w:val="both"/>
        <w:rPr>
          <w:rFonts w:cs="Open Sans"/>
          <w:sz w:val="18"/>
          <w:szCs w:val="18"/>
        </w:rPr>
      </w:pPr>
    </w:p>
    <w:p w14:paraId="2C4E0C3C" w14:textId="77777777" w:rsidR="00DD56DB" w:rsidRPr="00A74D23" w:rsidRDefault="00DD56DB" w:rsidP="009D6EE5">
      <w:pPr>
        <w:pStyle w:val="Paragraphedeliste"/>
        <w:spacing w:after="0" w:line="22" w:lineRule="atLeast"/>
        <w:ind w:left="0"/>
        <w:jc w:val="both"/>
        <w:rPr>
          <w:rFonts w:cs="Open Sans"/>
          <w:sz w:val="18"/>
          <w:szCs w:val="18"/>
        </w:rPr>
      </w:pPr>
    </w:p>
    <w:p w14:paraId="0BF987B3" w14:textId="77777777" w:rsidR="00DD56DB" w:rsidRPr="00A74D23" w:rsidRDefault="00DD56DB" w:rsidP="009D6EE5">
      <w:pPr>
        <w:pStyle w:val="Paragraphedeliste"/>
        <w:spacing w:after="0" w:line="22" w:lineRule="atLeast"/>
        <w:ind w:left="0"/>
        <w:jc w:val="both"/>
        <w:rPr>
          <w:rFonts w:cs="Open Sans"/>
          <w:sz w:val="18"/>
          <w:szCs w:val="18"/>
        </w:rPr>
      </w:pPr>
    </w:p>
    <w:p w14:paraId="31CA32F2" w14:textId="77777777" w:rsidR="00DD56DB" w:rsidRPr="00A74D23" w:rsidRDefault="00DD56DB" w:rsidP="009D6EE5">
      <w:pPr>
        <w:pStyle w:val="Paragraphedeliste"/>
        <w:spacing w:after="0" w:line="22" w:lineRule="atLeast"/>
        <w:ind w:left="0"/>
        <w:jc w:val="both"/>
        <w:rPr>
          <w:rFonts w:cs="Open Sans"/>
          <w:sz w:val="18"/>
          <w:szCs w:val="18"/>
        </w:rPr>
      </w:pPr>
    </w:p>
    <w:p w14:paraId="72878DF5" w14:textId="77777777" w:rsidR="00DD56DB" w:rsidRPr="00A74D23" w:rsidRDefault="00DD56DB" w:rsidP="009D6EE5">
      <w:pPr>
        <w:pStyle w:val="Paragraphedeliste"/>
        <w:spacing w:after="0" w:line="22" w:lineRule="atLeast"/>
        <w:ind w:left="0"/>
        <w:jc w:val="both"/>
        <w:rPr>
          <w:rFonts w:cs="Open Sans"/>
          <w:sz w:val="18"/>
          <w:szCs w:val="18"/>
        </w:rPr>
      </w:pPr>
    </w:p>
    <w:p w14:paraId="0BB8E256" w14:textId="77777777" w:rsidR="00DD56DB" w:rsidRPr="00A74D23" w:rsidRDefault="00DD56DB" w:rsidP="009D6EE5">
      <w:pPr>
        <w:pStyle w:val="Paragraphedeliste"/>
        <w:spacing w:after="0" w:line="22" w:lineRule="atLeast"/>
        <w:ind w:left="0"/>
        <w:jc w:val="both"/>
        <w:rPr>
          <w:rFonts w:cs="Open Sans"/>
          <w:sz w:val="18"/>
          <w:szCs w:val="18"/>
        </w:rPr>
      </w:pPr>
    </w:p>
    <w:p w14:paraId="13871451" w14:textId="77777777" w:rsidR="00DD56DB" w:rsidRPr="00A74D23" w:rsidRDefault="00DD56DB" w:rsidP="009D6EE5">
      <w:pPr>
        <w:pStyle w:val="Paragraphedeliste"/>
        <w:spacing w:after="0" w:line="22" w:lineRule="atLeast"/>
        <w:ind w:left="0"/>
        <w:jc w:val="both"/>
        <w:rPr>
          <w:rFonts w:cs="Open Sans"/>
          <w:sz w:val="18"/>
          <w:szCs w:val="18"/>
        </w:rPr>
      </w:pPr>
    </w:p>
    <w:p w14:paraId="3290018C" w14:textId="77777777" w:rsidR="000B31B8" w:rsidRPr="00A74D23" w:rsidRDefault="000B31B8" w:rsidP="009D6EE5">
      <w:pPr>
        <w:pStyle w:val="Paragraphedeliste"/>
        <w:spacing w:after="0" w:line="22" w:lineRule="atLeast"/>
        <w:ind w:left="0"/>
        <w:jc w:val="both"/>
        <w:rPr>
          <w:rFonts w:cs="Open Sans"/>
          <w:sz w:val="20"/>
        </w:rPr>
      </w:pPr>
    </w:p>
    <w:p w14:paraId="3A818232" w14:textId="77777777" w:rsidR="000B31B8" w:rsidRPr="00A74D23" w:rsidRDefault="000B31B8" w:rsidP="009D6EE5">
      <w:pPr>
        <w:pStyle w:val="Paragraphedeliste"/>
        <w:spacing w:after="0" w:line="22" w:lineRule="atLeast"/>
        <w:ind w:left="0"/>
        <w:jc w:val="both"/>
        <w:rPr>
          <w:rFonts w:cs="Open Sans"/>
          <w:sz w:val="20"/>
        </w:rPr>
      </w:pPr>
    </w:p>
    <w:p w14:paraId="02B99010" w14:textId="77777777" w:rsidR="000B31B8" w:rsidRPr="00A74D23" w:rsidRDefault="000B31B8" w:rsidP="009D6EE5">
      <w:pPr>
        <w:pStyle w:val="Paragraphedeliste"/>
        <w:spacing w:after="0" w:line="22" w:lineRule="atLeast"/>
        <w:ind w:left="0"/>
        <w:jc w:val="both"/>
        <w:rPr>
          <w:rFonts w:cs="Open Sans"/>
          <w:sz w:val="20"/>
        </w:rPr>
      </w:pPr>
    </w:p>
    <w:p w14:paraId="4E8B7C70" w14:textId="77777777" w:rsidR="0086487F" w:rsidRPr="00A74D23" w:rsidRDefault="0086487F" w:rsidP="009D6EE5">
      <w:pPr>
        <w:pStyle w:val="Paragraphedeliste"/>
        <w:spacing w:after="0" w:line="22" w:lineRule="atLeast"/>
        <w:ind w:left="0"/>
        <w:jc w:val="both"/>
        <w:rPr>
          <w:rFonts w:cs="Open Sans"/>
          <w:sz w:val="20"/>
        </w:rPr>
      </w:pPr>
    </w:p>
    <w:p w14:paraId="055D3E95" w14:textId="77777777" w:rsidR="0086487F" w:rsidRPr="00A74D23" w:rsidRDefault="0086487F" w:rsidP="009D6EE5">
      <w:pPr>
        <w:pStyle w:val="Paragraphedeliste"/>
        <w:spacing w:after="0" w:line="22" w:lineRule="atLeast"/>
        <w:ind w:left="0"/>
        <w:jc w:val="both"/>
        <w:rPr>
          <w:rFonts w:cs="Open Sans"/>
          <w:sz w:val="20"/>
        </w:rPr>
      </w:pPr>
    </w:p>
    <w:p w14:paraId="764E22B9" w14:textId="77777777" w:rsidR="0086487F" w:rsidRPr="00A74D23" w:rsidRDefault="0086487F" w:rsidP="009D6EE5">
      <w:pPr>
        <w:pStyle w:val="Paragraphedeliste"/>
        <w:spacing w:after="0" w:line="22" w:lineRule="atLeast"/>
        <w:ind w:left="0"/>
        <w:jc w:val="both"/>
        <w:rPr>
          <w:rFonts w:cs="Open Sans"/>
          <w:sz w:val="20"/>
        </w:rPr>
      </w:pPr>
    </w:p>
    <w:p w14:paraId="380468C0" w14:textId="77777777" w:rsidR="009B4781" w:rsidRPr="00A74D23" w:rsidRDefault="009B4781" w:rsidP="009D6EE5">
      <w:pPr>
        <w:pStyle w:val="Paragraphedeliste"/>
        <w:spacing w:after="0" w:line="22" w:lineRule="atLeast"/>
        <w:ind w:left="0"/>
        <w:jc w:val="both"/>
        <w:rPr>
          <w:rFonts w:cs="Open Sans"/>
          <w:sz w:val="20"/>
        </w:rPr>
      </w:pPr>
    </w:p>
    <w:p w14:paraId="791A348B" w14:textId="77777777" w:rsidR="009B4781" w:rsidRPr="00A74D23" w:rsidRDefault="009B4781" w:rsidP="009D6EE5">
      <w:pPr>
        <w:pStyle w:val="Paragraphedeliste"/>
        <w:spacing w:after="0" w:line="22" w:lineRule="atLeast"/>
        <w:ind w:left="0"/>
        <w:jc w:val="both"/>
        <w:rPr>
          <w:rFonts w:cs="Open Sans"/>
          <w:sz w:val="20"/>
        </w:rPr>
      </w:pPr>
    </w:p>
    <w:p w14:paraId="6C4695DA" w14:textId="77777777" w:rsidR="002A2E42" w:rsidRPr="00A74D23" w:rsidRDefault="002A2E42" w:rsidP="009D6EE5">
      <w:pPr>
        <w:pStyle w:val="Paragraphedeliste"/>
        <w:spacing w:after="0" w:line="22" w:lineRule="atLeast"/>
        <w:ind w:left="0"/>
        <w:jc w:val="both"/>
        <w:rPr>
          <w:rFonts w:cs="Open Sans"/>
          <w:sz w:val="20"/>
        </w:rPr>
      </w:pPr>
    </w:p>
    <w:p w14:paraId="0B1CC6D7" w14:textId="77777777" w:rsidR="002A2E42" w:rsidRPr="00A74D23" w:rsidRDefault="002A2E42" w:rsidP="009D6EE5">
      <w:pPr>
        <w:pStyle w:val="Paragraphedeliste"/>
        <w:spacing w:after="0" w:line="22" w:lineRule="atLeast"/>
        <w:ind w:left="0"/>
        <w:jc w:val="both"/>
        <w:rPr>
          <w:rFonts w:cs="Open Sans"/>
          <w:sz w:val="20"/>
        </w:rPr>
      </w:pPr>
    </w:p>
    <w:p w14:paraId="59F05A36" w14:textId="77777777" w:rsidR="002A2E42" w:rsidRPr="00A74D23" w:rsidRDefault="002A2E42" w:rsidP="009D6EE5">
      <w:pPr>
        <w:pStyle w:val="Paragraphedeliste"/>
        <w:spacing w:after="0" w:line="22" w:lineRule="atLeast"/>
        <w:ind w:left="0"/>
        <w:jc w:val="both"/>
        <w:rPr>
          <w:rFonts w:cs="Open Sans"/>
          <w:sz w:val="20"/>
        </w:rPr>
      </w:pPr>
    </w:p>
    <w:p w14:paraId="727010D6" w14:textId="77777777" w:rsidR="002A2E42" w:rsidRPr="00A74D23" w:rsidRDefault="002A2E42" w:rsidP="009D6EE5">
      <w:pPr>
        <w:pStyle w:val="Paragraphedeliste"/>
        <w:spacing w:after="0" w:line="22" w:lineRule="atLeast"/>
        <w:ind w:left="0"/>
        <w:jc w:val="both"/>
        <w:rPr>
          <w:rFonts w:cs="Open Sans"/>
          <w:sz w:val="20"/>
        </w:rPr>
      </w:pPr>
    </w:p>
    <w:p w14:paraId="36817588" w14:textId="77777777" w:rsidR="009B4781" w:rsidRPr="00A74D23" w:rsidRDefault="009B4781" w:rsidP="009D6EE5">
      <w:pPr>
        <w:pStyle w:val="Paragraphedeliste"/>
        <w:spacing w:after="0" w:line="22" w:lineRule="atLeast"/>
        <w:ind w:left="0"/>
        <w:jc w:val="both"/>
        <w:rPr>
          <w:rFonts w:cs="Open Sans"/>
          <w:sz w:val="20"/>
        </w:rPr>
      </w:pPr>
    </w:p>
    <w:p w14:paraId="24884D25" w14:textId="77777777" w:rsidR="00DC419F" w:rsidRDefault="00DC419F" w:rsidP="009D6EE5">
      <w:pPr>
        <w:spacing w:line="22" w:lineRule="atLeast"/>
        <w:jc w:val="both"/>
        <w:rPr>
          <w:rFonts w:asciiTheme="minorHAnsi" w:hAnsiTheme="minorHAnsi" w:cs="Open Sans"/>
          <w:sz w:val="20"/>
          <w:szCs w:val="20"/>
          <w:lang w:val="fr-FR"/>
        </w:rPr>
      </w:pPr>
    </w:p>
    <w:p w14:paraId="6E2EC700" w14:textId="77777777" w:rsidR="00DC419F" w:rsidRDefault="00DC419F" w:rsidP="009D6EE5">
      <w:pPr>
        <w:spacing w:line="22" w:lineRule="atLeast"/>
        <w:jc w:val="both"/>
        <w:rPr>
          <w:rFonts w:asciiTheme="minorHAnsi" w:hAnsiTheme="minorHAnsi" w:cs="Open Sans"/>
          <w:sz w:val="20"/>
          <w:szCs w:val="20"/>
          <w:lang w:val="fr-FR"/>
        </w:rPr>
      </w:pPr>
    </w:p>
    <w:p w14:paraId="111D67D9" w14:textId="5C353096" w:rsidR="009B4781" w:rsidRPr="00A74D23" w:rsidRDefault="00196640"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Le tableau présenté ci</w:t>
      </w:r>
      <w:r w:rsidRPr="00A74D23">
        <w:rPr>
          <w:rFonts w:asciiTheme="minorHAnsi" w:hAnsiTheme="minorHAnsi" w:cs="Open Sans"/>
          <w:sz w:val="20"/>
          <w:szCs w:val="20"/>
          <w:lang w:val="fr-FR"/>
        </w:rPr>
        <w:noBreakHyphen/>
        <w:t xml:space="preserve">après indique la proportion des investissements d’Abeille </w:t>
      </w:r>
      <w:r w:rsidR="00D33C39">
        <w:rPr>
          <w:rFonts w:asciiTheme="minorHAnsi" w:hAnsiTheme="minorHAnsi" w:cs="Open Sans"/>
          <w:sz w:val="20"/>
          <w:szCs w:val="20"/>
          <w:lang w:val="fr-FR"/>
        </w:rPr>
        <w:t>Retraite Professionnelle</w:t>
      </w:r>
      <w:r w:rsidRPr="00A74D23">
        <w:rPr>
          <w:rFonts w:asciiTheme="minorHAnsi" w:hAnsiTheme="minorHAnsi" w:cs="Open Sans"/>
          <w:sz w:val="20"/>
          <w:szCs w:val="20"/>
          <w:lang w:val="fr-FR"/>
        </w:rPr>
        <w:t xml:space="preserve"> finançant des activités alignées sur la Taxonomie européenne, ou associées à de telles activités, rapportée au total des investissements, conformément aux exigences réglementaires applicables.</w:t>
      </w:r>
    </w:p>
    <w:p w14:paraId="3889B6D9" w14:textId="77777777" w:rsidR="00F421C5" w:rsidRPr="00A74D23" w:rsidRDefault="00F421C5" w:rsidP="009D6EE5">
      <w:pPr>
        <w:pStyle w:val="Paragraphedeliste"/>
        <w:spacing w:after="0" w:line="22" w:lineRule="atLeast"/>
        <w:ind w:left="0"/>
        <w:jc w:val="both"/>
        <w:rPr>
          <w:rFonts w:cs="Open Sans"/>
          <w:sz w:val="20"/>
        </w:rPr>
      </w:pPr>
    </w:p>
    <w:p w14:paraId="28D1293D" w14:textId="77777777" w:rsidR="00DC419F" w:rsidRPr="00A74D23" w:rsidRDefault="00DC419F" w:rsidP="00DC419F">
      <w:pPr>
        <w:pStyle w:val="Paragraphedeliste"/>
        <w:spacing w:after="0" w:line="22" w:lineRule="atLeast"/>
        <w:ind w:left="0"/>
        <w:rPr>
          <w:rFonts w:cs="Open Sans"/>
          <w:sz w:val="20"/>
        </w:rPr>
      </w:pPr>
    </w:p>
    <w:tbl>
      <w:tblPr>
        <w:tblW w:w="10399" w:type="dxa"/>
        <w:tblLook w:val="04A0" w:firstRow="1" w:lastRow="0" w:firstColumn="1" w:lastColumn="0" w:noHBand="0" w:noVBand="1"/>
      </w:tblPr>
      <w:tblGrid>
        <w:gridCol w:w="2051"/>
        <w:gridCol w:w="3625"/>
        <w:gridCol w:w="1685"/>
        <w:gridCol w:w="3038"/>
      </w:tblGrid>
      <w:tr w:rsidR="00DC419F" w:rsidRPr="00A74D23" w14:paraId="1F953D71" w14:textId="77777777" w:rsidTr="003B24BE">
        <w:trPr>
          <w:trHeight w:val="481"/>
        </w:trPr>
        <w:tc>
          <w:tcPr>
            <w:tcW w:w="5676" w:type="dxa"/>
            <w:gridSpan w:val="2"/>
            <w:tcBorders>
              <w:top w:val="single" w:sz="8" w:space="0" w:color="auto"/>
              <w:left w:val="single" w:sz="8" w:space="0" w:color="auto"/>
              <w:bottom w:val="nil"/>
              <w:right w:val="dashed" w:sz="8" w:space="0" w:color="000000"/>
            </w:tcBorders>
            <w:shd w:val="clear" w:color="000000" w:fill="FFD400"/>
            <w:noWrap/>
            <w:vAlign w:val="center"/>
            <w:hideMark/>
          </w:tcPr>
          <w:p w14:paraId="7B27CC71" w14:textId="77777777" w:rsidR="00DC419F" w:rsidRPr="00A74D23" w:rsidRDefault="00DC419F" w:rsidP="003B24BE">
            <w:pPr>
              <w:jc w:val="center"/>
              <w:rPr>
                <w:rFonts w:asciiTheme="minorHAnsi" w:hAnsiTheme="minorHAnsi" w:cs="Calibri"/>
                <w:b/>
                <w:bCs/>
                <w:color w:val="000000"/>
                <w:sz w:val="22"/>
                <w:szCs w:val="22"/>
              </w:rPr>
            </w:pPr>
            <w:r w:rsidRPr="00A74D23">
              <w:rPr>
                <w:rFonts w:asciiTheme="minorHAnsi" w:hAnsiTheme="minorHAnsi" w:cs="Calibri"/>
                <w:b/>
                <w:bCs/>
                <w:color w:val="000000"/>
                <w:sz w:val="22"/>
                <w:szCs w:val="22"/>
              </w:rPr>
              <w:t>Données requises</w:t>
            </w:r>
          </w:p>
        </w:tc>
        <w:tc>
          <w:tcPr>
            <w:tcW w:w="1685" w:type="dxa"/>
            <w:tcBorders>
              <w:top w:val="single" w:sz="8" w:space="0" w:color="auto"/>
              <w:left w:val="nil"/>
              <w:bottom w:val="nil"/>
              <w:right w:val="dashed" w:sz="8" w:space="0" w:color="auto"/>
            </w:tcBorders>
            <w:shd w:val="clear" w:color="000000" w:fill="FFD400"/>
            <w:noWrap/>
            <w:vAlign w:val="center"/>
            <w:hideMark/>
          </w:tcPr>
          <w:p w14:paraId="40DB0F99" w14:textId="77777777" w:rsidR="00DC419F" w:rsidRPr="00A74D23" w:rsidRDefault="00DC419F" w:rsidP="003B24BE">
            <w:pPr>
              <w:jc w:val="center"/>
              <w:rPr>
                <w:rFonts w:asciiTheme="minorHAnsi" w:hAnsiTheme="minorHAnsi" w:cs="Calibri"/>
                <w:b/>
                <w:bCs/>
                <w:color w:val="000000"/>
                <w:sz w:val="22"/>
                <w:szCs w:val="22"/>
              </w:rPr>
            </w:pPr>
            <w:r w:rsidRPr="00A74D23">
              <w:rPr>
                <w:rFonts w:asciiTheme="minorHAnsi" w:hAnsiTheme="minorHAnsi" w:cs="Calibri"/>
                <w:b/>
                <w:bCs/>
                <w:color w:val="000000"/>
                <w:sz w:val="22"/>
                <w:szCs w:val="22"/>
              </w:rPr>
              <w:t>En %</w:t>
            </w:r>
          </w:p>
        </w:tc>
        <w:tc>
          <w:tcPr>
            <w:tcW w:w="3038" w:type="dxa"/>
            <w:tcBorders>
              <w:top w:val="single" w:sz="8" w:space="0" w:color="auto"/>
              <w:left w:val="nil"/>
              <w:bottom w:val="nil"/>
              <w:right w:val="single" w:sz="8" w:space="0" w:color="auto"/>
            </w:tcBorders>
            <w:shd w:val="clear" w:color="000000" w:fill="FFD400"/>
            <w:vAlign w:val="center"/>
            <w:hideMark/>
          </w:tcPr>
          <w:p w14:paraId="2EF246DC" w14:textId="77777777" w:rsidR="00DC419F" w:rsidRPr="00A74D23" w:rsidRDefault="00DC419F" w:rsidP="003B24BE">
            <w:pPr>
              <w:jc w:val="center"/>
              <w:rPr>
                <w:rFonts w:asciiTheme="minorHAnsi" w:hAnsiTheme="minorHAnsi" w:cs="Calibri"/>
                <w:b/>
                <w:bCs/>
                <w:color w:val="000000"/>
                <w:sz w:val="22"/>
                <w:szCs w:val="22"/>
              </w:rPr>
            </w:pPr>
            <w:r w:rsidRPr="00A74D23">
              <w:rPr>
                <w:rFonts w:asciiTheme="minorHAnsi" w:hAnsiTheme="minorHAnsi" w:cs="Calibri"/>
                <w:b/>
                <w:bCs/>
                <w:color w:val="000000"/>
                <w:sz w:val="22"/>
                <w:szCs w:val="22"/>
              </w:rPr>
              <w:t>En montant monétaire</w:t>
            </w:r>
          </w:p>
        </w:tc>
      </w:tr>
      <w:tr w:rsidR="00DC419F" w:rsidRPr="00302DFF" w14:paraId="4A3ABD75" w14:textId="77777777" w:rsidTr="003B24BE">
        <w:trPr>
          <w:trHeight w:val="824"/>
        </w:trPr>
        <w:tc>
          <w:tcPr>
            <w:tcW w:w="5676" w:type="dxa"/>
            <w:gridSpan w:val="2"/>
            <w:tcBorders>
              <w:top w:val="nil"/>
              <w:left w:val="single" w:sz="8" w:space="0" w:color="auto"/>
              <w:bottom w:val="single" w:sz="8" w:space="0" w:color="000000"/>
              <w:right w:val="single" w:sz="8" w:space="0" w:color="000000"/>
            </w:tcBorders>
            <w:vAlign w:val="center"/>
            <w:hideMark/>
          </w:tcPr>
          <w:p w14:paraId="3B62D185" w14:textId="77777777" w:rsidR="00DC419F" w:rsidRPr="00A74D23" w:rsidRDefault="00DC419F" w:rsidP="003B24BE">
            <w:pPr>
              <w:rPr>
                <w:rFonts w:asciiTheme="minorHAnsi" w:hAnsiTheme="minorHAnsi" w:cs="Calibri"/>
                <w:b/>
                <w:bCs/>
                <w:color w:val="000000"/>
                <w:sz w:val="20"/>
                <w:szCs w:val="20"/>
                <w:lang w:val="fr-FR"/>
              </w:rPr>
            </w:pPr>
            <w:r w:rsidRPr="00A74D23">
              <w:rPr>
                <w:rFonts w:asciiTheme="minorHAnsi" w:hAnsiTheme="minorHAnsi" w:cs="Calibri"/>
                <w:b/>
                <w:bCs/>
                <w:color w:val="000000"/>
                <w:sz w:val="20"/>
                <w:szCs w:val="20"/>
                <w:lang w:val="fr-FR"/>
              </w:rPr>
              <w:t>Numérateur</w:t>
            </w:r>
            <w:r w:rsidRPr="00A74D23">
              <w:rPr>
                <w:rFonts w:asciiTheme="minorHAnsi" w:hAnsiTheme="minorHAnsi" w:cs="Calibri"/>
                <w:color w:val="000000"/>
                <w:sz w:val="20"/>
                <w:szCs w:val="20"/>
                <w:lang w:val="fr-FR"/>
              </w:rPr>
              <w:t xml:space="preserve"> : Valeur moyenne pondérée de tous les investissements dans des activités alignées à la taxonomie par rapport à la valeur totale des actifs couverts par l'ICP (hors expositions souveraines)</w:t>
            </w:r>
          </w:p>
        </w:tc>
        <w:tc>
          <w:tcPr>
            <w:tcW w:w="1685" w:type="dxa"/>
            <w:tcBorders>
              <w:top w:val="nil"/>
              <w:left w:val="nil"/>
              <w:bottom w:val="single" w:sz="8" w:space="0" w:color="000000"/>
              <w:right w:val="single" w:sz="8" w:space="0" w:color="000000"/>
            </w:tcBorders>
            <w:vAlign w:val="center"/>
            <w:hideMark/>
          </w:tcPr>
          <w:p w14:paraId="590CC15E" w14:textId="77777777" w:rsidR="00DC419F" w:rsidRPr="00A74D23" w:rsidRDefault="00DC419F" w:rsidP="003B24BE">
            <w:pPr>
              <w:jc w:val="cente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 </w:t>
            </w:r>
          </w:p>
        </w:tc>
        <w:tc>
          <w:tcPr>
            <w:tcW w:w="3038" w:type="dxa"/>
            <w:tcBorders>
              <w:top w:val="nil"/>
              <w:left w:val="nil"/>
              <w:bottom w:val="single" w:sz="8" w:space="0" w:color="000000"/>
              <w:right w:val="single" w:sz="8" w:space="0" w:color="auto"/>
            </w:tcBorders>
            <w:vAlign w:val="center"/>
            <w:hideMark/>
          </w:tcPr>
          <w:p w14:paraId="59631C1F" w14:textId="77777777" w:rsidR="00DC419F" w:rsidRPr="00A74D23" w:rsidRDefault="00DC419F" w:rsidP="003B24BE">
            <w:pPr>
              <w:jc w:val="center"/>
              <w:rPr>
                <w:rFonts w:asciiTheme="minorHAnsi" w:hAnsiTheme="minorHAnsi" w:cs="Calibri"/>
                <w:color w:val="000000"/>
                <w:sz w:val="20"/>
                <w:szCs w:val="20"/>
                <w:lang w:val="fr-FR"/>
              </w:rPr>
            </w:pPr>
          </w:p>
        </w:tc>
      </w:tr>
      <w:tr w:rsidR="00DC419F" w:rsidRPr="00A74D23" w14:paraId="5ADD7C27" w14:textId="77777777" w:rsidTr="003B24BE">
        <w:trPr>
          <w:trHeight w:val="710"/>
        </w:trPr>
        <w:tc>
          <w:tcPr>
            <w:tcW w:w="2051" w:type="dxa"/>
            <w:tcBorders>
              <w:top w:val="nil"/>
              <w:left w:val="single" w:sz="8" w:space="0" w:color="auto"/>
              <w:bottom w:val="single" w:sz="8" w:space="0" w:color="000000"/>
              <w:right w:val="nil"/>
            </w:tcBorders>
            <w:vAlign w:val="center"/>
            <w:hideMark/>
          </w:tcPr>
          <w:p w14:paraId="4A83166F"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 </w:t>
            </w:r>
          </w:p>
        </w:tc>
        <w:tc>
          <w:tcPr>
            <w:tcW w:w="3625" w:type="dxa"/>
            <w:tcBorders>
              <w:top w:val="nil"/>
              <w:left w:val="nil"/>
              <w:bottom w:val="single" w:sz="8" w:space="0" w:color="000000"/>
              <w:right w:val="single" w:sz="8" w:space="0" w:color="000000"/>
            </w:tcBorders>
            <w:vAlign w:val="center"/>
            <w:hideMark/>
          </w:tcPr>
          <w:p w14:paraId="22006D81"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Sur la base du chiffre d’affaires des entreprises couvertes</w:t>
            </w:r>
          </w:p>
        </w:tc>
        <w:tc>
          <w:tcPr>
            <w:tcW w:w="1685" w:type="dxa"/>
            <w:tcBorders>
              <w:top w:val="nil"/>
              <w:left w:val="nil"/>
              <w:bottom w:val="single" w:sz="8" w:space="0" w:color="000000"/>
              <w:right w:val="single" w:sz="8" w:space="0" w:color="000000"/>
            </w:tcBorders>
            <w:vAlign w:val="center"/>
            <w:hideMark/>
          </w:tcPr>
          <w:p w14:paraId="0575A4CA" w14:textId="77777777" w:rsidR="00DC419F" w:rsidRPr="004D6C79" w:rsidRDefault="00DC419F" w:rsidP="003B24BE">
            <w:pPr>
              <w:jc w:val="center"/>
              <w:rPr>
                <w:rFonts w:asciiTheme="minorHAnsi" w:hAnsiTheme="minorHAnsi" w:cs="Calibri"/>
                <w:color w:val="000000"/>
                <w:sz w:val="20"/>
                <w:szCs w:val="20"/>
              </w:rPr>
            </w:pPr>
            <w:r w:rsidRPr="004D6C79">
              <w:rPr>
                <w:rFonts w:asciiTheme="minorHAnsi" w:hAnsiTheme="minorHAnsi" w:cs="Prompt Light"/>
                <w:sz w:val="20"/>
                <w:szCs w:val="20"/>
              </w:rPr>
              <w:t>6,06%</w:t>
            </w:r>
          </w:p>
        </w:tc>
        <w:tc>
          <w:tcPr>
            <w:tcW w:w="3038" w:type="dxa"/>
            <w:tcBorders>
              <w:top w:val="nil"/>
              <w:left w:val="nil"/>
              <w:bottom w:val="single" w:sz="8" w:space="0" w:color="000000"/>
              <w:right w:val="single" w:sz="8" w:space="0" w:color="auto"/>
            </w:tcBorders>
            <w:vAlign w:val="center"/>
            <w:hideMark/>
          </w:tcPr>
          <w:p w14:paraId="0D3F9255" w14:textId="77777777" w:rsidR="00DC419F" w:rsidRPr="004D6C79" w:rsidRDefault="00DC419F" w:rsidP="003B24BE">
            <w:pPr>
              <w:jc w:val="center"/>
              <w:rPr>
                <w:rFonts w:asciiTheme="minorHAnsi" w:hAnsiTheme="minorHAnsi" w:cs="Calibri"/>
                <w:color w:val="000000"/>
                <w:sz w:val="20"/>
                <w:szCs w:val="20"/>
              </w:rPr>
            </w:pPr>
            <w:r w:rsidRPr="004D6C79">
              <w:rPr>
                <w:rFonts w:asciiTheme="minorHAnsi" w:hAnsiTheme="minorHAnsi" w:cs="Prompt Light"/>
                <w:sz w:val="20"/>
                <w:szCs w:val="20"/>
              </w:rPr>
              <w:t>409 863 242,93 €</w:t>
            </w:r>
          </w:p>
        </w:tc>
      </w:tr>
      <w:tr w:rsidR="00DC419F" w:rsidRPr="00A74D23" w14:paraId="1EF7BEE6" w14:textId="77777777" w:rsidTr="003B24BE">
        <w:trPr>
          <w:trHeight w:val="824"/>
        </w:trPr>
        <w:tc>
          <w:tcPr>
            <w:tcW w:w="2051" w:type="dxa"/>
            <w:tcBorders>
              <w:top w:val="nil"/>
              <w:left w:val="single" w:sz="8" w:space="0" w:color="auto"/>
              <w:bottom w:val="single" w:sz="8" w:space="0" w:color="000000"/>
              <w:right w:val="nil"/>
            </w:tcBorders>
            <w:vAlign w:val="center"/>
            <w:hideMark/>
          </w:tcPr>
          <w:p w14:paraId="7DF0C3A0" w14:textId="77777777" w:rsidR="00DC419F" w:rsidRPr="00A74D23" w:rsidRDefault="00DC419F" w:rsidP="003B24BE">
            <w:pPr>
              <w:rPr>
                <w:rFonts w:asciiTheme="minorHAnsi" w:hAnsiTheme="minorHAnsi" w:cs="Calibri"/>
                <w:color w:val="000000"/>
                <w:sz w:val="20"/>
                <w:szCs w:val="20"/>
              </w:rPr>
            </w:pPr>
            <w:r w:rsidRPr="00A74D23">
              <w:rPr>
                <w:rFonts w:asciiTheme="minorHAnsi" w:hAnsiTheme="minorHAnsi" w:cs="Calibri"/>
                <w:color w:val="000000"/>
                <w:sz w:val="20"/>
                <w:szCs w:val="20"/>
              </w:rPr>
              <w:t> </w:t>
            </w:r>
          </w:p>
        </w:tc>
        <w:tc>
          <w:tcPr>
            <w:tcW w:w="3625" w:type="dxa"/>
            <w:tcBorders>
              <w:top w:val="nil"/>
              <w:left w:val="nil"/>
              <w:bottom w:val="single" w:sz="8" w:space="0" w:color="000000"/>
              <w:right w:val="single" w:sz="8" w:space="0" w:color="000000"/>
            </w:tcBorders>
            <w:vAlign w:val="center"/>
            <w:hideMark/>
          </w:tcPr>
          <w:p w14:paraId="188DBAB4"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Sur la base des dépenses d’investissement des entreprises couvertes</w:t>
            </w:r>
          </w:p>
        </w:tc>
        <w:tc>
          <w:tcPr>
            <w:tcW w:w="1685" w:type="dxa"/>
            <w:tcBorders>
              <w:top w:val="nil"/>
              <w:left w:val="nil"/>
              <w:bottom w:val="single" w:sz="8" w:space="0" w:color="000000"/>
              <w:right w:val="single" w:sz="8" w:space="0" w:color="000000"/>
            </w:tcBorders>
            <w:vAlign w:val="center"/>
            <w:hideMark/>
          </w:tcPr>
          <w:p w14:paraId="10403C52" w14:textId="77777777" w:rsidR="00DC419F" w:rsidRPr="004D6C79" w:rsidRDefault="00DC419F" w:rsidP="003B24BE">
            <w:pPr>
              <w:jc w:val="center"/>
              <w:rPr>
                <w:rFonts w:asciiTheme="minorHAnsi" w:hAnsiTheme="minorHAnsi" w:cs="Calibri"/>
                <w:color w:val="000000"/>
                <w:sz w:val="20"/>
                <w:szCs w:val="20"/>
              </w:rPr>
            </w:pPr>
            <w:r w:rsidRPr="004D6C79">
              <w:rPr>
                <w:rFonts w:asciiTheme="minorHAnsi" w:hAnsiTheme="minorHAnsi" w:cs="Prompt Light"/>
                <w:sz w:val="20"/>
                <w:szCs w:val="20"/>
              </w:rPr>
              <w:t>6,23%</w:t>
            </w:r>
          </w:p>
        </w:tc>
        <w:tc>
          <w:tcPr>
            <w:tcW w:w="3038" w:type="dxa"/>
            <w:tcBorders>
              <w:top w:val="nil"/>
              <w:left w:val="nil"/>
              <w:bottom w:val="single" w:sz="8" w:space="0" w:color="000000"/>
              <w:right w:val="single" w:sz="8" w:space="0" w:color="auto"/>
            </w:tcBorders>
            <w:vAlign w:val="center"/>
            <w:hideMark/>
          </w:tcPr>
          <w:p w14:paraId="0B56E0B9" w14:textId="77777777" w:rsidR="00DC419F" w:rsidRPr="004D6C79" w:rsidRDefault="00DC419F" w:rsidP="003B24BE">
            <w:pPr>
              <w:jc w:val="center"/>
              <w:rPr>
                <w:rFonts w:asciiTheme="minorHAnsi" w:hAnsiTheme="minorHAnsi" w:cs="Calibri"/>
                <w:color w:val="000000"/>
                <w:sz w:val="20"/>
                <w:szCs w:val="20"/>
              </w:rPr>
            </w:pPr>
            <w:r w:rsidRPr="004D6C79">
              <w:rPr>
                <w:rFonts w:asciiTheme="minorHAnsi" w:hAnsiTheme="minorHAnsi" w:cs="Prompt Light"/>
                <w:sz w:val="20"/>
                <w:szCs w:val="20"/>
              </w:rPr>
              <w:t>421 430 088,31 €</w:t>
            </w:r>
          </w:p>
        </w:tc>
      </w:tr>
      <w:tr w:rsidR="00DC419F" w:rsidRPr="00A74D23" w14:paraId="0786E03C" w14:textId="77777777" w:rsidTr="003B24BE">
        <w:trPr>
          <w:trHeight w:val="840"/>
        </w:trPr>
        <w:tc>
          <w:tcPr>
            <w:tcW w:w="5676" w:type="dxa"/>
            <w:gridSpan w:val="2"/>
            <w:tcBorders>
              <w:top w:val="single" w:sz="8" w:space="0" w:color="000000"/>
              <w:left w:val="single" w:sz="8" w:space="0" w:color="auto"/>
              <w:bottom w:val="single" w:sz="8" w:space="0" w:color="auto"/>
              <w:right w:val="single" w:sz="8" w:space="0" w:color="000000"/>
            </w:tcBorders>
            <w:vAlign w:val="center"/>
            <w:hideMark/>
          </w:tcPr>
          <w:p w14:paraId="21633F0B" w14:textId="77777777" w:rsidR="00DC419F" w:rsidRPr="00A74D23" w:rsidRDefault="00DC419F" w:rsidP="003B24BE">
            <w:pPr>
              <w:rPr>
                <w:rFonts w:asciiTheme="minorHAnsi" w:hAnsiTheme="minorHAnsi" w:cs="Calibri"/>
                <w:b/>
                <w:bCs/>
                <w:color w:val="000000"/>
                <w:sz w:val="20"/>
                <w:szCs w:val="20"/>
                <w:lang w:val="fr-FR"/>
              </w:rPr>
            </w:pPr>
            <w:r w:rsidRPr="00A74D23">
              <w:rPr>
                <w:rFonts w:asciiTheme="minorHAnsi" w:hAnsiTheme="minorHAnsi" w:cs="Calibri"/>
                <w:b/>
                <w:bCs/>
                <w:color w:val="000000"/>
                <w:sz w:val="20"/>
                <w:szCs w:val="20"/>
                <w:lang w:val="fr-FR"/>
              </w:rPr>
              <w:t>Taux de couverture</w:t>
            </w:r>
            <w:r w:rsidRPr="00A74D23">
              <w:rPr>
                <w:rFonts w:asciiTheme="minorHAnsi" w:hAnsiTheme="minorHAnsi" w:cs="Calibri"/>
                <w:color w:val="000000"/>
                <w:sz w:val="20"/>
                <w:szCs w:val="20"/>
                <w:lang w:val="fr-FR"/>
              </w:rPr>
              <w:t xml:space="preserve"> : Pourcentage d'actifs couverts par l'ICP, à l'exclusion des investissements dans des entités souveraines, par rapport au total des investissements de l'entreprise d'assurance ou de réassurance (total des actifs sous gestion).</w:t>
            </w:r>
          </w:p>
        </w:tc>
        <w:tc>
          <w:tcPr>
            <w:tcW w:w="1685" w:type="dxa"/>
            <w:tcBorders>
              <w:top w:val="nil"/>
              <w:left w:val="nil"/>
              <w:bottom w:val="single" w:sz="8" w:space="0" w:color="auto"/>
              <w:right w:val="single" w:sz="8" w:space="0" w:color="000000"/>
            </w:tcBorders>
            <w:vAlign w:val="center"/>
            <w:hideMark/>
          </w:tcPr>
          <w:p w14:paraId="77765964" w14:textId="77777777" w:rsidR="00DC419F" w:rsidRPr="004D6C79" w:rsidRDefault="00DC419F" w:rsidP="003B24BE">
            <w:pPr>
              <w:jc w:val="center"/>
              <w:rPr>
                <w:rFonts w:asciiTheme="minorHAnsi" w:hAnsiTheme="minorHAnsi" w:cs="Calibri"/>
                <w:color w:val="000000"/>
                <w:sz w:val="20"/>
                <w:szCs w:val="20"/>
              </w:rPr>
            </w:pPr>
            <w:r w:rsidRPr="004D6C79">
              <w:rPr>
                <w:rFonts w:asciiTheme="minorHAnsi" w:hAnsiTheme="minorHAnsi" w:cs="Calibri"/>
                <w:color w:val="000000"/>
                <w:sz w:val="20"/>
                <w:szCs w:val="20"/>
              </w:rPr>
              <w:t>75,82%</w:t>
            </w:r>
          </w:p>
        </w:tc>
        <w:tc>
          <w:tcPr>
            <w:tcW w:w="3038" w:type="dxa"/>
            <w:tcBorders>
              <w:top w:val="nil"/>
              <w:left w:val="nil"/>
              <w:bottom w:val="single" w:sz="8" w:space="0" w:color="auto"/>
              <w:right w:val="single" w:sz="8" w:space="0" w:color="auto"/>
            </w:tcBorders>
            <w:vAlign w:val="center"/>
            <w:hideMark/>
          </w:tcPr>
          <w:p w14:paraId="12504DB6" w14:textId="77777777" w:rsidR="00DC419F" w:rsidRPr="004D6C79" w:rsidRDefault="00DC419F" w:rsidP="003B24BE">
            <w:pPr>
              <w:jc w:val="center"/>
              <w:rPr>
                <w:rFonts w:asciiTheme="minorHAnsi" w:hAnsiTheme="minorHAnsi" w:cs="Prompt Light"/>
                <w:sz w:val="20"/>
                <w:szCs w:val="20"/>
              </w:rPr>
            </w:pPr>
            <w:r w:rsidRPr="004D6C79">
              <w:rPr>
                <w:rFonts w:asciiTheme="minorHAnsi" w:hAnsiTheme="minorHAnsi" w:cs="Prompt Light"/>
                <w:sz w:val="20"/>
                <w:szCs w:val="20"/>
              </w:rPr>
              <w:t>6 759 761 214,42 €</w:t>
            </w:r>
          </w:p>
          <w:p w14:paraId="2DC206AD" w14:textId="77777777" w:rsidR="00DC419F" w:rsidRPr="004D6C79" w:rsidRDefault="00DC419F" w:rsidP="003B24BE">
            <w:pPr>
              <w:jc w:val="center"/>
              <w:rPr>
                <w:rFonts w:asciiTheme="minorHAnsi" w:hAnsiTheme="minorHAnsi" w:cs="Calibri"/>
                <w:color w:val="000000"/>
                <w:sz w:val="20"/>
                <w:szCs w:val="20"/>
              </w:rPr>
            </w:pPr>
          </w:p>
        </w:tc>
      </w:tr>
      <w:tr w:rsidR="00DC419F" w:rsidRPr="00A74D23" w14:paraId="3B90627C" w14:textId="77777777" w:rsidTr="003B24BE">
        <w:trPr>
          <w:trHeight w:val="481"/>
        </w:trPr>
        <w:tc>
          <w:tcPr>
            <w:tcW w:w="2051" w:type="dxa"/>
            <w:tcBorders>
              <w:top w:val="nil"/>
              <w:left w:val="nil"/>
              <w:bottom w:val="nil"/>
              <w:right w:val="nil"/>
            </w:tcBorders>
            <w:noWrap/>
            <w:vAlign w:val="bottom"/>
            <w:hideMark/>
          </w:tcPr>
          <w:p w14:paraId="5C5518EA" w14:textId="77777777" w:rsidR="00DC419F" w:rsidRPr="00A74D23" w:rsidRDefault="00DC419F" w:rsidP="003B24BE">
            <w:pPr>
              <w:jc w:val="center"/>
              <w:rPr>
                <w:rFonts w:asciiTheme="minorHAnsi" w:hAnsiTheme="minorHAnsi" w:cs="Calibri"/>
                <w:color w:val="000000"/>
              </w:rPr>
            </w:pPr>
          </w:p>
        </w:tc>
        <w:tc>
          <w:tcPr>
            <w:tcW w:w="3625" w:type="dxa"/>
            <w:tcBorders>
              <w:top w:val="nil"/>
              <w:left w:val="nil"/>
              <w:bottom w:val="nil"/>
              <w:right w:val="nil"/>
            </w:tcBorders>
            <w:vAlign w:val="center"/>
            <w:hideMark/>
          </w:tcPr>
          <w:p w14:paraId="47A9AEE9" w14:textId="77777777" w:rsidR="00DC419F" w:rsidRPr="00A74D23" w:rsidRDefault="00DC419F" w:rsidP="003B24BE">
            <w:pPr>
              <w:rPr>
                <w:rFonts w:asciiTheme="minorHAnsi" w:hAnsiTheme="minorHAnsi"/>
                <w:sz w:val="20"/>
                <w:szCs w:val="20"/>
              </w:rPr>
            </w:pPr>
          </w:p>
        </w:tc>
        <w:tc>
          <w:tcPr>
            <w:tcW w:w="1685" w:type="dxa"/>
            <w:tcBorders>
              <w:top w:val="nil"/>
              <w:left w:val="nil"/>
              <w:bottom w:val="nil"/>
              <w:right w:val="nil"/>
            </w:tcBorders>
            <w:noWrap/>
            <w:vAlign w:val="bottom"/>
            <w:hideMark/>
          </w:tcPr>
          <w:p w14:paraId="53A7FBAE" w14:textId="77777777" w:rsidR="00DC419F" w:rsidRPr="00A74D23" w:rsidRDefault="00DC419F" w:rsidP="003B24BE">
            <w:pPr>
              <w:rPr>
                <w:rFonts w:asciiTheme="minorHAnsi" w:hAnsiTheme="minorHAnsi"/>
                <w:sz w:val="20"/>
                <w:szCs w:val="20"/>
              </w:rPr>
            </w:pPr>
          </w:p>
        </w:tc>
        <w:tc>
          <w:tcPr>
            <w:tcW w:w="3038" w:type="dxa"/>
            <w:tcBorders>
              <w:top w:val="nil"/>
              <w:left w:val="nil"/>
              <w:bottom w:val="nil"/>
              <w:right w:val="nil"/>
            </w:tcBorders>
            <w:noWrap/>
            <w:vAlign w:val="bottom"/>
            <w:hideMark/>
          </w:tcPr>
          <w:p w14:paraId="6E6F36A6" w14:textId="77777777" w:rsidR="00DC419F" w:rsidRPr="00A74D23" w:rsidRDefault="00DC419F" w:rsidP="003B24BE">
            <w:pPr>
              <w:rPr>
                <w:rFonts w:asciiTheme="minorHAnsi" w:hAnsiTheme="minorHAnsi"/>
                <w:sz w:val="20"/>
                <w:szCs w:val="20"/>
              </w:rPr>
            </w:pPr>
          </w:p>
        </w:tc>
      </w:tr>
      <w:tr w:rsidR="00DC419F" w:rsidRPr="00A74D23" w14:paraId="79C39107" w14:textId="77777777" w:rsidTr="003B24BE">
        <w:trPr>
          <w:trHeight w:val="733"/>
        </w:trPr>
        <w:tc>
          <w:tcPr>
            <w:tcW w:w="5676" w:type="dxa"/>
            <w:gridSpan w:val="2"/>
            <w:tcBorders>
              <w:top w:val="single" w:sz="8" w:space="0" w:color="auto"/>
              <w:left w:val="single" w:sz="8" w:space="0" w:color="auto"/>
              <w:bottom w:val="nil"/>
              <w:right w:val="dashed" w:sz="8" w:space="0" w:color="000000"/>
            </w:tcBorders>
            <w:shd w:val="clear" w:color="000000" w:fill="FFD400"/>
            <w:noWrap/>
            <w:vAlign w:val="center"/>
            <w:hideMark/>
          </w:tcPr>
          <w:p w14:paraId="2D1F0358" w14:textId="77777777" w:rsidR="00DC419F" w:rsidRPr="00A74D23" w:rsidRDefault="00DC419F" w:rsidP="003B24BE">
            <w:pPr>
              <w:jc w:val="center"/>
              <w:rPr>
                <w:rFonts w:asciiTheme="minorHAnsi" w:hAnsiTheme="minorHAnsi" w:cs="Calibri"/>
                <w:b/>
                <w:bCs/>
                <w:color w:val="000000"/>
                <w:sz w:val="22"/>
                <w:szCs w:val="22"/>
              </w:rPr>
            </w:pPr>
            <w:r w:rsidRPr="00A74D23">
              <w:rPr>
                <w:rFonts w:asciiTheme="minorHAnsi" w:hAnsiTheme="minorHAnsi" w:cs="Calibri"/>
                <w:b/>
                <w:bCs/>
                <w:color w:val="000000"/>
                <w:sz w:val="22"/>
                <w:szCs w:val="22"/>
              </w:rPr>
              <w:t>Ventilation du numérateur</w:t>
            </w:r>
          </w:p>
        </w:tc>
        <w:tc>
          <w:tcPr>
            <w:tcW w:w="1685" w:type="dxa"/>
            <w:tcBorders>
              <w:top w:val="single" w:sz="8" w:space="0" w:color="auto"/>
              <w:left w:val="nil"/>
              <w:bottom w:val="nil"/>
              <w:right w:val="dashed" w:sz="8" w:space="0" w:color="auto"/>
            </w:tcBorders>
            <w:shd w:val="clear" w:color="000000" w:fill="FFD400"/>
            <w:noWrap/>
            <w:vAlign w:val="center"/>
            <w:hideMark/>
          </w:tcPr>
          <w:p w14:paraId="19D007B6" w14:textId="77777777" w:rsidR="00DC419F" w:rsidRPr="00A74D23" w:rsidRDefault="00DC419F" w:rsidP="003B24BE">
            <w:pPr>
              <w:jc w:val="center"/>
              <w:rPr>
                <w:rFonts w:asciiTheme="minorHAnsi" w:hAnsiTheme="minorHAnsi" w:cs="Calibri"/>
                <w:b/>
                <w:bCs/>
                <w:color w:val="000000"/>
                <w:sz w:val="22"/>
                <w:szCs w:val="22"/>
              </w:rPr>
            </w:pPr>
            <w:r w:rsidRPr="00A74D23">
              <w:rPr>
                <w:rFonts w:asciiTheme="minorHAnsi" w:hAnsiTheme="minorHAnsi" w:cs="Calibri"/>
                <w:b/>
                <w:bCs/>
                <w:color w:val="000000"/>
                <w:sz w:val="22"/>
                <w:szCs w:val="22"/>
              </w:rPr>
              <w:t>En %</w:t>
            </w:r>
          </w:p>
        </w:tc>
        <w:tc>
          <w:tcPr>
            <w:tcW w:w="3038" w:type="dxa"/>
            <w:tcBorders>
              <w:top w:val="single" w:sz="8" w:space="0" w:color="auto"/>
              <w:left w:val="nil"/>
              <w:bottom w:val="nil"/>
              <w:right w:val="single" w:sz="8" w:space="0" w:color="auto"/>
            </w:tcBorders>
            <w:shd w:val="clear" w:color="000000" w:fill="FFD400"/>
            <w:vAlign w:val="center"/>
            <w:hideMark/>
          </w:tcPr>
          <w:p w14:paraId="5CC48232" w14:textId="77777777" w:rsidR="00DC419F" w:rsidRPr="00A74D23" w:rsidRDefault="00DC419F" w:rsidP="003B24BE">
            <w:pPr>
              <w:jc w:val="center"/>
              <w:rPr>
                <w:rFonts w:asciiTheme="minorHAnsi" w:hAnsiTheme="minorHAnsi" w:cs="Calibri"/>
                <w:b/>
                <w:bCs/>
                <w:color w:val="000000"/>
                <w:sz w:val="22"/>
                <w:szCs w:val="22"/>
              </w:rPr>
            </w:pPr>
            <w:r w:rsidRPr="00A74D23">
              <w:rPr>
                <w:rFonts w:asciiTheme="minorHAnsi" w:hAnsiTheme="minorHAnsi" w:cs="Calibri"/>
                <w:b/>
                <w:bCs/>
                <w:color w:val="000000"/>
                <w:sz w:val="22"/>
                <w:szCs w:val="22"/>
              </w:rPr>
              <w:t>En montant monétaire</w:t>
            </w:r>
          </w:p>
        </w:tc>
      </w:tr>
      <w:tr w:rsidR="00DC419F" w:rsidRPr="00302DFF" w14:paraId="2978629C" w14:textId="77777777" w:rsidTr="003B24BE">
        <w:trPr>
          <w:trHeight w:val="748"/>
        </w:trPr>
        <w:tc>
          <w:tcPr>
            <w:tcW w:w="5676" w:type="dxa"/>
            <w:gridSpan w:val="2"/>
            <w:tcBorders>
              <w:top w:val="nil"/>
              <w:left w:val="single" w:sz="8" w:space="0" w:color="auto"/>
              <w:bottom w:val="single" w:sz="8" w:space="0" w:color="000000"/>
              <w:right w:val="single" w:sz="8" w:space="0" w:color="000000"/>
            </w:tcBorders>
            <w:vAlign w:val="center"/>
            <w:hideMark/>
          </w:tcPr>
          <w:p w14:paraId="5E9FA3B7"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Part des expositions, alignées sur la taxonomie, sur des entreprises non financières soumises aux articles 19 bis et 29 bis de la directive 2013/34/UE, par rapport au total des actifs couverts par l'ICP :</w:t>
            </w:r>
          </w:p>
        </w:tc>
        <w:tc>
          <w:tcPr>
            <w:tcW w:w="1685" w:type="dxa"/>
            <w:tcBorders>
              <w:top w:val="nil"/>
              <w:left w:val="nil"/>
              <w:bottom w:val="single" w:sz="8" w:space="0" w:color="000000"/>
              <w:right w:val="single" w:sz="8" w:space="0" w:color="000000"/>
            </w:tcBorders>
            <w:vAlign w:val="center"/>
            <w:hideMark/>
          </w:tcPr>
          <w:p w14:paraId="2D588C28" w14:textId="77777777" w:rsidR="00DC419F" w:rsidRPr="004D6C79" w:rsidRDefault="00DC419F" w:rsidP="003B24BE">
            <w:pPr>
              <w:jc w:val="center"/>
              <w:rPr>
                <w:rFonts w:asciiTheme="minorHAnsi" w:hAnsiTheme="minorHAnsi" w:cs="Calibri"/>
                <w:color w:val="000000"/>
                <w:sz w:val="20"/>
                <w:szCs w:val="20"/>
                <w:lang w:val="fr-FR"/>
              </w:rPr>
            </w:pPr>
            <w:r w:rsidRPr="004D6C79">
              <w:rPr>
                <w:rFonts w:asciiTheme="minorHAnsi" w:hAnsiTheme="minorHAnsi" w:cs="Calibri"/>
                <w:color w:val="000000"/>
                <w:sz w:val="20"/>
                <w:szCs w:val="20"/>
                <w:lang w:val="fr-FR"/>
              </w:rPr>
              <w:t> </w:t>
            </w:r>
          </w:p>
        </w:tc>
        <w:tc>
          <w:tcPr>
            <w:tcW w:w="3038" w:type="dxa"/>
            <w:tcBorders>
              <w:top w:val="nil"/>
              <w:left w:val="nil"/>
              <w:bottom w:val="single" w:sz="8" w:space="0" w:color="000000"/>
              <w:right w:val="single" w:sz="8" w:space="0" w:color="auto"/>
            </w:tcBorders>
            <w:vAlign w:val="center"/>
            <w:hideMark/>
          </w:tcPr>
          <w:p w14:paraId="3905AADB" w14:textId="77777777" w:rsidR="00DC419F" w:rsidRPr="004D6C79" w:rsidRDefault="00DC419F" w:rsidP="003B24BE">
            <w:pPr>
              <w:jc w:val="center"/>
              <w:rPr>
                <w:rFonts w:asciiTheme="minorHAnsi" w:hAnsiTheme="minorHAnsi" w:cs="Calibri"/>
                <w:color w:val="000000"/>
                <w:sz w:val="20"/>
                <w:szCs w:val="20"/>
                <w:lang w:val="fr-FR"/>
              </w:rPr>
            </w:pPr>
          </w:p>
        </w:tc>
      </w:tr>
      <w:tr w:rsidR="00DC419F" w:rsidRPr="00A74D23" w14:paraId="39FE81E8" w14:textId="77777777" w:rsidTr="003B24BE">
        <w:trPr>
          <w:trHeight w:val="481"/>
        </w:trPr>
        <w:tc>
          <w:tcPr>
            <w:tcW w:w="2051" w:type="dxa"/>
            <w:tcBorders>
              <w:top w:val="nil"/>
              <w:left w:val="single" w:sz="8" w:space="0" w:color="auto"/>
              <w:bottom w:val="single" w:sz="8" w:space="0" w:color="000000"/>
              <w:right w:val="nil"/>
            </w:tcBorders>
            <w:vAlign w:val="center"/>
            <w:hideMark/>
          </w:tcPr>
          <w:p w14:paraId="0A6BC65A"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 </w:t>
            </w:r>
          </w:p>
        </w:tc>
        <w:tc>
          <w:tcPr>
            <w:tcW w:w="3625" w:type="dxa"/>
            <w:tcBorders>
              <w:top w:val="nil"/>
              <w:left w:val="nil"/>
              <w:bottom w:val="single" w:sz="8" w:space="0" w:color="000000"/>
              <w:right w:val="single" w:sz="8" w:space="0" w:color="000000"/>
            </w:tcBorders>
            <w:vAlign w:val="center"/>
            <w:hideMark/>
          </w:tcPr>
          <w:p w14:paraId="63A52FB4"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Sur la base du chiffre d’affaires</w:t>
            </w:r>
          </w:p>
        </w:tc>
        <w:tc>
          <w:tcPr>
            <w:tcW w:w="1685" w:type="dxa"/>
            <w:tcBorders>
              <w:top w:val="nil"/>
              <w:left w:val="nil"/>
              <w:bottom w:val="single" w:sz="8" w:space="0" w:color="000000"/>
              <w:right w:val="single" w:sz="8" w:space="0" w:color="000000"/>
            </w:tcBorders>
            <w:vAlign w:val="center"/>
            <w:hideMark/>
          </w:tcPr>
          <w:p w14:paraId="5323F165" w14:textId="77777777" w:rsidR="00DC419F" w:rsidRPr="004D6C79" w:rsidRDefault="00DC419F" w:rsidP="003B24BE">
            <w:pPr>
              <w:jc w:val="center"/>
              <w:rPr>
                <w:rFonts w:asciiTheme="minorHAnsi" w:hAnsiTheme="minorHAnsi" w:cs="Calibri"/>
                <w:color w:val="000000"/>
                <w:sz w:val="20"/>
                <w:szCs w:val="20"/>
              </w:rPr>
            </w:pPr>
            <w:r w:rsidRPr="004D6C79">
              <w:rPr>
                <w:rFonts w:asciiTheme="minorHAnsi" w:hAnsiTheme="minorHAnsi" w:cs="Prompt Light"/>
                <w:sz w:val="20"/>
                <w:szCs w:val="20"/>
              </w:rPr>
              <w:t>2,84%</w:t>
            </w:r>
          </w:p>
        </w:tc>
        <w:tc>
          <w:tcPr>
            <w:tcW w:w="3038" w:type="dxa"/>
            <w:tcBorders>
              <w:top w:val="nil"/>
              <w:left w:val="nil"/>
              <w:bottom w:val="single" w:sz="8" w:space="0" w:color="000000"/>
              <w:right w:val="single" w:sz="8" w:space="0" w:color="000000"/>
            </w:tcBorders>
            <w:vAlign w:val="center"/>
            <w:hideMark/>
          </w:tcPr>
          <w:p w14:paraId="24F083D6" w14:textId="77777777" w:rsidR="00DC419F" w:rsidRPr="004D6C79" w:rsidRDefault="00DC419F" w:rsidP="003B24BE">
            <w:pPr>
              <w:jc w:val="center"/>
              <w:rPr>
                <w:rFonts w:asciiTheme="minorHAnsi" w:hAnsiTheme="minorHAnsi" w:cs="Calibri"/>
                <w:color w:val="000000"/>
                <w:sz w:val="20"/>
                <w:szCs w:val="20"/>
              </w:rPr>
            </w:pPr>
            <w:r w:rsidRPr="004D6C79">
              <w:rPr>
                <w:rFonts w:asciiTheme="minorHAnsi" w:hAnsiTheme="minorHAnsi" w:cs="Prompt Light"/>
                <w:sz w:val="20"/>
                <w:szCs w:val="20"/>
              </w:rPr>
              <w:t>191 952 386,10 €</w:t>
            </w:r>
          </w:p>
        </w:tc>
      </w:tr>
      <w:tr w:rsidR="00DC419F" w:rsidRPr="00A74D23" w14:paraId="008DEACB" w14:textId="77777777" w:rsidTr="003B24BE">
        <w:trPr>
          <w:trHeight w:val="481"/>
        </w:trPr>
        <w:tc>
          <w:tcPr>
            <w:tcW w:w="2051" w:type="dxa"/>
            <w:tcBorders>
              <w:top w:val="nil"/>
              <w:left w:val="single" w:sz="8" w:space="0" w:color="auto"/>
              <w:bottom w:val="single" w:sz="8" w:space="0" w:color="000000"/>
              <w:right w:val="nil"/>
            </w:tcBorders>
            <w:vAlign w:val="center"/>
            <w:hideMark/>
          </w:tcPr>
          <w:p w14:paraId="73CA80F6" w14:textId="77777777" w:rsidR="00DC419F" w:rsidRPr="00A74D23" w:rsidRDefault="00DC419F" w:rsidP="003B24BE">
            <w:pPr>
              <w:rPr>
                <w:rFonts w:asciiTheme="minorHAnsi" w:hAnsiTheme="minorHAnsi" w:cs="Calibri"/>
                <w:color w:val="000000"/>
                <w:sz w:val="20"/>
                <w:szCs w:val="20"/>
              </w:rPr>
            </w:pPr>
            <w:r w:rsidRPr="00A74D23">
              <w:rPr>
                <w:rFonts w:asciiTheme="minorHAnsi" w:hAnsiTheme="minorHAnsi" w:cs="Calibri"/>
                <w:color w:val="000000"/>
                <w:sz w:val="20"/>
                <w:szCs w:val="20"/>
              </w:rPr>
              <w:t> </w:t>
            </w:r>
          </w:p>
        </w:tc>
        <w:tc>
          <w:tcPr>
            <w:tcW w:w="3625" w:type="dxa"/>
            <w:tcBorders>
              <w:top w:val="nil"/>
              <w:left w:val="nil"/>
              <w:bottom w:val="single" w:sz="8" w:space="0" w:color="000000"/>
              <w:right w:val="single" w:sz="8" w:space="0" w:color="000000"/>
            </w:tcBorders>
            <w:vAlign w:val="center"/>
            <w:hideMark/>
          </w:tcPr>
          <w:p w14:paraId="3AC25BD9"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Sur la base des dépenses d’investissement</w:t>
            </w:r>
          </w:p>
        </w:tc>
        <w:tc>
          <w:tcPr>
            <w:tcW w:w="1685" w:type="dxa"/>
            <w:tcBorders>
              <w:top w:val="nil"/>
              <w:left w:val="nil"/>
              <w:bottom w:val="single" w:sz="8" w:space="0" w:color="000000"/>
              <w:right w:val="single" w:sz="8" w:space="0" w:color="000000"/>
            </w:tcBorders>
            <w:vAlign w:val="center"/>
            <w:hideMark/>
          </w:tcPr>
          <w:p w14:paraId="4D4A5EAF" w14:textId="77777777" w:rsidR="00DC419F" w:rsidRPr="004D6C79" w:rsidRDefault="00DC419F" w:rsidP="003B24BE">
            <w:pPr>
              <w:jc w:val="center"/>
              <w:rPr>
                <w:rFonts w:asciiTheme="minorHAnsi" w:hAnsiTheme="minorHAnsi" w:cs="Calibri"/>
                <w:color w:val="000000"/>
                <w:sz w:val="20"/>
                <w:szCs w:val="20"/>
              </w:rPr>
            </w:pPr>
            <w:r w:rsidRPr="004D6C79">
              <w:rPr>
                <w:rFonts w:asciiTheme="minorHAnsi" w:hAnsiTheme="minorHAnsi" w:cs="Prompt Light"/>
                <w:sz w:val="20"/>
                <w:szCs w:val="20"/>
              </w:rPr>
              <w:t>4,05%</w:t>
            </w:r>
          </w:p>
        </w:tc>
        <w:tc>
          <w:tcPr>
            <w:tcW w:w="3038" w:type="dxa"/>
            <w:tcBorders>
              <w:top w:val="nil"/>
              <w:left w:val="nil"/>
              <w:bottom w:val="single" w:sz="8" w:space="0" w:color="000000"/>
              <w:right w:val="single" w:sz="8" w:space="0" w:color="000000"/>
            </w:tcBorders>
            <w:vAlign w:val="center"/>
            <w:hideMark/>
          </w:tcPr>
          <w:p w14:paraId="391F4B06" w14:textId="77777777" w:rsidR="00DC419F" w:rsidRPr="004D6C79" w:rsidRDefault="00DC419F" w:rsidP="003B24BE">
            <w:pPr>
              <w:jc w:val="center"/>
              <w:rPr>
                <w:rFonts w:asciiTheme="minorHAnsi" w:hAnsiTheme="minorHAnsi" w:cs="Calibri"/>
                <w:color w:val="000000"/>
                <w:sz w:val="20"/>
                <w:szCs w:val="20"/>
              </w:rPr>
            </w:pPr>
            <w:r w:rsidRPr="004D6C79">
              <w:rPr>
                <w:rFonts w:asciiTheme="minorHAnsi" w:hAnsiTheme="minorHAnsi" w:cs="Prompt Light"/>
                <w:sz w:val="20"/>
                <w:szCs w:val="20"/>
              </w:rPr>
              <w:t>273 887 700,20 €</w:t>
            </w:r>
          </w:p>
        </w:tc>
      </w:tr>
      <w:tr w:rsidR="00DC419F" w:rsidRPr="00302DFF" w14:paraId="15112B5E" w14:textId="77777777" w:rsidTr="003B24BE">
        <w:trPr>
          <w:trHeight w:val="481"/>
        </w:trPr>
        <w:tc>
          <w:tcPr>
            <w:tcW w:w="5676" w:type="dxa"/>
            <w:gridSpan w:val="2"/>
            <w:tcBorders>
              <w:top w:val="nil"/>
              <w:left w:val="single" w:sz="8" w:space="0" w:color="auto"/>
              <w:bottom w:val="single" w:sz="8" w:space="0" w:color="000000"/>
              <w:right w:val="single" w:sz="8" w:space="0" w:color="000000"/>
            </w:tcBorders>
            <w:vAlign w:val="center"/>
            <w:hideMark/>
          </w:tcPr>
          <w:p w14:paraId="5F751768"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Part des expositions, alignées sur la taxonomie, sur des entreprises financières soumises aux articles 19 bis et 29 bis de la directive 2013/34/UE, par rapport au total des actifs couverts par l'ICP :</w:t>
            </w:r>
          </w:p>
        </w:tc>
        <w:tc>
          <w:tcPr>
            <w:tcW w:w="1685" w:type="dxa"/>
            <w:tcBorders>
              <w:top w:val="nil"/>
              <w:left w:val="nil"/>
              <w:bottom w:val="single" w:sz="8" w:space="0" w:color="000000"/>
              <w:right w:val="single" w:sz="8" w:space="0" w:color="000000"/>
            </w:tcBorders>
            <w:vAlign w:val="center"/>
            <w:hideMark/>
          </w:tcPr>
          <w:p w14:paraId="2A0FCA53" w14:textId="77777777" w:rsidR="00DC419F" w:rsidRPr="004D6C79" w:rsidRDefault="00DC419F" w:rsidP="003B24BE">
            <w:pPr>
              <w:jc w:val="center"/>
              <w:rPr>
                <w:rFonts w:asciiTheme="minorHAnsi" w:hAnsiTheme="minorHAnsi" w:cs="Calibri"/>
                <w:color w:val="000000"/>
                <w:sz w:val="20"/>
                <w:szCs w:val="20"/>
                <w:lang w:val="fr-FR"/>
              </w:rPr>
            </w:pPr>
            <w:r w:rsidRPr="004D6C79">
              <w:rPr>
                <w:rFonts w:asciiTheme="minorHAnsi" w:hAnsiTheme="minorHAnsi" w:cs="Calibri"/>
                <w:color w:val="000000"/>
                <w:sz w:val="20"/>
                <w:szCs w:val="20"/>
                <w:lang w:val="fr-FR"/>
              </w:rPr>
              <w:t> </w:t>
            </w:r>
          </w:p>
        </w:tc>
        <w:tc>
          <w:tcPr>
            <w:tcW w:w="3038" w:type="dxa"/>
            <w:tcBorders>
              <w:top w:val="nil"/>
              <w:left w:val="nil"/>
              <w:bottom w:val="single" w:sz="8" w:space="0" w:color="000000"/>
              <w:right w:val="single" w:sz="8" w:space="0" w:color="auto"/>
            </w:tcBorders>
            <w:vAlign w:val="center"/>
            <w:hideMark/>
          </w:tcPr>
          <w:p w14:paraId="3AD1936A" w14:textId="77777777" w:rsidR="00DC419F" w:rsidRPr="004D6C79" w:rsidRDefault="00DC419F" w:rsidP="003B24BE">
            <w:pPr>
              <w:jc w:val="center"/>
              <w:rPr>
                <w:rFonts w:asciiTheme="minorHAnsi" w:hAnsiTheme="minorHAnsi" w:cs="Calibri"/>
                <w:color w:val="000000"/>
                <w:sz w:val="20"/>
                <w:szCs w:val="20"/>
                <w:lang w:val="fr-FR"/>
              </w:rPr>
            </w:pPr>
          </w:p>
        </w:tc>
      </w:tr>
      <w:tr w:rsidR="00DC419F" w:rsidRPr="00A74D23" w14:paraId="566B0163" w14:textId="77777777" w:rsidTr="003B24BE">
        <w:trPr>
          <w:trHeight w:val="481"/>
        </w:trPr>
        <w:tc>
          <w:tcPr>
            <w:tcW w:w="2051" w:type="dxa"/>
            <w:tcBorders>
              <w:top w:val="nil"/>
              <w:left w:val="single" w:sz="8" w:space="0" w:color="auto"/>
              <w:bottom w:val="single" w:sz="8" w:space="0" w:color="000000"/>
              <w:right w:val="nil"/>
            </w:tcBorders>
            <w:vAlign w:val="center"/>
            <w:hideMark/>
          </w:tcPr>
          <w:p w14:paraId="4EB9712A"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 </w:t>
            </w:r>
          </w:p>
        </w:tc>
        <w:tc>
          <w:tcPr>
            <w:tcW w:w="3625" w:type="dxa"/>
            <w:tcBorders>
              <w:top w:val="nil"/>
              <w:left w:val="nil"/>
              <w:bottom w:val="single" w:sz="8" w:space="0" w:color="000000"/>
              <w:right w:val="single" w:sz="8" w:space="0" w:color="000000"/>
            </w:tcBorders>
            <w:vAlign w:val="center"/>
            <w:hideMark/>
          </w:tcPr>
          <w:p w14:paraId="3B37450E"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Sur la base du chiffre d’affaires</w:t>
            </w:r>
          </w:p>
        </w:tc>
        <w:tc>
          <w:tcPr>
            <w:tcW w:w="1685" w:type="dxa"/>
            <w:tcBorders>
              <w:top w:val="nil"/>
              <w:left w:val="nil"/>
              <w:bottom w:val="single" w:sz="8" w:space="0" w:color="000000"/>
              <w:right w:val="single" w:sz="8" w:space="0" w:color="000000"/>
            </w:tcBorders>
            <w:vAlign w:val="center"/>
            <w:hideMark/>
          </w:tcPr>
          <w:p w14:paraId="5260FA09" w14:textId="77777777" w:rsidR="00DC419F" w:rsidRPr="004D6C79" w:rsidRDefault="00DC419F" w:rsidP="003B24BE">
            <w:pPr>
              <w:jc w:val="center"/>
              <w:rPr>
                <w:rFonts w:asciiTheme="minorHAnsi" w:hAnsiTheme="minorHAnsi" w:cs="Calibri"/>
                <w:color w:val="000000"/>
                <w:sz w:val="20"/>
                <w:szCs w:val="20"/>
              </w:rPr>
            </w:pPr>
            <w:r w:rsidRPr="004D6C79">
              <w:rPr>
                <w:rFonts w:asciiTheme="minorHAnsi" w:hAnsiTheme="minorHAnsi" w:cs="Prompt Light"/>
                <w:sz w:val="20"/>
                <w:szCs w:val="20"/>
              </w:rPr>
              <w:t>0,25%</w:t>
            </w:r>
          </w:p>
        </w:tc>
        <w:tc>
          <w:tcPr>
            <w:tcW w:w="3038" w:type="dxa"/>
            <w:tcBorders>
              <w:top w:val="nil"/>
              <w:left w:val="nil"/>
              <w:bottom w:val="single" w:sz="8" w:space="0" w:color="000000"/>
              <w:right w:val="single" w:sz="8" w:space="0" w:color="000000"/>
            </w:tcBorders>
            <w:vAlign w:val="center"/>
            <w:hideMark/>
          </w:tcPr>
          <w:p w14:paraId="6D64FDD7" w14:textId="77777777" w:rsidR="00DC419F" w:rsidRPr="004D6C79" w:rsidRDefault="00DC419F" w:rsidP="003B24BE">
            <w:pPr>
              <w:jc w:val="center"/>
              <w:rPr>
                <w:rFonts w:asciiTheme="minorHAnsi" w:hAnsiTheme="minorHAnsi" w:cs="Calibri"/>
                <w:color w:val="000000"/>
                <w:sz w:val="20"/>
                <w:szCs w:val="20"/>
              </w:rPr>
            </w:pPr>
            <w:r w:rsidRPr="004D6C79">
              <w:rPr>
                <w:rFonts w:asciiTheme="minorHAnsi" w:hAnsiTheme="minorHAnsi" w:cs="Prompt Light"/>
                <w:sz w:val="20"/>
                <w:szCs w:val="20"/>
              </w:rPr>
              <w:t>17 084 905,47 €</w:t>
            </w:r>
          </w:p>
        </w:tc>
      </w:tr>
      <w:tr w:rsidR="00DC419F" w:rsidRPr="00A74D23" w14:paraId="4A27505E" w14:textId="77777777" w:rsidTr="003B24BE">
        <w:trPr>
          <w:trHeight w:val="481"/>
        </w:trPr>
        <w:tc>
          <w:tcPr>
            <w:tcW w:w="2051" w:type="dxa"/>
            <w:tcBorders>
              <w:top w:val="nil"/>
              <w:left w:val="single" w:sz="8" w:space="0" w:color="auto"/>
              <w:bottom w:val="single" w:sz="8" w:space="0" w:color="000000"/>
              <w:right w:val="nil"/>
            </w:tcBorders>
            <w:vAlign w:val="center"/>
            <w:hideMark/>
          </w:tcPr>
          <w:p w14:paraId="62211C89" w14:textId="77777777" w:rsidR="00DC419F" w:rsidRPr="00A74D23" w:rsidRDefault="00DC419F" w:rsidP="003B24BE">
            <w:pPr>
              <w:rPr>
                <w:rFonts w:asciiTheme="minorHAnsi" w:hAnsiTheme="minorHAnsi" w:cs="Calibri"/>
                <w:color w:val="000000"/>
                <w:sz w:val="20"/>
                <w:szCs w:val="20"/>
              </w:rPr>
            </w:pPr>
            <w:r w:rsidRPr="00A74D23">
              <w:rPr>
                <w:rFonts w:asciiTheme="minorHAnsi" w:hAnsiTheme="minorHAnsi" w:cs="Calibri"/>
                <w:color w:val="000000"/>
                <w:sz w:val="20"/>
                <w:szCs w:val="20"/>
              </w:rPr>
              <w:t> </w:t>
            </w:r>
          </w:p>
        </w:tc>
        <w:tc>
          <w:tcPr>
            <w:tcW w:w="3625" w:type="dxa"/>
            <w:tcBorders>
              <w:top w:val="nil"/>
              <w:left w:val="nil"/>
              <w:bottom w:val="single" w:sz="8" w:space="0" w:color="000000"/>
              <w:right w:val="single" w:sz="8" w:space="0" w:color="000000"/>
            </w:tcBorders>
            <w:vAlign w:val="center"/>
            <w:hideMark/>
          </w:tcPr>
          <w:p w14:paraId="2B50B15A"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Sur la base des dépenses d’investissement</w:t>
            </w:r>
          </w:p>
        </w:tc>
        <w:tc>
          <w:tcPr>
            <w:tcW w:w="1685" w:type="dxa"/>
            <w:tcBorders>
              <w:top w:val="nil"/>
              <w:left w:val="nil"/>
              <w:bottom w:val="single" w:sz="8" w:space="0" w:color="000000"/>
              <w:right w:val="single" w:sz="8" w:space="0" w:color="000000"/>
            </w:tcBorders>
            <w:vAlign w:val="center"/>
            <w:hideMark/>
          </w:tcPr>
          <w:p w14:paraId="51B08DA8" w14:textId="77777777" w:rsidR="00DC419F" w:rsidRPr="004D6C79" w:rsidRDefault="00DC419F" w:rsidP="003B24BE">
            <w:pPr>
              <w:jc w:val="center"/>
              <w:rPr>
                <w:rFonts w:asciiTheme="minorHAnsi" w:hAnsiTheme="minorHAnsi" w:cs="Calibri"/>
                <w:color w:val="000000"/>
                <w:sz w:val="20"/>
                <w:szCs w:val="20"/>
              </w:rPr>
            </w:pPr>
            <w:r w:rsidRPr="004D6C79">
              <w:rPr>
                <w:rFonts w:asciiTheme="minorHAnsi" w:hAnsiTheme="minorHAnsi" w:cs="Prompt Light"/>
                <w:sz w:val="20"/>
                <w:szCs w:val="20"/>
              </w:rPr>
              <w:t>0,29%</w:t>
            </w:r>
          </w:p>
        </w:tc>
        <w:tc>
          <w:tcPr>
            <w:tcW w:w="3038" w:type="dxa"/>
            <w:tcBorders>
              <w:top w:val="nil"/>
              <w:left w:val="nil"/>
              <w:bottom w:val="single" w:sz="8" w:space="0" w:color="000000"/>
              <w:right w:val="single" w:sz="8" w:space="0" w:color="000000"/>
            </w:tcBorders>
            <w:vAlign w:val="center"/>
            <w:hideMark/>
          </w:tcPr>
          <w:p w14:paraId="7D373633" w14:textId="77777777" w:rsidR="00DC419F" w:rsidRPr="004D6C79" w:rsidRDefault="00DC419F" w:rsidP="003B24BE">
            <w:pPr>
              <w:jc w:val="center"/>
              <w:rPr>
                <w:rFonts w:asciiTheme="minorHAnsi" w:hAnsiTheme="minorHAnsi" w:cs="Calibri"/>
                <w:color w:val="000000"/>
                <w:sz w:val="20"/>
                <w:szCs w:val="20"/>
              </w:rPr>
            </w:pPr>
            <w:r w:rsidRPr="004D6C79">
              <w:rPr>
                <w:rFonts w:asciiTheme="minorHAnsi" w:hAnsiTheme="minorHAnsi" w:cs="Prompt Light"/>
                <w:sz w:val="20"/>
                <w:szCs w:val="20"/>
              </w:rPr>
              <w:t>19 613 409,54 €</w:t>
            </w:r>
          </w:p>
        </w:tc>
      </w:tr>
      <w:tr w:rsidR="00DC419F" w:rsidRPr="00302DFF" w14:paraId="6CC073B9" w14:textId="77777777" w:rsidTr="003B24BE">
        <w:trPr>
          <w:trHeight w:val="481"/>
        </w:trPr>
        <w:tc>
          <w:tcPr>
            <w:tcW w:w="5676" w:type="dxa"/>
            <w:gridSpan w:val="2"/>
            <w:tcBorders>
              <w:top w:val="nil"/>
              <w:left w:val="single" w:sz="8" w:space="0" w:color="auto"/>
              <w:bottom w:val="single" w:sz="8" w:space="0" w:color="000000"/>
              <w:right w:val="single" w:sz="8" w:space="0" w:color="000000"/>
            </w:tcBorders>
            <w:vAlign w:val="center"/>
            <w:hideMark/>
          </w:tcPr>
          <w:p w14:paraId="6142FA24"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Part des investissements de l'entreprise d'assurance ou de réassurance, autres que ceux détenus dans le cadre de contrats d'assurance vie dans lesquels le risque d'investissement est supporté par le preneur, qui sont destinés à financer ou sont associés à des activités économiques alignées sur la taxonomie :</w:t>
            </w:r>
          </w:p>
        </w:tc>
        <w:tc>
          <w:tcPr>
            <w:tcW w:w="1685" w:type="dxa"/>
            <w:tcBorders>
              <w:top w:val="nil"/>
              <w:left w:val="nil"/>
              <w:bottom w:val="single" w:sz="8" w:space="0" w:color="000000"/>
              <w:right w:val="single" w:sz="8" w:space="0" w:color="000000"/>
            </w:tcBorders>
            <w:vAlign w:val="center"/>
            <w:hideMark/>
          </w:tcPr>
          <w:p w14:paraId="618328AB" w14:textId="77777777" w:rsidR="00DC419F" w:rsidRPr="004D6C79" w:rsidRDefault="00DC419F" w:rsidP="003B24BE">
            <w:pPr>
              <w:jc w:val="center"/>
              <w:rPr>
                <w:rFonts w:asciiTheme="minorHAnsi" w:hAnsiTheme="minorHAnsi" w:cs="Calibri"/>
                <w:color w:val="000000"/>
                <w:sz w:val="20"/>
                <w:szCs w:val="20"/>
                <w:lang w:val="fr-FR"/>
              </w:rPr>
            </w:pPr>
            <w:r w:rsidRPr="004D6C79">
              <w:rPr>
                <w:rFonts w:asciiTheme="minorHAnsi" w:hAnsiTheme="minorHAnsi" w:cs="Calibri"/>
                <w:color w:val="000000"/>
                <w:sz w:val="20"/>
                <w:szCs w:val="20"/>
                <w:lang w:val="fr-FR"/>
              </w:rPr>
              <w:t> </w:t>
            </w:r>
          </w:p>
        </w:tc>
        <w:tc>
          <w:tcPr>
            <w:tcW w:w="3038" w:type="dxa"/>
            <w:tcBorders>
              <w:top w:val="nil"/>
              <w:left w:val="nil"/>
              <w:bottom w:val="single" w:sz="8" w:space="0" w:color="000000"/>
              <w:right w:val="single" w:sz="8" w:space="0" w:color="auto"/>
            </w:tcBorders>
            <w:vAlign w:val="center"/>
            <w:hideMark/>
          </w:tcPr>
          <w:p w14:paraId="7FBC100B" w14:textId="77777777" w:rsidR="00DC419F" w:rsidRPr="004D6C79" w:rsidRDefault="00DC419F" w:rsidP="003B24BE">
            <w:pPr>
              <w:jc w:val="center"/>
              <w:rPr>
                <w:rFonts w:asciiTheme="minorHAnsi" w:hAnsiTheme="minorHAnsi" w:cs="Calibri"/>
                <w:color w:val="000000"/>
                <w:sz w:val="20"/>
                <w:szCs w:val="20"/>
                <w:lang w:val="fr-FR"/>
              </w:rPr>
            </w:pPr>
          </w:p>
        </w:tc>
      </w:tr>
      <w:tr w:rsidR="00DC419F" w:rsidRPr="00A74D23" w14:paraId="6760353F" w14:textId="77777777" w:rsidTr="003B24BE">
        <w:trPr>
          <w:trHeight w:val="481"/>
        </w:trPr>
        <w:tc>
          <w:tcPr>
            <w:tcW w:w="2051" w:type="dxa"/>
            <w:tcBorders>
              <w:top w:val="nil"/>
              <w:left w:val="single" w:sz="8" w:space="0" w:color="auto"/>
              <w:bottom w:val="single" w:sz="8" w:space="0" w:color="000000"/>
              <w:right w:val="nil"/>
            </w:tcBorders>
            <w:vAlign w:val="center"/>
            <w:hideMark/>
          </w:tcPr>
          <w:p w14:paraId="2E24789E" w14:textId="77777777" w:rsidR="00DC419F" w:rsidRPr="00A74D23" w:rsidRDefault="00DC419F" w:rsidP="003B24BE">
            <w:pPr>
              <w:rPr>
                <w:rFonts w:asciiTheme="minorHAnsi" w:hAnsiTheme="minorHAnsi" w:cs="Calibri"/>
                <w:color w:val="000000"/>
                <w:lang w:val="fr-FR"/>
              </w:rPr>
            </w:pPr>
            <w:r w:rsidRPr="00A74D23">
              <w:rPr>
                <w:rFonts w:asciiTheme="minorHAnsi" w:hAnsiTheme="minorHAnsi" w:cs="Calibri"/>
                <w:color w:val="000000"/>
                <w:lang w:val="fr-FR"/>
              </w:rPr>
              <w:t> </w:t>
            </w:r>
          </w:p>
        </w:tc>
        <w:tc>
          <w:tcPr>
            <w:tcW w:w="3625" w:type="dxa"/>
            <w:tcBorders>
              <w:top w:val="nil"/>
              <w:left w:val="nil"/>
              <w:bottom w:val="single" w:sz="8" w:space="0" w:color="000000"/>
              <w:right w:val="single" w:sz="8" w:space="0" w:color="000000"/>
            </w:tcBorders>
            <w:vAlign w:val="center"/>
            <w:hideMark/>
          </w:tcPr>
          <w:p w14:paraId="48341B57"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Sur la base du chiffre d’affaires</w:t>
            </w:r>
          </w:p>
        </w:tc>
        <w:tc>
          <w:tcPr>
            <w:tcW w:w="1685" w:type="dxa"/>
            <w:tcBorders>
              <w:top w:val="nil"/>
              <w:left w:val="nil"/>
              <w:bottom w:val="single" w:sz="8" w:space="0" w:color="000000"/>
              <w:right w:val="single" w:sz="8" w:space="0" w:color="000000"/>
            </w:tcBorders>
            <w:vAlign w:val="center"/>
            <w:hideMark/>
          </w:tcPr>
          <w:p w14:paraId="1209BF8F" w14:textId="77777777" w:rsidR="00DC419F" w:rsidRPr="004D6C79" w:rsidRDefault="00DC419F" w:rsidP="003B24BE">
            <w:pPr>
              <w:jc w:val="center"/>
              <w:rPr>
                <w:rFonts w:asciiTheme="minorHAnsi" w:hAnsiTheme="minorHAnsi" w:cs="Calibri"/>
                <w:color w:val="000000"/>
                <w:sz w:val="20"/>
                <w:szCs w:val="20"/>
              </w:rPr>
            </w:pPr>
            <w:r w:rsidRPr="004D6C79">
              <w:rPr>
                <w:rFonts w:asciiTheme="minorHAnsi" w:hAnsiTheme="minorHAnsi" w:cs="Prompt Light"/>
                <w:sz w:val="20"/>
                <w:szCs w:val="20"/>
              </w:rPr>
              <w:t>2,05%</w:t>
            </w:r>
          </w:p>
        </w:tc>
        <w:tc>
          <w:tcPr>
            <w:tcW w:w="3038" w:type="dxa"/>
            <w:tcBorders>
              <w:top w:val="nil"/>
              <w:left w:val="nil"/>
              <w:bottom w:val="single" w:sz="8" w:space="0" w:color="000000"/>
              <w:right w:val="single" w:sz="8" w:space="0" w:color="000000"/>
            </w:tcBorders>
            <w:vAlign w:val="center"/>
            <w:hideMark/>
          </w:tcPr>
          <w:p w14:paraId="1B069A75" w14:textId="77777777" w:rsidR="00DC419F" w:rsidRPr="004D6C79" w:rsidRDefault="00DC419F" w:rsidP="003B24BE">
            <w:pPr>
              <w:jc w:val="center"/>
              <w:rPr>
                <w:rFonts w:asciiTheme="minorHAnsi" w:hAnsiTheme="minorHAnsi" w:cs="Calibri"/>
                <w:color w:val="000000"/>
                <w:sz w:val="20"/>
                <w:szCs w:val="20"/>
              </w:rPr>
            </w:pPr>
            <w:r w:rsidRPr="004D6C79">
              <w:rPr>
                <w:rFonts w:asciiTheme="minorHAnsi" w:hAnsiTheme="minorHAnsi" w:cs="Prompt Light"/>
                <w:sz w:val="20"/>
                <w:szCs w:val="20"/>
              </w:rPr>
              <w:t>138 872 330,26 €</w:t>
            </w:r>
          </w:p>
        </w:tc>
      </w:tr>
      <w:tr w:rsidR="00DC419F" w:rsidRPr="00A74D23" w14:paraId="7A111677" w14:textId="77777777" w:rsidTr="003B24BE">
        <w:trPr>
          <w:trHeight w:val="481"/>
        </w:trPr>
        <w:tc>
          <w:tcPr>
            <w:tcW w:w="2051" w:type="dxa"/>
            <w:tcBorders>
              <w:top w:val="nil"/>
              <w:left w:val="single" w:sz="8" w:space="0" w:color="auto"/>
              <w:bottom w:val="single" w:sz="8" w:space="0" w:color="000000"/>
              <w:right w:val="nil"/>
            </w:tcBorders>
            <w:vAlign w:val="center"/>
            <w:hideMark/>
          </w:tcPr>
          <w:p w14:paraId="70E79B4F" w14:textId="77777777" w:rsidR="00DC419F" w:rsidRPr="00A74D23" w:rsidRDefault="00DC419F" w:rsidP="003B24BE">
            <w:pPr>
              <w:rPr>
                <w:rFonts w:asciiTheme="minorHAnsi" w:hAnsiTheme="minorHAnsi" w:cs="Calibri"/>
                <w:color w:val="000000"/>
              </w:rPr>
            </w:pPr>
            <w:r w:rsidRPr="00A74D23">
              <w:rPr>
                <w:rFonts w:asciiTheme="minorHAnsi" w:hAnsiTheme="minorHAnsi" w:cs="Calibri"/>
                <w:color w:val="000000"/>
              </w:rPr>
              <w:t> </w:t>
            </w:r>
          </w:p>
        </w:tc>
        <w:tc>
          <w:tcPr>
            <w:tcW w:w="3625" w:type="dxa"/>
            <w:tcBorders>
              <w:top w:val="nil"/>
              <w:left w:val="nil"/>
              <w:bottom w:val="single" w:sz="8" w:space="0" w:color="000000"/>
              <w:right w:val="single" w:sz="8" w:space="0" w:color="000000"/>
            </w:tcBorders>
            <w:vAlign w:val="center"/>
            <w:hideMark/>
          </w:tcPr>
          <w:p w14:paraId="003E1559"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Sur la base des dépenses d’investissement</w:t>
            </w:r>
          </w:p>
        </w:tc>
        <w:tc>
          <w:tcPr>
            <w:tcW w:w="1685" w:type="dxa"/>
            <w:tcBorders>
              <w:top w:val="nil"/>
              <w:left w:val="nil"/>
              <w:bottom w:val="single" w:sz="8" w:space="0" w:color="000000"/>
              <w:right w:val="single" w:sz="8" w:space="0" w:color="000000"/>
            </w:tcBorders>
            <w:vAlign w:val="center"/>
            <w:hideMark/>
          </w:tcPr>
          <w:p w14:paraId="68C59D52" w14:textId="77777777" w:rsidR="00DC419F" w:rsidRPr="004D6C79" w:rsidRDefault="00DC419F" w:rsidP="003B24BE">
            <w:pPr>
              <w:jc w:val="center"/>
              <w:rPr>
                <w:rFonts w:asciiTheme="minorHAnsi" w:hAnsiTheme="minorHAnsi" w:cs="Calibri"/>
                <w:color w:val="000000"/>
                <w:sz w:val="20"/>
                <w:szCs w:val="20"/>
              </w:rPr>
            </w:pPr>
            <w:r w:rsidRPr="004D6C79">
              <w:rPr>
                <w:rFonts w:asciiTheme="minorHAnsi" w:hAnsiTheme="minorHAnsi" w:cs="Prompt Light"/>
                <w:sz w:val="20"/>
                <w:szCs w:val="20"/>
              </w:rPr>
              <w:t>2,32%</w:t>
            </w:r>
          </w:p>
        </w:tc>
        <w:tc>
          <w:tcPr>
            <w:tcW w:w="3038" w:type="dxa"/>
            <w:tcBorders>
              <w:top w:val="nil"/>
              <w:left w:val="nil"/>
              <w:bottom w:val="single" w:sz="8" w:space="0" w:color="000000"/>
              <w:right w:val="single" w:sz="8" w:space="0" w:color="000000"/>
            </w:tcBorders>
            <w:vAlign w:val="center"/>
            <w:hideMark/>
          </w:tcPr>
          <w:p w14:paraId="00313028" w14:textId="77777777" w:rsidR="00DC419F" w:rsidRPr="004D6C79" w:rsidRDefault="00DC419F" w:rsidP="003B24BE">
            <w:pPr>
              <w:jc w:val="center"/>
              <w:rPr>
                <w:rFonts w:asciiTheme="minorHAnsi" w:hAnsiTheme="minorHAnsi" w:cs="Calibri"/>
                <w:color w:val="000000"/>
                <w:sz w:val="20"/>
                <w:szCs w:val="20"/>
              </w:rPr>
            </w:pPr>
            <w:r w:rsidRPr="004D6C79">
              <w:rPr>
                <w:rFonts w:asciiTheme="minorHAnsi" w:hAnsiTheme="minorHAnsi" w:cs="Prompt Light"/>
                <w:sz w:val="20"/>
                <w:szCs w:val="20"/>
              </w:rPr>
              <w:t>156 947 544,57 €</w:t>
            </w:r>
          </w:p>
        </w:tc>
      </w:tr>
      <w:tr w:rsidR="00DC419F" w:rsidRPr="00302DFF" w14:paraId="56509C62" w14:textId="77777777" w:rsidTr="003B24BE">
        <w:trPr>
          <w:trHeight w:val="481"/>
        </w:trPr>
        <w:tc>
          <w:tcPr>
            <w:tcW w:w="5676" w:type="dxa"/>
            <w:gridSpan w:val="2"/>
            <w:tcBorders>
              <w:top w:val="nil"/>
              <w:left w:val="single" w:sz="8" w:space="0" w:color="auto"/>
              <w:bottom w:val="single" w:sz="8" w:space="0" w:color="000000"/>
              <w:right w:val="single" w:sz="8" w:space="0" w:color="000000"/>
            </w:tcBorders>
            <w:vAlign w:val="center"/>
            <w:hideMark/>
          </w:tcPr>
          <w:p w14:paraId="7C97CC50"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Part des expositions, alignées sur la taxonomie, sur d'autres contreparties,  par rapport au total des actifs couverts par l'ICP (ex : obligations durables d’entreprises) :</w:t>
            </w:r>
          </w:p>
        </w:tc>
        <w:tc>
          <w:tcPr>
            <w:tcW w:w="1685" w:type="dxa"/>
            <w:tcBorders>
              <w:top w:val="nil"/>
              <w:left w:val="nil"/>
              <w:bottom w:val="single" w:sz="8" w:space="0" w:color="000000"/>
              <w:right w:val="single" w:sz="8" w:space="0" w:color="000000"/>
            </w:tcBorders>
            <w:vAlign w:val="center"/>
            <w:hideMark/>
          </w:tcPr>
          <w:p w14:paraId="668615AB" w14:textId="77777777" w:rsidR="00DC419F" w:rsidRPr="004D6C79" w:rsidRDefault="00DC419F" w:rsidP="003B24BE">
            <w:pPr>
              <w:jc w:val="center"/>
              <w:rPr>
                <w:rFonts w:asciiTheme="minorHAnsi" w:hAnsiTheme="minorHAnsi" w:cs="Calibri"/>
                <w:color w:val="000000"/>
                <w:sz w:val="20"/>
                <w:szCs w:val="20"/>
                <w:lang w:val="fr-FR"/>
              </w:rPr>
            </w:pPr>
            <w:r w:rsidRPr="004D6C79">
              <w:rPr>
                <w:rFonts w:asciiTheme="minorHAnsi" w:hAnsiTheme="minorHAnsi" w:cs="Calibri"/>
                <w:color w:val="000000"/>
                <w:sz w:val="20"/>
                <w:szCs w:val="20"/>
                <w:lang w:val="fr-FR"/>
              </w:rPr>
              <w:t> </w:t>
            </w:r>
          </w:p>
        </w:tc>
        <w:tc>
          <w:tcPr>
            <w:tcW w:w="3038" w:type="dxa"/>
            <w:tcBorders>
              <w:top w:val="nil"/>
              <w:left w:val="nil"/>
              <w:bottom w:val="single" w:sz="8" w:space="0" w:color="000000"/>
              <w:right w:val="single" w:sz="8" w:space="0" w:color="auto"/>
            </w:tcBorders>
            <w:vAlign w:val="center"/>
            <w:hideMark/>
          </w:tcPr>
          <w:p w14:paraId="40FA1DA8" w14:textId="77777777" w:rsidR="00DC419F" w:rsidRPr="004D6C79" w:rsidRDefault="00DC419F" w:rsidP="003B24BE">
            <w:pPr>
              <w:jc w:val="center"/>
              <w:rPr>
                <w:rFonts w:asciiTheme="minorHAnsi" w:hAnsiTheme="minorHAnsi" w:cs="Calibri"/>
                <w:color w:val="000000"/>
                <w:sz w:val="20"/>
                <w:szCs w:val="20"/>
                <w:lang w:val="fr-FR"/>
              </w:rPr>
            </w:pPr>
          </w:p>
        </w:tc>
      </w:tr>
      <w:tr w:rsidR="00DC419F" w:rsidRPr="00A74D23" w14:paraId="12E08FD5" w14:textId="77777777" w:rsidTr="003B24BE">
        <w:trPr>
          <w:trHeight w:val="481"/>
        </w:trPr>
        <w:tc>
          <w:tcPr>
            <w:tcW w:w="2051" w:type="dxa"/>
            <w:tcBorders>
              <w:top w:val="nil"/>
              <w:left w:val="single" w:sz="8" w:space="0" w:color="auto"/>
              <w:bottom w:val="single" w:sz="8" w:space="0" w:color="000000"/>
              <w:right w:val="nil"/>
            </w:tcBorders>
            <w:vAlign w:val="center"/>
            <w:hideMark/>
          </w:tcPr>
          <w:p w14:paraId="6D8C3A15" w14:textId="77777777" w:rsidR="00DC419F" w:rsidRPr="00A74D23" w:rsidRDefault="00DC419F" w:rsidP="003B24BE">
            <w:pPr>
              <w:rPr>
                <w:rFonts w:asciiTheme="minorHAnsi" w:hAnsiTheme="minorHAnsi" w:cs="Calibri"/>
                <w:color w:val="000000"/>
                <w:lang w:val="fr-FR"/>
              </w:rPr>
            </w:pPr>
            <w:r w:rsidRPr="00A74D23">
              <w:rPr>
                <w:rFonts w:asciiTheme="minorHAnsi" w:hAnsiTheme="minorHAnsi" w:cs="Calibri"/>
                <w:color w:val="000000"/>
                <w:lang w:val="fr-FR"/>
              </w:rPr>
              <w:t> </w:t>
            </w:r>
          </w:p>
        </w:tc>
        <w:tc>
          <w:tcPr>
            <w:tcW w:w="3625" w:type="dxa"/>
            <w:tcBorders>
              <w:top w:val="nil"/>
              <w:left w:val="nil"/>
              <w:bottom w:val="single" w:sz="8" w:space="0" w:color="000000"/>
              <w:right w:val="single" w:sz="8" w:space="0" w:color="000000"/>
            </w:tcBorders>
            <w:vAlign w:val="center"/>
            <w:hideMark/>
          </w:tcPr>
          <w:p w14:paraId="379D39B5"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Sur la base du chiffre d’affaires</w:t>
            </w:r>
          </w:p>
        </w:tc>
        <w:tc>
          <w:tcPr>
            <w:tcW w:w="1685" w:type="dxa"/>
            <w:tcBorders>
              <w:top w:val="nil"/>
              <w:left w:val="nil"/>
              <w:bottom w:val="single" w:sz="8" w:space="0" w:color="000000"/>
              <w:right w:val="single" w:sz="8" w:space="0" w:color="000000"/>
            </w:tcBorders>
            <w:vAlign w:val="center"/>
            <w:hideMark/>
          </w:tcPr>
          <w:p w14:paraId="25BB94D2" w14:textId="77777777" w:rsidR="00DC419F" w:rsidRPr="004D6C79" w:rsidRDefault="00DC419F" w:rsidP="003B24BE">
            <w:pPr>
              <w:jc w:val="center"/>
              <w:rPr>
                <w:rFonts w:asciiTheme="minorHAnsi" w:hAnsiTheme="minorHAnsi" w:cs="Calibri"/>
                <w:color w:val="000000"/>
                <w:sz w:val="20"/>
                <w:szCs w:val="20"/>
              </w:rPr>
            </w:pPr>
            <w:r w:rsidRPr="004D6C79">
              <w:rPr>
                <w:rFonts w:asciiTheme="minorHAnsi" w:hAnsiTheme="minorHAnsi" w:cs="Prompt Light"/>
                <w:sz w:val="20"/>
                <w:szCs w:val="20"/>
              </w:rPr>
              <w:t>2,97%</w:t>
            </w:r>
          </w:p>
        </w:tc>
        <w:tc>
          <w:tcPr>
            <w:tcW w:w="3038" w:type="dxa"/>
            <w:tcBorders>
              <w:top w:val="nil"/>
              <w:left w:val="nil"/>
              <w:bottom w:val="single" w:sz="8" w:space="0" w:color="000000"/>
              <w:right w:val="single" w:sz="8" w:space="0" w:color="000000"/>
            </w:tcBorders>
            <w:vAlign w:val="center"/>
            <w:hideMark/>
          </w:tcPr>
          <w:p w14:paraId="2848FB61" w14:textId="77777777" w:rsidR="00DC419F" w:rsidRPr="004D6C79" w:rsidRDefault="00DC419F" w:rsidP="003B24BE">
            <w:pPr>
              <w:jc w:val="center"/>
              <w:rPr>
                <w:rFonts w:asciiTheme="minorHAnsi" w:hAnsiTheme="minorHAnsi" w:cs="Calibri"/>
                <w:color w:val="000000"/>
                <w:sz w:val="20"/>
                <w:szCs w:val="20"/>
              </w:rPr>
            </w:pPr>
            <w:r w:rsidRPr="004D6C79">
              <w:rPr>
                <w:rFonts w:asciiTheme="minorHAnsi" w:hAnsiTheme="minorHAnsi" w:cs="Prompt Light"/>
                <w:sz w:val="20"/>
                <w:szCs w:val="20"/>
              </w:rPr>
              <w:t>200 825 951,35 €</w:t>
            </w:r>
          </w:p>
        </w:tc>
      </w:tr>
      <w:tr w:rsidR="00DC419F" w:rsidRPr="00A74D23" w14:paraId="24260A54" w14:textId="77777777" w:rsidTr="003B24BE">
        <w:trPr>
          <w:trHeight w:val="481"/>
        </w:trPr>
        <w:tc>
          <w:tcPr>
            <w:tcW w:w="2051" w:type="dxa"/>
            <w:tcBorders>
              <w:top w:val="nil"/>
              <w:left w:val="single" w:sz="8" w:space="0" w:color="auto"/>
              <w:bottom w:val="single" w:sz="8" w:space="0" w:color="000000"/>
              <w:right w:val="nil"/>
            </w:tcBorders>
            <w:vAlign w:val="center"/>
            <w:hideMark/>
          </w:tcPr>
          <w:p w14:paraId="4BFA9ED1" w14:textId="77777777" w:rsidR="00DC419F" w:rsidRPr="00A74D23" w:rsidRDefault="00DC419F" w:rsidP="003B24BE">
            <w:pPr>
              <w:rPr>
                <w:rFonts w:asciiTheme="minorHAnsi" w:hAnsiTheme="minorHAnsi" w:cs="Calibri"/>
                <w:color w:val="000000"/>
              </w:rPr>
            </w:pPr>
            <w:r w:rsidRPr="00A74D23">
              <w:rPr>
                <w:rFonts w:asciiTheme="minorHAnsi" w:hAnsiTheme="minorHAnsi" w:cs="Calibri"/>
                <w:color w:val="000000"/>
              </w:rPr>
              <w:t> </w:t>
            </w:r>
          </w:p>
        </w:tc>
        <w:tc>
          <w:tcPr>
            <w:tcW w:w="3625" w:type="dxa"/>
            <w:tcBorders>
              <w:top w:val="nil"/>
              <w:left w:val="nil"/>
              <w:bottom w:val="single" w:sz="8" w:space="0" w:color="000000"/>
              <w:right w:val="single" w:sz="8" w:space="0" w:color="000000"/>
            </w:tcBorders>
            <w:vAlign w:val="center"/>
            <w:hideMark/>
          </w:tcPr>
          <w:p w14:paraId="68AB99DB"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Sur la base des dépenses d’investissement</w:t>
            </w:r>
          </w:p>
        </w:tc>
        <w:tc>
          <w:tcPr>
            <w:tcW w:w="1685" w:type="dxa"/>
            <w:tcBorders>
              <w:top w:val="nil"/>
              <w:left w:val="nil"/>
              <w:bottom w:val="single" w:sz="8" w:space="0" w:color="000000"/>
              <w:right w:val="single" w:sz="8" w:space="0" w:color="000000"/>
            </w:tcBorders>
            <w:vAlign w:val="center"/>
            <w:hideMark/>
          </w:tcPr>
          <w:p w14:paraId="1A3A4FE9" w14:textId="77777777" w:rsidR="00DC419F" w:rsidRPr="004D6C79" w:rsidRDefault="00DC419F" w:rsidP="003B24BE">
            <w:pPr>
              <w:jc w:val="center"/>
              <w:rPr>
                <w:rFonts w:asciiTheme="minorHAnsi" w:hAnsiTheme="minorHAnsi" w:cs="Calibri"/>
                <w:color w:val="000000"/>
                <w:sz w:val="20"/>
                <w:szCs w:val="20"/>
              </w:rPr>
            </w:pPr>
            <w:r w:rsidRPr="004D6C79">
              <w:rPr>
                <w:rFonts w:asciiTheme="minorHAnsi" w:hAnsiTheme="minorHAnsi" w:cs="Prompt Light"/>
                <w:sz w:val="20"/>
                <w:szCs w:val="20"/>
              </w:rPr>
              <w:t>1,89%</w:t>
            </w:r>
          </w:p>
        </w:tc>
        <w:tc>
          <w:tcPr>
            <w:tcW w:w="3038" w:type="dxa"/>
            <w:tcBorders>
              <w:top w:val="nil"/>
              <w:left w:val="nil"/>
              <w:bottom w:val="single" w:sz="8" w:space="0" w:color="000000"/>
              <w:right w:val="single" w:sz="8" w:space="0" w:color="000000"/>
            </w:tcBorders>
            <w:vAlign w:val="center"/>
            <w:hideMark/>
          </w:tcPr>
          <w:p w14:paraId="4A185FF5" w14:textId="77777777" w:rsidR="00DC419F" w:rsidRPr="004D6C79" w:rsidRDefault="00DC419F" w:rsidP="003B24BE">
            <w:pPr>
              <w:jc w:val="center"/>
              <w:rPr>
                <w:rFonts w:asciiTheme="minorHAnsi" w:hAnsiTheme="minorHAnsi" w:cs="Calibri"/>
                <w:color w:val="000000"/>
                <w:sz w:val="20"/>
                <w:szCs w:val="20"/>
              </w:rPr>
            </w:pPr>
            <w:r w:rsidRPr="004D6C79">
              <w:rPr>
                <w:rFonts w:asciiTheme="minorHAnsi" w:hAnsiTheme="minorHAnsi" w:cs="Prompt Light"/>
                <w:sz w:val="20"/>
                <w:szCs w:val="20"/>
              </w:rPr>
              <w:t>127 928 978,56 €</w:t>
            </w:r>
          </w:p>
        </w:tc>
      </w:tr>
      <w:tr w:rsidR="00DC419F" w:rsidRPr="00A74D23" w14:paraId="3543C2DB" w14:textId="77777777" w:rsidTr="003B24BE">
        <w:trPr>
          <w:trHeight w:val="481"/>
        </w:trPr>
        <w:tc>
          <w:tcPr>
            <w:tcW w:w="2051" w:type="dxa"/>
            <w:tcBorders>
              <w:top w:val="nil"/>
              <w:left w:val="nil"/>
              <w:bottom w:val="nil"/>
              <w:right w:val="nil"/>
            </w:tcBorders>
            <w:noWrap/>
            <w:vAlign w:val="center"/>
            <w:hideMark/>
          </w:tcPr>
          <w:p w14:paraId="62670790" w14:textId="77777777" w:rsidR="00DC419F" w:rsidRPr="00A74D23" w:rsidRDefault="00DC419F" w:rsidP="003B24BE">
            <w:pPr>
              <w:jc w:val="center"/>
              <w:rPr>
                <w:rFonts w:asciiTheme="minorHAnsi" w:hAnsiTheme="minorHAnsi" w:cs="Calibri"/>
                <w:color w:val="000000"/>
              </w:rPr>
            </w:pPr>
          </w:p>
        </w:tc>
        <w:tc>
          <w:tcPr>
            <w:tcW w:w="3625" w:type="dxa"/>
            <w:tcBorders>
              <w:top w:val="nil"/>
              <w:left w:val="nil"/>
              <w:bottom w:val="nil"/>
              <w:right w:val="nil"/>
            </w:tcBorders>
            <w:noWrap/>
            <w:vAlign w:val="bottom"/>
            <w:hideMark/>
          </w:tcPr>
          <w:p w14:paraId="259A115B" w14:textId="77777777" w:rsidR="00DC419F" w:rsidRPr="00A74D23" w:rsidRDefault="00DC419F" w:rsidP="003B24BE">
            <w:pPr>
              <w:ind w:firstLineChars="100" w:firstLine="200"/>
              <w:rPr>
                <w:rFonts w:asciiTheme="minorHAnsi" w:hAnsiTheme="minorHAnsi"/>
                <w:sz w:val="20"/>
                <w:szCs w:val="20"/>
              </w:rPr>
            </w:pPr>
          </w:p>
        </w:tc>
        <w:tc>
          <w:tcPr>
            <w:tcW w:w="1685" w:type="dxa"/>
            <w:tcBorders>
              <w:top w:val="nil"/>
              <w:left w:val="nil"/>
              <w:bottom w:val="nil"/>
              <w:right w:val="nil"/>
            </w:tcBorders>
            <w:noWrap/>
            <w:vAlign w:val="bottom"/>
            <w:hideMark/>
          </w:tcPr>
          <w:p w14:paraId="22989512" w14:textId="77777777" w:rsidR="00DC419F" w:rsidRPr="00A74D23" w:rsidRDefault="00DC419F" w:rsidP="003B24BE">
            <w:pPr>
              <w:rPr>
                <w:rFonts w:asciiTheme="minorHAnsi" w:hAnsiTheme="minorHAnsi"/>
                <w:sz w:val="20"/>
                <w:szCs w:val="20"/>
              </w:rPr>
            </w:pPr>
          </w:p>
        </w:tc>
        <w:tc>
          <w:tcPr>
            <w:tcW w:w="3038" w:type="dxa"/>
            <w:tcBorders>
              <w:top w:val="nil"/>
              <w:left w:val="nil"/>
              <w:bottom w:val="nil"/>
              <w:right w:val="nil"/>
            </w:tcBorders>
            <w:vAlign w:val="center"/>
            <w:hideMark/>
          </w:tcPr>
          <w:p w14:paraId="529B922E" w14:textId="77777777" w:rsidR="00DC419F" w:rsidRPr="00A74D23" w:rsidRDefault="00DC419F" w:rsidP="003B24BE">
            <w:pPr>
              <w:jc w:val="center"/>
              <w:rPr>
                <w:rFonts w:asciiTheme="minorHAnsi" w:hAnsiTheme="minorHAnsi"/>
                <w:sz w:val="20"/>
                <w:szCs w:val="20"/>
              </w:rPr>
            </w:pPr>
          </w:p>
        </w:tc>
      </w:tr>
      <w:tr w:rsidR="00DC419F" w:rsidRPr="00A74D23" w14:paraId="7ABBD4C4" w14:textId="77777777" w:rsidTr="003B24BE">
        <w:trPr>
          <w:trHeight w:val="848"/>
        </w:trPr>
        <w:tc>
          <w:tcPr>
            <w:tcW w:w="5676" w:type="dxa"/>
            <w:gridSpan w:val="2"/>
            <w:tcBorders>
              <w:top w:val="single" w:sz="8" w:space="0" w:color="auto"/>
              <w:left w:val="single" w:sz="8" w:space="0" w:color="auto"/>
              <w:bottom w:val="nil"/>
              <w:right w:val="dashed" w:sz="8" w:space="0" w:color="000000"/>
            </w:tcBorders>
            <w:shd w:val="clear" w:color="000000" w:fill="FFD400"/>
            <w:noWrap/>
            <w:vAlign w:val="center"/>
            <w:hideMark/>
          </w:tcPr>
          <w:p w14:paraId="039724BA" w14:textId="77777777" w:rsidR="00DC419F" w:rsidRPr="00A74D23" w:rsidRDefault="00DC419F" w:rsidP="003B24BE">
            <w:pPr>
              <w:jc w:val="center"/>
              <w:rPr>
                <w:rFonts w:asciiTheme="minorHAnsi" w:hAnsiTheme="minorHAnsi" w:cs="Calibri"/>
                <w:b/>
                <w:bCs/>
                <w:color w:val="000000"/>
                <w:sz w:val="22"/>
                <w:szCs w:val="22"/>
              </w:rPr>
            </w:pPr>
            <w:r w:rsidRPr="00A74D23">
              <w:rPr>
                <w:rFonts w:asciiTheme="minorHAnsi" w:hAnsiTheme="minorHAnsi" w:cs="Calibri"/>
                <w:b/>
                <w:bCs/>
                <w:color w:val="000000"/>
                <w:sz w:val="22"/>
                <w:szCs w:val="22"/>
              </w:rPr>
              <w:t>Ventilation du dénominateur</w:t>
            </w:r>
          </w:p>
        </w:tc>
        <w:tc>
          <w:tcPr>
            <w:tcW w:w="1685" w:type="dxa"/>
            <w:tcBorders>
              <w:top w:val="single" w:sz="8" w:space="0" w:color="auto"/>
              <w:left w:val="nil"/>
              <w:bottom w:val="nil"/>
              <w:right w:val="dashed" w:sz="8" w:space="0" w:color="auto"/>
            </w:tcBorders>
            <w:shd w:val="clear" w:color="000000" w:fill="FFD400"/>
            <w:noWrap/>
            <w:vAlign w:val="center"/>
            <w:hideMark/>
          </w:tcPr>
          <w:p w14:paraId="5868ACE4" w14:textId="77777777" w:rsidR="00DC419F" w:rsidRPr="00A74D23" w:rsidRDefault="00DC419F" w:rsidP="003B24BE">
            <w:pPr>
              <w:jc w:val="center"/>
              <w:rPr>
                <w:rFonts w:asciiTheme="minorHAnsi" w:hAnsiTheme="minorHAnsi" w:cs="Calibri"/>
                <w:b/>
                <w:bCs/>
                <w:color w:val="000000"/>
                <w:sz w:val="22"/>
                <w:szCs w:val="22"/>
              </w:rPr>
            </w:pPr>
            <w:r w:rsidRPr="00A74D23">
              <w:rPr>
                <w:rFonts w:asciiTheme="minorHAnsi" w:hAnsiTheme="minorHAnsi" w:cs="Calibri"/>
                <w:b/>
                <w:bCs/>
                <w:color w:val="000000"/>
                <w:sz w:val="22"/>
                <w:szCs w:val="22"/>
              </w:rPr>
              <w:t>En %</w:t>
            </w:r>
          </w:p>
        </w:tc>
        <w:tc>
          <w:tcPr>
            <w:tcW w:w="3038" w:type="dxa"/>
            <w:tcBorders>
              <w:top w:val="single" w:sz="8" w:space="0" w:color="auto"/>
              <w:left w:val="nil"/>
              <w:bottom w:val="nil"/>
              <w:right w:val="single" w:sz="8" w:space="0" w:color="auto"/>
            </w:tcBorders>
            <w:shd w:val="clear" w:color="000000" w:fill="FFD400"/>
            <w:vAlign w:val="center"/>
            <w:hideMark/>
          </w:tcPr>
          <w:p w14:paraId="42BD7EF2" w14:textId="77777777" w:rsidR="00DC419F" w:rsidRPr="00A74D23" w:rsidRDefault="00DC419F" w:rsidP="003B24BE">
            <w:pPr>
              <w:jc w:val="center"/>
              <w:rPr>
                <w:rFonts w:asciiTheme="minorHAnsi" w:hAnsiTheme="minorHAnsi" w:cs="Calibri"/>
                <w:b/>
                <w:bCs/>
                <w:color w:val="000000"/>
                <w:sz w:val="22"/>
                <w:szCs w:val="22"/>
              </w:rPr>
            </w:pPr>
            <w:r w:rsidRPr="00A74D23">
              <w:rPr>
                <w:rFonts w:asciiTheme="minorHAnsi" w:hAnsiTheme="minorHAnsi" w:cs="Calibri"/>
                <w:b/>
                <w:bCs/>
                <w:color w:val="000000"/>
                <w:sz w:val="22"/>
                <w:szCs w:val="22"/>
              </w:rPr>
              <w:t>En montant monétaire</w:t>
            </w:r>
          </w:p>
        </w:tc>
      </w:tr>
      <w:tr w:rsidR="00DC419F" w:rsidRPr="00A74D23" w14:paraId="0BE07866" w14:textId="77777777" w:rsidTr="003B24BE">
        <w:trPr>
          <w:trHeight w:val="481"/>
        </w:trPr>
        <w:tc>
          <w:tcPr>
            <w:tcW w:w="5676" w:type="dxa"/>
            <w:gridSpan w:val="2"/>
            <w:tcBorders>
              <w:top w:val="nil"/>
              <w:left w:val="single" w:sz="8" w:space="0" w:color="auto"/>
              <w:bottom w:val="single" w:sz="8" w:space="0" w:color="000000"/>
              <w:right w:val="single" w:sz="8" w:space="0" w:color="000000"/>
            </w:tcBorders>
            <w:vAlign w:val="center"/>
            <w:hideMark/>
          </w:tcPr>
          <w:p w14:paraId="12DE4EA7"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Part de dérivés par rapport au total des actifs couverts par l'ICP</w:t>
            </w:r>
          </w:p>
        </w:tc>
        <w:tc>
          <w:tcPr>
            <w:tcW w:w="1685" w:type="dxa"/>
            <w:tcBorders>
              <w:top w:val="nil"/>
              <w:left w:val="nil"/>
              <w:bottom w:val="single" w:sz="8" w:space="0" w:color="000000"/>
              <w:right w:val="single" w:sz="8" w:space="0" w:color="000000"/>
            </w:tcBorders>
            <w:vAlign w:val="center"/>
            <w:hideMark/>
          </w:tcPr>
          <w:p w14:paraId="757C226C"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4,63%</w:t>
            </w:r>
          </w:p>
        </w:tc>
        <w:tc>
          <w:tcPr>
            <w:tcW w:w="3038" w:type="dxa"/>
            <w:tcBorders>
              <w:top w:val="nil"/>
              <w:left w:val="nil"/>
              <w:bottom w:val="single" w:sz="8" w:space="0" w:color="000000"/>
              <w:right w:val="single" w:sz="8" w:space="0" w:color="000000"/>
            </w:tcBorders>
            <w:vAlign w:val="center"/>
            <w:hideMark/>
          </w:tcPr>
          <w:p w14:paraId="36418D8F"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 xml:space="preserve">313 310 776,12 € </w:t>
            </w:r>
          </w:p>
        </w:tc>
      </w:tr>
      <w:tr w:rsidR="00DC419F" w:rsidRPr="00A74D23" w14:paraId="2E508049" w14:textId="77777777" w:rsidTr="003B24BE">
        <w:trPr>
          <w:trHeight w:val="672"/>
        </w:trPr>
        <w:tc>
          <w:tcPr>
            <w:tcW w:w="5676" w:type="dxa"/>
            <w:gridSpan w:val="2"/>
            <w:tcBorders>
              <w:top w:val="single" w:sz="8" w:space="0" w:color="000000"/>
              <w:left w:val="single" w:sz="8" w:space="0" w:color="auto"/>
              <w:bottom w:val="single" w:sz="8" w:space="0" w:color="000000"/>
              <w:right w:val="single" w:sz="8" w:space="0" w:color="000000"/>
            </w:tcBorders>
            <w:vAlign w:val="center"/>
            <w:hideMark/>
          </w:tcPr>
          <w:p w14:paraId="3D77A58A" w14:textId="77777777" w:rsidR="00DC419F" w:rsidRPr="00A74D23" w:rsidRDefault="00DC419F" w:rsidP="003B24BE">
            <w:pPr>
              <w:rPr>
                <w:rFonts w:asciiTheme="minorHAnsi" w:hAnsiTheme="minorHAnsi" w:cs="Calibri"/>
                <w:b/>
                <w:bCs/>
                <w:color w:val="000000"/>
                <w:sz w:val="20"/>
                <w:szCs w:val="20"/>
                <w:lang w:val="fr-FR"/>
              </w:rPr>
            </w:pPr>
            <w:r w:rsidRPr="00A74D23">
              <w:rPr>
                <w:rFonts w:asciiTheme="minorHAnsi" w:hAnsiTheme="minorHAnsi" w:cs="Calibri"/>
                <w:b/>
                <w:bCs/>
                <w:color w:val="000000"/>
                <w:sz w:val="20"/>
                <w:szCs w:val="20"/>
                <w:lang w:val="fr-FR"/>
              </w:rPr>
              <w:t>Part des expositions sur des entreprises de l'Union non soumises aux articles 19 bis et 29 bis de la directive 2013/24/UE, par rapport au total des actifs couverts par l'ICP :</w:t>
            </w:r>
          </w:p>
        </w:tc>
        <w:tc>
          <w:tcPr>
            <w:tcW w:w="1685" w:type="dxa"/>
            <w:tcBorders>
              <w:top w:val="nil"/>
              <w:left w:val="nil"/>
              <w:bottom w:val="single" w:sz="8" w:space="0" w:color="000000"/>
              <w:right w:val="single" w:sz="8" w:space="0" w:color="000000"/>
            </w:tcBorders>
            <w:vAlign w:val="center"/>
            <w:hideMark/>
          </w:tcPr>
          <w:p w14:paraId="321679B9" w14:textId="77777777" w:rsidR="00DC419F" w:rsidRPr="00CF07EE" w:rsidRDefault="00DC419F" w:rsidP="003B24BE">
            <w:pPr>
              <w:jc w:val="center"/>
              <w:rPr>
                <w:rFonts w:asciiTheme="minorHAnsi" w:hAnsiTheme="minorHAnsi" w:cs="Calibri"/>
                <w:b/>
                <w:bCs/>
                <w:color w:val="000000"/>
                <w:sz w:val="20"/>
                <w:szCs w:val="20"/>
              </w:rPr>
            </w:pPr>
            <w:r w:rsidRPr="00CF07EE">
              <w:rPr>
                <w:rFonts w:asciiTheme="minorHAnsi" w:hAnsiTheme="minorHAnsi" w:cs="Prompt Light"/>
                <w:sz w:val="20"/>
                <w:szCs w:val="20"/>
              </w:rPr>
              <w:t>0,64%</w:t>
            </w:r>
          </w:p>
        </w:tc>
        <w:tc>
          <w:tcPr>
            <w:tcW w:w="3038" w:type="dxa"/>
            <w:tcBorders>
              <w:top w:val="nil"/>
              <w:left w:val="nil"/>
              <w:bottom w:val="single" w:sz="8" w:space="0" w:color="000000"/>
              <w:right w:val="single" w:sz="8" w:space="0" w:color="000000"/>
            </w:tcBorders>
            <w:vAlign w:val="center"/>
            <w:hideMark/>
          </w:tcPr>
          <w:p w14:paraId="234878D6" w14:textId="77777777" w:rsidR="00DC419F" w:rsidRPr="00CF07EE" w:rsidRDefault="00DC419F" w:rsidP="003B24BE">
            <w:pPr>
              <w:jc w:val="center"/>
              <w:rPr>
                <w:rFonts w:asciiTheme="minorHAnsi" w:hAnsiTheme="minorHAnsi" w:cs="Calibri"/>
                <w:b/>
                <w:bCs/>
                <w:color w:val="000000"/>
                <w:sz w:val="20"/>
                <w:szCs w:val="20"/>
              </w:rPr>
            </w:pPr>
            <w:r w:rsidRPr="00CF07EE">
              <w:rPr>
                <w:rFonts w:asciiTheme="minorHAnsi" w:hAnsiTheme="minorHAnsi" w:cs="Prompt Light"/>
                <w:sz w:val="20"/>
                <w:szCs w:val="20"/>
              </w:rPr>
              <w:t xml:space="preserve">43 064 393,24 € </w:t>
            </w:r>
          </w:p>
        </w:tc>
      </w:tr>
      <w:tr w:rsidR="00DC419F" w:rsidRPr="00A74D23" w14:paraId="3139B211" w14:textId="77777777" w:rsidTr="003B24BE">
        <w:trPr>
          <w:trHeight w:val="710"/>
        </w:trPr>
        <w:tc>
          <w:tcPr>
            <w:tcW w:w="2051" w:type="dxa"/>
            <w:tcBorders>
              <w:top w:val="nil"/>
              <w:left w:val="single" w:sz="8" w:space="0" w:color="auto"/>
              <w:bottom w:val="single" w:sz="8" w:space="0" w:color="000000"/>
              <w:right w:val="nil"/>
            </w:tcBorders>
            <w:vAlign w:val="center"/>
            <w:hideMark/>
          </w:tcPr>
          <w:p w14:paraId="6156427D" w14:textId="77777777" w:rsidR="00DC419F" w:rsidRPr="00A74D23" w:rsidRDefault="00DC419F" w:rsidP="003B24BE">
            <w:pPr>
              <w:rPr>
                <w:rFonts w:asciiTheme="minorHAnsi" w:hAnsiTheme="minorHAnsi" w:cs="Calibri"/>
                <w:color w:val="000000"/>
                <w:sz w:val="20"/>
                <w:szCs w:val="20"/>
              </w:rPr>
            </w:pPr>
            <w:r w:rsidRPr="00A74D23">
              <w:rPr>
                <w:rFonts w:asciiTheme="minorHAnsi" w:hAnsiTheme="minorHAnsi" w:cs="Calibri"/>
                <w:color w:val="000000"/>
                <w:sz w:val="20"/>
                <w:szCs w:val="20"/>
                <w:lang w:val="fr-FR"/>
              </w:rPr>
              <w:t> </w:t>
            </w:r>
          </w:p>
        </w:tc>
        <w:tc>
          <w:tcPr>
            <w:tcW w:w="3625" w:type="dxa"/>
            <w:tcBorders>
              <w:top w:val="nil"/>
              <w:left w:val="nil"/>
              <w:bottom w:val="single" w:sz="8" w:space="0" w:color="000000"/>
              <w:right w:val="single" w:sz="8" w:space="0" w:color="000000"/>
            </w:tcBorders>
            <w:vAlign w:val="center"/>
            <w:hideMark/>
          </w:tcPr>
          <w:p w14:paraId="4541AAAC"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Pour les entreprises non financières</w:t>
            </w:r>
          </w:p>
        </w:tc>
        <w:tc>
          <w:tcPr>
            <w:tcW w:w="1685" w:type="dxa"/>
            <w:tcBorders>
              <w:top w:val="nil"/>
              <w:left w:val="nil"/>
              <w:bottom w:val="single" w:sz="8" w:space="0" w:color="000000"/>
              <w:right w:val="single" w:sz="8" w:space="0" w:color="000000"/>
            </w:tcBorders>
            <w:vAlign w:val="center"/>
            <w:hideMark/>
          </w:tcPr>
          <w:p w14:paraId="033D6C98"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0,63%</w:t>
            </w:r>
          </w:p>
        </w:tc>
        <w:tc>
          <w:tcPr>
            <w:tcW w:w="3038" w:type="dxa"/>
            <w:tcBorders>
              <w:top w:val="nil"/>
              <w:left w:val="nil"/>
              <w:bottom w:val="single" w:sz="8" w:space="0" w:color="000000"/>
              <w:right w:val="single" w:sz="8" w:space="0" w:color="000000"/>
            </w:tcBorders>
            <w:vAlign w:val="center"/>
            <w:hideMark/>
          </w:tcPr>
          <w:p w14:paraId="667BAA1B"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 xml:space="preserve"> 42 889 893,29 € </w:t>
            </w:r>
          </w:p>
        </w:tc>
      </w:tr>
      <w:tr w:rsidR="00DC419F" w:rsidRPr="00A74D23" w14:paraId="2216ABF7" w14:textId="77777777" w:rsidTr="003B24BE">
        <w:trPr>
          <w:trHeight w:val="481"/>
        </w:trPr>
        <w:tc>
          <w:tcPr>
            <w:tcW w:w="2051" w:type="dxa"/>
            <w:tcBorders>
              <w:top w:val="nil"/>
              <w:left w:val="single" w:sz="8" w:space="0" w:color="auto"/>
              <w:bottom w:val="single" w:sz="8" w:space="0" w:color="000000"/>
              <w:right w:val="nil"/>
            </w:tcBorders>
            <w:vAlign w:val="center"/>
            <w:hideMark/>
          </w:tcPr>
          <w:p w14:paraId="0D710202" w14:textId="77777777" w:rsidR="00DC419F" w:rsidRPr="00A74D23" w:rsidRDefault="00DC419F" w:rsidP="003B24BE">
            <w:pPr>
              <w:rPr>
                <w:rFonts w:asciiTheme="minorHAnsi" w:hAnsiTheme="minorHAnsi" w:cs="Calibri"/>
                <w:color w:val="000000"/>
                <w:sz w:val="20"/>
                <w:szCs w:val="20"/>
              </w:rPr>
            </w:pPr>
            <w:r w:rsidRPr="00A74D23">
              <w:rPr>
                <w:rFonts w:asciiTheme="minorHAnsi" w:hAnsiTheme="minorHAnsi" w:cs="Calibri"/>
                <w:color w:val="000000"/>
                <w:sz w:val="20"/>
                <w:szCs w:val="20"/>
              </w:rPr>
              <w:t> </w:t>
            </w:r>
          </w:p>
        </w:tc>
        <w:tc>
          <w:tcPr>
            <w:tcW w:w="3625" w:type="dxa"/>
            <w:tcBorders>
              <w:top w:val="nil"/>
              <w:left w:val="nil"/>
              <w:bottom w:val="single" w:sz="8" w:space="0" w:color="000000"/>
              <w:right w:val="single" w:sz="8" w:space="0" w:color="000000"/>
            </w:tcBorders>
            <w:vAlign w:val="center"/>
            <w:hideMark/>
          </w:tcPr>
          <w:p w14:paraId="4366B34F" w14:textId="77777777" w:rsidR="00DC419F" w:rsidRPr="00A74D23" w:rsidRDefault="00DC419F" w:rsidP="003B24BE">
            <w:pPr>
              <w:rPr>
                <w:rFonts w:asciiTheme="minorHAnsi" w:hAnsiTheme="minorHAnsi" w:cs="Calibri"/>
                <w:color w:val="000000"/>
                <w:sz w:val="20"/>
                <w:szCs w:val="20"/>
              </w:rPr>
            </w:pPr>
            <w:r w:rsidRPr="00A74D23">
              <w:rPr>
                <w:rFonts w:asciiTheme="minorHAnsi" w:hAnsiTheme="minorHAnsi" w:cs="Calibri"/>
                <w:color w:val="000000"/>
                <w:sz w:val="20"/>
                <w:szCs w:val="20"/>
                <w:lang w:val="fr-FR"/>
              </w:rPr>
              <w:t>Pour les entreprises financières</w:t>
            </w:r>
          </w:p>
        </w:tc>
        <w:tc>
          <w:tcPr>
            <w:tcW w:w="1685" w:type="dxa"/>
            <w:tcBorders>
              <w:top w:val="nil"/>
              <w:left w:val="nil"/>
              <w:bottom w:val="single" w:sz="8" w:space="0" w:color="000000"/>
              <w:right w:val="single" w:sz="8" w:space="0" w:color="000000"/>
            </w:tcBorders>
            <w:vAlign w:val="center"/>
            <w:hideMark/>
          </w:tcPr>
          <w:p w14:paraId="55F9BA76"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0,00%</w:t>
            </w:r>
          </w:p>
        </w:tc>
        <w:tc>
          <w:tcPr>
            <w:tcW w:w="3038" w:type="dxa"/>
            <w:tcBorders>
              <w:top w:val="nil"/>
              <w:left w:val="nil"/>
              <w:bottom w:val="single" w:sz="8" w:space="0" w:color="000000"/>
              <w:right w:val="single" w:sz="8" w:space="0" w:color="000000"/>
            </w:tcBorders>
            <w:vAlign w:val="center"/>
            <w:hideMark/>
          </w:tcPr>
          <w:p w14:paraId="687315C2"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 xml:space="preserve">174 499,95 € </w:t>
            </w:r>
          </w:p>
        </w:tc>
      </w:tr>
      <w:tr w:rsidR="00DC419F" w:rsidRPr="00A74D23" w14:paraId="09315AD3" w14:textId="77777777" w:rsidTr="003B24BE">
        <w:trPr>
          <w:trHeight w:val="809"/>
        </w:trPr>
        <w:tc>
          <w:tcPr>
            <w:tcW w:w="5676" w:type="dxa"/>
            <w:gridSpan w:val="2"/>
            <w:tcBorders>
              <w:top w:val="single" w:sz="8" w:space="0" w:color="000000"/>
              <w:left w:val="single" w:sz="8" w:space="0" w:color="auto"/>
              <w:bottom w:val="single" w:sz="8" w:space="0" w:color="000000"/>
              <w:right w:val="single" w:sz="8" w:space="0" w:color="000000"/>
            </w:tcBorders>
            <w:vAlign w:val="center"/>
            <w:hideMark/>
          </w:tcPr>
          <w:p w14:paraId="5ACFD934" w14:textId="77777777" w:rsidR="00DC419F" w:rsidRPr="00A74D23" w:rsidRDefault="00DC419F" w:rsidP="003B24BE">
            <w:pPr>
              <w:rPr>
                <w:rFonts w:asciiTheme="minorHAnsi" w:hAnsiTheme="minorHAnsi" w:cs="Calibri"/>
                <w:b/>
                <w:bCs/>
                <w:color w:val="000000"/>
                <w:sz w:val="20"/>
                <w:szCs w:val="20"/>
                <w:lang w:val="fr-FR"/>
              </w:rPr>
            </w:pPr>
            <w:r w:rsidRPr="00A74D23">
              <w:rPr>
                <w:rFonts w:asciiTheme="minorHAnsi" w:hAnsiTheme="minorHAnsi" w:cs="Calibri"/>
                <w:b/>
                <w:bCs/>
                <w:color w:val="000000"/>
                <w:sz w:val="20"/>
                <w:szCs w:val="20"/>
                <w:lang w:val="fr-FR"/>
              </w:rPr>
              <w:t>Part des expositions sur des entreprises de pays tiers non soumises aux articles 19 bis et 29 bis de la directive 2013/24/UE, par rapport au total des actifs couverts par l'ICP :</w:t>
            </w:r>
          </w:p>
        </w:tc>
        <w:tc>
          <w:tcPr>
            <w:tcW w:w="1685" w:type="dxa"/>
            <w:tcBorders>
              <w:top w:val="nil"/>
              <w:left w:val="nil"/>
              <w:bottom w:val="single" w:sz="8" w:space="0" w:color="000000"/>
              <w:right w:val="single" w:sz="8" w:space="0" w:color="000000"/>
            </w:tcBorders>
            <w:vAlign w:val="center"/>
            <w:hideMark/>
          </w:tcPr>
          <w:p w14:paraId="72CC7BC0" w14:textId="77777777" w:rsidR="00DC419F" w:rsidRPr="00CF07EE" w:rsidRDefault="00DC419F" w:rsidP="003B24BE">
            <w:pPr>
              <w:jc w:val="center"/>
              <w:rPr>
                <w:rFonts w:asciiTheme="minorHAnsi" w:hAnsiTheme="minorHAnsi" w:cs="Calibri"/>
                <w:b/>
                <w:bCs/>
                <w:color w:val="000000"/>
                <w:sz w:val="20"/>
                <w:szCs w:val="20"/>
              </w:rPr>
            </w:pPr>
            <w:r w:rsidRPr="00CF07EE">
              <w:rPr>
                <w:rFonts w:asciiTheme="minorHAnsi" w:hAnsiTheme="minorHAnsi" w:cs="Prompt Light"/>
                <w:sz w:val="20"/>
                <w:szCs w:val="20"/>
              </w:rPr>
              <w:t>20,10%</w:t>
            </w:r>
          </w:p>
        </w:tc>
        <w:tc>
          <w:tcPr>
            <w:tcW w:w="3038" w:type="dxa"/>
            <w:tcBorders>
              <w:top w:val="nil"/>
              <w:left w:val="nil"/>
              <w:bottom w:val="single" w:sz="8" w:space="0" w:color="000000"/>
              <w:right w:val="single" w:sz="8" w:space="0" w:color="000000"/>
            </w:tcBorders>
            <w:vAlign w:val="center"/>
            <w:hideMark/>
          </w:tcPr>
          <w:p w14:paraId="29B4691E" w14:textId="77777777" w:rsidR="00DC419F" w:rsidRPr="00CF07EE" w:rsidRDefault="00DC419F" w:rsidP="003B24BE">
            <w:pPr>
              <w:jc w:val="center"/>
              <w:rPr>
                <w:rFonts w:asciiTheme="minorHAnsi" w:hAnsiTheme="minorHAnsi" w:cs="Calibri"/>
                <w:b/>
                <w:bCs/>
                <w:color w:val="000000"/>
                <w:sz w:val="20"/>
                <w:szCs w:val="20"/>
              </w:rPr>
            </w:pPr>
            <w:r w:rsidRPr="00CF07EE">
              <w:rPr>
                <w:rFonts w:asciiTheme="minorHAnsi" w:hAnsiTheme="minorHAnsi" w:cs="Prompt Light"/>
                <w:sz w:val="20"/>
                <w:szCs w:val="20"/>
              </w:rPr>
              <w:t xml:space="preserve"> 1 358 764 549,23 € </w:t>
            </w:r>
          </w:p>
        </w:tc>
      </w:tr>
      <w:tr w:rsidR="00DC419F" w:rsidRPr="00A74D23" w14:paraId="61D45E93" w14:textId="77777777" w:rsidTr="003B24BE">
        <w:trPr>
          <w:trHeight w:val="481"/>
        </w:trPr>
        <w:tc>
          <w:tcPr>
            <w:tcW w:w="2051" w:type="dxa"/>
            <w:tcBorders>
              <w:top w:val="nil"/>
              <w:left w:val="single" w:sz="8" w:space="0" w:color="auto"/>
              <w:bottom w:val="single" w:sz="8" w:space="0" w:color="000000"/>
              <w:right w:val="nil"/>
            </w:tcBorders>
            <w:vAlign w:val="center"/>
            <w:hideMark/>
          </w:tcPr>
          <w:p w14:paraId="45760999" w14:textId="77777777" w:rsidR="00DC419F" w:rsidRPr="00A74D23" w:rsidRDefault="00DC419F" w:rsidP="003B24BE">
            <w:pPr>
              <w:rPr>
                <w:rFonts w:asciiTheme="minorHAnsi" w:hAnsiTheme="minorHAnsi" w:cs="Calibri"/>
                <w:color w:val="000000"/>
                <w:sz w:val="20"/>
                <w:szCs w:val="20"/>
              </w:rPr>
            </w:pPr>
            <w:r w:rsidRPr="00A74D23">
              <w:rPr>
                <w:rFonts w:asciiTheme="minorHAnsi" w:hAnsiTheme="minorHAnsi" w:cs="Calibri"/>
                <w:color w:val="000000"/>
                <w:sz w:val="20"/>
                <w:szCs w:val="20"/>
                <w:lang w:val="fr-FR"/>
              </w:rPr>
              <w:t> </w:t>
            </w:r>
          </w:p>
        </w:tc>
        <w:tc>
          <w:tcPr>
            <w:tcW w:w="3625" w:type="dxa"/>
            <w:tcBorders>
              <w:top w:val="nil"/>
              <w:left w:val="nil"/>
              <w:bottom w:val="single" w:sz="8" w:space="0" w:color="000000"/>
              <w:right w:val="single" w:sz="8" w:space="0" w:color="000000"/>
            </w:tcBorders>
            <w:vAlign w:val="center"/>
            <w:hideMark/>
          </w:tcPr>
          <w:p w14:paraId="5C5B0E38"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Pour les entreprises non financières</w:t>
            </w:r>
          </w:p>
        </w:tc>
        <w:tc>
          <w:tcPr>
            <w:tcW w:w="1685" w:type="dxa"/>
            <w:tcBorders>
              <w:top w:val="nil"/>
              <w:left w:val="nil"/>
              <w:bottom w:val="single" w:sz="8" w:space="0" w:color="000000"/>
              <w:right w:val="single" w:sz="8" w:space="0" w:color="000000"/>
            </w:tcBorders>
            <w:vAlign w:val="center"/>
            <w:hideMark/>
          </w:tcPr>
          <w:p w14:paraId="2C3D59CE"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19,62%</w:t>
            </w:r>
          </w:p>
        </w:tc>
        <w:tc>
          <w:tcPr>
            <w:tcW w:w="3038" w:type="dxa"/>
            <w:tcBorders>
              <w:top w:val="nil"/>
              <w:left w:val="nil"/>
              <w:bottom w:val="single" w:sz="8" w:space="0" w:color="000000"/>
              <w:right w:val="single" w:sz="8" w:space="0" w:color="000000"/>
            </w:tcBorders>
            <w:vAlign w:val="center"/>
            <w:hideMark/>
          </w:tcPr>
          <w:p w14:paraId="48AAF70C"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 xml:space="preserve">  1 326 457 132,33 € </w:t>
            </w:r>
          </w:p>
        </w:tc>
      </w:tr>
      <w:tr w:rsidR="00DC419F" w:rsidRPr="00A74D23" w14:paraId="040A3F7F" w14:textId="77777777" w:rsidTr="003B24BE">
        <w:trPr>
          <w:trHeight w:val="503"/>
        </w:trPr>
        <w:tc>
          <w:tcPr>
            <w:tcW w:w="2051" w:type="dxa"/>
            <w:tcBorders>
              <w:top w:val="nil"/>
              <w:left w:val="single" w:sz="8" w:space="0" w:color="auto"/>
              <w:bottom w:val="single" w:sz="8" w:space="0" w:color="000000"/>
              <w:right w:val="nil"/>
            </w:tcBorders>
            <w:vAlign w:val="center"/>
            <w:hideMark/>
          </w:tcPr>
          <w:p w14:paraId="2B3D17BA" w14:textId="77777777" w:rsidR="00DC419F" w:rsidRPr="00A74D23" w:rsidRDefault="00DC419F" w:rsidP="003B24BE">
            <w:pPr>
              <w:rPr>
                <w:rFonts w:asciiTheme="minorHAnsi" w:hAnsiTheme="minorHAnsi" w:cs="Calibri"/>
                <w:color w:val="000000"/>
                <w:sz w:val="20"/>
                <w:szCs w:val="20"/>
              </w:rPr>
            </w:pPr>
            <w:r w:rsidRPr="00A74D23">
              <w:rPr>
                <w:rFonts w:asciiTheme="minorHAnsi" w:hAnsiTheme="minorHAnsi" w:cs="Calibri"/>
                <w:color w:val="000000"/>
                <w:sz w:val="20"/>
                <w:szCs w:val="20"/>
              </w:rPr>
              <w:t> </w:t>
            </w:r>
          </w:p>
        </w:tc>
        <w:tc>
          <w:tcPr>
            <w:tcW w:w="3625" w:type="dxa"/>
            <w:tcBorders>
              <w:top w:val="nil"/>
              <w:left w:val="nil"/>
              <w:bottom w:val="single" w:sz="8" w:space="0" w:color="000000"/>
              <w:right w:val="single" w:sz="8" w:space="0" w:color="000000"/>
            </w:tcBorders>
            <w:vAlign w:val="center"/>
            <w:hideMark/>
          </w:tcPr>
          <w:p w14:paraId="61C40ABE" w14:textId="77777777" w:rsidR="00DC419F" w:rsidRPr="00A74D23" w:rsidRDefault="00DC419F" w:rsidP="003B24BE">
            <w:pPr>
              <w:rPr>
                <w:rFonts w:asciiTheme="minorHAnsi" w:hAnsiTheme="minorHAnsi" w:cs="Calibri"/>
                <w:color w:val="000000"/>
                <w:sz w:val="20"/>
                <w:szCs w:val="20"/>
              </w:rPr>
            </w:pPr>
            <w:r w:rsidRPr="00A74D23">
              <w:rPr>
                <w:rFonts w:asciiTheme="minorHAnsi" w:hAnsiTheme="minorHAnsi" w:cs="Calibri"/>
                <w:color w:val="000000"/>
                <w:sz w:val="20"/>
                <w:szCs w:val="20"/>
                <w:lang w:val="fr-FR"/>
              </w:rPr>
              <w:t>Pour les entreprises financières</w:t>
            </w:r>
          </w:p>
        </w:tc>
        <w:tc>
          <w:tcPr>
            <w:tcW w:w="1685" w:type="dxa"/>
            <w:tcBorders>
              <w:top w:val="nil"/>
              <w:left w:val="nil"/>
              <w:bottom w:val="single" w:sz="8" w:space="0" w:color="000000"/>
              <w:right w:val="single" w:sz="8" w:space="0" w:color="000000"/>
            </w:tcBorders>
            <w:vAlign w:val="center"/>
            <w:hideMark/>
          </w:tcPr>
          <w:p w14:paraId="38DD0280"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0,48%</w:t>
            </w:r>
          </w:p>
        </w:tc>
        <w:tc>
          <w:tcPr>
            <w:tcW w:w="3038" w:type="dxa"/>
            <w:tcBorders>
              <w:top w:val="nil"/>
              <w:left w:val="nil"/>
              <w:bottom w:val="single" w:sz="8" w:space="0" w:color="000000"/>
              <w:right w:val="single" w:sz="8" w:space="0" w:color="000000"/>
            </w:tcBorders>
            <w:vAlign w:val="center"/>
            <w:hideMark/>
          </w:tcPr>
          <w:p w14:paraId="11B5BC6C"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 xml:space="preserve">32 307 416,90 € </w:t>
            </w:r>
          </w:p>
        </w:tc>
      </w:tr>
      <w:tr w:rsidR="00DC419F" w:rsidRPr="00A74D23" w14:paraId="13EC1DF1" w14:textId="77777777" w:rsidTr="003B24BE">
        <w:trPr>
          <w:trHeight w:val="787"/>
        </w:trPr>
        <w:tc>
          <w:tcPr>
            <w:tcW w:w="5676" w:type="dxa"/>
            <w:gridSpan w:val="2"/>
            <w:tcBorders>
              <w:top w:val="single" w:sz="8" w:space="0" w:color="000000"/>
              <w:left w:val="single" w:sz="8" w:space="0" w:color="auto"/>
              <w:bottom w:val="single" w:sz="8" w:space="0" w:color="000000"/>
              <w:right w:val="single" w:sz="8" w:space="0" w:color="000000"/>
            </w:tcBorders>
            <w:vAlign w:val="center"/>
            <w:hideMark/>
          </w:tcPr>
          <w:p w14:paraId="1832B0D3" w14:textId="77777777" w:rsidR="00DC419F" w:rsidRPr="00A74D23" w:rsidRDefault="00DC419F" w:rsidP="003B24BE">
            <w:pPr>
              <w:rPr>
                <w:rFonts w:asciiTheme="minorHAnsi" w:hAnsiTheme="minorHAnsi" w:cs="Calibri"/>
                <w:b/>
                <w:bCs/>
                <w:color w:val="000000"/>
                <w:sz w:val="20"/>
                <w:szCs w:val="20"/>
                <w:lang w:val="fr-FR"/>
              </w:rPr>
            </w:pPr>
            <w:r w:rsidRPr="00A74D23">
              <w:rPr>
                <w:rFonts w:asciiTheme="minorHAnsi" w:hAnsiTheme="minorHAnsi" w:cs="Calibri"/>
                <w:b/>
                <w:bCs/>
                <w:color w:val="000000"/>
                <w:sz w:val="20"/>
                <w:szCs w:val="20"/>
                <w:lang w:val="fr-FR"/>
              </w:rPr>
              <w:t>Part des expositions sur des entreprises soumises aux articles 19 bis et 29 bis de la directive 2013/24/UE, par rapport au total des actifs couverts par l'ICP :</w:t>
            </w:r>
          </w:p>
        </w:tc>
        <w:tc>
          <w:tcPr>
            <w:tcW w:w="1685" w:type="dxa"/>
            <w:tcBorders>
              <w:top w:val="nil"/>
              <w:left w:val="nil"/>
              <w:bottom w:val="single" w:sz="8" w:space="0" w:color="000000"/>
              <w:right w:val="single" w:sz="8" w:space="0" w:color="000000"/>
            </w:tcBorders>
            <w:vAlign w:val="center"/>
            <w:hideMark/>
          </w:tcPr>
          <w:p w14:paraId="6BB63F47" w14:textId="77777777" w:rsidR="00DC419F" w:rsidRPr="00CF07EE" w:rsidRDefault="00DC419F" w:rsidP="003B24BE">
            <w:pPr>
              <w:jc w:val="center"/>
              <w:rPr>
                <w:rFonts w:asciiTheme="minorHAnsi" w:hAnsiTheme="minorHAnsi" w:cs="Calibri"/>
                <w:b/>
                <w:bCs/>
                <w:color w:val="000000"/>
                <w:sz w:val="20"/>
                <w:szCs w:val="20"/>
              </w:rPr>
            </w:pPr>
            <w:r w:rsidRPr="00CF07EE">
              <w:rPr>
                <w:rFonts w:asciiTheme="minorHAnsi" w:hAnsiTheme="minorHAnsi" w:cs="Prompt Light"/>
                <w:sz w:val="20"/>
                <w:szCs w:val="20"/>
              </w:rPr>
              <w:t>30,47%</w:t>
            </w:r>
          </w:p>
        </w:tc>
        <w:tc>
          <w:tcPr>
            <w:tcW w:w="3038" w:type="dxa"/>
            <w:tcBorders>
              <w:top w:val="nil"/>
              <w:left w:val="nil"/>
              <w:bottom w:val="single" w:sz="8" w:space="0" w:color="000000"/>
              <w:right w:val="single" w:sz="8" w:space="0" w:color="000000"/>
            </w:tcBorders>
            <w:vAlign w:val="center"/>
            <w:hideMark/>
          </w:tcPr>
          <w:p w14:paraId="49A68293" w14:textId="77777777" w:rsidR="00DC419F" w:rsidRPr="00CF07EE" w:rsidRDefault="00DC419F" w:rsidP="003B24BE">
            <w:pPr>
              <w:jc w:val="center"/>
              <w:rPr>
                <w:rFonts w:asciiTheme="minorHAnsi" w:hAnsiTheme="minorHAnsi" w:cs="Calibri"/>
                <w:b/>
                <w:bCs/>
                <w:color w:val="000000"/>
                <w:sz w:val="20"/>
                <w:szCs w:val="20"/>
              </w:rPr>
            </w:pPr>
            <w:r w:rsidRPr="00CF07EE">
              <w:rPr>
                <w:rFonts w:asciiTheme="minorHAnsi" w:hAnsiTheme="minorHAnsi" w:cs="Prompt Light"/>
                <w:sz w:val="20"/>
                <w:szCs w:val="20"/>
              </w:rPr>
              <w:t xml:space="preserve">2 059 760 028,07 € </w:t>
            </w:r>
          </w:p>
        </w:tc>
      </w:tr>
      <w:tr w:rsidR="00DC419F" w:rsidRPr="00A74D23" w14:paraId="23781E0A" w14:textId="77777777" w:rsidTr="003B24BE">
        <w:trPr>
          <w:trHeight w:val="481"/>
        </w:trPr>
        <w:tc>
          <w:tcPr>
            <w:tcW w:w="2051" w:type="dxa"/>
            <w:tcBorders>
              <w:top w:val="nil"/>
              <w:left w:val="single" w:sz="8" w:space="0" w:color="auto"/>
              <w:bottom w:val="single" w:sz="8" w:space="0" w:color="000000"/>
              <w:right w:val="nil"/>
            </w:tcBorders>
            <w:vAlign w:val="center"/>
            <w:hideMark/>
          </w:tcPr>
          <w:p w14:paraId="6445668A" w14:textId="77777777" w:rsidR="00DC419F" w:rsidRPr="00A74D23" w:rsidRDefault="00DC419F" w:rsidP="003B24BE">
            <w:pPr>
              <w:rPr>
                <w:rFonts w:asciiTheme="minorHAnsi" w:hAnsiTheme="minorHAnsi" w:cs="Calibri"/>
                <w:color w:val="000000"/>
                <w:sz w:val="20"/>
                <w:szCs w:val="20"/>
              </w:rPr>
            </w:pPr>
            <w:r w:rsidRPr="00A74D23">
              <w:rPr>
                <w:rFonts w:asciiTheme="minorHAnsi" w:hAnsiTheme="minorHAnsi" w:cs="Calibri"/>
                <w:color w:val="000000"/>
                <w:sz w:val="20"/>
                <w:szCs w:val="20"/>
                <w:lang w:val="fr-FR"/>
              </w:rPr>
              <w:t> </w:t>
            </w:r>
          </w:p>
        </w:tc>
        <w:tc>
          <w:tcPr>
            <w:tcW w:w="3625" w:type="dxa"/>
            <w:tcBorders>
              <w:top w:val="nil"/>
              <w:left w:val="nil"/>
              <w:bottom w:val="single" w:sz="8" w:space="0" w:color="000000"/>
              <w:right w:val="single" w:sz="8" w:space="0" w:color="000000"/>
            </w:tcBorders>
            <w:vAlign w:val="center"/>
            <w:hideMark/>
          </w:tcPr>
          <w:p w14:paraId="557B9A9E"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Pour les entreprises non financières</w:t>
            </w:r>
          </w:p>
        </w:tc>
        <w:tc>
          <w:tcPr>
            <w:tcW w:w="1685" w:type="dxa"/>
            <w:tcBorders>
              <w:top w:val="nil"/>
              <w:left w:val="nil"/>
              <w:bottom w:val="single" w:sz="8" w:space="0" w:color="000000"/>
              <w:right w:val="single" w:sz="8" w:space="0" w:color="000000"/>
            </w:tcBorders>
            <w:vAlign w:val="center"/>
            <w:hideMark/>
          </w:tcPr>
          <w:p w14:paraId="01E77B1D"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21,72%</w:t>
            </w:r>
          </w:p>
        </w:tc>
        <w:tc>
          <w:tcPr>
            <w:tcW w:w="3038" w:type="dxa"/>
            <w:tcBorders>
              <w:top w:val="nil"/>
              <w:left w:val="nil"/>
              <w:bottom w:val="single" w:sz="8" w:space="0" w:color="000000"/>
              <w:right w:val="single" w:sz="8" w:space="0" w:color="000000"/>
            </w:tcBorders>
            <w:vAlign w:val="center"/>
            <w:hideMark/>
          </w:tcPr>
          <w:p w14:paraId="286AC79A"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 xml:space="preserve"> 1 468 271 078,09 € </w:t>
            </w:r>
          </w:p>
        </w:tc>
      </w:tr>
      <w:tr w:rsidR="00DC419F" w:rsidRPr="00A74D23" w14:paraId="1B46DB83" w14:textId="77777777" w:rsidTr="003B24BE">
        <w:trPr>
          <w:trHeight w:val="809"/>
        </w:trPr>
        <w:tc>
          <w:tcPr>
            <w:tcW w:w="2051" w:type="dxa"/>
            <w:tcBorders>
              <w:top w:val="nil"/>
              <w:left w:val="single" w:sz="8" w:space="0" w:color="auto"/>
              <w:bottom w:val="single" w:sz="8" w:space="0" w:color="000000"/>
              <w:right w:val="nil"/>
            </w:tcBorders>
            <w:vAlign w:val="center"/>
            <w:hideMark/>
          </w:tcPr>
          <w:p w14:paraId="52252DDD" w14:textId="77777777" w:rsidR="00DC419F" w:rsidRPr="00A74D23" w:rsidRDefault="00DC419F" w:rsidP="003B24BE">
            <w:pPr>
              <w:rPr>
                <w:rFonts w:asciiTheme="minorHAnsi" w:hAnsiTheme="minorHAnsi" w:cs="Calibri"/>
                <w:color w:val="000000"/>
                <w:sz w:val="20"/>
                <w:szCs w:val="20"/>
              </w:rPr>
            </w:pPr>
            <w:r w:rsidRPr="00A74D23">
              <w:rPr>
                <w:rFonts w:asciiTheme="minorHAnsi" w:hAnsiTheme="minorHAnsi" w:cs="Calibri"/>
                <w:color w:val="000000"/>
                <w:sz w:val="20"/>
                <w:szCs w:val="20"/>
              </w:rPr>
              <w:t> </w:t>
            </w:r>
          </w:p>
        </w:tc>
        <w:tc>
          <w:tcPr>
            <w:tcW w:w="3625" w:type="dxa"/>
            <w:tcBorders>
              <w:top w:val="nil"/>
              <w:left w:val="nil"/>
              <w:bottom w:val="single" w:sz="8" w:space="0" w:color="000000"/>
              <w:right w:val="single" w:sz="8" w:space="0" w:color="000000"/>
            </w:tcBorders>
            <w:vAlign w:val="center"/>
            <w:hideMark/>
          </w:tcPr>
          <w:p w14:paraId="775D5504" w14:textId="77777777" w:rsidR="00DC419F" w:rsidRPr="00A74D23" w:rsidRDefault="00DC419F" w:rsidP="003B24BE">
            <w:pPr>
              <w:rPr>
                <w:rFonts w:asciiTheme="minorHAnsi" w:hAnsiTheme="minorHAnsi" w:cs="Calibri"/>
                <w:color w:val="000000"/>
                <w:sz w:val="20"/>
                <w:szCs w:val="20"/>
              </w:rPr>
            </w:pPr>
            <w:r w:rsidRPr="00A74D23">
              <w:rPr>
                <w:rFonts w:asciiTheme="minorHAnsi" w:hAnsiTheme="minorHAnsi" w:cs="Calibri"/>
                <w:color w:val="000000"/>
                <w:sz w:val="20"/>
                <w:szCs w:val="20"/>
                <w:lang w:val="fr-FR"/>
              </w:rPr>
              <w:t>Pour les entreprises financières</w:t>
            </w:r>
          </w:p>
        </w:tc>
        <w:tc>
          <w:tcPr>
            <w:tcW w:w="1685" w:type="dxa"/>
            <w:tcBorders>
              <w:top w:val="nil"/>
              <w:left w:val="nil"/>
              <w:bottom w:val="single" w:sz="8" w:space="0" w:color="000000"/>
              <w:right w:val="single" w:sz="8" w:space="0" w:color="000000"/>
            </w:tcBorders>
            <w:vAlign w:val="center"/>
            <w:hideMark/>
          </w:tcPr>
          <w:p w14:paraId="52938392"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8,59%</w:t>
            </w:r>
          </w:p>
        </w:tc>
        <w:tc>
          <w:tcPr>
            <w:tcW w:w="3038" w:type="dxa"/>
            <w:tcBorders>
              <w:top w:val="nil"/>
              <w:left w:val="nil"/>
              <w:bottom w:val="single" w:sz="8" w:space="0" w:color="000000"/>
              <w:right w:val="single" w:sz="8" w:space="0" w:color="000000"/>
            </w:tcBorders>
            <w:vAlign w:val="center"/>
            <w:hideMark/>
          </w:tcPr>
          <w:p w14:paraId="002B6178"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 xml:space="preserve"> 580 917 844,15 € </w:t>
            </w:r>
          </w:p>
        </w:tc>
      </w:tr>
      <w:tr w:rsidR="00DC419F" w:rsidRPr="00A74D23" w14:paraId="256BC5DB" w14:textId="77777777" w:rsidTr="003B24BE">
        <w:trPr>
          <w:trHeight w:val="809"/>
        </w:trPr>
        <w:tc>
          <w:tcPr>
            <w:tcW w:w="5676" w:type="dxa"/>
            <w:gridSpan w:val="2"/>
            <w:tcBorders>
              <w:top w:val="single" w:sz="8" w:space="0" w:color="000000"/>
              <w:left w:val="single" w:sz="8" w:space="0" w:color="auto"/>
              <w:bottom w:val="single" w:sz="8" w:space="0" w:color="000000"/>
              <w:right w:val="single" w:sz="8" w:space="0" w:color="000000"/>
            </w:tcBorders>
            <w:vAlign w:val="center"/>
            <w:hideMark/>
          </w:tcPr>
          <w:p w14:paraId="085FFCCC"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Part des expositions sur d’autres contreparties et actifs, par rapport au total des actifs couverts par l'ICP</w:t>
            </w:r>
          </w:p>
        </w:tc>
        <w:tc>
          <w:tcPr>
            <w:tcW w:w="1685" w:type="dxa"/>
            <w:tcBorders>
              <w:top w:val="nil"/>
              <w:left w:val="nil"/>
              <w:bottom w:val="single" w:sz="8" w:space="0" w:color="000000"/>
              <w:right w:val="single" w:sz="8" w:space="0" w:color="000000"/>
            </w:tcBorders>
            <w:vAlign w:val="center"/>
            <w:hideMark/>
          </w:tcPr>
          <w:p w14:paraId="6571D58E"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44,16%</w:t>
            </w:r>
          </w:p>
        </w:tc>
        <w:tc>
          <w:tcPr>
            <w:tcW w:w="3038" w:type="dxa"/>
            <w:tcBorders>
              <w:top w:val="nil"/>
              <w:left w:val="nil"/>
              <w:bottom w:val="single" w:sz="8" w:space="0" w:color="000000"/>
              <w:right w:val="single" w:sz="8" w:space="0" w:color="000000"/>
            </w:tcBorders>
            <w:vAlign w:val="center"/>
            <w:hideMark/>
          </w:tcPr>
          <w:p w14:paraId="5B1A924F"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 xml:space="preserve"> 2 984 861 467,76 € </w:t>
            </w:r>
          </w:p>
        </w:tc>
      </w:tr>
      <w:tr w:rsidR="00DC419F" w:rsidRPr="00A74D23" w14:paraId="74742814" w14:textId="77777777" w:rsidTr="003B24BE">
        <w:trPr>
          <w:trHeight w:val="886"/>
        </w:trPr>
        <w:tc>
          <w:tcPr>
            <w:tcW w:w="5676" w:type="dxa"/>
            <w:gridSpan w:val="2"/>
            <w:tcBorders>
              <w:top w:val="single" w:sz="8" w:space="0" w:color="000000"/>
              <w:left w:val="single" w:sz="8" w:space="0" w:color="auto"/>
              <w:bottom w:val="single" w:sz="8" w:space="0" w:color="000000"/>
              <w:right w:val="single" w:sz="8" w:space="0" w:color="000000"/>
            </w:tcBorders>
            <w:vAlign w:val="center"/>
            <w:hideMark/>
          </w:tcPr>
          <w:p w14:paraId="32921E47"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Part des investissements de l'entreprise d'assurance ou de réassurance, autres que ceux détenus dans le cadre de contrats d'assurance vie dans lesquels le risque d'investissement est supporté par le preneur, qui sont destinés à financer ou sont associés à des activités économiques alignées sur la taxonomie</w:t>
            </w:r>
          </w:p>
        </w:tc>
        <w:tc>
          <w:tcPr>
            <w:tcW w:w="1685" w:type="dxa"/>
            <w:tcBorders>
              <w:top w:val="nil"/>
              <w:left w:val="nil"/>
              <w:bottom w:val="single" w:sz="8" w:space="0" w:color="000000"/>
              <w:right w:val="single" w:sz="8" w:space="0" w:color="000000"/>
            </w:tcBorders>
            <w:vAlign w:val="center"/>
            <w:hideMark/>
          </w:tcPr>
          <w:p w14:paraId="2AA05AB8"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13,62%</w:t>
            </w:r>
          </w:p>
        </w:tc>
        <w:tc>
          <w:tcPr>
            <w:tcW w:w="3038" w:type="dxa"/>
            <w:tcBorders>
              <w:top w:val="nil"/>
              <w:left w:val="nil"/>
              <w:bottom w:val="single" w:sz="8" w:space="0" w:color="000000"/>
              <w:right w:val="single" w:sz="8" w:space="0" w:color="000000"/>
            </w:tcBorders>
            <w:vAlign w:val="center"/>
            <w:hideMark/>
          </w:tcPr>
          <w:p w14:paraId="64C4FEE9"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 xml:space="preserve">920 756 279,09 € </w:t>
            </w:r>
          </w:p>
        </w:tc>
      </w:tr>
      <w:tr w:rsidR="00DC419F" w:rsidRPr="00A74D23" w14:paraId="393B7A94" w14:textId="77777777" w:rsidTr="003B24BE">
        <w:trPr>
          <w:trHeight w:val="886"/>
        </w:trPr>
        <w:tc>
          <w:tcPr>
            <w:tcW w:w="5676" w:type="dxa"/>
            <w:gridSpan w:val="2"/>
            <w:tcBorders>
              <w:top w:val="single" w:sz="8" w:space="0" w:color="000000"/>
              <w:left w:val="single" w:sz="8" w:space="0" w:color="auto"/>
              <w:bottom w:val="single" w:sz="8" w:space="0" w:color="000000"/>
              <w:right w:val="single" w:sz="8" w:space="0" w:color="000000"/>
            </w:tcBorders>
            <w:vAlign w:val="center"/>
            <w:hideMark/>
          </w:tcPr>
          <w:p w14:paraId="273275A3"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Part de tous les investissements qui financent des activités économiques non éligibles à la taxonomie par rapport à la valeur totale des actifs couverts par l'ICP</w:t>
            </w:r>
          </w:p>
        </w:tc>
        <w:tc>
          <w:tcPr>
            <w:tcW w:w="1685" w:type="dxa"/>
            <w:tcBorders>
              <w:top w:val="nil"/>
              <w:left w:val="nil"/>
              <w:bottom w:val="single" w:sz="8" w:space="0" w:color="000000"/>
              <w:right w:val="single" w:sz="8" w:space="0" w:color="000000"/>
            </w:tcBorders>
            <w:vAlign w:val="center"/>
            <w:hideMark/>
          </w:tcPr>
          <w:p w14:paraId="55D7B71E"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81,86%</w:t>
            </w:r>
          </w:p>
        </w:tc>
        <w:tc>
          <w:tcPr>
            <w:tcW w:w="3038" w:type="dxa"/>
            <w:tcBorders>
              <w:top w:val="nil"/>
              <w:left w:val="nil"/>
              <w:bottom w:val="single" w:sz="8" w:space="0" w:color="000000"/>
              <w:right w:val="single" w:sz="8" w:space="0" w:color="000000"/>
            </w:tcBorders>
            <w:vAlign w:val="center"/>
            <w:hideMark/>
          </w:tcPr>
          <w:p w14:paraId="4F98EFFC"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 xml:space="preserve">5 533 257 505,90 € </w:t>
            </w:r>
          </w:p>
        </w:tc>
      </w:tr>
      <w:tr w:rsidR="00DC419F" w:rsidRPr="00A74D23" w14:paraId="4F654EB4" w14:textId="77777777" w:rsidTr="003B24BE">
        <w:trPr>
          <w:trHeight w:val="886"/>
        </w:trPr>
        <w:tc>
          <w:tcPr>
            <w:tcW w:w="5676" w:type="dxa"/>
            <w:gridSpan w:val="2"/>
            <w:tcBorders>
              <w:top w:val="single" w:sz="8" w:space="0" w:color="000000"/>
              <w:left w:val="single" w:sz="8" w:space="0" w:color="auto"/>
              <w:bottom w:val="single" w:sz="8" w:space="0" w:color="000000"/>
              <w:right w:val="single" w:sz="8" w:space="0" w:color="000000"/>
            </w:tcBorders>
            <w:vAlign w:val="center"/>
            <w:hideMark/>
          </w:tcPr>
          <w:p w14:paraId="39DA460D" w14:textId="77777777" w:rsidR="00DC419F" w:rsidRPr="00A74D23" w:rsidRDefault="00DC419F" w:rsidP="003B24BE">
            <w:pPr>
              <w:rPr>
                <w:rFonts w:asciiTheme="minorHAnsi" w:hAnsiTheme="minorHAnsi" w:cs="Calibri"/>
                <w:color w:val="000000"/>
                <w:sz w:val="20"/>
                <w:szCs w:val="20"/>
                <w:lang w:val="fr-FR"/>
              </w:rPr>
            </w:pPr>
            <w:r w:rsidRPr="00A74D23">
              <w:rPr>
                <w:rFonts w:asciiTheme="minorHAnsi" w:hAnsiTheme="minorHAnsi" w:cs="Calibri"/>
                <w:color w:val="000000"/>
                <w:sz w:val="20"/>
                <w:szCs w:val="20"/>
                <w:lang w:val="fr-FR"/>
              </w:rPr>
              <w:t>Part de tous les investissements qui financent des activités économiques éligibles à la taxonomie, mais non alignées sur la taxonomie, par rapport à la valeur totale des actifs couverts par l'ICP</w:t>
            </w:r>
          </w:p>
        </w:tc>
        <w:tc>
          <w:tcPr>
            <w:tcW w:w="1685" w:type="dxa"/>
            <w:tcBorders>
              <w:top w:val="nil"/>
              <w:left w:val="nil"/>
              <w:bottom w:val="single" w:sz="8" w:space="0" w:color="000000"/>
              <w:right w:val="single" w:sz="8" w:space="0" w:color="000000"/>
            </w:tcBorders>
            <w:vAlign w:val="center"/>
            <w:hideMark/>
          </w:tcPr>
          <w:p w14:paraId="05BE22BD"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12,08%</w:t>
            </w:r>
          </w:p>
        </w:tc>
        <w:tc>
          <w:tcPr>
            <w:tcW w:w="3038" w:type="dxa"/>
            <w:tcBorders>
              <w:top w:val="nil"/>
              <w:left w:val="nil"/>
              <w:bottom w:val="single" w:sz="8" w:space="0" w:color="000000"/>
              <w:right w:val="single" w:sz="8" w:space="0" w:color="000000"/>
            </w:tcBorders>
            <w:vAlign w:val="center"/>
            <w:hideMark/>
          </w:tcPr>
          <w:p w14:paraId="6A47611C" w14:textId="77777777" w:rsidR="00DC419F" w:rsidRPr="00CF07EE" w:rsidRDefault="00DC419F" w:rsidP="003B24BE">
            <w:pPr>
              <w:jc w:val="center"/>
              <w:rPr>
                <w:rFonts w:asciiTheme="minorHAnsi" w:hAnsiTheme="minorHAnsi" w:cs="Calibri"/>
                <w:color w:val="000000"/>
                <w:sz w:val="20"/>
                <w:szCs w:val="20"/>
              </w:rPr>
            </w:pPr>
            <w:r w:rsidRPr="00CF07EE">
              <w:rPr>
                <w:rFonts w:asciiTheme="minorHAnsi" w:hAnsiTheme="minorHAnsi" w:cs="Prompt Light"/>
                <w:sz w:val="20"/>
                <w:szCs w:val="20"/>
              </w:rPr>
              <w:t xml:space="preserve">816 640 465,59 € </w:t>
            </w:r>
          </w:p>
        </w:tc>
      </w:tr>
    </w:tbl>
    <w:p w14:paraId="7C893FEE" w14:textId="77777777" w:rsidR="00DC419F" w:rsidRPr="00A74D23" w:rsidRDefault="00DC419F" w:rsidP="00DC419F">
      <w:pPr>
        <w:spacing w:line="22" w:lineRule="atLeast"/>
        <w:jc w:val="both"/>
        <w:rPr>
          <w:rFonts w:asciiTheme="minorHAnsi" w:hAnsiTheme="minorHAnsi" w:cs="Open Sans"/>
          <w:sz w:val="20"/>
        </w:rPr>
      </w:pPr>
    </w:p>
    <w:p w14:paraId="386686EC" w14:textId="77777777" w:rsidR="00DC419F" w:rsidRPr="00A74D23" w:rsidRDefault="00DC419F" w:rsidP="00DC419F">
      <w:pPr>
        <w:spacing w:line="22" w:lineRule="atLeast"/>
        <w:jc w:val="both"/>
        <w:rPr>
          <w:rFonts w:asciiTheme="minorHAnsi" w:hAnsiTheme="minorHAnsi" w:cs="Open Sans"/>
          <w:sz w:val="20"/>
        </w:rPr>
      </w:pPr>
    </w:p>
    <w:p w14:paraId="5052D025" w14:textId="77777777" w:rsidR="00DC419F" w:rsidRPr="00A74D23" w:rsidRDefault="00DC419F" w:rsidP="00DC419F">
      <w:pPr>
        <w:spacing w:line="22" w:lineRule="atLeast"/>
        <w:jc w:val="both"/>
        <w:rPr>
          <w:rFonts w:asciiTheme="minorHAnsi" w:hAnsiTheme="minorHAnsi" w:cs="Open Sans"/>
          <w:sz w:val="20"/>
        </w:rPr>
      </w:pPr>
    </w:p>
    <w:p w14:paraId="1407EF10" w14:textId="77777777" w:rsidR="00DC419F" w:rsidRPr="00A74D23" w:rsidRDefault="00DC419F" w:rsidP="00DC419F">
      <w:pPr>
        <w:spacing w:line="22" w:lineRule="atLeast"/>
        <w:jc w:val="both"/>
        <w:rPr>
          <w:rFonts w:asciiTheme="minorHAnsi" w:hAnsiTheme="minorHAnsi" w:cs="Open Sans"/>
          <w:sz w:val="20"/>
        </w:rPr>
      </w:pPr>
    </w:p>
    <w:p w14:paraId="0F6B0791" w14:textId="77777777" w:rsidR="00DC419F" w:rsidRPr="00A74D23" w:rsidRDefault="00DC419F" w:rsidP="00DC419F">
      <w:pPr>
        <w:spacing w:line="22" w:lineRule="atLeast"/>
        <w:jc w:val="both"/>
        <w:rPr>
          <w:rFonts w:asciiTheme="minorHAnsi" w:hAnsiTheme="minorHAnsi" w:cs="Open Sans"/>
          <w:sz w:val="20"/>
        </w:rPr>
      </w:pPr>
    </w:p>
    <w:p w14:paraId="180DF57C" w14:textId="77777777" w:rsidR="00DC419F" w:rsidRPr="00A74D23" w:rsidRDefault="00DC419F" w:rsidP="00DC419F">
      <w:pPr>
        <w:spacing w:line="22" w:lineRule="atLeast"/>
        <w:jc w:val="both"/>
        <w:rPr>
          <w:rFonts w:asciiTheme="minorHAnsi" w:hAnsiTheme="minorHAnsi" w:cs="Open Sans"/>
          <w:sz w:val="20"/>
        </w:rPr>
      </w:pPr>
    </w:p>
    <w:p w14:paraId="6A8F452D" w14:textId="77777777" w:rsidR="00DC419F" w:rsidRPr="00A74D23" w:rsidRDefault="00DC419F" w:rsidP="00DC419F">
      <w:pPr>
        <w:spacing w:line="22" w:lineRule="atLeast"/>
        <w:jc w:val="both"/>
        <w:rPr>
          <w:rFonts w:asciiTheme="minorHAnsi" w:hAnsiTheme="minorHAnsi" w:cs="Open Sans"/>
          <w:sz w:val="20"/>
        </w:rPr>
      </w:pPr>
    </w:p>
    <w:tbl>
      <w:tblPr>
        <w:tblW w:w="10539" w:type="dxa"/>
        <w:tblLook w:val="04A0" w:firstRow="1" w:lastRow="0" w:firstColumn="1" w:lastColumn="0" w:noHBand="0" w:noVBand="1"/>
      </w:tblPr>
      <w:tblGrid>
        <w:gridCol w:w="903"/>
        <w:gridCol w:w="2395"/>
        <w:gridCol w:w="996"/>
        <w:gridCol w:w="1880"/>
        <w:gridCol w:w="1455"/>
        <w:gridCol w:w="1455"/>
        <w:gridCol w:w="1455"/>
      </w:tblGrid>
      <w:tr w:rsidR="00DC419F" w:rsidRPr="009508AF" w14:paraId="177B6D3F" w14:textId="77777777" w:rsidTr="003B24BE">
        <w:trPr>
          <w:trHeight w:val="1398"/>
        </w:trPr>
        <w:tc>
          <w:tcPr>
            <w:tcW w:w="4294" w:type="dxa"/>
            <w:gridSpan w:val="3"/>
            <w:tcBorders>
              <w:top w:val="single" w:sz="8" w:space="0" w:color="auto"/>
              <w:left w:val="single" w:sz="8" w:space="0" w:color="auto"/>
              <w:bottom w:val="nil"/>
              <w:right w:val="nil"/>
            </w:tcBorders>
            <w:shd w:val="clear" w:color="000000" w:fill="FFD400"/>
            <w:noWrap/>
            <w:vAlign w:val="center"/>
            <w:hideMark/>
          </w:tcPr>
          <w:p w14:paraId="155DB2DB" w14:textId="77777777" w:rsidR="00DC419F" w:rsidRPr="00A74D23" w:rsidRDefault="00DC419F" w:rsidP="003B24BE">
            <w:pPr>
              <w:jc w:val="center"/>
              <w:rPr>
                <w:rFonts w:asciiTheme="minorHAnsi" w:hAnsiTheme="minorHAnsi" w:cs="Calibri"/>
                <w:b/>
                <w:bCs/>
                <w:color w:val="000000"/>
                <w:sz w:val="22"/>
                <w:szCs w:val="22"/>
              </w:rPr>
            </w:pPr>
            <w:r w:rsidRPr="00A74D23">
              <w:rPr>
                <w:rFonts w:asciiTheme="minorHAnsi" w:hAnsiTheme="minorHAnsi" w:cs="Calibri"/>
                <w:b/>
                <w:bCs/>
                <w:color w:val="000000"/>
                <w:sz w:val="22"/>
                <w:szCs w:val="22"/>
              </w:rPr>
              <w:t xml:space="preserve">Piliers </w:t>
            </w:r>
          </w:p>
        </w:tc>
        <w:tc>
          <w:tcPr>
            <w:tcW w:w="1880" w:type="dxa"/>
            <w:tcBorders>
              <w:top w:val="single" w:sz="8" w:space="0" w:color="auto"/>
              <w:left w:val="nil"/>
              <w:bottom w:val="nil"/>
              <w:right w:val="nil"/>
            </w:tcBorders>
            <w:shd w:val="clear" w:color="000000" w:fill="FFD400"/>
            <w:vAlign w:val="center"/>
            <w:hideMark/>
          </w:tcPr>
          <w:p w14:paraId="46A3376D" w14:textId="77777777" w:rsidR="00DC419F" w:rsidRPr="00A74D23" w:rsidRDefault="00DC419F" w:rsidP="003B24BE">
            <w:pPr>
              <w:jc w:val="center"/>
              <w:rPr>
                <w:rFonts w:asciiTheme="minorHAnsi" w:hAnsiTheme="minorHAnsi" w:cs="Calibri"/>
                <w:b/>
                <w:bCs/>
                <w:color w:val="002E3D"/>
                <w:sz w:val="22"/>
                <w:szCs w:val="22"/>
                <w:lang w:val="fr-FR"/>
              </w:rPr>
            </w:pPr>
            <w:r w:rsidRPr="00A74D23">
              <w:rPr>
                <w:rFonts w:asciiTheme="minorHAnsi" w:hAnsiTheme="minorHAnsi" w:cs="Calibri"/>
                <w:b/>
                <w:bCs/>
                <w:color w:val="002E3D"/>
                <w:sz w:val="22"/>
                <w:szCs w:val="22"/>
                <w:lang w:val="fr-FR"/>
              </w:rPr>
              <w:t>Ventilation du résultat de l’alignement  des CA (%) </w:t>
            </w:r>
          </w:p>
        </w:tc>
        <w:tc>
          <w:tcPr>
            <w:tcW w:w="1455" w:type="dxa"/>
            <w:tcBorders>
              <w:top w:val="single" w:sz="8" w:space="0" w:color="auto"/>
              <w:left w:val="nil"/>
              <w:bottom w:val="nil"/>
              <w:right w:val="nil"/>
            </w:tcBorders>
            <w:shd w:val="clear" w:color="000000" w:fill="FFD400"/>
            <w:vAlign w:val="center"/>
            <w:hideMark/>
          </w:tcPr>
          <w:p w14:paraId="7E922F74" w14:textId="77777777" w:rsidR="00DC419F" w:rsidRPr="00A74D23" w:rsidRDefault="00DC419F" w:rsidP="003B24BE">
            <w:pPr>
              <w:jc w:val="center"/>
              <w:rPr>
                <w:rFonts w:asciiTheme="minorHAnsi" w:hAnsiTheme="minorHAnsi" w:cs="Calibri"/>
                <w:b/>
                <w:bCs/>
                <w:color w:val="002E3D"/>
                <w:sz w:val="22"/>
                <w:szCs w:val="22"/>
                <w:lang w:val="fr-FR"/>
              </w:rPr>
            </w:pPr>
            <w:r w:rsidRPr="00A74D23">
              <w:rPr>
                <w:rFonts w:asciiTheme="minorHAnsi" w:hAnsiTheme="minorHAnsi" w:cs="Calibri"/>
                <w:b/>
                <w:bCs/>
                <w:color w:val="002E3D"/>
                <w:sz w:val="22"/>
                <w:szCs w:val="22"/>
                <w:lang w:val="fr-FR"/>
              </w:rPr>
              <w:t>Ventilation du résultat de l’alignement des Capex (%) </w:t>
            </w:r>
          </w:p>
        </w:tc>
        <w:tc>
          <w:tcPr>
            <w:tcW w:w="1455" w:type="dxa"/>
            <w:tcBorders>
              <w:top w:val="single" w:sz="8" w:space="0" w:color="auto"/>
              <w:left w:val="nil"/>
              <w:bottom w:val="nil"/>
              <w:right w:val="nil"/>
            </w:tcBorders>
            <w:shd w:val="clear" w:color="000000" w:fill="FFD400"/>
            <w:vAlign w:val="center"/>
            <w:hideMark/>
          </w:tcPr>
          <w:p w14:paraId="493373B2" w14:textId="77777777" w:rsidR="00DC419F" w:rsidRPr="00A74D23" w:rsidRDefault="00DC419F" w:rsidP="003B24BE">
            <w:pPr>
              <w:jc w:val="center"/>
              <w:rPr>
                <w:rFonts w:asciiTheme="minorHAnsi" w:hAnsiTheme="minorHAnsi" w:cs="Calibri"/>
                <w:b/>
                <w:bCs/>
                <w:color w:val="002E3D"/>
                <w:sz w:val="22"/>
                <w:szCs w:val="22"/>
                <w:lang w:val="fr-FR"/>
              </w:rPr>
            </w:pPr>
            <w:r w:rsidRPr="00A74D23">
              <w:rPr>
                <w:rFonts w:asciiTheme="minorHAnsi" w:hAnsiTheme="minorHAnsi" w:cs="Calibri"/>
                <w:b/>
                <w:bCs/>
                <w:color w:val="002E3D"/>
                <w:sz w:val="22"/>
                <w:szCs w:val="22"/>
                <w:lang w:val="fr-FR"/>
              </w:rPr>
              <w:t>Montant du résultat de l’alignement des CA</w:t>
            </w:r>
          </w:p>
        </w:tc>
        <w:tc>
          <w:tcPr>
            <w:tcW w:w="1455" w:type="dxa"/>
            <w:tcBorders>
              <w:top w:val="single" w:sz="8" w:space="0" w:color="auto"/>
              <w:left w:val="nil"/>
              <w:bottom w:val="nil"/>
              <w:right w:val="single" w:sz="8" w:space="0" w:color="auto"/>
            </w:tcBorders>
            <w:shd w:val="clear" w:color="000000" w:fill="FFD400"/>
            <w:vAlign w:val="center"/>
            <w:hideMark/>
          </w:tcPr>
          <w:p w14:paraId="55EA458F" w14:textId="77777777" w:rsidR="00DC419F" w:rsidRPr="00A74D23" w:rsidRDefault="00DC419F" w:rsidP="003B24BE">
            <w:pPr>
              <w:jc w:val="center"/>
              <w:rPr>
                <w:rFonts w:asciiTheme="minorHAnsi" w:hAnsiTheme="minorHAnsi" w:cs="Calibri"/>
                <w:b/>
                <w:bCs/>
                <w:color w:val="002E3D"/>
                <w:sz w:val="22"/>
                <w:szCs w:val="22"/>
                <w:lang w:val="fr-FR"/>
              </w:rPr>
            </w:pPr>
            <w:r w:rsidRPr="00A74D23">
              <w:rPr>
                <w:rFonts w:asciiTheme="minorHAnsi" w:hAnsiTheme="minorHAnsi" w:cs="Calibri"/>
                <w:b/>
                <w:bCs/>
                <w:color w:val="002E3D"/>
                <w:sz w:val="22"/>
                <w:szCs w:val="22"/>
                <w:lang w:val="fr-FR"/>
              </w:rPr>
              <w:t>Montant du résultat de l’alignement des CAPEX</w:t>
            </w:r>
          </w:p>
        </w:tc>
      </w:tr>
      <w:tr w:rsidR="00DC419F" w:rsidRPr="00A74D23" w14:paraId="2F70C298" w14:textId="77777777" w:rsidTr="003B24BE">
        <w:trPr>
          <w:trHeight w:val="594"/>
        </w:trPr>
        <w:tc>
          <w:tcPr>
            <w:tcW w:w="3298" w:type="dxa"/>
            <w:gridSpan w:val="2"/>
            <w:tcBorders>
              <w:top w:val="nil"/>
              <w:left w:val="single" w:sz="8" w:space="0" w:color="auto"/>
              <w:bottom w:val="nil"/>
              <w:right w:val="nil"/>
            </w:tcBorders>
            <w:vAlign w:val="center"/>
            <w:hideMark/>
          </w:tcPr>
          <w:p w14:paraId="751ACBBF" w14:textId="77777777" w:rsidR="00DC419F" w:rsidRPr="00A74D23" w:rsidRDefault="00DC419F" w:rsidP="003B24BE">
            <w:pPr>
              <w:rPr>
                <w:rFonts w:asciiTheme="minorHAnsi" w:hAnsiTheme="minorHAnsi" w:cs="Calibri"/>
                <w:sz w:val="20"/>
                <w:szCs w:val="20"/>
              </w:rPr>
            </w:pPr>
            <w:r w:rsidRPr="00A74D23">
              <w:rPr>
                <w:rFonts w:asciiTheme="minorHAnsi" w:hAnsiTheme="minorHAnsi" w:cs="Calibri"/>
                <w:sz w:val="20"/>
                <w:szCs w:val="20"/>
              </w:rPr>
              <w:t>Atténuation du changement climatique</w:t>
            </w:r>
          </w:p>
        </w:tc>
        <w:tc>
          <w:tcPr>
            <w:tcW w:w="996" w:type="dxa"/>
            <w:tcBorders>
              <w:top w:val="nil"/>
              <w:left w:val="nil"/>
              <w:bottom w:val="nil"/>
              <w:right w:val="single" w:sz="4" w:space="0" w:color="auto"/>
            </w:tcBorders>
            <w:vAlign w:val="center"/>
            <w:hideMark/>
          </w:tcPr>
          <w:p w14:paraId="200751A1" w14:textId="77777777" w:rsidR="00DC419F" w:rsidRPr="00A74D23" w:rsidRDefault="00DC419F" w:rsidP="003B24BE">
            <w:pPr>
              <w:rPr>
                <w:rFonts w:asciiTheme="minorHAnsi" w:hAnsiTheme="minorHAnsi" w:cs="Calibri"/>
                <w:sz w:val="20"/>
                <w:szCs w:val="20"/>
              </w:rPr>
            </w:pPr>
          </w:p>
        </w:tc>
        <w:tc>
          <w:tcPr>
            <w:tcW w:w="1880" w:type="dxa"/>
            <w:tcBorders>
              <w:top w:val="nil"/>
              <w:left w:val="single" w:sz="4" w:space="0" w:color="auto"/>
              <w:bottom w:val="nil"/>
              <w:right w:val="single" w:sz="4" w:space="0" w:color="auto"/>
            </w:tcBorders>
            <w:vAlign w:val="center"/>
            <w:hideMark/>
          </w:tcPr>
          <w:p w14:paraId="53D34F0D"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89,08%</w:t>
            </w:r>
          </w:p>
        </w:tc>
        <w:tc>
          <w:tcPr>
            <w:tcW w:w="1455" w:type="dxa"/>
            <w:tcBorders>
              <w:top w:val="nil"/>
              <w:left w:val="single" w:sz="4" w:space="0" w:color="auto"/>
              <w:bottom w:val="nil"/>
              <w:right w:val="single" w:sz="4" w:space="0" w:color="auto"/>
            </w:tcBorders>
            <w:vAlign w:val="center"/>
            <w:hideMark/>
          </w:tcPr>
          <w:p w14:paraId="6C8C7D16"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81,98%</w:t>
            </w:r>
          </w:p>
        </w:tc>
        <w:tc>
          <w:tcPr>
            <w:tcW w:w="1455" w:type="dxa"/>
            <w:tcBorders>
              <w:top w:val="nil"/>
              <w:left w:val="single" w:sz="4" w:space="0" w:color="auto"/>
              <w:bottom w:val="nil"/>
              <w:right w:val="single" w:sz="4" w:space="0" w:color="auto"/>
            </w:tcBorders>
            <w:vAlign w:val="center"/>
            <w:hideMark/>
          </w:tcPr>
          <w:p w14:paraId="64A7AD40"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 xml:space="preserve">365 093 622,36 € </w:t>
            </w:r>
          </w:p>
        </w:tc>
        <w:tc>
          <w:tcPr>
            <w:tcW w:w="1455" w:type="dxa"/>
            <w:tcBorders>
              <w:top w:val="nil"/>
              <w:left w:val="single" w:sz="4" w:space="0" w:color="auto"/>
              <w:bottom w:val="nil"/>
              <w:right w:val="single" w:sz="8" w:space="0" w:color="auto"/>
            </w:tcBorders>
            <w:vAlign w:val="center"/>
            <w:hideMark/>
          </w:tcPr>
          <w:p w14:paraId="0FAE5E9F"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 xml:space="preserve">345 497 175,41 € </w:t>
            </w:r>
          </w:p>
        </w:tc>
      </w:tr>
      <w:tr w:rsidR="00DC419F" w:rsidRPr="00A74D23" w14:paraId="1954DBB1" w14:textId="77777777" w:rsidTr="003B24BE">
        <w:trPr>
          <w:trHeight w:val="594"/>
        </w:trPr>
        <w:tc>
          <w:tcPr>
            <w:tcW w:w="903" w:type="dxa"/>
            <w:tcBorders>
              <w:top w:val="single" w:sz="4" w:space="0" w:color="auto"/>
              <w:left w:val="single" w:sz="8" w:space="0" w:color="auto"/>
              <w:bottom w:val="nil"/>
              <w:right w:val="nil"/>
            </w:tcBorders>
            <w:vAlign w:val="center"/>
            <w:hideMark/>
          </w:tcPr>
          <w:p w14:paraId="13E609FA" w14:textId="77777777" w:rsidR="00DC419F" w:rsidRPr="00A74D23" w:rsidRDefault="00DC419F" w:rsidP="003B24BE">
            <w:pPr>
              <w:rPr>
                <w:rFonts w:asciiTheme="minorHAnsi" w:hAnsiTheme="minorHAnsi" w:cs="Calibri"/>
                <w:sz w:val="22"/>
                <w:szCs w:val="22"/>
              </w:rPr>
            </w:pPr>
            <w:r w:rsidRPr="00A74D23">
              <w:rPr>
                <w:rFonts w:asciiTheme="minorHAnsi" w:hAnsiTheme="minorHAnsi" w:cs="Calibri"/>
                <w:sz w:val="22"/>
                <w:szCs w:val="22"/>
              </w:rPr>
              <w:t> </w:t>
            </w:r>
          </w:p>
        </w:tc>
        <w:tc>
          <w:tcPr>
            <w:tcW w:w="2395" w:type="dxa"/>
            <w:tcBorders>
              <w:top w:val="single" w:sz="8" w:space="0" w:color="auto"/>
              <w:left w:val="nil"/>
              <w:bottom w:val="single" w:sz="8" w:space="0" w:color="auto"/>
              <w:right w:val="nil"/>
            </w:tcBorders>
            <w:vAlign w:val="center"/>
            <w:hideMark/>
          </w:tcPr>
          <w:p w14:paraId="7B197D9B" w14:textId="77777777" w:rsidR="00DC419F" w:rsidRPr="00A74D23" w:rsidRDefault="00DC419F" w:rsidP="003B24BE">
            <w:pPr>
              <w:rPr>
                <w:rFonts w:asciiTheme="minorHAnsi" w:hAnsiTheme="minorHAnsi" w:cs="Calibri"/>
                <w:sz w:val="20"/>
                <w:szCs w:val="20"/>
              </w:rPr>
            </w:pPr>
            <w:r w:rsidRPr="00A74D23">
              <w:rPr>
                <w:rFonts w:asciiTheme="minorHAnsi" w:hAnsiTheme="minorHAnsi" w:cs="Calibri"/>
                <w:sz w:val="20"/>
                <w:szCs w:val="20"/>
              </w:rPr>
              <w:t>Activités transitoires</w:t>
            </w:r>
          </w:p>
        </w:tc>
        <w:tc>
          <w:tcPr>
            <w:tcW w:w="996" w:type="dxa"/>
            <w:tcBorders>
              <w:top w:val="single" w:sz="8" w:space="0" w:color="auto"/>
              <w:left w:val="nil"/>
              <w:bottom w:val="single" w:sz="8" w:space="0" w:color="auto"/>
              <w:right w:val="single" w:sz="8" w:space="0" w:color="000000"/>
            </w:tcBorders>
            <w:vAlign w:val="center"/>
            <w:hideMark/>
          </w:tcPr>
          <w:p w14:paraId="1BF48F95" w14:textId="77777777" w:rsidR="00DC419F" w:rsidRPr="00A74D23" w:rsidRDefault="00DC419F" w:rsidP="003B24BE">
            <w:pPr>
              <w:jc w:val="center"/>
              <w:rPr>
                <w:rFonts w:asciiTheme="minorHAnsi" w:hAnsiTheme="minorHAnsi" w:cs="Calibri"/>
                <w:sz w:val="20"/>
                <w:szCs w:val="20"/>
              </w:rPr>
            </w:pPr>
          </w:p>
        </w:tc>
        <w:tc>
          <w:tcPr>
            <w:tcW w:w="1880" w:type="dxa"/>
            <w:tcBorders>
              <w:top w:val="single" w:sz="8" w:space="0" w:color="auto"/>
              <w:left w:val="nil"/>
              <w:bottom w:val="single" w:sz="8" w:space="0" w:color="000000"/>
              <w:right w:val="single" w:sz="8" w:space="0" w:color="000000"/>
            </w:tcBorders>
            <w:vAlign w:val="center"/>
            <w:hideMark/>
          </w:tcPr>
          <w:p w14:paraId="10350CBE"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1,04%</w:t>
            </w:r>
          </w:p>
        </w:tc>
        <w:tc>
          <w:tcPr>
            <w:tcW w:w="1455" w:type="dxa"/>
            <w:tcBorders>
              <w:top w:val="single" w:sz="8" w:space="0" w:color="auto"/>
              <w:left w:val="nil"/>
              <w:bottom w:val="single" w:sz="8" w:space="0" w:color="000000"/>
              <w:right w:val="single" w:sz="8" w:space="0" w:color="000000"/>
            </w:tcBorders>
            <w:vAlign w:val="center"/>
            <w:hideMark/>
          </w:tcPr>
          <w:p w14:paraId="5E367EAF"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1,40%</w:t>
            </w:r>
          </w:p>
        </w:tc>
        <w:tc>
          <w:tcPr>
            <w:tcW w:w="1455" w:type="dxa"/>
            <w:tcBorders>
              <w:top w:val="single" w:sz="8" w:space="0" w:color="auto"/>
              <w:left w:val="nil"/>
              <w:bottom w:val="single" w:sz="8" w:space="0" w:color="000000"/>
              <w:right w:val="single" w:sz="8" w:space="0" w:color="000000"/>
            </w:tcBorders>
            <w:vAlign w:val="center"/>
            <w:hideMark/>
          </w:tcPr>
          <w:p w14:paraId="6BA6D91C"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 xml:space="preserve">4 271 248,11 € </w:t>
            </w:r>
          </w:p>
        </w:tc>
        <w:tc>
          <w:tcPr>
            <w:tcW w:w="1455" w:type="dxa"/>
            <w:tcBorders>
              <w:top w:val="single" w:sz="8" w:space="0" w:color="auto"/>
              <w:left w:val="nil"/>
              <w:bottom w:val="single" w:sz="8" w:space="0" w:color="000000"/>
              <w:right w:val="single" w:sz="8" w:space="0" w:color="auto"/>
            </w:tcBorders>
            <w:vAlign w:val="center"/>
            <w:hideMark/>
          </w:tcPr>
          <w:p w14:paraId="7AE409B2"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 xml:space="preserve">5 892 287,12 € </w:t>
            </w:r>
          </w:p>
        </w:tc>
      </w:tr>
      <w:tr w:rsidR="00DC419F" w:rsidRPr="00A74D23" w14:paraId="205E29CF" w14:textId="77777777" w:rsidTr="003B24BE">
        <w:trPr>
          <w:trHeight w:val="594"/>
        </w:trPr>
        <w:tc>
          <w:tcPr>
            <w:tcW w:w="903" w:type="dxa"/>
            <w:tcBorders>
              <w:top w:val="nil"/>
              <w:left w:val="single" w:sz="8" w:space="0" w:color="auto"/>
              <w:bottom w:val="nil"/>
              <w:right w:val="nil"/>
            </w:tcBorders>
            <w:vAlign w:val="center"/>
            <w:hideMark/>
          </w:tcPr>
          <w:p w14:paraId="677CC9AC" w14:textId="77777777" w:rsidR="00DC419F" w:rsidRPr="00A74D23" w:rsidRDefault="00DC419F" w:rsidP="003B24BE">
            <w:pPr>
              <w:rPr>
                <w:rFonts w:asciiTheme="minorHAnsi" w:hAnsiTheme="minorHAnsi" w:cs="Calibri"/>
                <w:sz w:val="22"/>
                <w:szCs w:val="22"/>
              </w:rPr>
            </w:pPr>
            <w:r w:rsidRPr="00A74D23">
              <w:rPr>
                <w:rFonts w:asciiTheme="minorHAnsi" w:hAnsiTheme="minorHAnsi" w:cs="Calibri"/>
                <w:sz w:val="22"/>
                <w:szCs w:val="22"/>
              </w:rPr>
              <w:t> </w:t>
            </w:r>
          </w:p>
        </w:tc>
        <w:tc>
          <w:tcPr>
            <w:tcW w:w="2395" w:type="dxa"/>
            <w:tcBorders>
              <w:top w:val="single" w:sz="8" w:space="0" w:color="auto"/>
              <w:left w:val="nil"/>
              <w:bottom w:val="single" w:sz="8" w:space="0" w:color="auto"/>
              <w:right w:val="nil"/>
            </w:tcBorders>
            <w:vAlign w:val="center"/>
            <w:hideMark/>
          </w:tcPr>
          <w:p w14:paraId="3951CA6A" w14:textId="77777777" w:rsidR="00DC419F" w:rsidRPr="00A74D23" w:rsidRDefault="00DC419F" w:rsidP="003B24BE">
            <w:pPr>
              <w:rPr>
                <w:rFonts w:asciiTheme="minorHAnsi" w:hAnsiTheme="minorHAnsi" w:cs="Calibri"/>
                <w:sz w:val="20"/>
                <w:szCs w:val="20"/>
              </w:rPr>
            </w:pPr>
            <w:r w:rsidRPr="00A74D23">
              <w:rPr>
                <w:rFonts w:asciiTheme="minorHAnsi" w:hAnsiTheme="minorHAnsi" w:cs="Calibri"/>
                <w:sz w:val="20"/>
                <w:szCs w:val="20"/>
              </w:rPr>
              <w:t>Activités habilitantes</w:t>
            </w:r>
          </w:p>
        </w:tc>
        <w:tc>
          <w:tcPr>
            <w:tcW w:w="996" w:type="dxa"/>
            <w:tcBorders>
              <w:top w:val="nil"/>
              <w:left w:val="nil"/>
              <w:bottom w:val="single" w:sz="8" w:space="0" w:color="000000"/>
              <w:right w:val="single" w:sz="8" w:space="0" w:color="000000"/>
            </w:tcBorders>
            <w:vAlign w:val="center"/>
            <w:hideMark/>
          </w:tcPr>
          <w:p w14:paraId="11CF12D0" w14:textId="77777777" w:rsidR="00DC419F" w:rsidRPr="00A74D23" w:rsidRDefault="00DC419F" w:rsidP="003B24BE">
            <w:pPr>
              <w:jc w:val="center"/>
              <w:rPr>
                <w:rFonts w:asciiTheme="minorHAnsi" w:hAnsiTheme="minorHAnsi" w:cs="Calibri"/>
                <w:sz w:val="20"/>
                <w:szCs w:val="20"/>
              </w:rPr>
            </w:pPr>
          </w:p>
        </w:tc>
        <w:tc>
          <w:tcPr>
            <w:tcW w:w="1880" w:type="dxa"/>
            <w:tcBorders>
              <w:top w:val="nil"/>
              <w:left w:val="nil"/>
              <w:bottom w:val="single" w:sz="8" w:space="0" w:color="000000"/>
              <w:right w:val="single" w:sz="8" w:space="0" w:color="000000"/>
            </w:tcBorders>
            <w:vAlign w:val="center"/>
            <w:hideMark/>
          </w:tcPr>
          <w:p w14:paraId="501161EB"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34,02%</w:t>
            </w:r>
          </w:p>
        </w:tc>
        <w:tc>
          <w:tcPr>
            <w:tcW w:w="1455" w:type="dxa"/>
            <w:tcBorders>
              <w:top w:val="nil"/>
              <w:left w:val="nil"/>
              <w:bottom w:val="single" w:sz="8" w:space="0" w:color="000000"/>
              <w:right w:val="single" w:sz="8" w:space="0" w:color="000000"/>
            </w:tcBorders>
            <w:vAlign w:val="center"/>
            <w:hideMark/>
          </w:tcPr>
          <w:p w14:paraId="45E66297"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40,62%</w:t>
            </w:r>
          </w:p>
        </w:tc>
        <w:tc>
          <w:tcPr>
            <w:tcW w:w="1455" w:type="dxa"/>
            <w:tcBorders>
              <w:top w:val="nil"/>
              <w:left w:val="nil"/>
              <w:bottom w:val="single" w:sz="8" w:space="0" w:color="000000"/>
              <w:right w:val="single" w:sz="8" w:space="0" w:color="000000"/>
            </w:tcBorders>
            <w:vAlign w:val="center"/>
            <w:hideMark/>
          </w:tcPr>
          <w:p w14:paraId="32611C1D"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 xml:space="preserve">139 416 580,26 € </w:t>
            </w:r>
          </w:p>
        </w:tc>
        <w:tc>
          <w:tcPr>
            <w:tcW w:w="1455" w:type="dxa"/>
            <w:tcBorders>
              <w:top w:val="nil"/>
              <w:left w:val="nil"/>
              <w:bottom w:val="single" w:sz="8" w:space="0" w:color="000000"/>
              <w:right w:val="single" w:sz="8" w:space="0" w:color="auto"/>
            </w:tcBorders>
            <w:vAlign w:val="center"/>
            <w:hideMark/>
          </w:tcPr>
          <w:p w14:paraId="52805588"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 xml:space="preserve">171 197 681,12 € </w:t>
            </w:r>
          </w:p>
        </w:tc>
      </w:tr>
      <w:tr w:rsidR="00DC419F" w:rsidRPr="00A74D23" w14:paraId="6E33BB28" w14:textId="77777777" w:rsidTr="003B24BE">
        <w:trPr>
          <w:trHeight w:val="594"/>
        </w:trPr>
        <w:tc>
          <w:tcPr>
            <w:tcW w:w="3298" w:type="dxa"/>
            <w:gridSpan w:val="2"/>
            <w:tcBorders>
              <w:top w:val="single" w:sz="8" w:space="0" w:color="auto"/>
              <w:left w:val="single" w:sz="8" w:space="0" w:color="auto"/>
              <w:bottom w:val="single" w:sz="8" w:space="0" w:color="auto"/>
              <w:right w:val="nil"/>
            </w:tcBorders>
            <w:vAlign w:val="center"/>
            <w:hideMark/>
          </w:tcPr>
          <w:p w14:paraId="5776B726" w14:textId="77777777" w:rsidR="00DC419F" w:rsidRPr="00A74D23" w:rsidRDefault="00DC419F" w:rsidP="003B24BE">
            <w:pPr>
              <w:rPr>
                <w:rFonts w:asciiTheme="minorHAnsi" w:hAnsiTheme="minorHAnsi" w:cs="Calibri"/>
                <w:sz w:val="20"/>
                <w:szCs w:val="20"/>
              </w:rPr>
            </w:pPr>
            <w:r w:rsidRPr="00A74D23">
              <w:rPr>
                <w:rFonts w:asciiTheme="minorHAnsi" w:hAnsiTheme="minorHAnsi" w:cs="Calibri"/>
                <w:sz w:val="20"/>
                <w:szCs w:val="20"/>
              </w:rPr>
              <w:t>Adaptation au changement climatique</w:t>
            </w:r>
          </w:p>
        </w:tc>
        <w:tc>
          <w:tcPr>
            <w:tcW w:w="996" w:type="dxa"/>
            <w:tcBorders>
              <w:top w:val="nil"/>
              <w:left w:val="nil"/>
              <w:bottom w:val="single" w:sz="8" w:space="0" w:color="000000"/>
              <w:right w:val="single" w:sz="8" w:space="0" w:color="000000"/>
            </w:tcBorders>
            <w:vAlign w:val="center"/>
            <w:hideMark/>
          </w:tcPr>
          <w:p w14:paraId="005D1B8E" w14:textId="77777777" w:rsidR="00DC419F" w:rsidRPr="00A74D23" w:rsidRDefault="00DC419F" w:rsidP="003B24BE">
            <w:pPr>
              <w:jc w:val="center"/>
              <w:rPr>
                <w:rFonts w:asciiTheme="minorHAnsi" w:hAnsiTheme="minorHAnsi" w:cs="Calibri"/>
                <w:sz w:val="20"/>
                <w:szCs w:val="20"/>
              </w:rPr>
            </w:pPr>
            <w:r w:rsidRPr="00A74D23">
              <w:rPr>
                <w:rFonts w:asciiTheme="minorHAnsi" w:hAnsiTheme="minorHAnsi" w:cs="Calibri"/>
                <w:sz w:val="20"/>
                <w:szCs w:val="20"/>
              </w:rPr>
              <w:t> </w:t>
            </w:r>
          </w:p>
        </w:tc>
        <w:tc>
          <w:tcPr>
            <w:tcW w:w="1880" w:type="dxa"/>
            <w:tcBorders>
              <w:top w:val="nil"/>
              <w:left w:val="nil"/>
              <w:bottom w:val="single" w:sz="8" w:space="0" w:color="000000"/>
              <w:right w:val="single" w:sz="8" w:space="0" w:color="000000"/>
            </w:tcBorders>
            <w:vAlign w:val="center"/>
            <w:hideMark/>
          </w:tcPr>
          <w:p w14:paraId="0EF6B589"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0,27%</w:t>
            </w:r>
          </w:p>
        </w:tc>
        <w:tc>
          <w:tcPr>
            <w:tcW w:w="1455" w:type="dxa"/>
            <w:tcBorders>
              <w:top w:val="nil"/>
              <w:left w:val="nil"/>
              <w:bottom w:val="single" w:sz="8" w:space="0" w:color="000000"/>
              <w:right w:val="single" w:sz="8" w:space="0" w:color="000000"/>
            </w:tcBorders>
            <w:vAlign w:val="center"/>
            <w:hideMark/>
          </w:tcPr>
          <w:p w14:paraId="299EFCEC"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0,37%</w:t>
            </w:r>
          </w:p>
        </w:tc>
        <w:tc>
          <w:tcPr>
            <w:tcW w:w="1455" w:type="dxa"/>
            <w:tcBorders>
              <w:top w:val="nil"/>
              <w:left w:val="nil"/>
              <w:bottom w:val="single" w:sz="8" w:space="0" w:color="000000"/>
              <w:right w:val="single" w:sz="8" w:space="0" w:color="000000"/>
            </w:tcBorders>
            <w:vAlign w:val="center"/>
            <w:hideMark/>
          </w:tcPr>
          <w:p w14:paraId="5359BBC3"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 xml:space="preserve">1 122 793,17 € </w:t>
            </w:r>
          </w:p>
        </w:tc>
        <w:tc>
          <w:tcPr>
            <w:tcW w:w="1455" w:type="dxa"/>
            <w:tcBorders>
              <w:top w:val="nil"/>
              <w:left w:val="nil"/>
              <w:bottom w:val="single" w:sz="8" w:space="0" w:color="000000"/>
              <w:right w:val="single" w:sz="8" w:space="0" w:color="auto"/>
            </w:tcBorders>
            <w:vAlign w:val="center"/>
            <w:hideMark/>
          </w:tcPr>
          <w:p w14:paraId="34850593"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 xml:space="preserve">1 555 626,14 € </w:t>
            </w:r>
          </w:p>
        </w:tc>
      </w:tr>
      <w:tr w:rsidR="00DC419F" w:rsidRPr="00A74D23" w14:paraId="11DE9340" w14:textId="77777777" w:rsidTr="003B24BE">
        <w:trPr>
          <w:trHeight w:val="594"/>
        </w:trPr>
        <w:tc>
          <w:tcPr>
            <w:tcW w:w="3298" w:type="dxa"/>
            <w:gridSpan w:val="2"/>
            <w:tcBorders>
              <w:top w:val="single" w:sz="8" w:space="0" w:color="auto"/>
              <w:left w:val="single" w:sz="8" w:space="0" w:color="auto"/>
              <w:bottom w:val="single" w:sz="8" w:space="0" w:color="auto"/>
              <w:right w:val="nil"/>
            </w:tcBorders>
            <w:vAlign w:val="center"/>
            <w:hideMark/>
          </w:tcPr>
          <w:p w14:paraId="519FD6CE" w14:textId="77777777" w:rsidR="00DC419F" w:rsidRPr="00A74D23" w:rsidRDefault="00DC419F" w:rsidP="003B24BE">
            <w:pPr>
              <w:rPr>
                <w:rFonts w:asciiTheme="minorHAnsi" w:hAnsiTheme="minorHAnsi" w:cs="Calibri"/>
                <w:sz w:val="20"/>
                <w:szCs w:val="20"/>
                <w:lang w:val="fr-FR"/>
              </w:rPr>
            </w:pPr>
            <w:r w:rsidRPr="00A74D23">
              <w:rPr>
                <w:rFonts w:asciiTheme="minorHAnsi" w:hAnsiTheme="minorHAnsi" w:cs="Calibri"/>
                <w:sz w:val="20"/>
                <w:szCs w:val="20"/>
                <w:lang w:val="fr-FR"/>
              </w:rPr>
              <w:t>Utilisation durable et protection des ressources aquatiques et marines</w:t>
            </w:r>
          </w:p>
        </w:tc>
        <w:tc>
          <w:tcPr>
            <w:tcW w:w="996" w:type="dxa"/>
            <w:tcBorders>
              <w:top w:val="nil"/>
              <w:left w:val="nil"/>
              <w:bottom w:val="single" w:sz="8" w:space="0" w:color="000000"/>
              <w:right w:val="single" w:sz="8" w:space="0" w:color="000000"/>
            </w:tcBorders>
            <w:vAlign w:val="center"/>
            <w:hideMark/>
          </w:tcPr>
          <w:p w14:paraId="7C007E9D" w14:textId="77777777" w:rsidR="00DC419F" w:rsidRPr="00A74D23" w:rsidRDefault="00DC419F" w:rsidP="003B24BE">
            <w:pPr>
              <w:jc w:val="center"/>
              <w:rPr>
                <w:rFonts w:asciiTheme="minorHAnsi" w:hAnsiTheme="minorHAnsi" w:cs="Calibri"/>
                <w:sz w:val="20"/>
                <w:szCs w:val="20"/>
                <w:lang w:val="fr-FR"/>
              </w:rPr>
            </w:pPr>
            <w:r w:rsidRPr="00A74D23">
              <w:rPr>
                <w:rFonts w:asciiTheme="minorHAnsi" w:hAnsiTheme="minorHAnsi" w:cs="Calibri"/>
                <w:sz w:val="20"/>
                <w:szCs w:val="20"/>
                <w:lang w:val="fr-FR"/>
              </w:rPr>
              <w:t> </w:t>
            </w:r>
          </w:p>
        </w:tc>
        <w:tc>
          <w:tcPr>
            <w:tcW w:w="1880" w:type="dxa"/>
            <w:tcBorders>
              <w:top w:val="nil"/>
              <w:left w:val="nil"/>
              <w:bottom w:val="single" w:sz="8" w:space="0" w:color="000000"/>
              <w:right w:val="single" w:sz="8" w:space="0" w:color="000000"/>
            </w:tcBorders>
            <w:vAlign w:val="center"/>
            <w:hideMark/>
          </w:tcPr>
          <w:p w14:paraId="3A064ED0"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0,12%</w:t>
            </w:r>
          </w:p>
        </w:tc>
        <w:tc>
          <w:tcPr>
            <w:tcW w:w="1455" w:type="dxa"/>
            <w:tcBorders>
              <w:top w:val="nil"/>
              <w:left w:val="nil"/>
              <w:bottom w:val="single" w:sz="8" w:space="0" w:color="000000"/>
              <w:right w:val="single" w:sz="8" w:space="0" w:color="000000"/>
            </w:tcBorders>
            <w:vAlign w:val="center"/>
            <w:hideMark/>
          </w:tcPr>
          <w:p w14:paraId="1F0A4C1E"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0,11%</w:t>
            </w:r>
          </w:p>
        </w:tc>
        <w:tc>
          <w:tcPr>
            <w:tcW w:w="1455" w:type="dxa"/>
            <w:tcBorders>
              <w:top w:val="nil"/>
              <w:left w:val="nil"/>
              <w:bottom w:val="single" w:sz="8" w:space="0" w:color="000000"/>
              <w:right w:val="single" w:sz="8" w:space="0" w:color="000000"/>
            </w:tcBorders>
            <w:vAlign w:val="center"/>
            <w:hideMark/>
          </w:tcPr>
          <w:p w14:paraId="6916EA78"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 xml:space="preserve">484 365,95 € </w:t>
            </w:r>
          </w:p>
        </w:tc>
        <w:tc>
          <w:tcPr>
            <w:tcW w:w="1455" w:type="dxa"/>
            <w:tcBorders>
              <w:top w:val="nil"/>
              <w:left w:val="nil"/>
              <w:bottom w:val="single" w:sz="8" w:space="0" w:color="000000"/>
              <w:right w:val="single" w:sz="8" w:space="0" w:color="auto"/>
            </w:tcBorders>
            <w:vAlign w:val="center"/>
            <w:hideMark/>
          </w:tcPr>
          <w:p w14:paraId="2F2DFA0D"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 xml:space="preserve">483 830,28 € </w:t>
            </w:r>
          </w:p>
        </w:tc>
      </w:tr>
      <w:tr w:rsidR="00DC419F" w:rsidRPr="00A74D23" w14:paraId="15E57FB4" w14:textId="77777777" w:rsidTr="003B24BE">
        <w:trPr>
          <w:trHeight w:val="594"/>
        </w:trPr>
        <w:tc>
          <w:tcPr>
            <w:tcW w:w="3298" w:type="dxa"/>
            <w:gridSpan w:val="2"/>
            <w:tcBorders>
              <w:top w:val="single" w:sz="8" w:space="0" w:color="auto"/>
              <w:left w:val="single" w:sz="8" w:space="0" w:color="auto"/>
              <w:bottom w:val="single" w:sz="8" w:space="0" w:color="auto"/>
              <w:right w:val="nil"/>
            </w:tcBorders>
            <w:vAlign w:val="center"/>
            <w:hideMark/>
          </w:tcPr>
          <w:p w14:paraId="22C3BF84" w14:textId="77777777" w:rsidR="00DC419F" w:rsidRPr="00A74D23" w:rsidRDefault="00DC419F" w:rsidP="003B24BE">
            <w:pPr>
              <w:rPr>
                <w:rFonts w:asciiTheme="minorHAnsi" w:hAnsiTheme="minorHAnsi" w:cs="Calibri"/>
                <w:sz w:val="20"/>
                <w:szCs w:val="20"/>
                <w:lang w:val="fr-FR"/>
              </w:rPr>
            </w:pPr>
            <w:r w:rsidRPr="00A74D23">
              <w:rPr>
                <w:rFonts w:asciiTheme="minorHAnsi" w:hAnsiTheme="minorHAnsi" w:cs="Calibri"/>
                <w:sz w:val="20"/>
                <w:szCs w:val="20"/>
                <w:lang w:val="fr-FR"/>
              </w:rPr>
              <w:t>Transition vers une économie circulaire</w:t>
            </w:r>
          </w:p>
        </w:tc>
        <w:tc>
          <w:tcPr>
            <w:tcW w:w="996" w:type="dxa"/>
            <w:tcBorders>
              <w:top w:val="nil"/>
              <w:left w:val="nil"/>
              <w:bottom w:val="single" w:sz="8" w:space="0" w:color="000000"/>
              <w:right w:val="single" w:sz="8" w:space="0" w:color="000000"/>
            </w:tcBorders>
            <w:vAlign w:val="center"/>
            <w:hideMark/>
          </w:tcPr>
          <w:p w14:paraId="4A96E672" w14:textId="77777777" w:rsidR="00DC419F" w:rsidRPr="00A74D23" w:rsidRDefault="00DC419F" w:rsidP="003B24BE">
            <w:pPr>
              <w:jc w:val="center"/>
              <w:rPr>
                <w:rFonts w:asciiTheme="minorHAnsi" w:hAnsiTheme="minorHAnsi" w:cs="Calibri"/>
                <w:sz w:val="20"/>
                <w:szCs w:val="20"/>
                <w:lang w:val="fr-FR"/>
              </w:rPr>
            </w:pPr>
            <w:r w:rsidRPr="00A74D23">
              <w:rPr>
                <w:rFonts w:asciiTheme="minorHAnsi" w:hAnsiTheme="minorHAnsi" w:cs="Calibri"/>
                <w:sz w:val="20"/>
                <w:szCs w:val="20"/>
                <w:lang w:val="fr-FR"/>
              </w:rPr>
              <w:t> </w:t>
            </w:r>
          </w:p>
        </w:tc>
        <w:tc>
          <w:tcPr>
            <w:tcW w:w="1880" w:type="dxa"/>
            <w:tcBorders>
              <w:top w:val="nil"/>
              <w:left w:val="nil"/>
              <w:bottom w:val="single" w:sz="8" w:space="0" w:color="000000"/>
              <w:right w:val="single" w:sz="8" w:space="0" w:color="000000"/>
            </w:tcBorders>
            <w:vAlign w:val="center"/>
            <w:hideMark/>
          </w:tcPr>
          <w:p w14:paraId="1A1385CC"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3,83%</w:t>
            </w:r>
          </w:p>
        </w:tc>
        <w:tc>
          <w:tcPr>
            <w:tcW w:w="1455" w:type="dxa"/>
            <w:tcBorders>
              <w:top w:val="nil"/>
              <w:left w:val="nil"/>
              <w:bottom w:val="single" w:sz="8" w:space="0" w:color="000000"/>
              <w:right w:val="single" w:sz="8" w:space="0" w:color="000000"/>
            </w:tcBorders>
            <w:vAlign w:val="center"/>
            <w:hideMark/>
          </w:tcPr>
          <w:p w14:paraId="7A00A98A"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2,69%</w:t>
            </w:r>
          </w:p>
        </w:tc>
        <w:tc>
          <w:tcPr>
            <w:tcW w:w="1455" w:type="dxa"/>
            <w:tcBorders>
              <w:top w:val="nil"/>
              <w:left w:val="nil"/>
              <w:bottom w:val="single" w:sz="8" w:space="0" w:color="000000"/>
              <w:right w:val="single" w:sz="8" w:space="0" w:color="000000"/>
            </w:tcBorders>
            <w:vAlign w:val="center"/>
            <w:hideMark/>
          </w:tcPr>
          <w:p w14:paraId="06750973"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 xml:space="preserve">15 710 544,61 € </w:t>
            </w:r>
          </w:p>
        </w:tc>
        <w:tc>
          <w:tcPr>
            <w:tcW w:w="1455" w:type="dxa"/>
            <w:tcBorders>
              <w:top w:val="nil"/>
              <w:left w:val="nil"/>
              <w:bottom w:val="single" w:sz="8" w:space="0" w:color="000000"/>
              <w:right w:val="single" w:sz="8" w:space="0" w:color="auto"/>
            </w:tcBorders>
            <w:vAlign w:val="center"/>
            <w:hideMark/>
          </w:tcPr>
          <w:p w14:paraId="52F82D0F"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 xml:space="preserve">11 320 581,92 € </w:t>
            </w:r>
          </w:p>
        </w:tc>
      </w:tr>
      <w:tr w:rsidR="00DC419F" w:rsidRPr="00A74D23" w14:paraId="4B8A207E" w14:textId="77777777" w:rsidTr="003B24BE">
        <w:trPr>
          <w:trHeight w:val="594"/>
        </w:trPr>
        <w:tc>
          <w:tcPr>
            <w:tcW w:w="3298" w:type="dxa"/>
            <w:gridSpan w:val="2"/>
            <w:tcBorders>
              <w:top w:val="single" w:sz="8" w:space="0" w:color="auto"/>
              <w:left w:val="single" w:sz="8" w:space="0" w:color="auto"/>
              <w:bottom w:val="single" w:sz="8" w:space="0" w:color="auto"/>
              <w:right w:val="nil"/>
            </w:tcBorders>
            <w:vAlign w:val="center"/>
            <w:hideMark/>
          </w:tcPr>
          <w:p w14:paraId="2060DB68" w14:textId="77777777" w:rsidR="00DC419F" w:rsidRPr="00A74D23" w:rsidRDefault="00DC419F" w:rsidP="003B24BE">
            <w:pPr>
              <w:rPr>
                <w:rFonts w:asciiTheme="minorHAnsi" w:hAnsiTheme="minorHAnsi" w:cs="Calibri"/>
                <w:sz w:val="20"/>
                <w:szCs w:val="20"/>
                <w:lang w:val="fr-FR"/>
              </w:rPr>
            </w:pPr>
            <w:r w:rsidRPr="00A74D23">
              <w:rPr>
                <w:rFonts w:asciiTheme="minorHAnsi" w:hAnsiTheme="minorHAnsi" w:cs="Calibri"/>
                <w:sz w:val="20"/>
                <w:szCs w:val="20"/>
                <w:lang w:val="fr-FR"/>
              </w:rPr>
              <w:t>Prévention et réduction de la pollution</w:t>
            </w:r>
          </w:p>
        </w:tc>
        <w:tc>
          <w:tcPr>
            <w:tcW w:w="996" w:type="dxa"/>
            <w:tcBorders>
              <w:top w:val="nil"/>
              <w:left w:val="nil"/>
              <w:bottom w:val="single" w:sz="8" w:space="0" w:color="000000"/>
              <w:right w:val="single" w:sz="8" w:space="0" w:color="000000"/>
            </w:tcBorders>
            <w:vAlign w:val="center"/>
            <w:hideMark/>
          </w:tcPr>
          <w:p w14:paraId="3ECDF568" w14:textId="77777777" w:rsidR="00DC419F" w:rsidRPr="00A74D23" w:rsidRDefault="00DC419F" w:rsidP="003B24BE">
            <w:pPr>
              <w:jc w:val="center"/>
              <w:rPr>
                <w:rFonts w:asciiTheme="minorHAnsi" w:hAnsiTheme="minorHAnsi" w:cs="Calibri"/>
                <w:sz w:val="20"/>
                <w:szCs w:val="20"/>
                <w:lang w:val="fr-FR"/>
              </w:rPr>
            </w:pPr>
            <w:r w:rsidRPr="00A74D23">
              <w:rPr>
                <w:rFonts w:asciiTheme="minorHAnsi" w:hAnsiTheme="minorHAnsi" w:cs="Calibri"/>
                <w:sz w:val="20"/>
                <w:szCs w:val="20"/>
                <w:lang w:val="fr-FR"/>
              </w:rPr>
              <w:t> </w:t>
            </w:r>
          </w:p>
        </w:tc>
        <w:tc>
          <w:tcPr>
            <w:tcW w:w="1880" w:type="dxa"/>
            <w:tcBorders>
              <w:top w:val="nil"/>
              <w:left w:val="nil"/>
              <w:bottom w:val="single" w:sz="8" w:space="0" w:color="000000"/>
              <w:right w:val="single" w:sz="8" w:space="0" w:color="000000"/>
            </w:tcBorders>
            <w:vAlign w:val="center"/>
            <w:hideMark/>
          </w:tcPr>
          <w:p w14:paraId="7E4C5B56"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0,42%</w:t>
            </w:r>
          </w:p>
        </w:tc>
        <w:tc>
          <w:tcPr>
            <w:tcW w:w="1455" w:type="dxa"/>
            <w:tcBorders>
              <w:top w:val="nil"/>
              <w:left w:val="nil"/>
              <w:bottom w:val="single" w:sz="8" w:space="0" w:color="000000"/>
              <w:right w:val="single" w:sz="8" w:space="0" w:color="000000"/>
            </w:tcBorders>
            <w:vAlign w:val="center"/>
            <w:hideMark/>
          </w:tcPr>
          <w:p w14:paraId="5258FA29"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0,64%</w:t>
            </w:r>
          </w:p>
        </w:tc>
        <w:tc>
          <w:tcPr>
            <w:tcW w:w="1455" w:type="dxa"/>
            <w:tcBorders>
              <w:top w:val="nil"/>
              <w:left w:val="nil"/>
              <w:bottom w:val="single" w:sz="8" w:space="0" w:color="000000"/>
              <w:right w:val="single" w:sz="8" w:space="0" w:color="000000"/>
            </w:tcBorders>
            <w:vAlign w:val="center"/>
            <w:hideMark/>
          </w:tcPr>
          <w:p w14:paraId="3A81E3EA"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 xml:space="preserve">1 710 279,91 € </w:t>
            </w:r>
          </w:p>
        </w:tc>
        <w:tc>
          <w:tcPr>
            <w:tcW w:w="1455" w:type="dxa"/>
            <w:tcBorders>
              <w:top w:val="nil"/>
              <w:left w:val="nil"/>
              <w:bottom w:val="single" w:sz="8" w:space="0" w:color="000000"/>
              <w:right w:val="single" w:sz="8" w:space="0" w:color="auto"/>
            </w:tcBorders>
            <w:vAlign w:val="center"/>
            <w:hideMark/>
          </w:tcPr>
          <w:p w14:paraId="24116CDD"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 xml:space="preserve"> 2 707 864,29 € </w:t>
            </w:r>
          </w:p>
        </w:tc>
      </w:tr>
      <w:tr w:rsidR="00DC419F" w:rsidRPr="00A74D23" w14:paraId="10515A2E" w14:textId="77777777" w:rsidTr="003B24BE">
        <w:trPr>
          <w:trHeight w:val="594"/>
        </w:trPr>
        <w:tc>
          <w:tcPr>
            <w:tcW w:w="3298" w:type="dxa"/>
            <w:gridSpan w:val="2"/>
            <w:tcBorders>
              <w:top w:val="nil"/>
              <w:left w:val="single" w:sz="8" w:space="0" w:color="auto"/>
              <w:bottom w:val="single" w:sz="8" w:space="0" w:color="auto"/>
              <w:right w:val="nil"/>
            </w:tcBorders>
            <w:vAlign w:val="center"/>
            <w:hideMark/>
          </w:tcPr>
          <w:p w14:paraId="0D0D632F" w14:textId="77777777" w:rsidR="00DC419F" w:rsidRPr="00A74D23" w:rsidRDefault="00DC419F" w:rsidP="003B24BE">
            <w:pPr>
              <w:rPr>
                <w:rFonts w:asciiTheme="minorHAnsi" w:hAnsiTheme="minorHAnsi" w:cs="Calibri"/>
                <w:sz w:val="20"/>
                <w:szCs w:val="20"/>
                <w:lang w:val="fr-FR"/>
              </w:rPr>
            </w:pPr>
            <w:r w:rsidRPr="00A74D23">
              <w:rPr>
                <w:rFonts w:asciiTheme="minorHAnsi" w:hAnsiTheme="minorHAnsi" w:cs="Calibri"/>
                <w:sz w:val="20"/>
                <w:szCs w:val="20"/>
                <w:lang w:val="fr-FR"/>
              </w:rPr>
              <w:t>Protection et restauration de la biodiversité et des écosystèmes</w:t>
            </w:r>
          </w:p>
        </w:tc>
        <w:tc>
          <w:tcPr>
            <w:tcW w:w="996" w:type="dxa"/>
            <w:tcBorders>
              <w:top w:val="nil"/>
              <w:left w:val="nil"/>
              <w:bottom w:val="single" w:sz="8" w:space="0" w:color="auto"/>
              <w:right w:val="single" w:sz="8" w:space="0" w:color="000000"/>
            </w:tcBorders>
            <w:vAlign w:val="center"/>
            <w:hideMark/>
          </w:tcPr>
          <w:p w14:paraId="55A2BAA5" w14:textId="77777777" w:rsidR="00DC419F" w:rsidRPr="00A74D23" w:rsidRDefault="00DC419F" w:rsidP="003B24BE">
            <w:pPr>
              <w:jc w:val="center"/>
              <w:rPr>
                <w:rFonts w:asciiTheme="minorHAnsi" w:hAnsiTheme="minorHAnsi" w:cs="Calibri"/>
                <w:sz w:val="20"/>
                <w:szCs w:val="20"/>
                <w:lang w:val="fr-FR"/>
              </w:rPr>
            </w:pPr>
            <w:r w:rsidRPr="00A74D23">
              <w:rPr>
                <w:rFonts w:asciiTheme="minorHAnsi" w:hAnsiTheme="minorHAnsi" w:cs="Calibri"/>
                <w:sz w:val="20"/>
                <w:szCs w:val="20"/>
                <w:lang w:val="fr-FR"/>
              </w:rPr>
              <w:t> </w:t>
            </w:r>
          </w:p>
        </w:tc>
        <w:tc>
          <w:tcPr>
            <w:tcW w:w="1880" w:type="dxa"/>
            <w:tcBorders>
              <w:top w:val="nil"/>
              <w:left w:val="nil"/>
              <w:bottom w:val="single" w:sz="8" w:space="0" w:color="auto"/>
              <w:right w:val="single" w:sz="8" w:space="0" w:color="000000"/>
            </w:tcBorders>
            <w:vAlign w:val="center"/>
            <w:hideMark/>
          </w:tcPr>
          <w:p w14:paraId="5EDF2B19"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0,00%</w:t>
            </w:r>
          </w:p>
        </w:tc>
        <w:tc>
          <w:tcPr>
            <w:tcW w:w="1455" w:type="dxa"/>
            <w:tcBorders>
              <w:top w:val="nil"/>
              <w:left w:val="nil"/>
              <w:bottom w:val="single" w:sz="8" w:space="0" w:color="auto"/>
              <w:right w:val="single" w:sz="8" w:space="0" w:color="000000"/>
            </w:tcBorders>
            <w:vAlign w:val="center"/>
            <w:hideMark/>
          </w:tcPr>
          <w:p w14:paraId="32855226"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0,00%</w:t>
            </w:r>
          </w:p>
        </w:tc>
        <w:tc>
          <w:tcPr>
            <w:tcW w:w="1455" w:type="dxa"/>
            <w:tcBorders>
              <w:top w:val="nil"/>
              <w:left w:val="nil"/>
              <w:bottom w:val="single" w:sz="8" w:space="0" w:color="auto"/>
              <w:right w:val="single" w:sz="8" w:space="0" w:color="000000"/>
            </w:tcBorders>
            <w:vAlign w:val="center"/>
            <w:hideMark/>
          </w:tcPr>
          <w:p w14:paraId="3FAD3D24"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 xml:space="preserve">                                  -   € </w:t>
            </w:r>
          </w:p>
        </w:tc>
        <w:tc>
          <w:tcPr>
            <w:tcW w:w="1455" w:type="dxa"/>
            <w:tcBorders>
              <w:top w:val="nil"/>
              <w:left w:val="nil"/>
              <w:bottom w:val="single" w:sz="8" w:space="0" w:color="auto"/>
              <w:right w:val="single" w:sz="8" w:space="0" w:color="auto"/>
            </w:tcBorders>
            <w:vAlign w:val="center"/>
            <w:hideMark/>
          </w:tcPr>
          <w:p w14:paraId="740F76E6" w14:textId="77777777" w:rsidR="00DC419F" w:rsidRPr="00CF07EE" w:rsidRDefault="00DC419F" w:rsidP="003B24BE">
            <w:pPr>
              <w:jc w:val="center"/>
              <w:rPr>
                <w:rFonts w:asciiTheme="minorHAnsi" w:hAnsiTheme="minorHAnsi" w:cs="Calibri"/>
                <w:sz w:val="20"/>
                <w:szCs w:val="20"/>
              </w:rPr>
            </w:pPr>
            <w:r w:rsidRPr="00CF07EE">
              <w:rPr>
                <w:rFonts w:asciiTheme="minorHAnsi" w:hAnsiTheme="minorHAnsi" w:cs="Prompt Light"/>
                <w:sz w:val="20"/>
                <w:szCs w:val="20"/>
              </w:rPr>
              <w:t xml:space="preserve">                                  -   € </w:t>
            </w:r>
          </w:p>
        </w:tc>
      </w:tr>
    </w:tbl>
    <w:p w14:paraId="1BFD5DAC" w14:textId="3FF84341" w:rsidR="00DC419F" w:rsidRPr="00A74D23" w:rsidRDefault="00DC419F" w:rsidP="00DC419F">
      <w:pPr>
        <w:spacing w:line="22" w:lineRule="atLeast"/>
        <w:jc w:val="both"/>
        <w:rPr>
          <w:rFonts w:asciiTheme="minorHAnsi" w:hAnsiTheme="minorHAnsi" w:cs="Open Sans"/>
          <w:sz w:val="18"/>
          <w:szCs w:val="18"/>
          <w:lang w:val="fr-FR" w:eastAsia="fr-FR"/>
        </w:rPr>
      </w:pPr>
      <w:r w:rsidRPr="00A74D23">
        <w:rPr>
          <w:rFonts w:asciiTheme="minorHAnsi" w:hAnsiTheme="minorHAnsi" w:cs="Open Sans"/>
          <w:i/>
          <w:iCs/>
          <w:sz w:val="18"/>
          <w:szCs w:val="22"/>
          <w:lang w:val="fr-FR"/>
        </w:rPr>
        <w:t xml:space="preserve">Périmètre : Abeille </w:t>
      </w:r>
      <w:r>
        <w:rPr>
          <w:rFonts w:asciiTheme="minorHAnsi" w:hAnsiTheme="minorHAnsi" w:cs="Open Sans"/>
          <w:i/>
          <w:iCs/>
          <w:sz w:val="18"/>
          <w:szCs w:val="22"/>
          <w:lang w:val="fr-FR"/>
        </w:rPr>
        <w:t>Retraite Professionnelle</w:t>
      </w:r>
      <w:r w:rsidRPr="00A74D23">
        <w:rPr>
          <w:rFonts w:asciiTheme="minorHAnsi" w:hAnsiTheme="minorHAnsi" w:cs="Open Sans"/>
          <w:i/>
          <w:iCs/>
          <w:sz w:val="18"/>
          <w:szCs w:val="22"/>
          <w:lang w:val="fr-FR"/>
        </w:rPr>
        <w:t xml:space="preserve"> (périmètre fonds euros et Unités de Compte) au 31/12/2025</w:t>
      </w:r>
    </w:p>
    <w:p w14:paraId="61FF437C" w14:textId="77777777" w:rsidR="00DC419F" w:rsidRPr="00A74D23" w:rsidRDefault="00DC419F" w:rsidP="00DC419F">
      <w:pPr>
        <w:spacing w:line="22" w:lineRule="atLeast"/>
        <w:jc w:val="both"/>
        <w:rPr>
          <w:rFonts w:asciiTheme="minorHAnsi" w:hAnsiTheme="minorHAnsi" w:cs="Open Sans"/>
          <w:i/>
          <w:iCs/>
          <w:sz w:val="18"/>
          <w:szCs w:val="18"/>
          <w:lang w:val="fr-FR"/>
        </w:rPr>
      </w:pPr>
      <w:r w:rsidRPr="00A74D23">
        <w:rPr>
          <w:rFonts w:asciiTheme="minorHAnsi" w:hAnsiTheme="minorHAnsi" w:cs="Open Sans"/>
          <w:i/>
          <w:iCs/>
          <w:sz w:val="18"/>
          <w:szCs w:val="18"/>
          <w:lang w:val="fr-FR"/>
        </w:rPr>
        <w:t>Source : OFI Invest AM</w:t>
      </w:r>
    </w:p>
    <w:p w14:paraId="5DCA7C92" w14:textId="77777777" w:rsidR="00861F7F" w:rsidRPr="00A74D23" w:rsidRDefault="00861F7F" w:rsidP="009D6EE5">
      <w:pPr>
        <w:pStyle w:val="Paragraphedeliste"/>
        <w:spacing w:after="0" w:line="22" w:lineRule="atLeast"/>
        <w:ind w:left="0"/>
        <w:jc w:val="both"/>
        <w:rPr>
          <w:rFonts w:cs="Open Sans"/>
          <w:sz w:val="20"/>
        </w:rPr>
      </w:pPr>
    </w:p>
    <w:p w14:paraId="06A75AFF" w14:textId="77777777" w:rsidR="00F24FA6" w:rsidRDefault="00F24FA6" w:rsidP="009D6EE5">
      <w:pPr>
        <w:spacing w:line="22" w:lineRule="atLeast"/>
        <w:jc w:val="both"/>
        <w:rPr>
          <w:rFonts w:asciiTheme="minorHAnsi" w:hAnsiTheme="minorHAnsi" w:cs="Open Sans"/>
          <w:sz w:val="20"/>
          <w:lang w:val="fr-FR"/>
        </w:rPr>
      </w:pPr>
    </w:p>
    <w:p w14:paraId="037C9399" w14:textId="77777777" w:rsidR="00DC419F" w:rsidRDefault="00DC419F" w:rsidP="009D6EE5">
      <w:pPr>
        <w:spacing w:line="22" w:lineRule="atLeast"/>
        <w:jc w:val="both"/>
        <w:rPr>
          <w:rFonts w:asciiTheme="minorHAnsi" w:hAnsiTheme="minorHAnsi" w:cs="Open Sans"/>
          <w:sz w:val="20"/>
          <w:lang w:val="fr-FR"/>
        </w:rPr>
      </w:pPr>
    </w:p>
    <w:p w14:paraId="209C5763" w14:textId="77777777" w:rsidR="00DC419F" w:rsidRPr="00A74D23" w:rsidRDefault="00DC419F" w:rsidP="009D6EE5">
      <w:pPr>
        <w:spacing w:line="22" w:lineRule="atLeast"/>
        <w:jc w:val="both"/>
        <w:rPr>
          <w:rFonts w:asciiTheme="minorHAnsi" w:hAnsiTheme="minorHAnsi" w:cs="Open Sans"/>
          <w:sz w:val="20"/>
          <w:lang w:val="fr-FR"/>
        </w:rPr>
      </w:pPr>
    </w:p>
    <w:p w14:paraId="51AA7AF4" w14:textId="31F2FCB9" w:rsidR="00E364D4" w:rsidRPr="00D94E57" w:rsidRDefault="0056605E" w:rsidP="009D6EE5">
      <w:pPr>
        <w:spacing w:line="22" w:lineRule="atLeast"/>
        <w:jc w:val="both"/>
        <w:rPr>
          <w:rFonts w:asciiTheme="minorHAnsi" w:hAnsiTheme="minorHAnsi" w:cs="Open Sans"/>
          <w:sz w:val="20"/>
          <w:szCs w:val="20"/>
          <w:lang w:val="fr-FR"/>
        </w:rPr>
      </w:pPr>
      <w:r w:rsidRPr="00D94E57">
        <w:rPr>
          <w:rFonts w:asciiTheme="minorHAnsi" w:hAnsiTheme="minorHAnsi" w:cs="Open Sans"/>
          <w:sz w:val="20"/>
          <w:szCs w:val="20"/>
          <w:lang w:val="fr-FR"/>
        </w:rPr>
        <w:t>La</w:t>
      </w:r>
      <w:r w:rsidR="00ED23EE" w:rsidRPr="00D94E57">
        <w:rPr>
          <w:rFonts w:asciiTheme="minorHAnsi" w:hAnsiTheme="minorHAnsi" w:cs="Open Sans"/>
          <w:sz w:val="20"/>
          <w:szCs w:val="20"/>
          <w:lang w:val="fr-FR"/>
        </w:rPr>
        <w:t xml:space="preserve"> ventilation des actifs associés au nucléaire et gaz</w:t>
      </w:r>
      <w:r w:rsidR="00EC0F61" w:rsidRPr="00D94E57">
        <w:rPr>
          <w:rFonts w:asciiTheme="minorHAnsi" w:hAnsiTheme="minorHAnsi" w:cs="Open Sans"/>
          <w:sz w:val="20"/>
          <w:szCs w:val="20"/>
          <w:lang w:val="fr-FR"/>
        </w:rPr>
        <w:t xml:space="preserve"> </w:t>
      </w:r>
      <w:r w:rsidR="00DF5C70" w:rsidRPr="00D94E57">
        <w:rPr>
          <w:rFonts w:asciiTheme="minorHAnsi" w:hAnsiTheme="minorHAnsi" w:cs="Open Sans"/>
          <w:sz w:val="20"/>
          <w:szCs w:val="20"/>
          <w:lang w:val="fr-FR"/>
        </w:rPr>
        <w:t>figure en annexe, conformément à la publication de l’an passé.</w:t>
      </w:r>
    </w:p>
    <w:p w14:paraId="51385E16" w14:textId="77777777" w:rsidR="00423608" w:rsidRPr="00A74D23" w:rsidRDefault="00423608" w:rsidP="009D6EE5">
      <w:pPr>
        <w:spacing w:line="22" w:lineRule="atLeast"/>
        <w:jc w:val="both"/>
        <w:rPr>
          <w:rFonts w:asciiTheme="minorHAnsi" w:hAnsiTheme="minorHAnsi"/>
          <w:lang w:val="fr-FR"/>
        </w:rPr>
      </w:pPr>
    </w:p>
    <w:p w14:paraId="68112CE4" w14:textId="77777777" w:rsidR="00251E65" w:rsidRPr="00A74D23" w:rsidRDefault="00251E65" w:rsidP="009D6EE5">
      <w:pPr>
        <w:spacing w:line="22" w:lineRule="atLeast"/>
        <w:jc w:val="both"/>
        <w:rPr>
          <w:rFonts w:asciiTheme="minorHAnsi" w:hAnsiTheme="minorHAnsi"/>
          <w:lang w:val="fr-FR"/>
        </w:rPr>
      </w:pPr>
    </w:p>
    <w:p w14:paraId="249C3935" w14:textId="77777777" w:rsidR="00AA0D3D" w:rsidRPr="00A74D23" w:rsidRDefault="00AA0D3D" w:rsidP="00590DD1">
      <w:pPr>
        <w:pStyle w:val="StyleYO"/>
        <w:numPr>
          <w:ilvl w:val="0"/>
          <w:numId w:val="72"/>
        </w:numPr>
        <w:spacing w:line="22" w:lineRule="atLeast"/>
        <w:jc w:val="both"/>
      </w:pPr>
      <w:bookmarkStart w:id="71" w:name="_Toc231337014"/>
      <w:r w:rsidRPr="00A74D23">
        <w:t>Diminuer notre part d’investissement dans les énergies fossiles</w:t>
      </w:r>
      <w:bookmarkEnd w:id="71"/>
    </w:p>
    <w:p w14:paraId="3109FB05" w14:textId="77777777" w:rsidR="00AA0D3D" w:rsidRPr="00A74D23" w:rsidRDefault="00AA0D3D" w:rsidP="009D6EE5">
      <w:pPr>
        <w:spacing w:line="22" w:lineRule="atLeast"/>
        <w:jc w:val="both"/>
        <w:rPr>
          <w:rFonts w:asciiTheme="minorHAnsi" w:hAnsiTheme="minorHAnsi"/>
          <w:lang w:val="fr-FR"/>
        </w:rPr>
      </w:pPr>
    </w:p>
    <w:p w14:paraId="643EB798" w14:textId="209363AE" w:rsidR="002A2E42" w:rsidRPr="00A74D23" w:rsidRDefault="00881D0D" w:rsidP="002E7AE9">
      <w:pPr>
        <w:spacing w:after="120" w:line="22" w:lineRule="atLeast"/>
        <w:jc w:val="both"/>
        <w:rPr>
          <w:rFonts w:asciiTheme="minorHAnsi" w:hAnsiTheme="minorHAnsi" w:cs="Open Sans"/>
          <w:b/>
          <w:bCs/>
          <w:color w:val="000000" w:themeColor="text1"/>
          <w:sz w:val="20"/>
          <w:szCs w:val="20"/>
          <w:lang w:val="fr-FR"/>
        </w:rPr>
      </w:pPr>
      <w:r w:rsidRPr="00A74D23">
        <w:rPr>
          <w:rFonts w:asciiTheme="minorHAnsi" w:hAnsiTheme="minorHAnsi" w:cs="Open Sans"/>
          <w:sz w:val="20"/>
          <w:szCs w:val="20"/>
          <w:lang w:val="fr-FR"/>
        </w:rPr>
        <w:t>Afin de réduire progressivement notre exposition aux activités les plus polluantes, nous avons mis en place des politiques d’exclusion visant les activités les plus dommageables pour l’environnement, telles que le charbon, les hydrocarbures, l’huile de palme ou les biocides. Ces politiques s’inscrivent dans une logique d’amélioration continue et sont régulièrement renforcées, avec des seuils d’exposition de plus en plus stricts, afin de respecter nos engagements de réduction de l’empreinte carbone.</w:t>
      </w:r>
    </w:p>
    <w:p w14:paraId="7A7FE4CE" w14:textId="235193B8" w:rsidR="002E7ABC" w:rsidRPr="00A74D23" w:rsidRDefault="00542AD8" w:rsidP="009D6EE5">
      <w:pPr>
        <w:spacing w:after="120"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La part</w:t>
      </w:r>
      <w:r w:rsidR="00C84FFB" w:rsidRPr="00A74D23">
        <w:rPr>
          <w:rFonts w:asciiTheme="minorHAnsi" w:hAnsiTheme="minorHAnsi" w:cs="Open Sans"/>
          <w:sz w:val="20"/>
          <w:szCs w:val="20"/>
          <w:lang w:val="fr-FR"/>
        </w:rPr>
        <w:t xml:space="preserve"> brune</w:t>
      </w:r>
      <w:r w:rsidR="001C31C4" w:rsidRPr="00A74D23">
        <w:rPr>
          <w:rFonts w:asciiTheme="minorHAnsi" w:hAnsiTheme="minorHAnsi" w:cs="Open Sans"/>
          <w:sz w:val="20"/>
          <w:szCs w:val="20"/>
          <w:lang w:val="fr-FR"/>
        </w:rPr>
        <w:t> </w:t>
      </w:r>
      <w:r w:rsidR="00533313" w:rsidRPr="00A74D23">
        <w:rPr>
          <w:rFonts w:asciiTheme="minorHAnsi" w:hAnsiTheme="minorHAnsi" w:cs="Open Sans"/>
          <w:sz w:val="20"/>
          <w:szCs w:val="20"/>
          <w:lang w:val="fr-FR"/>
        </w:rPr>
        <w:t xml:space="preserve">est </w:t>
      </w:r>
      <w:r w:rsidR="001F61B2" w:rsidRPr="00A74D23">
        <w:rPr>
          <w:rFonts w:asciiTheme="minorHAnsi" w:hAnsiTheme="minorHAnsi" w:cs="Open Sans"/>
          <w:sz w:val="20"/>
          <w:szCs w:val="20"/>
          <w:lang w:val="fr-FR"/>
        </w:rPr>
        <w:t>la part de</w:t>
      </w:r>
      <w:r w:rsidR="00533313" w:rsidRPr="00A74D23">
        <w:rPr>
          <w:rFonts w:asciiTheme="minorHAnsi" w:hAnsiTheme="minorHAnsi" w:cs="Open Sans"/>
          <w:sz w:val="20"/>
          <w:szCs w:val="20"/>
          <w:lang w:val="fr-FR"/>
        </w:rPr>
        <w:t xml:space="preserve"> nos</w:t>
      </w:r>
      <w:r w:rsidR="001F61B2" w:rsidRPr="00A74D23">
        <w:rPr>
          <w:rFonts w:asciiTheme="minorHAnsi" w:hAnsiTheme="minorHAnsi" w:cs="Open Sans"/>
          <w:sz w:val="20"/>
          <w:szCs w:val="20"/>
          <w:lang w:val="fr-FR"/>
        </w:rPr>
        <w:t xml:space="preserve"> encours</w:t>
      </w:r>
      <w:r w:rsidR="00533313" w:rsidRPr="00A74D23">
        <w:rPr>
          <w:rFonts w:asciiTheme="minorHAnsi" w:hAnsiTheme="minorHAnsi" w:cs="Open Sans"/>
          <w:sz w:val="20"/>
          <w:szCs w:val="20"/>
          <w:lang w:val="fr-FR"/>
        </w:rPr>
        <w:t xml:space="preserve"> investis</w:t>
      </w:r>
      <w:r w:rsidR="001F61B2" w:rsidRPr="00A74D23">
        <w:rPr>
          <w:rFonts w:asciiTheme="minorHAnsi" w:hAnsiTheme="minorHAnsi" w:cs="Open Sans"/>
          <w:sz w:val="20"/>
          <w:szCs w:val="20"/>
          <w:lang w:val="fr-FR"/>
        </w:rPr>
        <w:t xml:space="preserve"> dans les énergies fossiles, c'est-à</w:t>
      </w:r>
      <w:r w:rsidR="002E7ABC" w:rsidRPr="00A74D23">
        <w:rPr>
          <w:rFonts w:asciiTheme="minorHAnsi" w:hAnsiTheme="minorHAnsi" w:cs="Open Sans"/>
          <w:sz w:val="20"/>
          <w:szCs w:val="20"/>
          <w:lang w:val="fr-FR"/>
        </w:rPr>
        <w:t xml:space="preserve"> </w:t>
      </w:r>
      <w:r w:rsidR="001F61B2" w:rsidRPr="00A74D23">
        <w:rPr>
          <w:rFonts w:asciiTheme="minorHAnsi" w:hAnsiTheme="minorHAnsi" w:cs="Open Sans"/>
          <w:sz w:val="20"/>
          <w:szCs w:val="20"/>
          <w:lang w:val="fr-FR"/>
        </w:rPr>
        <w:t>dire</w:t>
      </w:r>
      <w:r w:rsidR="002571FF" w:rsidRPr="00A74D23">
        <w:rPr>
          <w:rFonts w:asciiTheme="minorHAnsi" w:hAnsiTheme="minorHAnsi" w:cs="Open Sans"/>
          <w:sz w:val="20"/>
          <w:szCs w:val="20"/>
          <w:lang w:val="fr-FR"/>
        </w:rPr>
        <w:t xml:space="preserve"> </w:t>
      </w:r>
      <w:r w:rsidR="00290E2C" w:rsidRPr="00A74D23">
        <w:rPr>
          <w:rFonts w:asciiTheme="minorHAnsi" w:hAnsiTheme="minorHAnsi" w:cs="Open Sans"/>
          <w:sz w:val="20"/>
          <w:szCs w:val="20"/>
          <w:lang w:val="fr-FR"/>
        </w:rPr>
        <w:t xml:space="preserve">investis dans des </w:t>
      </w:r>
      <w:r w:rsidR="002571FF" w:rsidRPr="00A74D23">
        <w:rPr>
          <w:rFonts w:asciiTheme="minorHAnsi" w:hAnsiTheme="minorHAnsi" w:cs="Open Sans"/>
          <w:sz w:val="20"/>
          <w:szCs w:val="20"/>
          <w:lang w:val="fr-FR"/>
        </w:rPr>
        <w:t xml:space="preserve">entreprises </w:t>
      </w:r>
      <w:r w:rsidR="002E7ABC" w:rsidRPr="00A74D23">
        <w:rPr>
          <w:rFonts w:asciiTheme="minorHAnsi" w:hAnsiTheme="minorHAnsi" w:cs="Open Sans"/>
          <w:sz w:val="20"/>
          <w:szCs w:val="20"/>
          <w:lang w:val="fr-FR"/>
        </w:rPr>
        <w:t>ayant des activités</w:t>
      </w:r>
      <w:r w:rsidR="001F61B2" w:rsidRPr="00A74D23">
        <w:rPr>
          <w:rFonts w:asciiTheme="minorHAnsi" w:hAnsiTheme="minorHAnsi" w:cs="Open Sans"/>
          <w:sz w:val="20"/>
          <w:szCs w:val="20"/>
          <w:lang w:val="fr-FR"/>
        </w:rPr>
        <w:t xml:space="preserve"> : </w:t>
      </w:r>
    </w:p>
    <w:p w14:paraId="29E17F09" w14:textId="67CDDA09" w:rsidR="002E7ABC" w:rsidRPr="00A74D23" w:rsidRDefault="002E7ABC" w:rsidP="00590DD1">
      <w:pPr>
        <w:pStyle w:val="Paragraphedeliste"/>
        <w:numPr>
          <w:ilvl w:val="1"/>
          <w:numId w:val="21"/>
        </w:numPr>
        <w:spacing w:after="120" w:line="22" w:lineRule="atLeast"/>
        <w:contextualSpacing w:val="0"/>
        <w:jc w:val="both"/>
        <w:rPr>
          <w:rFonts w:cs="Open Sans"/>
          <w:sz w:val="20"/>
          <w:szCs w:val="20"/>
        </w:rPr>
      </w:pPr>
      <w:r w:rsidRPr="00A74D23">
        <w:rPr>
          <w:rFonts w:cs="Open Sans"/>
          <w:sz w:val="20"/>
          <w:szCs w:val="20"/>
        </w:rPr>
        <w:t>D’extraction</w:t>
      </w:r>
      <w:r w:rsidR="001F61B2" w:rsidRPr="00A74D23">
        <w:rPr>
          <w:rFonts w:cs="Open Sans"/>
          <w:sz w:val="20"/>
          <w:szCs w:val="20"/>
        </w:rPr>
        <w:t xml:space="preserve"> de pétrole ou de gaz conventionnel (plateforme pétrolière terrestre</w:t>
      </w:r>
      <w:r w:rsidR="00455B22" w:rsidRPr="00A74D23">
        <w:rPr>
          <w:rFonts w:cs="Open Sans"/>
          <w:sz w:val="20"/>
          <w:szCs w:val="20"/>
        </w:rPr>
        <w:t xml:space="preserve"> ou</w:t>
      </w:r>
      <w:r w:rsidR="001F61B2" w:rsidRPr="00A74D23">
        <w:rPr>
          <w:rFonts w:cs="Open Sans"/>
          <w:sz w:val="20"/>
          <w:szCs w:val="20"/>
        </w:rPr>
        <w:t xml:space="preserve"> en mer) ou non conventionnel</w:t>
      </w:r>
      <w:r w:rsidR="009C037F" w:rsidRPr="00A74D23">
        <w:rPr>
          <w:rFonts w:cs="Open Sans"/>
          <w:sz w:val="20"/>
          <w:szCs w:val="20"/>
        </w:rPr>
        <w:t xml:space="preserve"> </w:t>
      </w:r>
      <w:r w:rsidR="001F61B2" w:rsidRPr="00A74D23">
        <w:rPr>
          <w:rFonts w:cs="Open Sans"/>
          <w:sz w:val="20"/>
          <w:szCs w:val="20"/>
        </w:rPr>
        <w:t xml:space="preserve">(sables bitumineux, schistes bitumineux, gaz de schiste, pétrole de schiste, veine de charbon, méthane de houille) ; </w:t>
      </w:r>
    </w:p>
    <w:p w14:paraId="79292AE3" w14:textId="3C995CF6" w:rsidR="00455B22" w:rsidRPr="00A74D23" w:rsidRDefault="002E7ABC" w:rsidP="00590DD1">
      <w:pPr>
        <w:pStyle w:val="Paragraphedeliste"/>
        <w:numPr>
          <w:ilvl w:val="1"/>
          <w:numId w:val="21"/>
        </w:numPr>
        <w:spacing w:after="120" w:line="22" w:lineRule="atLeast"/>
        <w:contextualSpacing w:val="0"/>
        <w:jc w:val="both"/>
        <w:rPr>
          <w:rFonts w:cs="Open Sans"/>
          <w:sz w:val="20"/>
          <w:szCs w:val="20"/>
        </w:rPr>
      </w:pPr>
      <w:r w:rsidRPr="00A74D23">
        <w:rPr>
          <w:rFonts w:cs="Open Sans"/>
          <w:sz w:val="20"/>
          <w:szCs w:val="20"/>
        </w:rPr>
        <w:t xml:space="preserve">De </w:t>
      </w:r>
      <w:r w:rsidR="001F61B2" w:rsidRPr="00A74D23">
        <w:rPr>
          <w:rFonts w:cs="Open Sans"/>
          <w:sz w:val="20"/>
          <w:szCs w:val="20"/>
        </w:rPr>
        <w:t xml:space="preserve">raffinage de pétrole ou de gaz ; </w:t>
      </w:r>
    </w:p>
    <w:p w14:paraId="5296CF50" w14:textId="4F361354" w:rsidR="00455B22" w:rsidRPr="00A74D23" w:rsidRDefault="001F61B2" w:rsidP="00590DD1">
      <w:pPr>
        <w:pStyle w:val="Paragraphedeliste"/>
        <w:numPr>
          <w:ilvl w:val="1"/>
          <w:numId w:val="21"/>
        </w:numPr>
        <w:spacing w:after="120" w:line="22" w:lineRule="atLeast"/>
        <w:contextualSpacing w:val="0"/>
        <w:jc w:val="both"/>
        <w:rPr>
          <w:rFonts w:cs="Open Sans"/>
          <w:sz w:val="20"/>
          <w:szCs w:val="20"/>
        </w:rPr>
      </w:pPr>
      <w:r w:rsidRPr="00A74D23">
        <w:rPr>
          <w:rFonts w:cs="Open Sans"/>
          <w:sz w:val="20"/>
          <w:szCs w:val="20"/>
        </w:rPr>
        <w:t xml:space="preserve">De production d'électricité provenant de combustibles fossiles (charbon, pétrole, gaz) ; </w:t>
      </w:r>
    </w:p>
    <w:p w14:paraId="72DB803D" w14:textId="3DD0F9DE" w:rsidR="00F76DE2" w:rsidRPr="00A74D23" w:rsidRDefault="001F61B2" w:rsidP="00590DD1">
      <w:pPr>
        <w:pStyle w:val="Paragraphedeliste"/>
        <w:numPr>
          <w:ilvl w:val="1"/>
          <w:numId w:val="21"/>
        </w:numPr>
        <w:spacing w:after="120" w:line="22" w:lineRule="atLeast"/>
        <w:contextualSpacing w:val="0"/>
        <w:jc w:val="both"/>
        <w:rPr>
          <w:rFonts w:cs="Open Sans"/>
          <w:sz w:val="20"/>
          <w:szCs w:val="20"/>
        </w:rPr>
      </w:pPr>
      <w:r w:rsidRPr="00A74D23">
        <w:rPr>
          <w:rFonts w:cs="Open Sans"/>
          <w:sz w:val="20"/>
          <w:szCs w:val="20"/>
        </w:rPr>
        <w:t>D'extraction de charbon (lignite, charbon bitumineux, vapeur).</w:t>
      </w:r>
    </w:p>
    <w:p w14:paraId="6C67E6A1" w14:textId="77777777" w:rsidR="0055789F" w:rsidRPr="00A74D23" w:rsidRDefault="0055789F" w:rsidP="009D6EE5">
      <w:pPr>
        <w:spacing w:after="120" w:line="22" w:lineRule="atLeast"/>
        <w:jc w:val="both"/>
        <w:rPr>
          <w:rFonts w:asciiTheme="minorHAnsi" w:hAnsiTheme="minorHAnsi" w:cs="Open Sans"/>
          <w:sz w:val="18"/>
          <w:szCs w:val="18"/>
          <w:lang w:val="fr-FR"/>
        </w:rPr>
      </w:pPr>
    </w:p>
    <w:p w14:paraId="63F1E3E3" w14:textId="674DD194" w:rsidR="0055789F" w:rsidRPr="00492596" w:rsidRDefault="0055789F" w:rsidP="009D6EE5">
      <w:pPr>
        <w:spacing w:after="120" w:line="22" w:lineRule="atLeast"/>
        <w:jc w:val="both"/>
        <w:rPr>
          <w:rFonts w:asciiTheme="minorHAnsi" w:hAnsiTheme="minorHAnsi" w:cs="Open Sans"/>
          <w:b/>
          <w:bCs/>
          <w:lang w:val="fr-FR"/>
        </w:rPr>
      </w:pPr>
      <w:r w:rsidRPr="00A74D23">
        <w:rPr>
          <w:rFonts w:asciiTheme="minorHAnsi" w:hAnsiTheme="minorHAnsi" w:cs="Open Sans"/>
          <w:b/>
          <w:bCs/>
          <w:lang w:val="fr-FR"/>
        </w:rPr>
        <w:t>Exposition au charbon</w:t>
      </w:r>
      <w:r w:rsidR="006064FB" w:rsidRPr="00A74D23">
        <w:rPr>
          <w:rFonts w:asciiTheme="minorHAnsi" w:hAnsiTheme="minorHAnsi" w:cs="Open Sans"/>
          <w:b/>
          <w:bCs/>
          <w:lang w:val="fr-FR"/>
        </w:rPr>
        <w:t xml:space="preserve"> – </w:t>
      </w:r>
      <w:r w:rsidR="006064FB" w:rsidRPr="00A74D23">
        <w:rPr>
          <w:rFonts w:asciiTheme="minorHAnsi" w:hAnsiTheme="minorHAnsi" w:cs="Open Sans"/>
          <w:b/>
          <w:bCs/>
          <w:color w:val="000000" w:themeColor="text1"/>
          <w:lang w:val="fr-FR"/>
        </w:rPr>
        <w:t xml:space="preserve">Global Coal Exit List (CGEL) </w:t>
      </w:r>
      <w:r w:rsidR="006064FB" w:rsidRPr="00A74D23">
        <w:rPr>
          <w:rFonts w:asciiTheme="minorHAnsi" w:hAnsiTheme="minorHAnsi" w:cs="Open Sans"/>
          <w:b/>
          <w:bCs/>
          <w:lang w:val="fr-FR"/>
        </w:rPr>
        <w:t xml:space="preserve"> </w:t>
      </w:r>
    </w:p>
    <w:tbl>
      <w:tblPr>
        <w:tblStyle w:val="TableauGrille1Clair-Accentuation2"/>
        <w:tblW w:w="9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0"/>
        <w:gridCol w:w="1076"/>
        <w:gridCol w:w="1248"/>
        <w:gridCol w:w="1248"/>
        <w:gridCol w:w="1248"/>
      </w:tblGrid>
      <w:tr w:rsidR="006064FB" w:rsidRPr="00A74D23" w14:paraId="10978A25" w14:textId="77777777" w:rsidTr="00E36979">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290" w:type="dxa"/>
            <w:tcBorders>
              <w:top w:val="nil"/>
              <w:left w:val="nil"/>
              <w:bottom w:val="single" w:sz="4" w:space="0" w:color="auto"/>
              <w:right w:val="single" w:sz="4" w:space="0" w:color="auto"/>
            </w:tcBorders>
            <w:shd w:val="clear" w:color="auto" w:fill="FFFFFF" w:themeFill="background1"/>
            <w:noWrap/>
            <w:hideMark/>
          </w:tcPr>
          <w:p w14:paraId="03479BFD" w14:textId="77777777" w:rsidR="006064FB" w:rsidRPr="00A74D23" w:rsidRDefault="006064FB" w:rsidP="009D6EE5">
            <w:pPr>
              <w:spacing w:line="22" w:lineRule="atLeast"/>
              <w:jc w:val="both"/>
              <w:rPr>
                <w:rFonts w:asciiTheme="minorHAnsi" w:hAnsiTheme="minorHAnsi" w:cs="Open Sans"/>
                <w:b w:val="0"/>
                <w:bCs w:val="0"/>
                <w:color w:val="000000"/>
                <w:sz w:val="18"/>
                <w:szCs w:val="18"/>
                <w:lang w:val="fr-FR"/>
              </w:rPr>
            </w:pPr>
          </w:p>
        </w:tc>
        <w:tc>
          <w:tcPr>
            <w:tcW w:w="1076" w:type="dxa"/>
            <w:shd w:val="clear" w:color="auto" w:fill="FFD400" w:themeFill="accent1"/>
          </w:tcPr>
          <w:p w14:paraId="6D37E245" w14:textId="77777777" w:rsidR="006064FB" w:rsidRPr="00A74D23" w:rsidRDefault="006064FB" w:rsidP="009D6EE5">
            <w:pPr>
              <w:spacing w:line="22" w:lineRule="atLeast"/>
              <w:jc w:val="both"/>
              <w:cnfStyle w:val="100000000000" w:firstRow="1" w:lastRow="0" w:firstColumn="0" w:lastColumn="0" w:oddVBand="0" w:evenVBand="0" w:oddHBand="0" w:evenHBand="0" w:firstRowFirstColumn="0" w:firstRowLastColumn="0" w:lastRowFirstColumn="0" w:lastRowLastColumn="0"/>
              <w:rPr>
                <w:rFonts w:asciiTheme="minorHAnsi" w:hAnsiTheme="minorHAnsi" w:cs="Open Sans"/>
                <w:b w:val="0"/>
                <w:bCs w:val="0"/>
                <w:sz w:val="18"/>
                <w:szCs w:val="18"/>
                <w:lang w:eastAsia="fr-FR"/>
              </w:rPr>
            </w:pPr>
            <w:r w:rsidRPr="00A74D23">
              <w:rPr>
                <w:rFonts w:asciiTheme="minorHAnsi" w:hAnsiTheme="minorHAnsi" w:cs="Open Sans"/>
                <w:b w:val="0"/>
                <w:bCs w:val="0"/>
                <w:sz w:val="18"/>
                <w:szCs w:val="18"/>
              </w:rPr>
              <w:t>Exposition 2025 (m€)</w:t>
            </w:r>
          </w:p>
        </w:tc>
        <w:tc>
          <w:tcPr>
            <w:tcW w:w="1248" w:type="dxa"/>
            <w:shd w:val="clear" w:color="auto" w:fill="FFD400" w:themeFill="accent1"/>
          </w:tcPr>
          <w:p w14:paraId="13F0551A" w14:textId="77777777" w:rsidR="006064FB" w:rsidRPr="00A74D23" w:rsidRDefault="006064FB" w:rsidP="009D6EE5">
            <w:pPr>
              <w:spacing w:line="22" w:lineRule="atLeast"/>
              <w:jc w:val="both"/>
              <w:cnfStyle w:val="100000000000" w:firstRow="1" w:lastRow="0" w:firstColumn="0" w:lastColumn="0" w:oddVBand="0" w:evenVBand="0" w:oddHBand="0" w:evenHBand="0" w:firstRowFirstColumn="0" w:firstRowLastColumn="0" w:lastRowFirstColumn="0" w:lastRowLastColumn="0"/>
              <w:rPr>
                <w:rFonts w:asciiTheme="minorHAnsi" w:hAnsiTheme="minorHAnsi" w:cs="Open Sans"/>
                <w:b w:val="0"/>
                <w:bCs w:val="0"/>
                <w:sz w:val="18"/>
                <w:szCs w:val="18"/>
                <w:lang w:eastAsia="fr-FR"/>
              </w:rPr>
            </w:pPr>
            <w:r w:rsidRPr="00A74D23">
              <w:rPr>
                <w:rFonts w:asciiTheme="minorHAnsi" w:hAnsiTheme="minorHAnsi" w:cs="Open Sans"/>
                <w:b w:val="0"/>
                <w:bCs w:val="0"/>
                <w:sz w:val="18"/>
                <w:szCs w:val="18"/>
                <w:lang w:eastAsia="fr-FR"/>
              </w:rPr>
              <w:t>% 2025</w:t>
            </w:r>
          </w:p>
        </w:tc>
        <w:tc>
          <w:tcPr>
            <w:tcW w:w="1248" w:type="dxa"/>
            <w:shd w:val="clear" w:color="auto" w:fill="FFD400" w:themeFill="accent1"/>
          </w:tcPr>
          <w:p w14:paraId="05FD7D5F" w14:textId="77777777" w:rsidR="006064FB" w:rsidRPr="00A74D23" w:rsidRDefault="006064FB" w:rsidP="009D6EE5">
            <w:pPr>
              <w:spacing w:line="22" w:lineRule="atLeast"/>
              <w:jc w:val="both"/>
              <w:cnfStyle w:val="100000000000" w:firstRow="1" w:lastRow="0" w:firstColumn="0" w:lastColumn="0" w:oddVBand="0" w:evenVBand="0" w:oddHBand="0" w:evenHBand="0" w:firstRowFirstColumn="0" w:firstRowLastColumn="0" w:lastRowFirstColumn="0" w:lastRowLastColumn="0"/>
              <w:rPr>
                <w:rFonts w:asciiTheme="minorHAnsi" w:hAnsiTheme="minorHAnsi" w:cs="Open Sans"/>
                <w:b w:val="0"/>
                <w:bCs w:val="0"/>
                <w:sz w:val="18"/>
                <w:szCs w:val="18"/>
                <w:lang w:eastAsia="fr-FR"/>
              </w:rPr>
            </w:pPr>
            <w:r w:rsidRPr="00A74D23">
              <w:rPr>
                <w:rFonts w:asciiTheme="minorHAnsi" w:hAnsiTheme="minorHAnsi" w:cs="Open Sans"/>
                <w:b w:val="0"/>
                <w:bCs w:val="0"/>
                <w:sz w:val="18"/>
                <w:szCs w:val="18"/>
                <w:lang w:eastAsia="fr-FR"/>
              </w:rPr>
              <w:t>Exposition 2024 (m€)</w:t>
            </w:r>
          </w:p>
        </w:tc>
        <w:tc>
          <w:tcPr>
            <w:tcW w:w="1248" w:type="dxa"/>
            <w:shd w:val="clear" w:color="auto" w:fill="FFD400" w:themeFill="accent1"/>
          </w:tcPr>
          <w:p w14:paraId="68BF5E74" w14:textId="77777777" w:rsidR="006064FB" w:rsidRPr="00A74D23" w:rsidRDefault="006064FB" w:rsidP="009D6EE5">
            <w:pPr>
              <w:spacing w:line="22" w:lineRule="atLeast"/>
              <w:jc w:val="both"/>
              <w:cnfStyle w:val="100000000000" w:firstRow="1" w:lastRow="0" w:firstColumn="0" w:lastColumn="0" w:oddVBand="0" w:evenVBand="0" w:oddHBand="0" w:evenHBand="0" w:firstRowFirstColumn="0" w:firstRowLastColumn="0" w:lastRowFirstColumn="0" w:lastRowLastColumn="0"/>
              <w:rPr>
                <w:rFonts w:asciiTheme="minorHAnsi" w:hAnsiTheme="minorHAnsi" w:cs="Open Sans"/>
                <w:b w:val="0"/>
                <w:bCs w:val="0"/>
                <w:sz w:val="18"/>
                <w:szCs w:val="18"/>
                <w:lang w:eastAsia="fr-FR"/>
              </w:rPr>
            </w:pPr>
            <w:r w:rsidRPr="00A74D23">
              <w:rPr>
                <w:rFonts w:asciiTheme="minorHAnsi" w:hAnsiTheme="minorHAnsi" w:cs="Open Sans"/>
                <w:b w:val="0"/>
                <w:bCs w:val="0"/>
                <w:sz w:val="18"/>
                <w:szCs w:val="18"/>
                <w:lang w:eastAsia="fr-FR"/>
              </w:rPr>
              <w:t xml:space="preserve">% 2024 </w:t>
            </w:r>
          </w:p>
        </w:tc>
      </w:tr>
      <w:tr w:rsidR="006064FB" w:rsidRPr="00A74D23" w14:paraId="6910DC8B" w14:textId="77777777" w:rsidTr="00E36979">
        <w:trPr>
          <w:trHeight w:val="195"/>
        </w:trPr>
        <w:tc>
          <w:tcPr>
            <w:cnfStyle w:val="001000000000" w:firstRow="0" w:lastRow="0" w:firstColumn="1" w:lastColumn="0" w:oddVBand="0" w:evenVBand="0" w:oddHBand="0" w:evenHBand="0" w:firstRowFirstColumn="0" w:firstRowLastColumn="0" w:lastRowFirstColumn="0" w:lastRowLastColumn="0"/>
            <w:tcW w:w="4290" w:type="dxa"/>
            <w:tcBorders>
              <w:top w:val="single" w:sz="4" w:space="0" w:color="auto"/>
            </w:tcBorders>
            <w:noWrap/>
            <w:hideMark/>
          </w:tcPr>
          <w:p w14:paraId="209B668A" w14:textId="74A0B8AB" w:rsidR="006064FB" w:rsidRPr="00E00837" w:rsidRDefault="006064FB" w:rsidP="009D6EE5">
            <w:pPr>
              <w:spacing w:line="22" w:lineRule="atLeast"/>
              <w:jc w:val="both"/>
              <w:rPr>
                <w:rFonts w:asciiTheme="minorHAnsi" w:hAnsiTheme="minorHAnsi" w:cs="Open Sans"/>
                <w:b w:val="0"/>
                <w:bCs w:val="0"/>
                <w:sz w:val="18"/>
                <w:szCs w:val="18"/>
                <w:lang w:val="fr-FR" w:eastAsia="fr-FR"/>
              </w:rPr>
            </w:pPr>
            <w:r w:rsidRPr="00E00837">
              <w:rPr>
                <w:rFonts w:asciiTheme="minorHAnsi" w:hAnsiTheme="minorHAnsi" w:cs="Open Sans"/>
                <w:b w:val="0"/>
                <w:bCs w:val="0"/>
                <w:sz w:val="18"/>
                <w:szCs w:val="18"/>
                <w:lang w:val="fr-FR" w:eastAsia="fr-FR"/>
              </w:rPr>
              <w:t xml:space="preserve">Périmètre Abeille </w:t>
            </w:r>
            <w:r w:rsidR="00E00837" w:rsidRPr="00E00837">
              <w:rPr>
                <w:rFonts w:asciiTheme="minorHAnsi" w:hAnsiTheme="minorHAnsi" w:cs="Open Sans"/>
                <w:b w:val="0"/>
                <w:bCs w:val="0"/>
                <w:sz w:val="18"/>
                <w:szCs w:val="18"/>
                <w:lang w:val="fr-FR" w:eastAsia="fr-FR"/>
              </w:rPr>
              <w:t>Retraite Professionnelle</w:t>
            </w:r>
            <w:r w:rsidRPr="00E00837">
              <w:rPr>
                <w:rFonts w:asciiTheme="minorHAnsi" w:hAnsiTheme="minorHAnsi" w:cs="Open Sans"/>
                <w:b w:val="0"/>
                <w:bCs w:val="0"/>
                <w:sz w:val="18"/>
                <w:szCs w:val="18"/>
                <w:lang w:val="fr-FR" w:eastAsia="fr-FR"/>
              </w:rPr>
              <w:t xml:space="preserve"> mandats</w:t>
            </w:r>
          </w:p>
        </w:tc>
        <w:tc>
          <w:tcPr>
            <w:tcW w:w="1076" w:type="dxa"/>
            <w:vAlign w:val="center"/>
          </w:tcPr>
          <w:p w14:paraId="04B97F59" w14:textId="6C3474F9" w:rsidR="006064FB" w:rsidRPr="00A74D23" w:rsidRDefault="006064FB" w:rsidP="009D6EE5">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b/>
                <w:bCs/>
                <w:color w:val="000000"/>
                <w:sz w:val="22"/>
                <w:szCs w:val="22"/>
              </w:rPr>
            </w:pPr>
            <w:r w:rsidRPr="00A74D23">
              <w:rPr>
                <w:rFonts w:asciiTheme="minorHAnsi" w:hAnsiTheme="minorHAnsi" w:cs="Open Sans"/>
                <w:b/>
                <w:bCs/>
                <w:color w:val="000000"/>
                <w:sz w:val="22"/>
                <w:szCs w:val="22"/>
              </w:rPr>
              <w:t>3</w:t>
            </w:r>
            <w:r w:rsidR="00FB65B9">
              <w:rPr>
                <w:rFonts w:asciiTheme="minorHAnsi" w:hAnsiTheme="minorHAnsi" w:cs="Open Sans"/>
                <w:b/>
                <w:bCs/>
                <w:color w:val="000000"/>
                <w:sz w:val="22"/>
                <w:szCs w:val="22"/>
              </w:rPr>
              <w:t>,6</w:t>
            </w:r>
          </w:p>
        </w:tc>
        <w:tc>
          <w:tcPr>
            <w:tcW w:w="1248" w:type="dxa"/>
            <w:vAlign w:val="center"/>
          </w:tcPr>
          <w:p w14:paraId="5B572A2F" w14:textId="0579B651" w:rsidR="006064FB" w:rsidRPr="00A74D23" w:rsidRDefault="006064FB" w:rsidP="009D6EE5">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b/>
                <w:bCs/>
                <w:color w:val="000000"/>
                <w:sz w:val="22"/>
                <w:szCs w:val="22"/>
              </w:rPr>
            </w:pPr>
            <w:r w:rsidRPr="00A74D23">
              <w:rPr>
                <w:rFonts w:asciiTheme="minorHAnsi" w:hAnsiTheme="minorHAnsi" w:cs="Open Sans"/>
                <w:b/>
                <w:bCs/>
                <w:color w:val="000000"/>
                <w:sz w:val="22"/>
                <w:szCs w:val="22"/>
              </w:rPr>
              <w:t>0,</w:t>
            </w:r>
            <w:r w:rsidR="00FB65B9">
              <w:rPr>
                <w:rFonts w:asciiTheme="minorHAnsi" w:hAnsiTheme="minorHAnsi" w:cs="Open Sans"/>
                <w:b/>
                <w:bCs/>
                <w:color w:val="000000"/>
                <w:sz w:val="22"/>
                <w:szCs w:val="22"/>
              </w:rPr>
              <w:t>1</w:t>
            </w:r>
            <w:r w:rsidRPr="00A74D23">
              <w:rPr>
                <w:rFonts w:asciiTheme="minorHAnsi" w:hAnsiTheme="minorHAnsi" w:cs="Open Sans"/>
                <w:b/>
                <w:bCs/>
                <w:color w:val="000000"/>
                <w:sz w:val="22"/>
                <w:szCs w:val="22"/>
              </w:rPr>
              <w:t>%</w:t>
            </w:r>
          </w:p>
        </w:tc>
        <w:tc>
          <w:tcPr>
            <w:tcW w:w="1248" w:type="dxa"/>
          </w:tcPr>
          <w:p w14:paraId="39FA3766" w14:textId="277320C3" w:rsidR="006064FB" w:rsidRPr="00A74D23" w:rsidRDefault="006064FB" w:rsidP="009D6EE5">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color w:val="000000"/>
                <w:sz w:val="18"/>
                <w:szCs w:val="18"/>
              </w:rPr>
            </w:pPr>
            <w:r w:rsidRPr="00A74D23">
              <w:rPr>
                <w:rFonts w:asciiTheme="minorHAnsi" w:hAnsiTheme="minorHAnsi" w:cs="Open Sans"/>
                <w:color w:val="000000"/>
                <w:sz w:val="18"/>
                <w:szCs w:val="18"/>
              </w:rPr>
              <w:t>3</w:t>
            </w:r>
          </w:p>
        </w:tc>
        <w:tc>
          <w:tcPr>
            <w:tcW w:w="1248" w:type="dxa"/>
          </w:tcPr>
          <w:p w14:paraId="4F2C143A" w14:textId="0F7D2631" w:rsidR="006064FB" w:rsidRPr="00A74D23" w:rsidRDefault="006064FB" w:rsidP="009D6EE5">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color w:val="000000"/>
                <w:sz w:val="18"/>
                <w:szCs w:val="18"/>
              </w:rPr>
            </w:pPr>
            <w:r w:rsidRPr="00A74D23">
              <w:rPr>
                <w:rFonts w:asciiTheme="minorHAnsi" w:hAnsiTheme="minorHAnsi" w:cs="Open Sans"/>
                <w:color w:val="000000"/>
                <w:sz w:val="18"/>
                <w:szCs w:val="18"/>
              </w:rPr>
              <w:t>0,0</w:t>
            </w:r>
            <w:r w:rsidR="00E00837">
              <w:rPr>
                <w:rFonts w:asciiTheme="minorHAnsi" w:hAnsiTheme="minorHAnsi" w:cs="Open Sans"/>
                <w:color w:val="000000"/>
                <w:sz w:val="18"/>
                <w:szCs w:val="18"/>
              </w:rPr>
              <w:t>7</w:t>
            </w:r>
            <w:r w:rsidRPr="00A74D23">
              <w:rPr>
                <w:rFonts w:asciiTheme="minorHAnsi" w:hAnsiTheme="minorHAnsi" w:cs="Open Sans"/>
                <w:color w:val="000000"/>
                <w:sz w:val="18"/>
                <w:szCs w:val="18"/>
              </w:rPr>
              <w:t>%</w:t>
            </w:r>
          </w:p>
        </w:tc>
      </w:tr>
      <w:tr w:rsidR="006064FB" w:rsidRPr="00A74D23" w14:paraId="4262291C" w14:textId="77777777" w:rsidTr="00E36979">
        <w:trPr>
          <w:trHeight w:val="90"/>
        </w:trPr>
        <w:tc>
          <w:tcPr>
            <w:cnfStyle w:val="001000000000" w:firstRow="0" w:lastRow="0" w:firstColumn="1" w:lastColumn="0" w:oddVBand="0" w:evenVBand="0" w:oddHBand="0" w:evenHBand="0" w:firstRowFirstColumn="0" w:firstRowLastColumn="0" w:lastRowFirstColumn="0" w:lastRowLastColumn="0"/>
            <w:tcW w:w="4290" w:type="dxa"/>
            <w:noWrap/>
            <w:hideMark/>
          </w:tcPr>
          <w:p w14:paraId="46E9BAC7" w14:textId="717A12A2" w:rsidR="006064FB" w:rsidRPr="00A74D23" w:rsidRDefault="00E36979" w:rsidP="009D6EE5">
            <w:pPr>
              <w:spacing w:line="22" w:lineRule="atLeast"/>
              <w:jc w:val="both"/>
              <w:rPr>
                <w:rFonts w:asciiTheme="minorHAnsi" w:hAnsiTheme="minorHAnsi" w:cs="Open Sans"/>
                <w:b w:val="0"/>
                <w:bCs w:val="0"/>
                <w:color w:val="000000"/>
                <w:sz w:val="18"/>
                <w:szCs w:val="18"/>
                <w:lang w:val="fr-FR"/>
              </w:rPr>
            </w:pPr>
            <w:r w:rsidRPr="00A74D23">
              <w:rPr>
                <w:rFonts w:asciiTheme="minorHAnsi" w:hAnsiTheme="minorHAnsi" w:cs="Open Sans"/>
                <w:b w:val="0"/>
                <w:bCs w:val="0"/>
                <w:sz w:val="18"/>
                <w:szCs w:val="18"/>
                <w:lang w:val="fr-FR" w:eastAsia="fr-FR"/>
              </w:rPr>
              <w:t xml:space="preserve">Périmètre </w:t>
            </w:r>
            <w:r w:rsidR="00E00837" w:rsidRPr="00E00837">
              <w:rPr>
                <w:rFonts w:asciiTheme="minorHAnsi" w:hAnsiTheme="minorHAnsi" w:cs="Open Sans"/>
                <w:b w:val="0"/>
                <w:bCs w:val="0"/>
                <w:sz w:val="18"/>
                <w:szCs w:val="18"/>
                <w:lang w:val="fr-FR" w:eastAsia="fr-FR"/>
              </w:rPr>
              <w:t xml:space="preserve">Abeille Retraite Professionnelle </w:t>
            </w:r>
            <w:r w:rsidRPr="00A74D23">
              <w:rPr>
                <w:rFonts w:asciiTheme="minorHAnsi" w:hAnsiTheme="minorHAnsi" w:cs="Open Sans"/>
                <w:b w:val="0"/>
                <w:bCs w:val="0"/>
                <w:sz w:val="18"/>
                <w:szCs w:val="18"/>
                <w:lang w:val="fr-FR" w:eastAsia="fr-FR"/>
              </w:rPr>
              <w:t>Unités de compte</w:t>
            </w:r>
          </w:p>
        </w:tc>
        <w:tc>
          <w:tcPr>
            <w:tcW w:w="1076" w:type="dxa"/>
            <w:vAlign w:val="center"/>
          </w:tcPr>
          <w:p w14:paraId="0FAF4EEB" w14:textId="7FA92707" w:rsidR="006064FB" w:rsidRPr="00A74D23" w:rsidRDefault="00FB65B9" w:rsidP="009D6EE5">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b/>
                <w:bCs/>
                <w:color w:val="000000"/>
                <w:sz w:val="22"/>
                <w:szCs w:val="22"/>
              </w:rPr>
            </w:pPr>
            <w:r>
              <w:rPr>
                <w:rFonts w:asciiTheme="minorHAnsi" w:hAnsiTheme="minorHAnsi" w:cs="Open Sans"/>
                <w:b/>
                <w:bCs/>
                <w:color w:val="000000"/>
                <w:sz w:val="22"/>
                <w:szCs w:val="22"/>
              </w:rPr>
              <w:t>7</w:t>
            </w:r>
          </w:p>
        </w:tc>
        <w:tc>
          <w:tcPr>
            <w:tcW w:w="1248" w:type="dxa"/>
            <w:vAlign w:val="center"/>
          </w:tcPr>
          <w:p w14:paraId="5373530E" w14:textId="191B0AAB" w:rsidR="006064FB" w:rsidRPr="00A74D23" w:rsidRDefault="006064FB" w:rsidP="009D6EE5">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b/>
                <w:bCs/>
                <w:color w:val="000000"/>
                <w:sz w:val="22"/>
                <w:szCs w:val="22"/>
              </w:rPr>
            </w:pPr>
            <w:r w:rsidRPr="00A74D23">
              <w:rPr>
                <w:rFonts w:asciiTheme="minorHAnsi" w:hAnsiTheme="minorHAnsi" w:cs="Open Sans"/>
                <w:b/>
                <w:bCs/>
                <w:color w:val="000000"/>
                <w:sz w:val="22"/>
                <w:szCs w:val="22"/>
              </w:rPr>
              <w:t>0,</w:t>
            </w:r>
            <w:r w:rsidR="00FB65B9">
              <w:rPr>
                <w:rFonts w:asciiTheme="minorHAnsi" w:hAnsiTheme="minorHAnsi" w:cs="Open Sans"/>
                <w:b/>
                <w:bCs/>
                <w:color w:val="000000"/>
                <w:sz w:val="22"/>
                <w:szCs w:val="22"/>
              </w:rPr>
              <w:t>14</w:t>
            </w:r>
            <w:r w:rsidRPr="00A74D23">
              <w:rPr>
                <w:rFonts w:asciiTheme="minorHAnsi" w:hAnsiTheme="minorHAnsi" w:cs="Open Sans"/>
                <w:b/>
                <w:bCs/>
                <w:color w:val="000000"/>
                <w:sz w:val="22"/>
                <w:szCs w:val="22"/>
              </w:rPr>
              <w:t>%</w:t>
            </w:r>
          </w:p>
        </w:tc>
        <w:tc>
          <w:tcPr>
            <w:tcW w:w="1248" w:type="dxa"/>
          </w:tcPr>
          <w:p w14:paraId="0A461715" w14:textId="1286A85F" w:rsidR="006064FB" w:rsidRPr="00A74D23" w:rsidRDefault="00E00837" w:rsidP="009D6EE5">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color w:val="000000"/>
                <w:sz w:val="18"/>
                <w:szCs w:val="18"/>
              </w:rPr>
            </w:pPr>
            <w:r>
              <w:rPr>
                <w:rFonts w:asciiTheme="minorHAnsi" w:hAnsiTheme="minorHAnsi" w:cs="Open Sans"/>
                <w:color w:val="000000"/>
                <w:sz w:val="18"/>
                <w:szCs w:val="18"/>
              </w:rPr>
              <w:t>5</w:t>
            </w:r>
          </w:p>
        </w:tc>
        <w:tc>
          <w:tcPr>
            <w:tcW w:w="1248" w:type="dxa"/>
          </w:tcPr>
          <w:p w14:paraId="3DF02FAF" w14:textId="2E26D098" w:rsidR="006064FB" w:rsidRPr="00A74D23" w:rsidRDefault="006064FB" w:rsidP="009D6EE5">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color w:val="000000"/>
                <w:sz w:val="18"/>
                <w:szCs w:val="18"/>
              </w:rPr>
            </w:pPr>
            <w:r w:rsidRPr="00A74D23">
              <w:rPr>
                <w:rFonts w:asciiTheme="minorHAnsi" w:hAnsiTheme="minorHAnsi" w:cs="Open Sans"/>
                <w:color w:val="000000"/>
                <w:sz w:val="18"/>
                <w:szCs w:val="18"/>
              </w:rPr>
              <w:t>0,</w:t>
            </w:r>
            <w:r w:rsidR="00E00837">
              <w:rPr>
                <w:rFonts w:asciiTheme="minorHAnsi" w:hAnsiTheme="minorHAnsi" w:cs="Open Sans"/>
                <w:color w:val="000000"/>
                <w:sz w:val="18"/>
                <w:szCs w:val="18"/>
              </w:rPr>
              <w:t>12</w:t>
            </w:r>
            <w:r w:rsidRPr="00A74D23">
              <w:rPr>
                <w:rFonts w:asciiTheme="minorHAnsi" w:hAnsiTheme="minorHAnsi" w:cs="Open Sans"/>
                <w:color w:val="000000"/>
                <w:sz w:val="18"/>
                <w:szCs w:val="18"/>
              </w:rPr>
              <w:t>%</w:t>
            </w:r>
          </w:p>
        </w:tc>
      </w:tr>
    </w:tbl>
    <w:p w14:paraId="129DDB87" w14:textId="108BD797" w:rsidR="00152F77" w:rsidRPr="00A74D23" w:rsidRDefault="00152F77" w:rsidP="009D6EE5">
      <w:pPr>
        <w:spacing w:line="22" w:lineRule="atLeast"/>
        <w:jc w:val="both"/>
        <w:rPr>
          <w:rFonts w:asciiTheme="minorHAnsi" w:hAnsiTheme="minorHAnsi" w:cs="Open Sans"/>
          <w:i/>
          <w:iCs/>
          <w:sz w:val="18"/>
          <w:szCs w:val="18"/>
          <w:lang w:val="fr-FR" w:eastAsia="fr-FR"/>
        </w:rPr>
      </w:pPr>
      <w:r w:rsidRPr="00A74D23">
        <w:rPr>
          <w:rFonts w:asciiTheme="minorHAnsi" w:hAnsiTheme="minorHAnsi" w:cs="Open Sans"/>
          <w:i/>
          <w:iCs/>
          <w:sz w:val="18"/>
          <w:szCs w:val="18"/>
          <w:lang w:val="fr-FR"/>
        </w:rPr>
        <w:t xml:space="preserve">Périmètre : Portefeuille </w:t>
      </w:r>
      <w:r w:rsidR="00E00837" w:rsidRPr="00E00837">
        <w:rPr>
          <w:rFonts w:asciiTheme="minorHAnsi" w:hAnsiTheme="minorHAnsi" w:cs="Open Sans"/>
          <w:i/>
          <w:iCs/>
          <w:sz w:val="18"/>
          <w:szCs w:val="18"/>
          <w:lang w:val="fr-FR"/>
        </w:rPr>
        <w:t xml:space="preserve">Abeille Retraite Professionnelle </w:t>
      </w:r>
      <w:r w:rsidR="00365674">
        <w:rPr>
          <w:rFonts w:asciiTheme="minorHAnsi" w:hAnsiTheme="minorHAnsi" w:cs="Open Sans"/>
          <w:i/>
          <w:iCs/>
          <w:sz w:val="18"/>
          <w:szCs w:val="18"/>
          <w:lang w:val="fr-FR"/>
        </w:rPr>
        <w:t>consolidé</w:t>
      </w:r>
      <w:r w:rsidRPr="00A74D23">
        <w:rPr>
          <w:rFonts w:asciiTheme="minorHAnsi" w:hAnsiTheme="minorHAnsi" w:cs="Open Sans"/>
          <w:i/>
          <w:iCs/>
          <w:sz w:val="18"/>
          <w:szCs w:val="18"/>
          <w:lang w:val="fr-FR"/>
        </w:rPr>
        <w:t xml:space="preserve">, </w:t>
      </w:r>
      <w:r w:rsidRPr="00A74D23">
        <w:rPr>
          <w:rFonts w:asciiTheme="minorHAnsi" w:hAnsiTheme="minorHAnsi" w:cs="Open Sans"/>
          <w:i/>
          <w:iCs/>
          <w:sz w:val="18"/>
          <w:szCs w:val="18"/>
          <w:lang w:val="fr-FR" w:eastAsia="fr-FR"/>
        </w:rPr>
        <w:t>investissements transparisés au 31/12/2024 et 31/12/2025</w:t>
      </w:r>
    </w:p>
    <w:p w14:paraId="4CFB8E74" w14:textId="77777777" w:rsidR="00152F77" w:rsidRPr="00A74D23" w:rsidRDefault="00152F77" w:rsidP="009D6EE5">
      <w:pPr>
        <w:spacing w:line="22" w:lineRule="atLeast"/>
        <w:jc w:val="both"/>
        <w:rPr>
          <w:rFonts w:asciiTheme="minorHAnsi" w:hAnsiTheme="minorHAnsi" w:cs="Open Sans"/>
          <w:i/>
          <w:iCs/>
          <w:sz w:val="18"/>
          <w:szCs w:val="18"/>
          <w:lang w:val="fr-FR" w:eastAsia="fr-FR"/>
        </w:rPr>
      </w:pPr>
      <w:r w:rsidRPr="00A74D23">
        <w:rPr>
          <w:rFonts w:asciiTheme="minorHAnsi" w:hAnsiTheme="minorHAnsi" w:cs="Open Sans"/>
          <w:i/>
          <w:iCs/>
          <w:sz w:val="18"/>
          <w:szCs w:val="18"/>
          <w:lang w:val="fr-FR" w:eastAsia="fr-FR"/>
        </w:rPr>
        <w:t xml:space="preserve">Source : Abeille Assurances </w:t>
      </w:r>
    </w:p>
    <w:p w14:paraId="21D1A7EE" w14:textId="77777777" w:rsidR="006064FB" w:rsidRPr="00A74D23" w:rsidRDefault="006064FB" w:rsidP="009D6EE5">
      <w:pPr>
        <w:spacing w:after="120" w:line="22" w:lineRule="atLeast"/>
        <w:jc w:val="both"/>
        <w:rPr>
          <w:rFonts w:asciiTheme="minorHAnsi" w:hAnsiTheme="minorHAnsi" w:cs="Open Sans"/>
          <w:b/>
          <w:bCs/>
          <w:color w:val="000000" w:themeColor="text1"/>
          <w:lang w:val="fr-FR"/>
        </w:rPr>
      </w:pPr>
    </w:p>
    <w:p w14:paraId="2B1F844D" w14:textId="6CA47929" w:rsidR="00742769" w:rsidRPr="00742769" w:rsidRDefault="00742769" w:rsidP="00742769">
      <w:pPr>
        <w:spacing w:after="120" w:line="22" w:lineRule="atLeast"/>
        <w:jc w:val="both"/>
        <w:rPr>
          <w:rFonts w:asciiTheme="minorHAnsi" w:hAnsiTheme="minorHAnsi" w:cs="Open Sans"/>
          <w:sz w:val="20"/>
          <w:szCs w:val="20"/>
          <w:lang w:val="fr-FR"/>
        </w:rPr>
      </w:pPr>
      <w:r w:rsidRPr="00742769">
        <w:rPr>
          <w:rFonts w:asciiTheme="minorHAnsi" w:hAnsiTheme="minorHAnsi" w:cs="Open Sans"/>
          <w:sz w:val="20"/>
          <w:szCs w:val="20"/>
          <w:lang w:val="fr-FR"/>
        </w:rPr>
        <w:t xml:space="preserve">En 2025, </w:t>
      </w:r>
      <w:r w:rsidRPr="00742769">
        <w:rPr>
          <w:rFonts w:asciiTheme="minorHAnsi" w:hAnsiTheme="minorHAnsi" w:cs="Open Sans"/>
          <w:b/>
          <w:bCs/>
          <w:sz w:val="20"/>
          <w:szCs w:val="20"/>
          <w:lang w:val="fr-FR"/>
        </w:rPr>
        <w:t>l’exposition au charbon d’Abeille Assurances est relativement stable</w:t>
      </w:r>
      <w:r w:rsidRPr="00742769">
        <w:rPr>
          <w:rFonts w:asciiTheme="minorHAnsi" w:hAnsiTheme="minorHAnsi" w:cs="Open Sans"/>
          <w:sz w:val="20"/>
          <w:szCs w:val="20"/>
          <w:lang w:val="fr-FR"/>
        </w:rPr>
        <w:t xml:space="preserve"> sur les deux périmètres. </w:t>
      </w:r>
    </w:p>
    <w:p w14:paraId="3AB09630" w14:textId="77777777" w:rsidR="00F76DE2" w:rsidRPr="00A74D23" w:rsidRDefault="00F76DE2" w:rsidP="009D6EE5">
      <w:pPr>
        <w:spacing w:after="120" w:line="22" w:lineRule="atLeast"/>
        <w:jc w:val="both"/>
        <w:rPr>
          <w:rFonts w:asciiTheme="minorHAnsi" w:hAnsiTheme="minorHAnsi" w:cs="Open Sans"/>
          <w:sz w:val="18"/>
          <w:szCs w:val="18"/>
          <w:lang w:val="fr-FR"/>
        </w:rPr>
      </w:pPr>
    </w:p>
    <w:p w14:paraId="48093E9A" w14:textId="703375AB" w:rsidR="00F76DE2" w:rsidRPr="00492596" w:rsidRDefault="00C95C53" w:rsidP="009D6EE5">
      <w:pPr>
        <w:spacing w:after="120" w:line="22" w:lineRule="atLeast"/>
        <w:jc w:val="both"/>
        <w:rPr>
          <w:rFonts w:asciiTheme="minorHAnsi" w:hAnsiTheme="minorHAnsi" w:cs="Open Sans"/>
          <w:b/>
          <w:bCs/>
          <w:lang w:val="fr-FR"/>
        </w:rPr>
      </w:pPr>
      <w:r w:rsidRPr="00A74D23">
        <w:rPr>
          <w:rFonts w:asciiTheme="minorHAnsi" w:hAnsiTheme="minorHAnsi" w:cs="Open Sans"/>
          <w:b/>
          <w:bCs/>
          <w:lang w:val="fr-FR"/>
        </w:rPr>
        <w:t xml:space="preserve">Exposition au </w:t>
      </w:r>
      <w:r w:rsidR="007436F7" w:rsidRPr="00A74D23">
        <w:rPr>
          <w:rFonts w:asciiTheme="minorHAnsi" w:hAnsiTheme="minorHAnsi" w:cs="Open Sans"/>
          <w:b/>
          <w:bCs/>
          <w:lang w:val="fr-FR"/>
        </w:rPr>
        <w:t xml:space="preserve">pétrole-gaz </w:t>
      </w:r>
      <w:r w:rsidR="007436F7" w:rsidRPr="00A74D23">
        <w:rPr>
          <w:rFonts w:asciiTheme="minorHAnsi" w:hAnsiTheme="minorHAnsi" w:cs="Open Sans"/>
          <w:b/>
          <w:bCs/>
          <w:u w:val="single"/>
          <w:lang w:val="fr-FR"/>
        </w:rPr>
        <w:t>non conventionnel</w:t>
      </w:r>
      <w:r w:rsidRPr="00A74D23">
        <w:rPr>
          <w:rFonts w:asciiTheme="minorHAnsi" w:hAnsiTheme="minorHAnsi" w:cs="Open Sans"/>
          <w:b/>
          <w:bCs/>
          <w:lang w:val="fr-FR"/>
        </w:rPr>
        <w:t xml:space="preserve"> – </w:t>
      </w:r>
      <w:r w:rsidRPr="00A74D23">
        <w:rPr>
          <w:rFonts w:asciiTheme="minorHAnsi" w:hAnsiTheme="minorHAnsi" w:cs="Open Sans"/>
          <w:b/>
          <w:bCs/>
          <w:color w:val="000000" w:themeColor="text1"/>
          <w:lang w:val="fr-FR"/>
        </w:rPr>
        <w:t xml:space="preserve">Global </w:t>
      </w:r>
      <w:r w:rsidR="007436F7" w:rsidRPr="00A74D23">
        <w:rPr>
          <w:rFonts w:asciiTheme="minorHAnsi" w:hAnsiTheme="minorHAnsi" w:cs="Open Sans"/>
          <w:b/>
          <w:bCs/>
          <w:color w:val="000000" w:themeColor="text1"/>
          <w:lang w:val="fr-FR"/>
        </w:rPr>
        <w:t>Oil &amp; Gas</w:t>
      </w:r>
      <w:r w:rsidRPr="00A74D23">
        <w:rPr>
          <w:rFonts w:asciiTheme="minorHAnsi" w:hAnsiTheme="minorHAnsi" w:cs="Open Sans"/>
          <w:b/>
          <w:bCs/>
          <w:color w:val="000000" w:themeColor="text1"/>
          <w:lang w:val="fr-FR"/>
        </w:rPr>
        <w:t xml:space="preserve"> Exit List (</w:t>
      </w:r>
      <w:r w:rsidR="007436F7" w:rsidRPr="00A74D23">
        <w:rPr>
          <w:rFonts w:asciiTheme="minorHAnsi" w:hAnsiTheme="minorHAnsi" w:cs="Open Sans"/>
          <w:b/>
          <w:bCs/>
          <w:color w:val="000000" w:themeColor="text1"/>
          <w:lang w:val="fr-FR"/>
        </w:rPr>
        <w:t>GOG</w:t>
      </w:r>
      <w:r w:rsidRPr="00A74D23">
        <w:rPr>
          <w:rFonts w:asciiTheme="minorHAnsi" w:hAnsiTheme="minorHAnsi" w:cs="Open Sans"/>
          <w:b/>
          <w:bCs/>
          <w:color w:val="000000" w:themeColor="text1"/>
          <w:lang w:val="fr-FR"/>
        </w:rPr>
        <w:t xml:space="preserve">EL) </w:t>
      </w:r>
      <w:r w:rsidRPr="00A74D23">
        <w:rPr>
          <w:rFonts w:asciiTheme="minorHAnsi" w:hAnsiTheme="minorHAnsi" w:cs="Open Sans"/>
          <w:b/>
          <w:bCs/>
          <w:lang w:val="fr-FR"/>
        </w:rPr>
        <w:t xml:space="preserve"> </w:t>
      </w:r>
    </w:p>
    <w:tbl>
      <w:tblPr>
        <w:tblStyle w:val="TableauGrille1Clair-Accentuation2"/>
        <w:tblW w:w="9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0"/>
        <w:gridCol w:w="1076"/>
        <w:gridCol w:w="1248"/>
        <w:gridCol w:w="1248"/>
        <w:gridCol w:w="1248"/>
      </w:tblGrid>
      <w:tr w:rsidR="007436F7" w:rsidRPr="00A74D23" w14:paraId="478C5667" w14:textId="77777777">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290" w:type="dxa"/>
            <w:tcBorders>
              <w:top w:val="nil"/>
              <w:left w:val="nil"/>
              <w:bottom w:val="single" w:sz="4" w:space="0" w:color="auto"/>
              <w:right w:val="single" w:sz="4" w:space="0" w:color="auto"/>
            </w:tcBorders>
            <w:shd w:val="clear" w:color="auto" w:fill="FFFFFF" w:themeFill="background1"/>
            <w:noWrap/>
            <w:hideMark/>
          </w:tcPr>
          <w:p w14:paraId="16878BF6" w14:textId="77777777" w:rsidR="007436F7" w:rsidRPr="00A74D23" w:rsidRDefault="007436F7" w:rsidP="009D6EE5">
            <w:pPr>
              <w:spacing w:line="22" w:lineRule="atLeast"/>
              <w:jc w:val="both"/>
              <w:rPr>
                <w:rFonts w:asciiTheme="minorHAnsi" w:hAnsiTheme="minorHAnsi" w:cs="Open Sans"/>
                <w:b w:val="0"/>
                <w:bCs w:val="0"/>
                <w:color w:val="000000"/>
                <w:sz w:val="18"/>
                <w:szCs w:val="18"/>
                <w:lang w:val="fr-FR"/>
              </w:rPr>
            </w:pPr>
          </w:p>
        </w:tc>
        <w:tc>
          <w:tcPr>
            <w:tcW w:w="1076" w:type="dxa"/>
            <w:shd w:val="clear" w:color="auto" w:fill="FFD400" w:themeFill="accent1"/>
          </w:tcPr>
          <w:p w14:paraId="69110833" w14:textId="77777777" w:rsidR="007436F7" w:rsidRPr="00A74D23" w:rsidRDefault="007436F7" w:rsidP="009D6EE5">
            <w:pPr>
              <w:spacing w:line="22" w:lineRule="atLeast"/>
              <w:jc w:val="both"/>
              <w:cnfStyle w:val="100000000000" w:firstRow="1" w:lastRow="0" w:firstColumn="0" w:lastColumn="0" w:oddVBand="0" w:evenVBand="0" w:oddHBand="0" w:evenHBand="0" w:firstRowFirstColumn="0" w:firstRowLastColumn="0" w:lastRowFirstColumn="0" w:lastRowLastColumn="0"/>
              <w:rPr>
                <w:rFonts w:asciiTheme="minorHAnsi" w:hAnsiTheme="minorHAnsi" w:cs="Open Sans"/>
                <w:b w:val="0"/>
                <w:bCs w:val="0"/>
                <w:sz w:val="18"/>
                <w:szCs w:val="18"/>
                <w:lang w:eastAsia="fr-FR"/>
              </w:rPr>
            </w:pPr>
            <w:r w:rsidRPr="00A74D23">
              <w:rPr>
                <w:rFonts w:asciiTheme="minorHAnsi" w:hAnsiTheme="minorHAnsi" w:cs="Open Sans"/>
                <w:b w:val="0"/>
                <w:bCs w:val="0"/>
                <w:sz w:val="18"/>
                <w:szCs w:val="18"/>
              </w:rPr>
              <w:t>Exposition 2025 (m€)</w:t>
            </w:r>
          </w:p>
        </w:tc>
        <w:tc>
          <w:tcPr>
            <w:tcW w:w="1248" w:type="dxa"/>
            <w:shd w:val="clear" w:color="auto" w:fill="FFD400" w:themeFill="accent1"/>
          </w:tcPr>
          <w:p w14:paraId="4D747055" w14:textId="77777777" w:rsidR="007436F7" w:rsidRPr="00A74D23" w:rsidRDefault="007436F7" w:rsidP="009D6EE5">
            <w:pPr>
              <w:spacing w:line="22" w:lineRule="atLeast"/>
              <w:jc w:val="both"/>
              <w:cnfStyle w:val="100000000000" w:firstRow="1" w:lastRow="0" w:firstColumn="0" w:lastColumn="0" w:oddVBand="0" w:evenVBand="0" w:oddHBand="0" w:evenHBand="0" w:firstRowFirstColumn="0" w:firstRowLastColumn="0" w:lastRowFirstColumn="0" w:lastRowLastColumn="0"/>
              <w:rPr>
                <w:rFonts w:asciiTheme="minorHAnsi" w:hAnsiTheme="minorHAnsi" w:cs="Open Sans"/>
                <w:b w:val="0"/>
                <w:bCs w:val="0"/>
                <w:sz w:val="18"/>
                <w:szCs w:val="18"/>
                <w:lang w:eastAsia="fr-FR"/>
              </w:rPr>
            </w:pPr>
            <w:r w:rsidRPr="00A74D23">
              <w:rPr>
                <w:rFonts w:asciiTheme="minorHAnsi" w:hAnsiTheme="minorHAnsi" w:cs="Open Sans"/>
                <w:b w:val="0"/>
                <w:bCs w:val="0"/>
                <w:sz w:val="18"/>
                <w:szCs w:val="18"/>
                <w:lang w:eastAsia="fr-FR"/>
              </w:rPr>
              <w:t>% 2025</w:t>
            </w:r>
          </w:p>
        </w:tc>
        <w:tc>
          <w:tcPr>
            <w:tcW w:w="1248" w:type="dxa"/>
            <w:shd w:val="clear" w:color="auto" w:fill="FFD400" w:themeFill="accent1"/>
          </w:tcPr>
          <w:p w14:paraId="070644A0" w14:textId="77777777" w:rsidR="007436F7" w:rsidRPr="00A74D23" w:rsidRDefault="007436F7" w:rsidP="009D6EE5">
            <w:pPr>
              <w:spacing w:line="22" w:lineRule="atLeast"/>
              <w:jc w:val="both"/>
              <w:cnfStyle w:val="100000000000" w:firstRow="1" w:lastRow="0" w:firstColumn="0" w:lastColumn="0" w:oddVBand="0" w:evenVBand="0" w:oddHBand="0" w:evenHBand="0" w:firstRowFirstColumn="0" w:firstRowLastColumn="0" w:lastRowFirstColumn="0" w:lastRowLastColumn="0"/>
              <w:rPr>
                <w:rFonts w:asciiTheme="minorHAnsi" w:hAnsiTheme="minorHAnsi" w:cs="Open Sans"/>
                <w:b w:val="0"/>
                <w:bCs w:val="0"/>
                <w:sz w:val="18"/>
                <w:szCs w:val="18"/>
                <w:lang w:eastAsia="fr-FR"/>
              </w:rPr>
            </w:pPr>
            <w:r w:rsidRPr="00A74D23">
              <w:rPr>
                <w:rFonts w:asciiTheme="minorHAnsi" w:hAnsiTheme="minorHAnsi" w:cs="Open Sans"/>
                <w:b w:val="0"/>
                <w:bCs w:val="0"/>
                <w:sz w:val="18"/>
                <w:szCs w:val="18"/>
                <w:lang w:eastAsia="fr-FR"/>
              </w:rPr>
              <w:t>Exposition 2024 (m€)</w:t>
            </w:r>
          </w:p>
        </w:tc>
        <w:tc>
          <w:tcPr>
            <w:tcW w:w="1248" w:type="dxa"/>
            <w:shd w:val="clear" w:color="auto" w:fill="FFD400" w:themeFill="accent1"/>
          </w:tcPr>
          <w:p w14:paraId="16835624" w14:textId="77777777" w:rsidR="007436F7" w:rsidRPr="00A74D23" w:rsidRDefault="007436F7" w:rsidP="009D6EE5">
            <w:pPr>
              <w:spacing w:line="22" w:lineRule="atLeast"/>
              <w:jc w:val="both"/>
              <w:cnfStyle w:val="100000000000" w:firstRow="1" w:lastRow="0" w:firstColumn="0" w:lastColumn="0" w:oddVBand="0" w:evenVBand="0" w:oddHBand="0" w:evenHBand="0" w:firstRowFirstColumn="0" w:firstRowLastColumn="0" w:lastRowFirstColumn="0" w:lastRowLastColumn="0"/>
              <w:rPr>
                <w:rFonts w:asciiTheme="minorHAnsi" w:hAnsiTheme="minorHAnsi" w:cs="Open Sans"/>
                <w:b w:val="0"/>
                <w:bCs w:val="0"/>
                <w:sz w:val="18"/>
                <w:szCs w:val="18"/>
                <w:lang w:eastAsia="fr-FR"/>
              </w:rPr>
            </w:pPr>
            <w:r w:rsidRPr="00A74D23">
              <w:rPr>
                <w:rFonts w:asciiTheme="minorHAnsi" w:hAnsiTheme="minorHAnsi" w:cs="Open Sans"/>
                <w:b w:val="0"/>
                <w:bCs w:val="0"/>
                <w:sz w:val="18"/>
                <w:szCs w:val="18"/>
                <w:lang w:eastAsia="fr-FR"/>
              </w:rPr>
              <w:t xml:space="preserve">% 2024 </w:t>
            </w:r>
          </w:p>
        </w:tc>
      </w:tr>
      <w:tr w:rsidR="00E00837" w:rsidRPr="00A74D23" w14:paraId="5BC3AC01" w14:textId="77777777">
        <w:trPr>
          <w:trHeight w:val="195"/>
        </w:trPr>
        <w:tc>
          <w:tcPr>
            <w:cnfStyle w:val="001000000000" w:firstRow="0" w:lastRow="0" w:firstColumn="1" w:lastColumn="0" w:oddVBand="0" w:evenVBand="0" w:oddHBand="0" w:evenHBand="0" w:firstRowFirstColumn="0" w:firstRowLastColumn="0" w:lastRowFirstColumn="0" w:lastRowLastColumn="0"/>
            <w:tcW w:w="4290" w:type="dxa"/>
            <w:tcBorders>
              <w:top w:val="single" w:sz="4" w:space="0" w:color="auto"/>
            </w:tcBorders>
            <w:noWrap/>
            <w:hideMark/>
          </w:tcPr>
          <w:p w14:paraId="6DDB9784" w14:textId="03FFCF68" w:rsidR="00E00837" w:rsidRPr="00E00837" w:rsidRDefault="00E00837" w:rsidP="00E00837">
            <w:pPr>
              <w:spacing w:line="22" w:lineRule="atLeast"/>
              <w:jc w:val="both"/>
              <w:rPr>
                <w:rFonts w:asciiTheme="minorHAnsi" w:hAnsiTheme="minorHAnsi" w:cs="Open Sans"/>
                <w:b w:val="0"/>
                <w:bCs w:val="0"/>
                <w:sz w:val="18"/>
                <w:szCs w:val="18"/>
                <w:lang w:val="fr-FR" w:eastAsia="fr-FR"/>
              </w:rPr>
            </w:pPr>
            <w:r w:rsidRPr="00E00837">
              <w:rPr>
                <w:rFonts w:asciiTheme="minorHAnsi" w:hAnsiTheme="minorHAnsi" w:cs="Open Sans"/>
                <w:b w:val="0"/>
                <w:bCs w:val="0"/>
                <w:sz w:val="18"/>
                <w:szCs w:val="18"/>
                <w:lang w:val="fr-FR" w:eastAsia="fr-FR"/>
              </w:rPr>
              <w:t>Périmètre Abeille Retraite Professionnelle mandats</w:t>
            </w:r>
          </w:p>
        </w:tc>
        <w:tc>
          <w:tcPr>
            <w:tcW w:w="1076" w:type="dxa"/>
            <w:vAlign w:val="center"/>
          </w:tcPr>
          <w:p w14:paraId="1C508496" w14:textId="527AE11C" w:rsidR="00E00837" w:rsidRPr="00A74D23" w:rsidRDefault="00E00837" w:rsidP="00E00837">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b/>
                <w:bCs/>
                <w:color w:val="000000"/>
                <w:sz w:val="22"/>
                <w:szCs w:val="22"/>
              </w:rPr>
            </w:pPr>
            <w:r w:rsidRPr="00A74D23">
              <w:rPr>
                <w:rFonts w:asciiTheme="minorHAnsi" w:hAnsiTheme="minorHAnsi" w:cs="Open Sans"/>
                <w:b/>
                <w:bCs/>
                <w:color w:val="000000"/>
                <w:sz w:val="22"/>
                <w:szCs w:val="22"/>
              </w:rPr>
              <w:t>13</w:t>
            </w:r>
            <w:r w:rsidR="00F31C9C">
              <w:rPr>
                <w:rFonts w:asciiTheme="minorHAnsi" w:hAnsiTheme="minorHAnsi" w:cs="Open Sans"/>
                <w:b/>
                <w:bCs/>
                <w:color w:val="000000"/>
                <w:sz w:val="22"/>
                <w:szCs w:val="22"/>
              </w:rPr>
              <w:t>,1</w:t>
            </w:r>
          </w:p>
        </w:tc>
        <w:tc>
          <w:tcPr>
            <w:tcW w:w="1248" w:type="dxa"/>
            <w:vAlign w:val="center"/>
          </w:tcPr>
          <w:p w14:paraId="57FB3C0B" w14:textId="5278BFEF" w:rsidR="00E00837" w:rsidRPr="00A74D23" w:rsidRDefault="00E00837" w:rsidP="00E00837">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b/>
                <w:bCs/>
                <w:color w:val="000000"/>
                <w:sz w:val="22"/>
                <w:szCs w:val="22"/>
              </w:rPr>
            </w:pPr>
            <w:r w:rsidRPr="00A74D23">
              <w:rPr>
                <w:rFonts w:asciiTheme="minorHAnsi" w:hAnsiTheme="minorHAnsi" w:cs="Open Sans"/>
                <w:b/>
                <w:bCs/>
                <w:color w:val="000000"/>
                <w:sz w:val="22"/>
                <w:szCs w:val="22"/>
              </w:rPr>
              <w:t>0,</w:t>
            </w:r>
            <w:r w:rsidR="00F31C9C">
              <w:rPr>
                <w:rFonts w:asciiTheme="minorHAnsi" w:hAnsiTheme="minorHAnsi" w:cs="Open Sans"/>
                <w:b/>
                <w:bCs/>
                <w:color w:val="000000"/>
                <w:sz w:val="22"/>
                <w:szCs w:val="22"/>
              </w:rPr>
              <w:t>4</w:t>
            </w:r>
            <w:r w:rsidRPr="00A74D23">
              <w:rPr>
                <w:rFonts w:asciiTheme="minorHAnsi" w:hAnsiTheme="minorHAnsi" w:cs="Open Sans"/>
                <w:b/>
                <w:bCs/>
                <w:color w:val="000000"/>
                <w:sz w:val="22"/>
                <w:szCs w:val="22"/>
              </w:rPr>
              <w:t>%</w:t>
            </w:r>
          </w:p>
        </w:tc>
        <w:tc>
          <w:tcPr>
            <w:tcW w:w="1248" w:type="dxa"/>
          </w:tcPr>
          <w:p w14:paraId="5C3B4BC2" w14:textId="1B66479D" w:rsidR="00E00837" w:rsidRPr="00A74D23" w:rsidRDefault="00E00837" w:rsidP="00E00837">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color w:val="000000"/>
                <w:sz w:val="18"/>
                <w:szCs w:val="18"/>
              </w:rPr>
            </w:pPr>
            <w:r w:rsidRPr="00A74D23">
              <w:rPr>
                <w:rFonts w:asciiTheme="minorHAnsi" w:hAnsiTheme="minorHAnsi" w:cs="Open Sans"/>
                <w:color w:val="000000"/>
                <w:sz w:val="18"/>
                <w:szCs w:val="18"/>
              </w:rPr>
              <w:t>1</w:t>
            </w:r>
            <w:r>
              <w:rPr>
                <w:rFonts w:asciiTheme="minorHAnsi" w:hAnsiTheme="minorHAnsi" w:cs="Open Sans"/>
                <w:color w:val="000000"/>
                <w:sz w:val="18"/>
                <w:szCs w:val="18"/>
              </w:rPr>
              <w:t>6</w:t>
            </w:r>
          </w:p>
        </w:tc>
        <w:tc>
          <w:tcPr>
            <w:tcW w:w="1248" w:type="dxa"/>
          </w:tcPr>
          <w:p w14:paraId="69D6428B" w14:textId="5A55B974" w:rsidR="00E00837" w:rsidRPr="00A74D23" w:rsidRDefault="00E00837" w:rsidP="00E00837">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color w:val="000000"/>
                <w:sz w:val="18"/>
                <w:szCs w:val="18"/>
              </w:rPr>
            </w:pPr>
            <w:r w:rsidRPr="00A74D23">
              <w:rPr>
                <w:rFonts w:asciiTheme="minorHAnsi" w:hAnsiTheme="minorHAnsi" w:cs="Open Sans"/>
                <w:color w:val="000000"/>
                <w:sz w:val="18"/>
                <w:szCs w:val="18"/>
              </w:rPr>
              <w:t>0,</w:t>
            </w:r>
            <w:r>
              <w:rPr>
                <w:rFonts w:asciiTheme="minorHAnsi" w:hAnsiTheme="minorHAnsi" w:cs="Open Sans"/>
                <w:color w:val="000000"/>
                <w:sz w:val="18"/>
                <w:szCs w:val="18"/>
              </w:rPr>
              <w:t>4</w:t>
            </w:r>
            <w:r w:rsidRPr="00A74D23">
              <w:rPr>
                <w:rFonts w:asciiTheme="minorHAnsi" w:hAnsiTheme="minorHAnsi" w:cs="Open Sans"/>
                <w:color w:val="000000"/>
                <w:sz w:val="18"/>
                <w:szCs w:val="18"/>
              </w:rPr>
              <w:t>%</w:t>
            </w:r>
          </w:p>
        </w:tc>
      </w:tr>
      <w:tr w:rsidR="00E00837" w:rsidRPr="00A74D23" w14:paraId="2CF3C09F" w14:textId="77777777">
        <w:trPr>
          <w:trHeight w:val="90"/>
        </w:trPr>
        <w:tc>
          <w:tcPr>
            <w:cnfStyle w:val="001000000000" w:firstRow="0" w:lastRow="0" w:firstColumn="1" w:lastColumn="0" w:oddVBand="0" w:evenVBand="0" w:oddHBand="0" w:evenHBand="0" w:firstRowFirstColumn="0" w:firstRowLastColumn="0" w:lastRowFirstColumn="0" w:lastRowLastColumn="0"/>
            <w:tcW w:w="4290" w:type="dxa"/>
            <w:noWrap/>
            <w:hideMark/>
          </w:tcPr>
          <w:p w14:paraId="7CAA9693" w14:textId="18FC54D9" w:rsidR="00E00837" w:rsidRPr="00A74D23" w:rsidRDefault="00E00837" w:rsidP="00E00837">
            <w:pPr>
              <w:spacing w:line="22" w:lineRule="atLeast"/>
              <w:jc w:val="both"/>
              <w:rPr>
                <w:rFonts w:asciiTheme="minorHAnsi" w:hAnsiTheme="minorHAnsi" w:cs="Open Sans"/>
                <w:b w:val="0"/>
                <w:bCs w:val="0"/>
                <w:color w:val="000000"/>
                <w:sz w:val="18"/>
                <w:szCs w:val="18"/>
                <w:lang w:val="fr-FR"/>
              </w:rPr>
            </w:pPr>
            <w:r w:rsidRPr="00A74D23">
              <w:rPr>
                <w:rFonts w:asciiTheme="minorHAnsi" w:hAnsiTheme="minorHAnsi" w:cs="Open Sans"/>
                <w:b w:val="0"/>
                <w:bCs w:val="0"/>
                <w:sz w:val="18"/>
                <w:szCs w:val="18"/>
                <w:lang w:val="fr-FR" w:eastAsia="fr-FR"/>
              </w:rPr>
              <w:t xml:space="preserve">Périmètre </w:t>
            </w:r>
            <w:r w:rsidRPr="00E00837">
              <w:rPr>
                <w:rFonts w:asciiTheme="minorHAnsi" w:hAnsiTheme="minorHAnsi" w:cs="Open Sans"/>
                <w:b w:val="0"/>
                <w:bCs w:val="0"/>
                <w:sz w:val="18"/>
                <w:szCs w:val="18"/>
                <w:lang w:val="fr-FR" w:eastAsia="fr-FR"/>
              </w:rPr>
              <w:t xml:space="preserve">Abeille Retraite Professionnelle </w:t>
            </w:r>
            <w:r w:rsidRPr="00A74D23">
              <w:rPr>
                <w:rFonts w:asciiTheme="minorHAnsi" w:hAnsiTheme="minorHAnsi" w:cs="Open Sans"/>
                <w:b w:val="0"/>
                <w:bCs w:val="0"/>
                <w:sz w:val="18"/>
                <w:szCs w:val="18"/>
                <w:lang w:val="fr-FR" w:eastAsia="fr-FR"/>
              </w:rPr>
              <w:t>Unités de compte</w:t>
            </w:r>
          </w:p>
        </w:tc>
        <w:tc>
          <w:tcPr>
            <w:tcW w:w="1076" w:type="dxa"/>
            <w:vAlign w:val="center"/>
          </w:tcPr>
          <w:p w14:paraId="375F7B0A" w14:textId="057B2548" w:rsidR="00E00837" w:rsidRPr="00A74D23" w:rsidRDefault="00F31C9C" w:rsidP="00E00837">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b/>
                <w:bCs/>
                <w:color w:val="000000"/>
                <w:sz w:val="22"/>
                <w:szCs w:val="22"/>
              </w:rPr>
            </w:pPr>
            <w:r>
              <w:rPr>
                <w:rFonts w:asciiTheme="minorHAnsi" w:hAnsiTheme="minorHAnsi" w:cs="Open Sans"/>
                <w:b/>
                <w:bCs/>
                <w:color w:val="000000"/>
                <w:sz w:val="22"/>
                <w:szCs w:val="22"/>
              </w:rPr>
              <w:t>42</w:t>
            </w:r>
          </w:p>
        </w:tc>
        <w:tc>
          <w:tcPr>
            <w:tcW w:w="1248" w:type="dxa"/>
            <w:vAlign w:val="center"/>
          </w:tcPr>
          <w:p w14:paraId="65000F5D" w14:textId="6C2ED8E1" w:rsidR="00E00837" w:rsidRPr="00A74D23" w:rsidRDefault="00F31C9C" w:rsidP="00E00837">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b/>
                <w:bCs/>
                <w:color w:val="000000"/>
                <w:sz w:val="22"/>
                <w:szCs w:val="22"/>
              </w:rPr>
            </w:pPr>
            <w:r>
              <w:rPr>
                <w:rFonts w:asciiTheme="minorHAnsi" w:hAnsiTheme="minorHAnsi" w:cs="Open Sans"/>
                <w:b/>
                <w:bCs/>
                <w:color w:val="000000"/>
                <w:sz w:val="22"/>
                <w:szCs w:val="22"/>
              </w:rPr>
              <w:t>0,8</w:t>
            </w:r>
            <w:r w:rsidR="00E00837" w:rsidRPr="00A74D23">
              <w:rPr>
                <w:rFonts w:asciiTheme="minorHAnsi" w:hAnsiTheme="minorHAnsi" w:cs="Open Sans"/>
                <w:b/>
                <w:bCs/>
                <w:color w:val="000000"/>
                <w:sz w:val="22"/>
                <w:szCs w:val="22"/>
              </w:rPr>
              <w:t>%</w:t>
            </w:r>
          </w:p>
        </w:tc>
        <w:tc>
          <w:tcPr>
            <w:tcW w:w="1248" w:type="dxa"/>
          </w:tcPr>
          <w:p w14:paraId="4E5A4FBB" w14:textId="7F177529" w:rsidR="00E00837" w:rsidRPr="00A74D23" w:rsidRDefault="00E00837" w:rsidP="00E00837">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color w:val="000000"/>
                <w:sz w:val="18"/>
                <w:szCs w:val="18"/>
              </w:rPr>
            </w:pPr>
            <w:r>
              <w:rPr>
                <w:rFonts w:asciiTheme="minorHAnsi" w:hAnsiTheme="minorHAnsi" w:cs="Open Sans"/>
                <w:color w:val="000000"/>
                <w:sz w:val="18"/>
                <w:szCs w:val="18"/>
              </w:rPr>
              <w:t>51</w:t>
            </w:r>
          </w:p>
        </w:tc>
        <w:tc>
          <w:tcPr>
            <w:tcW w:w="1248" w:type="dxa"/>
          </w:tcPr>
          <w:p w14:paraId="79B196D1" w14:textId="74A9DE38" w:rsidR="00E00837" w:rsidRPr="00A74D23" w:rsidRDefault="00E00837" w:rsidP="00E00837">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color w:val="000000"/>
                <w:sz w:val="18"/>
                <w:szCs w:val="18"/>
              </w:rPr>
            </w:pPr>
            <w:r w:rsidRPr="00A74D23">
              <w:rPr>
                <w:rFonts w:asciiTheme="minorHAnsi" w:hAnsiTheme="minorHAnsi" w:cs="Open Sans"/>
                <w:color w:val="000000"/>
                <w:sz w:val="18"/>
                <w:szCs w:val="18"/>
              </w:rPr>
              <w:t>1,1%</w:t>
            </w:r>
          </w:p>
        </w:tc>
      </w:tr>
    </w:tbl>
    <w:p w14:paraId="0B009B9A" w14:textId="7E6C3657" w:rsidR="00E00837" w:rsidRPr="00A74D23" w:rsidRDefault="00E00837" w:rsidP="00E00837">
      <w:pPr>
        <w:spacing w:line="22" w:lineRule="atLeast"/>
        <w:jc w:val="both"/>
        <w:rPr>
          <w:rFonts w:asciiTheme="minorHAnsi" w:hAnsiTheme="minorHAnsi" w:cs="Open Sans"/>
          <w:i/>
          <w:iCs/>
          <w:sz w:val="18"/>
          <w:szCs w:val="18"/>
          <w:lang w:val="fr-FR" w:eastAsia="fr-FR"/>
        </w:rPr>
      </w:pPr>
      <w:r w:rsidRPr="00A74D23">
        <w:rPr>
          <w:rFonts w:asciiTheme="minorHAnsi" w:hAnsiTheme="minorHAnsi" w:cs="Open Sans"/>
          <w:i/>
          <w:iCs/>
          <w:sz w:val="18"/>
          <w:szCs w:val="18"/>
          <w:lang w:val="fr-FR"/>
        </w:rPr>
        <w:t xml:space="preserve">Périmètre : Portefeuille </w:t>
      </w:r>
      <w:r w:rsidRPr="00E00837">
        <w:rPr>
          <w:rFonts w:asciiTheme="minorHAnsi" w:hAnsiTheme="minorHAnsi" w:cs="Open Sans"/>
          <w:i/>
          <w:iCs/>
          <w:sz w:val="18"/>
          <w:szCs w:val="18"/>
          <w:lang w:val="fr-FR"/>
        </w:rPr>
        <w:t xml:space="preserve">Abeille Retraite Professionnelle </w:t>
      </w:r>
      <w:r w:rsidR="00365674">
        <w:rPr>
          <w:rFonts w:asciiTheme="minorHAnsi" w:hAnsiTheme="minorHAnsi" w:cs="Open Sans"/>
          <w:i/>
          <w:iCs/>
          <w:sz w:val="18"/>
          <w:szCs w:val="18"/>
          <w:lang w:val="fr-FR"/>
        </w:rPr>
        <w:t>consolidé</w:t>
      </w:r>
      <w:r w:rsidRPr="00A74D23">
        <w:rPr>
          <w:rFonts w:asciiTheme="minorHAnsi" w:hAnsiTheme="minorHAnsi" w:cs="Open Sans"/>
          <w:i/>
          <w:iCs/>
          <w:sz w:val="18"/>
          <w:szCs w:val="18"/>
          <w:lang w:val="fr-FR"/>
        </w:rPr>
        <w:t xml:space="preserve">, </w:t>
      </w:r>
      <w:r w:rsidRPr="00A74D23">
        <w:rPr>
          <w:rFonts w:asciiTheme="minorHAnsi" w:hAnsiTheme="minorHAnsi" w:cs="Open Sans"/>
          <w:i/>
          <w:iCs/>
          <w:sz w:val="18"/>
          <w:szCs w:val="18"/>
          <w:lang w:val="fr-FR" w:eastAsia="fr-FR"/>
        </w:rPr>
        <w:t>investissements transparisés au 31/12/2024 et 31/12/2025</w:t>
      </w:r>
    </w:p>
    <w:p w14:paraId="315E1260" w14:textId="77777777" w:rsidR="00E00837" w:rsidRPr="00A74D23" w:rsidRDefault="00E00837" w:rsidP="00E00837">
      <w:pPr>
        <w:spacing w:line="22" w:lineRule="atLeast"/>
        <w:jc w:val="both"/>
        <w:rPr>
          <w:rFonts w:asciiTheme="minorHAnsi" w:hAnsiTheme="minorHAnsi" w:cs="Open Sans"/>
          <w:i/>
          <w:iCs/>
          <w:sz w:val="18"/>
          <w:szCs w:val="18"/>
          <w:lang w:val="fr-FR" w:eastAsia="fr-FR"/>
        </w:rPr>
      </w:pPr>
      <w:r w:rsidRPr="00A74D23">
        <w:rPr>
          <w:rFonts w:asciiTheme="minorHAnsi" w:hAnsiTheme="minorHAnsi" w:cs="Open Sans"/>
          <w:i/>
          <w:iCs/>
          <w:sz w:val="18"/>
          <w:szCs w:val="18"/>
          <w:lang w:val="fr-FR" w:eastAsia="fr-FR"/>
        </w:rPr>
        <w:t xml:space="preserve">Source : Abeille Assurances </w:t>
      </w:r>
    </w:p>
    <w:p w14:paraId="64B06330" w14:textId="77777777" w:rsidR="007436F7" w:rsidRPr="00A74D23" w:rsidRDefault="007436F7" w:rsidP="009D6EE5">
      <w:pPr>
        <w:spacing w:after="120" w:line="22" w:lineRule="atLeast"/>
        <w:jc w:val="both"/>
        <w:rPr>
          <w:rFonts w:asciiTheme="minorHAnsi" w:hAnsiTheme="minorHAnsi" w:cs="Open Sans"/>
          <w:sz w:val="18"/>
          <w:szCs w:val="18"/>
          <w:lang w:val="fr-FR"/>
        </w:rPr>
      </w:pPr>
    </w:p>
    <w:p w14:paraId="6609CAFF" w14:textId="4F62056F" w:rsidR="00AD7DB0" w:rsidRPr="00742769" w:rsidRDefault="00152F77" w:rsidP="009D6EE5">
      <w:pPr>
        <w:spacing w:after="120" w:line="22" w:lineRule="atLeast"/>
        <w:jc w:val="both"/>
        <w:rPr>
          <w:rFonts w:asciiTheme="minorHAnsi" w:hAnsiTheme="minorHAnsi" w:cs="Open Sans"/>
          <w:sz w:val="20"/>
          <w:szCs w:val="20"/>
          <w:lang w:val="fr-FR"/>
        </w:rPr>
      </w:pPr>
      <w:r w:rsidRPr="00742769">
        <w:rPr>
          <w:rFonts w:asciiTheme="minorHAnsi" w:hAnsiTheme="minorHAnsi" w:cs="Open Sans"/>
          <w:sz w:val="20"/>
          <w:szCs w:val="20"/>
          <w:lang w:val="fr-FR"/>
        </w:rPr>
        <w:t xml:space="preserve">En 2025, </w:t>
      </w:r>
      <w:r w:rsidRPr="00742769">
        <w:rPr>
          <w:rFonts w:asciiTheme="minorHAnsi" w:hAnsiTheme="minorHAnsi" w:cs="Open Sans"/>
          <w:b/>
          <w:bCs/>
          <w:sz w:val="20"/>
          <w:szCs w:val="20"/>
          <w:lang w:val="fr-FR"/>
        </w:rPr>
        <w:t>l’exposition d’Abeille Assurances au pétrole et au gaz non conventionnels diminue</w:t>
      </w:r>
      <w:r w:rsidRPr="00742769">
        <w:rPr>
          <w:rFonts w:asciiTheme="minorHAnsi" w:hAnsiTheme="minorHAnsi" w:cs="Open Sans"/>
          <w:sz w:val="20"/>
          <w:szCs w:val="20"/>
          <w:lang w:val="fr-FR"/>
        </w:rPr>
        <w:t xml:space="preserve"> </w:t>
      </w:r>
      <w:r w:rsidR="00F31C9C" w:rsidRPr="00F31C9C">
        <w:rPr>
          <w:rFonts w:asciiTheme="minorHAnsi" w:hAnsiTheme="minorHAnsi" w:cs="Open Sans"/>
          <w:b/>
          <w:bCs/>
          <w:sz w:val="20"/>
          <w:szCs w:val="20"/>
          <w:lang w:val="fr-FR"/>
        </w:rPr>
        <w:t>légèrement</w:t>
      </w:r>
      <w:r w:rsidR="00F31C9C">
        <w:rPr>
          <w:rFonts w:asciiTheme="minorHAnsi" w:hAnsiTheme="minorHAnsi" w:cs="Open Sans"/>
          <w:sz w:val="20"/>
          <w:szCs w:val="20"/>
          <w:lang w:val="fr-FR"/>
        </w:rPr>
        <w:t xml:space="preserve"> </w:t>
      </w:r>
      <w:r w:rsidRPr="00742769">
        <w:rPr>
          <w:rFonts w:asciiTheme="minorHAnsi" w:hAnsiTheme="minorHAnsi" w:cs="Open Sans"/>
          <w:sz w:val="20"/>
          <w:szCs w:val="20"/>
          <w:lang w:val="fr-FR"/>
        </w:rPr>
        <w:t>sur l’ensemble des périmètres, traduisant les efforts engagés par les équipes de gestion. Les expositions aux énergies fossiles restent plus élevées sur les unités de compte que sur les mandats, ces derniers faisant l’objet de politiques actives d’orientation des investissements. Sur les mandats, Abeille Assurances applique en effet des stratégies sectorielles dédiées au charbon et au pétrole et gaz, visant à réduire progressivement les expositions fossiles et à orienter les flux vers des activités plus durables.</w:t>
      </w:r>
    </w:p>
    <w:p w14:paraId="4ABB30F5" w14:textId="77777777" w:rsidR="00152F77" w:rsidRPr="00A74D23" w:rsidRDefault="00152F77" w:rsidP="009D6EE5">
      <w:pPr>
        <w:spacing w:after="120" w:line="22" w:lineRule="atLeast"/>
        <w:jc w:val="both"/>
        <w:rPr>
          <w:rFonts w:asciiTheme="minorHAnsi" w:hAnsiTheme="minorHAnsi" w:cs="Open Sans"/>
          <w:sz w:val="18"/>
          <w:szCs w:val="18"/>
          <w:lang w:val="fr-FR"/>
        </w:rPr>
      </w:pPr>
    </w:p>
    <w:p w14:paraId="1903E001" w14:textId="25AB85B2" w:rsidR="00152F77" w:rsidRPr="00492596" w:rsidRDefault="00152F77" w:rsidP="009D6EE5">
      <w:pPr>
        <w:spacing w:after="120" w:line="22" w:lineRule="atLeast"/>
        <w:jc w:val="both"/>
        <w:rPr>
          <w:rFonts w:asciiTheme="minorHAnsi" w:hAnsiTheme="minorHAnsi" w:cs="Open Sans"/>
          <w:b/>
          <w:bCs/>
          <w:lang w:val="fr-FR"/>
        </w:rPr>
      </w:pPr>
      <w:r w:rsidRPr="00A74D23">
        <w:rPr>
          <w:rFonts w:asciiTheme="minorHAnsi" w:hAnsiTheme="minorHAnsi" w:cs="Open Sans"/>
          <w:b/>
          <w:bCs/>
          <w:lang w:val="fr-FR"/>
        </w:rPr>
        <w:t xml:space="preserve">Exposition au pétrole-gaz </w:t>
      </w:r>
      <w:r w:rsidRPr="00A74D23">
        <w:rPr>
          <w:rFonts w:asciiTheme="minorHAnsi" w:hAnsiTheme="minorHAnsi" w:cs="Open Sans"/>
          <w:b/>
          <w:bCs/>
          <w:u w:val="single"/>
          <w:lang w:val="fr-FR"/>
        </w:rPr>
        <w:t>conventionnel</w:t>
      </w:r>
      <w:r w:rsidRPr="00A74D23">
        <w:rPr>
          <w:rFonts w:asciiTheme="minorHAnsi" w:hAnsiTheme="minorHAnsi" w:cs="Open Sans"/>
          <w:b/>
          <w:bCs/>
          <w:lang w:val="fr-FR"/>
        </w:rPr>
        <w:t xml:space="preserve"> – </w:t>
      </w:r>
      <w:r w:rsidRPr="00A74D23">
        <w:rPr>
          <w:rFonts w:asciiTheme="minorHAnsi" w:hAnsiTheme="minorHAnsi" w:cs="Open Sans"/>
          <w:b/>
          <w:bCs/>
          <w:color w:val="000000" w:themeColor="text1"/>
          <w:lang w:val="fr-FR"/>
        </w:rPr>
        <w:t xml:space="preserve">Global Oil &amp; Gas Exit List (GOGEL) </w:t>
      </w:r>
      <w:r w:rsidRPr="00A74D23">
        <w:rPr>
          <w:rFonts w:asciiTheme="minorHAnsi" w:hAnsiTheme="minorHAnsi" w:cs="Open Sans"/>
          <w:b/>
          <w:bCs/>
          <w:lang w:val="fr-FR"/>
        </w:rPr>
        <w:t xml:space="preserve"> </w:t>
      </w:r>
    </w:p>
    <w:tbl>
      <w:tblPr>
        <w:tblStyle w:val="TableauGrille1Clair-Accentuation2"/>
        <w:tblW w:w="9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0"/>
        <w:gridCol w:w="1076"/>
        <w:gridCol w:w="1248"/>
        <w:gridCol w:w="1248"/>
        <w:gridCol w:w="1248"/>
      </w:tblGrid>
      <w:tr w:rsidR="00152F77" w:rsidRPr="00A74D23" w14:paraId="7CF165D6" w14:textId="77777777">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290" w:type="dxa"/>
            <w:tcBorders>
              <w:top w:val="nil"/>
              <w:left w:val="nil"/>
              <w:bottom w:val="single" w:sz="4" w:space="0" w:color="auto"/>
              <w:right w:val="single" w:sz="4" w:space="0" w:color="auto"/>
            </w:tcBorders>
            <w:shd w:val="clear" w:color="auto" w:fill="FFFFFF" w:themeFill="background1"/>
            <w:noWrap/>
            <w:hideMark/>
          </w:tcPr>
          <w:p w14:paraId="44B54454" w14:textId="77777777" w:rsidR="00152F77" w:rsidRPr="00A74D23" w:rsidRDefault="00152F77" w:rsidP="009D6EE5">
            <w:pPr>
              <w:spacing w:line="22" w:lineRule="atLeast"/>
              <w:jc w:val="both"/>
              <w:rPr>
                <w:rFonts w:asciiTheme="minorHAnsi" w:hAnsiTheme="minorHAnsi" w:cs="Open Sans"/>
                <w:b w:val="0"/>
                <w:bCs w:val="0"/>
                <w:color w:val="000000"/>
                <w:sz w:val="18"/>
                <w:szCs w:val="18"/>
                <w:lang w:val="fr-FR"/>
              </w:rPr>
            </w:pPr>
          </w:p>
        </w:tc>
        <w:tc>
          <w:tcPr>
            <w:tcW w:w="1076" w:type="dxa"/>
            <w:shd w:val="clear" w:color="auto" w:fill="FFD400" w:themeFill="accent1"/>
          </w:tcPr>
          <w:p w14:paraId="790B2CAB" w14:textId="77777777" w:rsidR="00152F77" w:rsidRPr="00A74D23" w:rsidRDefault="00152F77" w:rsidP="009D6EE5">
            <w:pPr>
              <w:spacing w:line="22" w:lineRule="atLeast"/>
              <w:jc w:val="both"/>
              <w:cnfStyle w:val="100000000000" w:firstRow="1" w:lastRow="0" w:firstColumn="0" w:lastColumn="0" w:oddVBand="0" w:evenVBand="0" w:oddHBand="0" w:evenHBand="0" w:firstRowFirstColumn="0" w:firstRowLastColumn="0" w:lastRowFirstColumn="0" w:lastRowLastColumn="0"/>
              <w:rPr>
                <w:rFonts w:asciiTheme="minorHAnsi" w:hAnsiTheme="minorHAnsi" w:cs="Open Sans"/>
                <w:b w:val="0"/>
                <w:bCs w:val="0"/>
                <w:sz w:val="18"/>
                <w:szCs w:val="18"/>
                <w:lang w:eastAsia="fr-FR"/>
              </w:rPr>
            </w:pPr>
            <w:r w:rsidRPr="00A74D23">
              <w:rPr>
                <w:rFonts w:asciiTheme="minorHAnsi" w:hAnsiTheme="minorHAnsi" w:cs="Open Sans"/>
                <w:b w:val="0"/>
                <w:bCs w:val="0"/>
                <w:sz w:val="18"/>
                <w:szCs w:val="18"/>
              </w:rPr>
              <w:t>Exposition 2025 (m€)</w:t>
            </w:r>
          </w:p>
        </w:tc>
        <w:tc>
          <w:tcPr>
            <w:tcW w:w="1248" w:type="dxa"/>
            <w:shd w:val="clear" w:color="auto" w:fill="FFD400" w:themeFill="accent1"/>
          </w:tcPr>
          <w:p w14:paraId="3CBD9A60" w14:textId="77777777" w:rsidR="00152F77" w:rsidRPr="00A74D23" w:rsidRDefault="00152F77" w:rsidP="009D6EE5">
            <w:pPr>
              <w:spacing w:line="22" w:lineRule="atLeast"/>
              <w:jc w:val="both"/>
              <w:cnfStyle w:val="100000000000" w:firstRow="1" w:lastRow="0" w:firstColumn="0" w:lastColumn="0" w:oddVBand="0" w:evenVBand="0" w:oddHBand="0" w:evenHBand="0" w:firstRowFirstColumn="0" w:firstRowLastColumn="0" w:lastRowFirstColumn="0" w:lastRowLastColumn="0"/>
              <w:rPr>
                <w:rFonts w:asciiTheme="minorHAnsi" w:hAnsiTheme="minorHAnsi" w:cs="Open Sans"/>
                <w:b w:val="0"/>
                <w:bCs w:val="0"/>
                <w:sz w:val="18"/>
                <w:szCs w:val="18"/>
                <w:lang w:eastAsia="fr-FR"/>
              </w:rPr>
            </w:pPr>
            <w:r w:rsidRPr="00A74D23">
              <w:rPr>
                <w:rFonts w:asciiTheme="minorHAnsi" w:hAnsiTheme="minorHAnsi" w:cs="Open Sans"/>
                <w:b w:val="0"/>
                <w:bCs w:val="0"/>
                <w:sz w:val="18"/>
                <w:szCs w:val="18"/>
                <w:lang w:eastAsia="fr-FR"/>
              </w:rPr>
              <w:t>% 2025</w:t>
            </w:r>
          </w:p>
        </w:tc>
        <w:tc>
          <w:tcPr>
            <w:tcW w:w="1248" w:type="dxa"/>
            <w:shd w:val="clear" w:color="auto" w:fill="FFD400" w:themeFill="accent1"/>
          </w:tcPr>
          <w:p w14:paraId="50D83143" w14:textId="77777777" w:rsidR="00152F77" w:rsidRPr="00A74D23" w:rsidRDefault="00152F77" w:rsidP="009D6EE5">
            <w:pPr>
              <w:spacing w:line="22" w:lineRule="atLeast"/>
              <w:jc w:val="both"/>
              <w:cnfStyle w:val="100000000000" w:firstRow="1" w:lastRow="0" w:firstColumn="0" w:lastColumn="0" w:oddVBand="0" w:evenVBand="0" w:oddHBand="0" w:evenHBand="0" w:firstRowFirstColumn="0" w:firstRowLastColumn="0" w:lastRowFirstColumn="0" w:lastRowLastColumn="0"/>
              <w:rPr>
                <w:rFonts w:asciiTheme="minorHAnsi" w:hAnsiTheme="minorHAnsi" w:cs="Open Sans"/>
                <w:b w:val="0"/>
                <w:bCs w:val="0"/>
                <w:sz w:val="18"/>
                <w:szCs w:val="18"/>
                <w:lang w:eastAsia="fr-FR"/>
              </w:rPr>
            </w:pPr>
            <w:r w:rsidRPr="00A74D23">
              <w:rPr>
                <w:rFonts w:asciiTheme="minorHAnsi" w:hAnsiTheme="minorHAnsi" w:cs="Open Sans"/>
                <w:b w:val="0"/>
                <w:bCs w:val="0"/>
                <w:sz w:val="18"/>
                <w:szCs w:val="18"/>
                <w:lang w:eastAsia="fr-FR"/>
              </w:rPr>
              <w:t>Exposition 2024 (m€)</w:t>
            </w:r>
          </w:p>
        </w:tc>
        <w:tc>
          <w:tcPr>
            <w:tcW w:w="1248" w:type="dxa"/>
            <w:shd w:val="clear" w:color="auto" w:fill="FFD400" w:themeFill="accent1"/>
          </w:tcPr>
          <w:p w14:paraId="10E6AFC2" w14:textId="77777777" w:rsidR="00152F77" w:rsidRPr="00A74D23" w:rsidRDefault="00152F77" w:rsidP="009D6EE5">
            <w:pPr>
              <w:spacing w:line="22" w:lineRule="atLeast"/>
              <w:jc w:val="both"/>
              <w:cnfStyle w:val="100000000000" w:firstRow="1" w:lastRow="0" w:firstColumn="0" w:lastColumn="0" w:oddVBand="0" w:evenVBand="0" w:oddHBand="0" w:evenHBand="0" w:firstRowFirstColumn="0" w:firstRowLastColumn="0" w:lastRowFirstColumn="0" w:lastRowLastColumn="0"/>
              <w:rPr>
                <w:rFonts w:asciiTheme="minorHAnsi" w:hAnsiTheme="minorHAnsi" w:cs="Open Sans"/>
                <w:b w:val="0"/>
                <w:bCs w:val="0"/>
                <w:sz w:val="18"/>
                <w:szCs w:val="18"/>
                <w:lang w:eastAsia="fr-FR"/>
              </w:rPr>
            </w:pPr>
            <w:r w:rsidRPr="00A74D23">
              <w:rPr>
                <w:rFonts w:asciiTheme="minorHAnsi" w:hAnsiTheme="minorHAnsi" w:cs="Open Sans"/>
                <w:b w:val="0"/>
                <w:bCs w:val="0"/>
                <w:sz w:val="18"/>
                <w:szCs w:val="18"/>
                <w:lang w:eastAsia="fr-FR"/>
              </w:rPr>
              <w:t xml:space="preserve">% 2024 </w:t>
            </w:r>
          </w:p>
        </w:tc>
      </w:tr>
      <w:tr w:rsidR="00E00837" w:rsidRPr="00A74D23" w14:paraId="5DA1C160" w14:textId="77777777">
        <w:trPr>
          <w:trHeight w:val="195"/>
        </w:trPr>
        <w:tc>
          <w:tcPr>
            <w:cnfStyle w:val="001000000000" w:firstRow="0" w:lastRow="0" w:firstColumn="1" w:lastColumn="0" w:oddVBand="0" w:evenVBand="0" w:oddHBand="0" w:evenHBand="0" w:firstRowFirstColumn="0" w:firstRowLastColumn="0" w:lastRowFirstColumn="0" w:lastRowLastColumn="0"/>
            <w:tcW w:w="4290" w:type="dxa"/>
            <w:tcBorders>
              <w:top w:val="single" w:sz="4" w:space="0" w:color="auto"/>
            </w:tcBorders>
            <w:noWrap/>
            <w:hideMark/>
          </w:tcPr>
          <w:p w14:paraId="53DCC411" w14:textId="504F0435" w:rsidR="00E00837" w:rsidRPr="00E00837" w:rsidRDefault="00E00837" w:rsidP="00E00837">
            <w:pPr>
              <w:spacing w:line="22" w:lineRule="atLeast"/>
              <w:jc w:val="both"/>
              <w:rPr>
                <w:rFonts w:asciiTheme="minorHAnsi" w:hAnsiTheme="minorHAnsi" w:cs="Open Sans"/>
                <w:b w:val="0"/>
                <w:bCs w:val="0"/>
                <w:sz w:val="18"/>
                <w:szCs w:val="18"/>
                <w:lang w:val="fr-FR" w:eastAsia="fr-FR"/>
              </w:rPr>
            </w:pPr>
            <w:r w:rsidRPr="00E00837">
              <w:rPr>
                <w:rFonts w:asciiTheme="minorHAnsi" w:hAnsiTheme="minorHAnsi" w:cs="Open Sans"/>
                <w:b w:val="0"/>
                <w:bCs w:val="0"/>
                <w:sz w:val="18"/>
                <w:szCs w:val="18"/>
                <w:lang w:val="fr-FR" w:eastAsia="fr-FR"/>
              </w:rPr>
              <w:t>Périmètre Abeille Retraite Professionnelle mandats</w:t>
            </w:r>
          </w:p>
        </w:tc>
        <w:tc>
          <w:tcPr>
            <w:tcW w:w="1076" w:type="dxa"/>
            <w:vAlign w:val="center"/>
          </w:tcPr>
          <w:p w14:paraId="575AADCB" w14:textId="411D3E56" w:rsidR="00E00837" w:rsidRPr="00A74D23" w:rsidRDefault="00E00837" w:rsidP="00E00837">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b/>
                <w:bCs/>
                <w:color w:val="000000"/>
                <w:sz w:val="22"/>
                <w:szCs w:val="22"/>
              </w:rPr>
            </w:pPr>
            <w:r w:rsidRPr="00A74D23">
              <w:rPr>
                <w:rFonts w:asciiTheme="minorHAnsi" w:hAnsiTheme="minorHAnsi" w:cs="Open Sans"/>
                <w:b/>
                <w:bCs/>
                <w:color w:val="000000"/>
                <w:sz w:val="22"/>
                <w:szCs w:val="22"/>
              </w:rPr>
              <w:t>4</w:t>
            </w:r>
            <w:r w:rsidR="00F31C9C">
              <w:rPr>
                <w:rFonts w:asciiTheme="minorHAnsi" w:hAnsiTheme="minorHAnsi" w:cs="Open Sans"/>
                <w:b/>
                <w:bCs/>
                <w:color w:val="000000"/>
                <w:sz w:val="22"/>
                <w:szCs w:val="22"/>
              </w:rPr>
              <w:t>6</w:t>
            </w:r>
          </w:p>
        </w:tc>
        <w:tc>
          <w:tcPr>
            <w:tcW w:w="1248" w:type="dxa"/>
            <w:vAlign w:val="center"/>
          </w:tcPr>
          <w:p w14:paraId="4CCA3AFC" w14:textId="1F35DC4F" w:rsidR="00E00837" w:rsidRPr="00A74D23" w:rsidRDefault="00F31C9C" w:rsidP="00E00837">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b/>
                <w:bCs/>
                <w:color w:val="000000"/>
                <w:sz w:val="22"/>
                <w:szCs w:val="22"/>
              </w:rPr>
            </w:pPr>
            <w:r>
              <w:rPr>
                <w:rFonts w:asciiTheme="minorHAnsi" w:hAnsiTheme="minorHAnsi" w:cs="Open Sans"/>
                <w:b/>
                <w:bCs/>
                <w:color w:val="000000"/>
                <w:sz w:val="22"/>
                <w:szCs w:val="22"/>
              </w:rPr>
              <w:t>1,2</w:t>
            </w:r>
            <w:r w:rsidR="00E00837" w:rsidRPr="00A74D23">
              <w:rPr>
                <w:rFonts w:asciiTheme="minorHAnsi" w:hAnsiTheme="minorHAnsi" w:cs="Open Sans"/>
                <w:b/>
                <w:bCs/>
                <w:color w:val="000000"/>
                <w:sz w:val="22"/>
                <w:szCs w:val="22"/>
              </w:rPr>
              <w:t>%</w:t>
            </w:r>
          </w:p>
        </w:tc>
        <w:tc>
          <w:tcPr>
            <w:tcW w:w="1248" w:type="dxa"/>
          </w:tcPr>
          <w:p w14:paraId="0545A127" w14:textId="070CA713" w:rsidR="00E00837" w:rsidRPr="00A74D23" w:rsidRDefault="00E00837" w:rsidP="00E00837">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color w:val="000000"/>
                <w:sz w:val="18"/>
                <w:szCs w:val="18"/>
              </w:rPr>
            </w:pPr>
            <w:r w:rsidRPr="00A74D23">
              <w:rPr>
                <w:rFonts w:asciiTheme="minorHAnsi" w:hAnsiTheme="minorHAnsi" w:cs="Open Sans"/>
                <w:color w:val="000000"/>
                <w:sz w:val="18"/>
                <w:szCs w:val="18"/>
              </w:rPr>
              <w:t>17</w:t>
            </w:r>
          </w:p>
        </w:tc>
        <w:tc>
          <w:tcPr>
            <w:tcW w:w="1248" w:type="dxa"/>
          </w:tcPr>
          <w:p w14:paraId="5B441335" w14:textId="39E29D78" w:rsidR="00E00837" w:rsidRPr="00A74D23" w:rsidRDefault="00E00837" w:rsidP="00E00837">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color w:val="000000"/>
                <w:sz w:val="18"/>
                <w:szCs w:val="18"/>
              </w:rPr>
            </w:pPr>
            <w:r w:rsidRPr="00A74D23">
              <w:rPr>
                <w:rFonts w:asciiTheme="minorHAnsi" w:hAnsiTheme="minorHAnsi" w:cs="Open Sans"/>
                <w:color w:val="000000"/>
                <w:sz w:val="18"/>
                <w:szCs w:val="18"/>
              </w:rPr>
              <w:t>0,</w:t>
            </w:r>
            <w:r>
              <w:rPr>
                <w:rFonts w:asciiTheme="minorHAnsi" w:hAnsiTheme="minorHAnsi" w:cs="Open Sans"/>
                <w:color w:val="000000"/>
                <w:sz w:val="18"/>
                <w:szCs w:val="18"/>
              </w:rPr>
              <w:t>5</w:t>
            </w:r>
            <w:r w:rsidRPr="00A74D23">
              <w:rPr>
                <w:rFonts w:asciiTheme="minorHAnsi" w:hAnsiTheme="minorHAnsi" w:cs="Open Sans"/>
                <w:color w:val="000000"/>
                <w:sz w:val="18"/>
                <w:szCs w:val="18"/>
              </w:rPr>
              <w:t>%</w:t>
            </w:r>
          </w:p>
        </w:tc>
      </w:tr>
      <w:tr w:rsidR="00E00837" w:rsidRPr="00A74D23" w14:paraId="6C520C3F" w14:textId="77777777">
        <w:trPr>
          <w:trHeight w:val="90"/>
        </w:trPr>
        <w:tc>
          <w:tcPr>
            <w:cnfStyle w:val="001000000000" w:firstRow="0" w:lastRow="0" w:firstColumn="1" w:lastColumn="0" w:oddVBand="0" w:evenVBand="0" w:oddHBand="0" w:evenHBand="0" w:firstRowFirstColumn="0" w:firstRowLastColumn="0" w:lastRowFirstColumn="0" w:lastRowLastColumn="0"/>
            <w:tcW w:w="4290" w:type="dxa"/>
            <w:noWrap/>
            <w:hideMark/>
          </w:tcPr>
          <w:p w14:paraId="21847A03" w14:textId="65DB631E" w:rsidR="00E00837" w:rsidRPr="00A74D23" w:rsidRDefault="00E00837" w:rsidP="00E00837">
            <w:pPr>
              <w:spacing w:line="22" w:lineRule="atLeast"/>
              <w:jc w:val="both"/>
              <w:rPr>
                <w:rFonts w:asciiTheme="minorHAnsi" w:hAnsiTheme="minorHAnsi" w:cs="Open Sans"/>
                <w:b w:val="0"/>
                <w:bCs w:val="0"/>
                <w:color w:val="000000"/>
                <w:sz w:val="18"/>
                <w:szCs w:val="18"/>
                <w:lang w:val="fr-FR"/>
              </w:rPr>
            </w:pPr>
            <w:r w:rsidRPr="00A74D23">
              <w:rPr>
                <w:rFonts w:asciiTheme="minorHAnsi" w:hAnsiTheme="minorHAnsi" w:cs="Open Sans"/>
                <w:b w:val="0"/>
                <w:bCs w:val="0"/>
                <w:sz w:val="18"/>
                <w:szCs w:val="18"/>
                <w:lang w:val="fr-FR" w:eastAsia="fr-FR"/>
              </w:rPr>
              <w:t xml:space="preserve">Périmètre </w:t>
            </w:r>
            <w:r w:rsidRPr="00E00837">
              <w:rPr>
                <w:rFonts w:asciiTheme="minorHAnsi" w:hAnsiTheme="minorHAnsi" w:cs="Open Sans"/>
                <w:b w:val="0"/>
                <w:bCs w:val="0"/>
                <w:sz w:val="18"/>
                <w:szCs w:val="18"/>
                <w:lang w:val="fr-FR" w:eastAsia="fr-FR"/>
              </w:rPr>
              <w:t xml:space="preserve">Abeille Retraite Professionnelle </w:t>
            </w:r>
            <w:r w:rsidRPr="00A74D23">
              <w:rPr>
                <w:rFonts w:asciiTheme="minorHAnsi" w:hAnsiTheme="minorHAnsi" w:cs="Open Sans"/>
                <w:b w:val="0"/>
                <w:bCs w:val="0"/>
                <w:sz w:val="18"/>
                <w:szCs w:val="18"/>
                <w:lang w:val="fr-FR" w:eastAsia="fr-FR"/>
              </w:rPr>
              <w:t>Unités de compte</w:t>
            </w:r>
          </w:p>
        </w:tc>
        <w:tc>
          <w:tcPr>
            <w:tcW w:w="1076" w:type="dxa"/>
            <w:vAlign w:val="center"/>
          </w:tcPr>
          <w:p w14:paraId="72497B69" w14:textId="12F4D2C2" w:rsidR="00E00837" w:rsidRPr="00A74D23" w:rsidRDefault="00F31C9C" w:rsidP="00E00837">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b/>
                <w:bCs/>
                <w:color w:val="000000"/>
                <w:sz w:val="22"/>
                <w:szCs w:val="22"/>
              </w:rPr>
            </w:pPr>
            <w:r>
              <w:rPr>
                <w:rFonts w:asciiTheme="minorHAnsi" w:hAnsiTheme="minorHAnsi" w:cs="Open Sans"/>
                <w:b/>
                <w:bCs/>
                <w:color w:val="000000"/>
                <w:sz w:val="22"/>
                <w:szCs w:val="22"/>
              </w:rPr>
              <w:t>100</w:t>
            </w:r>
          </w:p>
        </w:tc>
        <w:tc>
          <w:tcPr>
            <w:tcW w:w="1248" w:type="dxa"/>
            <w:vAlign w:val="center"/>
          </w:tcPr>
          <w:p w14:paraId="08105F70" w14:textId="7EBEB434" w:rsidR="00E00837" w:rsidRPr="00A74D23" w:rsidRDefault="00E00837" w:rsidP="00E00837">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b/>
                <w:bCs/>
                <w:color w:val="000000"/>
                <w:sz w:val="22"/>
                <w:szCs w:val="22"/>
              </w:rPr>
            </w:pPr>
            <w:r w:rsidRPr="00A74D23">
              <w:rPr>
                <w:rFonts w:asciiTheme="minorHAnsi" w:hAnsiTheme="minorHAnsi" w:cs="Open Sans"/>
                <w:b/>
                <w:bCs/>
                <w:color w:val="000000"/>
                <w:sz w:val="22"/>
                <w:szCs w:val="22"/>
              </w:rPr>
              <w:t>2%</w:t>
            </w:r>
          </w:p>
        </w:tc>
        <w:tc>
          <w:tcPr>
            <w:tcW w:w="1248" w:type="dxa"/>
          </w:tcPr>
          <w:p w14:paraId="7729FB90" w14:textId="0E575C82" w:rsidR="00E00837" w:rsidRPr="00A74D23" w:rsidRDefault="00E00837" w:rsidP="00E00837">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color w:val="000000"/>
                <w:sz w:val="18"/>
                <w:szCs w:val="18"/>
              </w:rPr>
            </w:pPr>
            <w:r>
              <w:rPr>
                <w:rFonts w:asciiTheme="minorHAnsi" w:hAnsiTheme="minorHAnsi" w:cs="Open Sans"/>
                <w:color w:val="000000"/>
                <w:sz w:val="18"/>
                <w:szCs w:val="18"/>
              </w:rPr>
              <w:t>53</w:t>
            </w:r>
          </w:p>
        </w:tc>
        <w:tc>
          <w:tcPr>
            <w:tcW w:w="1248" w:type="dxa"/>
          </w:tcPr>
          <w:p w14:paraId="20A4C624" w14:textId="20A8CEA7" w:rsidR="00E00837" w:rsidRPr="00A74D23" w:rsidRDefault="00E00837" w:rsidP="00E00837">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color w:val="000000"/>
                <w:sz w:val="18"/>
                <w:szCs w:val="18"/>
              </w:rPr>
            </w:pPr>
            <w:r w:rsidRPr="00A74D23">
              <w:rPr>
                <w:rFonts w:asciiTheme="minorHAnsi" w:hAnsiTheme="minorHAnsi" w:cs="Open Sans"/>
                <w:color w:val="000000"/>
                <w:sz w:val="18"/>
                <w:szCs w:val="18"/>
              </w:rPr>
              <w:t>1,</w:t>
            </w:r>
            <w:r>
              <w:rPr>
                <w:rFonts w:asciiTheme="minorHAnsi" w:hAnsiTheme="minorHAnsi" w:cs="Open Sans"/>
                <w:color w:val="000000"/>
                <w:sz w:val="18"/>
                <w:szCs w:val="18"/>
              </w:rPr>
              <w:t>2</w:t>
            </w:r>
            <w:r w:rsidRPr="00A74D23">
              <w:rPr>
                <w:rFonts w:asciiTheme="minorHAnsi" w:hAnsiTheme="minorHAnsi" w:cs="Open Sans"/>
                <w:color w:val="000000"/>
                <w:sz w:val="18"/>
                <w:szCs w:val="18"/>
              </w:rPr>
              <w:t>%</w:t>
            </w:r>
          </w:p>
        </w:tc>
      </w:tr>
    </w:tbl>
    <w:p w14:paraId="00F3C5E5" w14:textId="7FFC8A82" w:rsidR="00E00837" w:rsidRPr="00A74D23" w:rsidRDefault="00E00837" w:rsidP="00E00837">
      <w:pPr>
        <w:spacing w:line="22" w:lineRule="atLeast"/>
        <w:jc w:val="both"/>
        <w:rPr>
          <w:rFonts w:asciiTheme="minorHAnsi" w:hAnsiTheme="minorHAnsi" w:cs="Open Sans"/>
          <w:i/>
          <w:iCs/>
          <w:sz w:val="18"/>
          <w:szCs w:val="18"/>
          <w:lang w:val="fr-FR" w:eastAsia="fr-FR"/>
        </w:rPr>
      </w:pPr>
      <w:r w:rsidRPr="00A74D23">
        <w:rPr>
          <w:rFonts w:asciiTheme="minorHAnsi" w:hAnsiTheme="minorHAnsi" w:cs="Open Sans"/>
          <w:i/>
          <w:iCs/>
          <w:sz w:val="18"/>
          <w:szCs w:val="18"/>
          <w:lang w:val="fr-FR"/>
        </w:rPr>
        <w:t xml:space="preserve">Périmètre : Portefeuille </w:t>
      </w:r>
      <w:r w:rsidRPr="00E00837">
        <w:rPr>
          <w:rFonts w:asciiTheme="minorHAnsi" w:hAnsiTheme="minorHAnsi" w:cs="Open Sans"/>
          <w:i/>
          <w:iCs/>
          <w:sz w:val="18"/>
          <w:szCs w:val="18"/>
          <w:lang w:val="fr-FR"/>
        </w:rPr>
        <w:t xml:space="preserve">Abeille Retraite Professionnelle </w:t>
      </w:r>
      <w:r w:rsidR="00365674">
        <w:rPr>
          <w:rFonts w:asciiTheme="minorHAnsi" w:hAnsiTheme="minorHAnsi" w:cs="Open Sans"/>
          <w:i/>
          <w:iCs/>
          <w:sz w:val="18"/>
          <w:szCs w:val="18"/>
          <w:lang w:val="fr-FR"/>
        </w:rPr>
        <w:t>consolidé</w:t>
      </w:r>
      <w:r w:rsidRPr="00A74D23">
        <w:rPr>
          <w:rFonts w:asciiTheme="minorHAnsi" w:hAnsiTheme="minorHAnsi" w:cs="Open Sans"/>
          <w:i/>
          <w:iCs/>
          <w:sz w:val="18"/>
          <w:szCs w:val="18"/>
          <w:lang w:val="fr-FR"/>
        </w:rPr>
        <w:t xml:space="preserve">, </w:t>
      </w:r>
      <w:r w:rsidRPr="00A74D23">
        <w:rPr>
          <w:rFonts w:asciiTheme="minorHAnsi" w:hAnsiTheme="minorHAnsi" w:cs="Open Sans"/>
          <w:i/>
          <w:iCs/>
          <w:sz w:val="18"/>
          <w:szCs w:val="18"/>
          <w:lang w:val="fr-FR" w:eastAsia="fr-FR"/>
        </w:rPr>
        <w:t>investissements transparisés au 31/12/2024 et 31/12/2025</w:t>
      </w:r>
    </w:p>
    <w:p w14:paraId="22FB8D94" w14:textId="77777777" w:rsidR="00E00837" w:rsidRPr="00A74D23" w:rsidRDefault="00E00837" w:rsidP="00E00837">
      <w:pPr>
        <w:spacing w:line="22" w:lineRule="atLeast"/>
        <w:jc w:val="both"/>
        <w:rPr>
          <w:rFonts w:asciiTheme="minorHAnsi" w:hAnsiTheme="minorHAnsi" w:cs="Open Sans"/>
          <w:i/>
          <w:iCs/>
          <w:sz w:val="18"/>
          <w:szCs w:val="18"/>
          <w:lang w:val="fr-FR" w:eastAsia="fr-FR"/>
        </w:rPr>
      </w:pPr>
      <w:r w:rsidRPr="00A74D23">
        <w:rPr>
          <w:rFonts w:asciiTheme="minorHAnsi" w:hAnsiTheme="minorHAnsi" w:cs="Open Sans"/>
          <w:i/>
          <w:iCs/>
          <w:sz w:val="18"/>
          <w:szCs w:val="18"/>
          <w:lang w:val="fr-FR" w:eastAsia="fr-FR"/>
        </w:rPr>
        <w:t xml:space="preserve">Source : Abeille Assurances </w:t>
      </w:r>
    </w:p>
    <w:p w14:paraId="08F11962" w14:textId="77777777" w:rsidR="00152F77" w:rsidRPr="00A74D23" w:rsidRDefault="00152F77" w:rsidP="009D6EE5">
      <w:pPr>
        <w:spacing w:after="120" w:line="22" w:lineRule="atLeast"/>
        <w:jc w:val="both"/>
        <w:rPr>
          <w:rFonts w:asciiTheme="minorHAnsi" w:hAnsiTheme="minorHAnsi" w:cs="Open Sans"/>
          <w:sz w:val="18"/>
          <w:szCs w:val="18"/>
          <w:lang w:val="fr-FR"/>
        </w:rPr>
      </w:pPr>
    </w:p>
    <w:p w14:paraId="4C7AEC7B" w14:textId="2C789CDD" w:rsidR="00D610A2" w:rsidRPr="00742769" w:rsidRDefault="00A30397" w:rsidP="009D6EE5">
      <w:pPr>
        <w:tabs>
          <w:tab w:val="left" w:pos="851"/>
        </w:tabs>
        <w:suppressAutoHyphens/>
        <w:spacing w:line="22" w:lineRule="atLeast"/>
        <w:contextualSpacing/>
        <w:jc w:val="both"/>
        <w:textAlignment w:val="baseline"/>
        <w:rPr>
          <w:rFonts w:asciiTheme="minorHAnsi" w:hAnsiTheme="minorHAnsi" w:cs="Open Sans"/>
          <w:sz w:val="12"/>
          <w:szCs w:val="12"/>
          <w:lang w:val="fr-FR"/>
        </w:rPr>
      </w:pPr>
      <w:r w:rsidRPr="00742769">
        <w:rPr>
          <w:rFonts w:asciiTheme="minorHAnsi" w:hAnsiTheme="minorHAnsi" w:cs="Open Sans"/>
          <w:sz w:val="20"/>
          <w:szCs w:val="20"/>
          <w:lang w:val="fr-FR"/>
        </w:rPr>
        <w:t xml:space="preserve">En 2025, </w:t>
      </w:r>
      <w:r w:rsidRPr="00742769">
        <w:rPr>
          <w:rFonts w:asciiTheme="minorHAnsi" w:hAnsiTheme="minorHAnsi" w:cs="Open Sans"/>
          <w:b/>
          <w:bCs/>
          <w:sz w:val="20"/>
          <w:szCs w:val="20"/>
          <w:lang w:val="fr-FR"/>
        </w:rPr>
        <w:t>l’exposition d’Abeille Assurances au pétrole et au gaz conventionnels augmente</w:t>
      </w:r>
      <w:r w:rsidRPr="00742769">
        <w:rPr>
          <w:rFonts w:asciiTheme="minorHAnsi" w:hAnsiTheme="minorHAnsi" w:cs="Open Sans"/>
          <w:sz w:val="20"/>
          <w:szCs w:val="20"/>
          <w:lang w:val="fr-FR"/>
        </w:rPr>
        <w:t xml:space="preserve"> sur l’ensemble des périmètres. Cette évolution s’explique par le fait que la politique Oil &amp; Gas d’Abeille Assurances est plus </w:t>
      </w:r>
      <w:r w:rsidR="002225B8" w:rsidRPr="00742769">
        <w:rPr>
          <w:rFonts w:asciiTheme="minorHAnsi" w:hAnsiTheme="minorHAnsi" w:cs="Open Sans"/>
          <w:sz w:val="20"/>
          <w:szCs w:val="20"/>
          <w:lang w:val="fr-FR"/>
        </w:rPr>
        <w:t>ambitieuse</w:t>
      </w:r>
      <w:r w:rsidRPr="00742769">
        <w:rPr>
          <w:rFonts w:asciiTheme="minorHAnsi" w:hAnsiTheme="minorHAnsi" w:cs="Open Sans"/>
          <w:sz w:val="20"/>
          <w:szCs w:val="20"/>
          <w:lang w:val="fr-FR"/>
        </w:rPr>
        <w:t xml:space="preserve"> sur les activités non conventionnelles que sur les activités conventionnelles à ce stade. Le renforcement de la politique Oil &amp; Gas en 2025 devrait produire des effets visibles sur les niveaux d’exposition </w:t>
      </w:r>
      <w:r w:rsidR="005F3164" w:rsidRPr="00742769">
        <w:rPr>
          <w:rFonts w:asciiTheme="minorHAnsi" w:hAnsiTheme="minorHAnsi" w:cs="Open Sans"/>
          <w:sz w:val="20"/>
          <w:szCs w:val="20"/>
          <w:lang w:val="fr-FR"/>
        </w:rPr>
        <w:t>dans les prochaines années</w:t>
      </w:r>
      <w:r w:rsidRPr="00742769">
        <w:rPr>
          <w:rFonts w:asciiTheme="minorHAnsi" w:hAnsiTheme="minorHAnsi" w:cs="Open Sans"/>
          <w:sz w:val="20"/>
          <w:szCs w:val="20"/>
          <w:lang w:val="fr-FR"/>
        </w:rPr>
        <w:t>. Abeille Assurances reste particulièrement vigilante quant à l’évolution de ses expositions au secteur Oil &amp; Gas.</w:t>
      </w:r>
    </w:p>
    <w:p w14:paraId="1C8B256A" w14:textId="77777777" w:rsidR="002A2E42" w:rsidRPr="00A74D23" w:rsidRDefault="002A2E42" w:rsidP="009D6EE5">
      <w:pPr>
        <w:tabs>
          <w:tab w:val="left" w:pos="851"/>
        </w:tabs>
        <w:suppressAutoHyphens/>
        <w:spacing w:line="22" w:lineRule="atLeast"/>
        <w:contextualSpacing/>
        <w:jc w:val="both"/>
        <w:textAlignment w:val="baseline"/>
        <w:rPr>
          <w:rFonts w:asciiTheme="minorHAnsi" w:hAnsiTheme="minorHAnsi" w:cs="Open Sans"/>
          <w:sz w:val="10"/>
          <w:szCs w:val="10"/>
          <w:lang w:val="fr-FR"/>
        </w:rPr>
      </w:pPr>
    </w:p>
    <w:p w14:paraId="4477552A" w14:textId="77777777" w:rsidR="007B6014" w:rsidRPr="00A74D23" w:rsidRDefault="007B6014" w:rsidP="009D6EE5">
      <w:pPr>
        <w:tabs>
          <w:tab w:val="left" w:pos="851"/>
        </w:tabs>
        <w:suppressAutoHyphens/>
        <w:spacing w:line="22" w:lineRule="atLeast"/>
        <w:contextualSpacing/>
        <w:jc w:val="both"/>
        <w:textAlignment w:val="baseline"/>
        <w:rPr>
          <w:rFonts w:asciiTheme="minorHAnsi" w:hAnsiTheme="minorHAnsi" w:cs="Open Sans"/>
          <w:sz w:val="10"/>
          <w:szCs w:val="10"/>
          <w:lang w:val="fr-FR"/>
        </w:rPr>
      </w:pPr>
    </w:p>
    <w:p w14:paraId="5E54CB72" w14:textId="30DE8DF5" w:rsidR="002A2E42" w:rsidRPr="00A74D23" w:rsidRDefault="00B03098" w:rsidP="009D6EE5">
      <w:pPr>
        <w:tabs>
          <w:tab w:val="left" w:pos="851"/>
        </w:tabs>
        <w:suppressAutoHyphens/>
        <w:spacing w:line="22" w:lineRule="atLeast"/>
        <w:contextualSpacing/>
        <w:jc w:val="both"/>
        <w:textAlignment w:val="baseline"/>
        <w:rPr>
          <w:rFonts w:asciiTheme="minorHAnsi" w:hAnsiTheme="minorHAnsi" w:cs="Open Sans"/>
          <w:sz w:val="10"/>
          <w:szCs w:val="10"/>
          <w:lang w:val="fr-FR"/>
        </w:rPr>
      </w:pPr>
      <w:r w:rsidRPr="00A74D23">
        <w:rPr>
          <w:rFonts w:asciiTheme="minorHAnsi" w:hAnsiTheme="minorHAnsi" w:cs="Open Sans"/>
          <w:noProof/>
          <w:sz w:val="18"/>
          <w:szCs w:val="18"/>
        </w:rPr>
        <mc:AlternateContent>
          <mc:Choice Requires="wps">
            <w:drawing>
              <wp:anchor distT="0" distB="0" distL="114300" distR="114300" simplePos="0" relativeHeight="251677696" behindDoc="0" locked="0" layoutInCell="1" allowOverlap="1" wp14:anchorId="6B638139" wp14:editId="4721C65A">
                <wp:simplePos x="0" y="0"/>
                <wp:positionH relativeFrom="margin">
                  <wp:posOffset>1940611</wp:posOffset>
                </wp:positionH>
                <wp:positionV relativeFrom="paragraph">
                  <wp:posOffset>30324</wp:posOffset>
                </wp:positionV>
                <wp:extent cx="2202815" cy="246215"/>
                <wp:effectExtent l="0" t="0" r="6985" b="1905"/>
                <wp:wrapNone/>
                <wp:docPr id="448829043" name="Rectangle : coins arrondis 448829043"/>
                <wp:cNvGraphicFramePr/>
                <a:graphic xmlns:a="http://schemas.openxmlformats.org/drawingml/2006/main">
                  <a:graphicData uri="http://schemas.microsoft.com/office/word/2010/wordprocessingShape">
                    <wps:wsp>
                      <wps:cNvSpPr/>
                      <wps:spPr>
                        <a:xfrm>
                          <a:off x="0" y="0"/>
                          <a:ext cx="2202815" cy="246215"/>
                        </a:xfrm>
                        <a:prstGeom prst="roundRect">
                          <a:avLst>
                            <a:gd name="adj" fmla="val 0"/>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881146" w14:textId="77777777" w:rsidR="00A0731A" w:rsidRPr="00B03098" w:rsidRDefault="00A0731A" w:rsidP="00A0731A">
                            <w:pPr>
                              <w:jc w:val="center"/>
                              <w:rPr>
                                <w:b/>
                                <w:bCs/>
                                <w:color w:val="F6F6F6"/>
                                <w:sz w:val="32"/>
                                <w:szCs w:val="32"/>
                              </w:rPr>
                            </w:pPr>
                            <w:r w:rsidRPr="00B03098">
                              <w:rPr>
                                <w:rFonts w:ascii="Source Sans Pro" w:hAnsi="Source Sans Pro"/>
                                <w:b/>
                                <w:bCs/>
                                <w:color w:val="F6F6F6"/>
                              </w:rPr>
                              <w:t>Plan d’amélioration 2026</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638139" id="Rectangle : coins arrondis 448829043" o:spid="_x0000_s1103" style="position:absolute;left:0;text-align:left;margin-left:152.8pt;margin-top:2.4pt;width:173.45pt;height:19.4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" fillcolor="#8a2c24 [3205]" stroked="f" strokeweight="1pt">
                <v:stroke joinstyle="miter"/>
                <v:textbox inset="2.5mm,1mm,2.5mm,1mm">
                  <w:txbxContent>
                    <w:p w14:paraId="6A881146" w14:textId="77777777" w:rsidR="00A0731A" w:rsidRPr="00B03098" w:rsidRDefault="00A0731A" w:rsidP="00A0731A">
                      <w:pPr>
                        <w:jc w:val="center"/>
                        <w:rPr>
                          <w:b/>
                          <w:bCs/>
                          <w:color w:val="F6F6F6"/>
                          <w:sz w:val="32"/>
                          <w:szCs w:val="32"/>
                        </w:rPr>
                      </w:pPr>
                      <w:r w:rsidRPr="00B03098">
                        <w:rPr>
                          <w:rFonts w:ascii="Source Sans Pro" w:hAnsi="Source Sans Pro"/>
                          <w:b/>
                          <w:bCs/>
                          <w:color w:val="F6F6F6"/>
                        </w:rPr>
                        <w:t>Plan d’amélioration 2026</w:t>
                      </w:r>
                    </w:p>
                  </w:txbxContent>
                </v:textbox>
                <w10:wrap anchorx="margin"/>
              </v:roundrect>
            </w:pict>
          </mc:Fallback>
        </mc:AlternateContent>
      </w:r>
    </w:p>
    <w:p w14:paraId="06E85985" w14:textId="28D14C43" w:rsidR="002A2E42" w:rsidRPr="00A74D23" w:rsidRDefault="002A2E42" w:rsidP="009D6EE5">
      <w:pPr>
        <w:tabs>
          <w:tab w:val="left" w:pos="851"/>
        </w:tabs>
        <w:suppressAutoHyphens/>
        <w:spacing w:line="22" w:lineRule="atLeast"/>
        <w:contextualSpacing/>
        <w:jc w:val="both"/>
        <w:textAlignment w:val="baseline"/>
        <w:rPr>
          <w:rFonts w:asciiTheme="minorHAnsi" w:hAnsiTheme="minorHAnsi" w:cs="Open Sans"/>
          <w:sz w:val="10"/>
          <w:szCs w:val="10"/>
          <w:lang w:val="fr-FR"/>
        </w:rPr>
      </w:pPr>
    </w:p>
    <w:p w14:paraId="2C4ACD32" w14:textId="00676AC1" w:rsidR="002A2E42" w:rsidRPr="00A74D23" w:rsidRDefault="00492596" w:rsidP="009D6EE5">
      <w:pPr>
        <w:tabs>
          <w:tab w:val="left" w:pos="851"/>
        </w:tabs>
        <w:suppressAutoHyphens/>
        <w:spacing w:line="22" w:lineRule="atLeast"/>
        <w:contextualSpacing/>
        <w:jc w:val="both"/>
        <w:textAlignment w:val="baseline"/>
        <w:rPr>
          <w:rFonts w:asciiTheme="minorHAnsi" w:hAnsiTheme="minorHAnsi" w:cs="Open Sans"/>
          <w:sz w:val="10"/>
          <w:szCs w:val="10"/>
          <w:lang w:val="fr-FR"/>
        </w:rPr>
      </w:pPr>
      <w:r w:rsidRPr="00A74D23">
        <w:rPr>
          <w:rFonts w:asciiTheme="minorHAnsi" w:hAnsiTheme="minorHAnsi" w:cs="Open Sans"/>
          <w:noProof/>
          <w:sz w:val="18"/>
          <w:szCs w:val="18"/>
        </w:rPr>
        <mc:AlternateContent>
          <mc:Choice Requires="wps">
            <w:drawing>
              <wp:anchor distT="0" distB="0" distL="114300" distR="114300" simplePos="0" relativeHeight="251675648" behindDoc="1" locked="0" layoutInCell="1" allowOverlap="1" wp14:anchorId="32933498" wp14:editId="61A730BB">
                <wp:simplePos x="0" y="0"/>
                <wp:positionH relativeFrom="margin">
                  <wp:posOffset>210236</wp:posOffset>
                </wp:positionH>
                <wp:positionV relativeFrom="paragraph">
                  <wp:posOffset>18894</wp:posOffset>
                </wp:positionV>
                <wp:extent cx="5762625" cy="436099"/>
                <wp:effectExtent l="0" t="0" r="9525" b="2540"/>
                <wp:wrapNone/>
                <wp:docPr id="867866816" name="Rectangle : coins arrondis 867866816"/>
                <wp:cNvGraphicFramePr/>
                <a:graphic xmlns:a="http://schemas.openxmlformats.org/drawingml/2006/main">
                  <a:graphicData uri="http://schemas.microsoft.com/office/word/2010/wordprocessingShape">
                    <wps:wsp>
                      <wps:cNvSpPr/>
                      <wps:spPr>
                        <a:xfrm>
                          <a:off x="0" y="0"/>
                          <a:ext cx="5762625" cy="436099"/>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83C0CB" w14:textId="1881AA00" w:rsidR="00A0731A" w:rsidRPr="00D5131F" w:rsidRDefault="00A0731A" w:rsidP="00D5131F">
                            <w:pPr>
                              <w:pStyle w:val="paragraph"/>
                              <w:numPr>
                                <w:ilvl w:val="0"/>
                                <w:numId w:val="7"/>
                              </w:numPr>
                              <w:spacing w:before="0" w:beforeAutospacing="0" w:after="0" w:afterAutospacing="0"/>
                              <w:ind w:left="284" w:right="335" w:hanging="284"/>
                              <w:jc w:val="both"/>
                              <w:textAlignment w:val="baseline"/>
                              <w:rPr>
                                <w:color w:val="000000" w:themeColor="text1"/>
                                <w:sz w:val="20"/>
                                <w:szCs w:val="20"/>
                              </w:rPr>
                            </w:pPr>
                            <w:r w:rsidRPr="00D5131F">
                              <w:rPr>
                                <w:rFonts w:ascii="Source Sans Pro" w:hAnsi="Source Sans Pro" w:cstheme="minorBidi"/>
                                <w:color w:val="000000" w:themeColor="text1"/>
                                <w:sz w:val="20"/>
                                <w:szCs w:val="20"/>
                                <w:lang w:eastAsia="en-US"/>
                              </w:rPr>
                              <w:t xml:space="preserve">En 2026, nous </w:t>
                            </w:r>
                            <w:r w:rsidR="00B03098" w:rsidRPr="00D5131F">
                              <w:rPr>
                                <w:rFonts w:ascii="Source Sans Pro" w:hAnsi="Source Sans Pro" w:cstheme="minorBidi"/>
                                <w:color w:val="000000" w:themeColor="text1"/>
                                <w:sz w:val="20"/>
                                <w:szCs w:val="20"/>
                                <w:lang w:eastAsia="en-US"/>
                              </w:rPr>
                              <w:t>implé</w:t>
                            </w:r>
                            <w:r w:rsidR="005F3164">
                              <w:rPr>
                                <w:rFonts w:ascii="Source Sans Pro" w:hAnsi="Source Sans Pro" w:cstheme="minorBidi"/>
                                <w:color w:val="000000" w:themeColor="text1"/>
                                <w:sz w:val="20"/>
                                <w:szCs w:val="20"/>
                                <w:lang w:eastAsia="en-US"/>
                              </w:rPr>
                              <w:t>menteron</w:t>
                            </w:r>
                            <w:r w:rsidR="00251E65">
                              <w:rPr>
                                <w:rFonts w:ascii="Source Sans Pro" w:hAnsi="Source Sans Pro" w:cstheme="minorBidi"/>
                                <w:color w:val="000000" w:themeColor="text1"/>
                                <w:sz w:val="20"/>
                                <w:szCs w:val="20"/>
                                <w:lang w:eastAsia="en-US"/>
                              </w:rPr>
                              <w:t>s</w:t>
                            </w:r>
                            <w:r w:rsidR="005F3164">
                              <w:rPr>
                                <w:rFonts w:ascii="Source Sans Pro" w:hAnsi="Source Sans Pro" w:cstheme="minorBidi"/>
                                <w:color w:val="000000" w:themeColor="text1"/>
                                <w:sz w:val="20"/>
                                <w:szCs w:val="20"/>
                                <w:lang w:eastAsia="en-US"/>
                              </w:rPr>
                              <w:t xml:space="preserve"> une</w:t>
                            </w:r>
                            <w:r w:rsidR="00251E65">
                              <w:rPr>
                                <w:rFonts w:ascii="Source Sans Pro" w:hAnsi="Source Sans Pro" w:cstheme="minorBidi"/>
                                <w:color w:val="000000" w:themeColor="text1"/>
                                <w:sz w:val="20"/>
                                <w:szCs w:val="20"/>
                                <w:lang w:eastAsia="en-US"/>
                              </w:rPr>
                              <w:t xml:space="preserve"> </w:t>
                            </w:r>
                            <w:r w:rsidR="00B03098" w:rsidRPr="00D5131F">
                              <w:rPr>
                                <w:rFonts w:ascii="Source Sans Pro" w:hAnsi="Source Sans Pro" w:cstheme="minorBidi"/>
                                <w:color w:val="000000" w:themeColor="text1"/>
                                <w:sz w:val="20"/>
                                <w:szCs w:val="20"/>
                                <w:lang w:eastAsia="en-US"/>
                              </w:rPr>
                              <w:t>politique d’exclusion</w:t>
                            </w:r>
                            <w:r w:rsidR="005F3164">
                              <w:rPr>
                                <w:rFonts w:ascii="Source Sans Pro" w:hAnsi="Source Sans Pro" w:cstheme="minorBidi"/>
                                <w:color w:val="000000" w:themeColor="text1"/>
                                <w:sz w:val="20"/>
                                <w:szCs w:val="20"/>
                                <w:lang w:eastAsia="en-US"/>
                              </w:rPr>
                              <w:t xml:space="preserve"> renforcée</w:t>
                            </w:r>
                            <w:r w:rsidR="00B03098" w:rsidRPr="00D5131F">
                              <w:rPr>
                                <w:rFonts w:ascii="Source Sans Pro" w:hAnsi="Source Sans Pro" w:cstheme="minorBidi"/>
                                <w:color w:val="000000" w:themeColor="text1"/>
                                <w:sz w:val="20"/>
                                <w:szCs w:val="20"/>
                                <w:lang w:eastAsia="en-US"/>
                              </w:rPr>
                              <w:t xml:space="preserve"> sur les hydrocarbures</w:t>
                            </w:r>
                          </w:p>
                        </w:txbxContent>
                      </wps:txbx>
                      <wps:bodyPr rot="0" spcFirstLastPara="0" vertOverflow="overflow" horzOverflow="overflow" vert="horz" wrap="square" lIns="180000" tIns="72000" rIns="180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933498" id="Rectangle : coins arrondis 867866816" o:spid="_x0000_s1104" style="position:absolute;left:0;text-align:left;margin-left:16.55pt;margin-top:1.5pt;width:453.75pt;height:34.35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" fillcolor="#d8d8d8 [2732]" stroked="f" strokeweight="1pt">
                <v:stroke joinstyle="miter"/>
                <v:textbox inset="5mm,2mm,5mm,3mm">
                  <w:txbxContent>
                    <w:p w14:paraId="4583C0CB" w14:textId="1881AA00" w:rsidR="00A0731A" w:rsidRPr="00D5131F" w:rsidRDefault="00A0731A" w:rsidP="00D5131F">
                      <w:pPr>
                        <w:pStyle w:val="paragraph"/>
                        <w:numPr>
                          <w:ilvl w:val="0"/>
                          <w:numId w:val="7"/>
                        </w:numPr>
                        <w:spacing w:before="0" w:beforeAutospacing="0" w:after="0" w:afterAutospacing="0"/>
                        <w:ind w:left="284" w:right="335" w:hanging="284"/>
                        <w:jc w:val="both"/>
                        <w:textAlignment w:val="baseline"/>
                        <w:rPr>
                          <w:color w:val="000000" w:themeColor="text1"/>
                          <w:sz w:val="20"/>
                          <w:szCs w:val="20"/>
                        </w:rPr>
                      </w:pPr>
                      <w:r w:rsidRPr="00D5131F">
                        <w:rPr>
                          <w:rFonts w:ascii="Source Sans Pro" w:hAnsi="Source Sans Pro" w:cstheme="minorBidi"/>
                          <w:color w:val="000000" w:themeColor="text1"/>
                          <w:sz w:val="20"/>
                          <w:szCs w:val="20"/>
                          <w:lang w:eastAsia="en-US"/>
                        </w:rPr>
                        <w:t xml:space="preserve">En 2026, nous </w:t>
                      </w:r>
                      <w:r w:rsidR="00B03098" w:rsidRPr="00D5131F">
                        <w:rPr>
                          <w:rFonts w:ascii="Source Sans Pro" w:hAnsi="Source Sans Pro" w:cstheme="minorBidi"/>
                          <w:color w:val="000000" w:themeColor="text1"/>
                          <w:sz w:val="20"/>
                          <w:szCs w:val="20"/>
                          <w:lang w:eastAsia="en-US"/>
                        </w:rPr>
                        <w:t>implé</w:t>
                      </w:r>
                      <w:r w:rsidR="005F3164">
                        <w:rPr>
                          <w:rFonts w:ascii="Source Sans Pro" w:hAnsi="Source Sans Pro" w:cstheme="minorBidi"/>
                          <w:color w:val="000000" w:themeColor="text1"/>
                          <w:sz w:val="20"/>
                          <w:szCs w:val="20"/>
                          <w:lang w:eastAsia="en-US"/>
                        </w:rPr>
                        <w:t>menteron</w:t>
                      </w:r>
                      <w:r w:rsidR="00251E65">
                        <w:rPr>
                          <w:rFonts w:ascii="Source Sans Pro" w:hAnsi="Source Sans Pro" w:cstheme="minorBidi"/>
                          <w:color w:val="000000" w:themeColor="text1"/>
                          <w:sz w:val="20"/>
                          <w:szCs w:val="20"/>
                          <w:lang w:eastAsia="en-US"/>
                        </w:rPr>
                        <w:t>s</w:t>
                      </w:r>
                      <w:r w:rsidR="005F3164">
                        <w:rPr>
                          <w:rFonts w:ascii="Source Sans Pro" w:hAnsi="Source Sans Pro" w:cstheme="minorBidi"/>
                          <w:color w:val="000000" w:themeColor="text1"/>
                          <w:sz w:val="20"/>
                          <w:szCs w:val="20"/>
                          <w:lang w:eastAsia="en-US"/>
                        </w:rPr>
                        <w:t xml:space="preserve"> une</w:t>
                      </w:r>
                      <w:r w:rsidR="00251E65">
                        <w:rPr>
                          <w:rFonts w:ascii="Source Sans Pro" w:hAnsi="Source Sans Pro" w:cstheme="minorBidi"/>
                          <w:color w:val="000000" w:themeColor="text1"/>
                          <w:sz w:val="20"/>
                          <w:szCs w:val="20"/>
                          <w:lang w:eastAsia="en-US"/>
                        </w:rPr>
                        <w:t xml:space="preserve"> </w:t>
                      </w:r>
                      <w:r w:rsidR="00B03098" w:rsidRPr="00D5131F">
                        <w:rPr>
                          <w:rFonts w:ascii="Source Sans Pro" w:hAnsi="Source Sans Pro" w:cstheme="minorBidi"/>
                          <w:color w:val="000000" w:themeColor="text1"/>
                          <w:sz w:val="20"/>
                          <w:szCs w:val="20"/>
                          <w:lang w:eastAsia="en-US"/>
                        </w:rPr>
                        <w:t>politique d’exclusion</w:t>
                      </w:r>
                      <w:r w:rsidR="005F3164">
                        <w:rPr>
                          <w:rFonts w:ascii="Source Sans Pro" w:hAnsi="Source Sans Pro" w:cstheme="minorBidi"/>
                          <w:color w:val="000000" w:themeColor="text1"/>
                          <w:sz w:val="20"/>
                          <w:szCs w:val="20"/>
                          <w:lang w:eastAsia="en-US"/>
                        </w:rPr>
                        <w:t xml:space="preserve"> renforcée</w:t>
                      </w:r>
                      <w:r w:rsidR="00B03098" w:rsidRPr="00D5131F">
                        <w:rPr>
                          <w:rFonts w:ascii="Source Sans Pro" w:hAnsi="Source Sans Pro" w:cstheme="minorBidi"/>
                          <w:color w:val="000000" w:themeColor="text1"/>
                          <w:sz w:val="20"/>
                          <w:szCs w:val="20"/>
                          <w:lang w:eastAsia="en-US"/>
                        </w:rPr>
                        <w:t xml:space="preserve"> sur les hydrocarbures</w:t>
                      </w:r>
                    </w:p>
                  </w:txbxContent>
                </v:textbox>
                <w10:wrap anchorx="margin"/>
              </v:roundrect>
            </w:pict>
          </mc:Fallback>
        </mc:AlternateContent>
      </w:r>
    </w:p>
    <w:p w14:paraId="64D21BDE" w14:textId="65582382" w:rsidR="002A2E42" w:rsidRPr="00A74D23" w:rsidRDefault="002A2E42" w:rsidP="009D6EE5">
      <w:pPr>
        <w:tabs>
          <w:tab w:val="left" w:pos="851"/>
        </w:tabs>
        <w:suppressAutoHyphens/>
        <w:spacing w:line="22" w:lineRule="atLeast"/>
        <w:contextualSpacing/>
        <w:jc w:val="both"/>
        <w:textAlignment w:val="baseline"/>
        <w:rPr>
          <w:rFonts w:asciiTheme="minorHAnsi" w:hAnsiTheme="minorHAnsi" w:cs="Open Sans"/>
          <w:sz w:val="10"/>
          <w:szCs w:val="10"/>
          <w:lang w:val="fr-FR"/>
        </w:rPr>
      </w:pPr>
    </w:p>
    <w:p w14:paraId="424E42A6" w14:textId="377EB112" w:rsidR="002A2E42" w:rsidRPr="00A74D23" w:rsidRDefault="002A2E42" w:rsidP="009D6EE5">
      <w:pPr>
        <w:tabs>
          <w:tab w:val="left" w:pos="851"/>
        </w:tabs>
        <w:suppressAutoHyphens/>
        <w:spacing w:line="22" w:lineRule="atLeast"/>
        <w:contextualSpacing/>
        <w:jc w:val="both"/>
        <w:textAlignment w:val="baseline"/>
        <w:rPr>
          <w:rFonts w:asciiTheme="minorHAnsi" w:hAnsiTheme="minorHAnsi" w:cs="Open Sans"/>
          <w:sz w:val="10"/>
          <w:szCs w:val="10"/>
          <w:lang w:val="fr-FR"/>
        </w:rPr>
      </w:pPr>
    </w:p>
    <w:p w14:paraId="22FF5E9A" w14:textId="6CD47022" w:rsidR="002A2E42" w:rsidRPr="00A74D23" w:rsidRDefault="002A2E42" w:rsidP="009D6EE5">
      <w:pPr>
        <w:tabs>
          <w:tab w:val="left" w:pos="851"/>
        </w:tabs>
        <w:suppressAutoHyphens/>
        <w:spacing w:line="22" w:lineRule="atLeast"/>
        <w:contextualSpacing/>
        <w:jc w:val="both"/>
        <w:textAlignment w:val="baseline"/>
        <w:rPr>
          <w:rFonts w:asciiTheme="minorHAnsi" w:hAnsiTheme="minorHAnsi" w:cs="Open Sans"/>
          <w:sz w:val="10"/>
          <w:szCs w:val="10"/>
          <w:lang w:val="fr-FR"/>
        </w:rPr>
      </w:pPr>
    </w:p>
    <w:p w14:paraId="6E503A17" w14:textId="77777777" w:rsidR="002A2E42" w:rsidRPr="00A74D23" w:rsidRDefault="002A2E42" w:rsidP="009D6EE5">
      <w:pPr>
        <w:tabs>
          <w:tab w:val="left" w:pos="851"/>
        </w:tabs>
        <w:suppressAutoHyphens/>
        <w:spacing w:line="22" w:lineRule="atLeast"/>
        <w:contextualSpacing/>
        <w:jc w:val="both"/>
        <w:textAlignment w:val="baseline"/>
        <w:rPr>
          <w:rFonts w:asciiTheme="minorHAnsi" w:hAnsiTheme="minorHAnsi" w:cs="Open Sans"/>
          <w:sz w:val="10"/>
          <w:szCs w:val="10"/>
          <w:lang w:val="fr-FR"/>
        </w:rPr>
      </w:pPr>
    </w:p>
    <w:p w14:paraId="4182E6A3" w14:textId="3395B795" w:rsidR="0032609D" w:rsidRPr="00810C2C" w:rsidRDefault="006C51D9" w:rsidP="009D6EE5">
      <w:pPr>
        <w:pStyle w:val="Titre10"/>
        <w:spacing w:line="22" w:lineRule="atLeast"/>
        <w:jc w:val="both"/>
        <w:rPr>
          <w:rFonts w:asciiTheme="minorHAnsi" w:hAnsiTheme="minorHAnsi" w:cs="Open Sans"/>
          <w:b w:val="0"/>
          <w:bCs/>
          <w:color w:val="DBE1ED" w:themeColor="accent6"/>
          <w:sz w:val="44"/>
          <w:szCs w:val="44"/>
        </w:rPr>
      </w:pPr>
      <w:bookmarkStart w:id="72" w:name="_Toc231337015"/>
      <w:bookmarkStart w:id="73" w:name="_Toc129091826"/>
      <w:bookmarkStart w:id="74" w:name="_Toc128735914"/>
      <w:r w:rsidRPr="00810C2C">
        <w:rPr>
          <w:rFonts w:asciiTheme="minorHAnsi" w:hAnsiTheme="minorHAnsi" w:cs="Open Sans"/>
          <w:b w:val="0"/>
          <w:bCs/>
          <w:sz w:val="44"/>
          <w:szCs w:val="44"/>
        </w:rPr>
        <w:t xml:space="preserve">G. </w:t>
      </w:r>
      <w:r w:rsidR="009559F8" w:rsidRPr="00810C2C">
        <w:rPr>
          <w:rFonts w:asciiTheme="minorHAnsi" w:hAnsiTheme="minorHAnsi" w:cs="Open Sans"/>
          <w:b w:val="0"/>
          <w:bCs/>
          <w:sz w:val="44"/>
          <w:szCs w:val="44"/>
        </w:rPr>
        <w:t>Stratégie d'alignement avec les objectifs de l'Accord de Paris et</w:t>
      </w:r>
      <w:r w:rsidR="00A9411A" w:rsidRPr="00810C2C">
        <w:rPr>
          <w:rFonts w:asciiTheme="minorHAnsi" w:hAnsiTheme="minorHAnsi" w:cs="Open Sans"/>
          <w:b w:val="0"/>
          <w:bCs/>
          <w:sz w:val="44"/>
          <w:szCs w:val="44"/>
        </w:rPr>
        <w:t xml:space="preserve"> </w:t>
      </w:r>
      <w:r w:rsidR="00C81061" w:rsidRPr="00810C2C">
        <w:rPr>
          <w:rFonts w:asciiTheme="minorHAnsi" w:hAnsiTheme="minorHAnsi" w:cs="Open Sans"/>
          <w:b w:val="0"/>
          <w:bCs/>
          <w:sz w:val="44"/>
          <w:szCs w:val="44"/>
        </w:rPr>
        <w:t>l</w:t>
      </w:r>
      <w:r w:rsidR="009559F8" w:rsidRPr="00810C2C">
        <w:rPr>
          <w:rFonts w:asciiTheme="minorHAnsi" w:hAnsiTheme="minorHAnsi" w:cs="Open Sans"/>
          <w:b w:val="0"/>
          <w:bCs/>
          <w:sz w:val="44"/>
          <w:szCs w:val="44"/>
        </w:rPr>
        <w:t>a stratégie nationale bas-carbone</w:t>
      </w:r>
      <w:bookmarkEnd w:id="72"/>
      <w:r w:rsidR="009559F8" w:rsidRPr="00810C2C">
        <w:rPr>
          <w:rFonts w:asciiTheme="minorHAnsi" w:hAnsiTheme="minorHAnsi" w:cs="Open Sans"/>
          <w:b w:val="0"/>
          <w:bCs/>
          <w:color w:val="DBE1ED" w:themeColor="accent6"/>
          <w:sz w:val="44"/>
          <w:szCs w:val="44"/>
        </w:rPr>
        <w:t xml:space="preserve"> </w:t>
      </w:r>
      <w:bookmarkEnd w:id="73"/>
      <w:bookmarkEnd w:id="74"/>
    </w:p>
    <w:p w14:paraId="2CB68420" w14:textId="77777777" w:rsidR="00D7142D" w:rsidRPr="00A74D23" w:rsidRDefault="00D7142D" w:rsidP="009D6EE5">
      <w:pPr>
        <w:spacing w:line="22" w:lineRule="atLeast"/>
        <w:jc w:val="both"/>
        <w:rPr>
          <w:rFonts w:asciiTheme="minorHAnsi" w:hAnsiTheme="minorHAnsi" w:cs="Open Sans"/>
          <w:lang w:val="fr-FR"/>
        </w:rPr>
      </w:pPr>
    </w:p>
    <w:p w14:paraId="063296B8" w14:textId="61B60DF8" w:rsidR="00783B32" w:rsidRPr="00A74D23" w:rsidRDefault="00783B32" w:rsidP="00590DD1">
      <w:pPr>
        <w:pStyle w:val="StyleYO"/>
        <w:numPr>
          <w:ilvl w:val="0"/>
          <w:numId w:val="68"/>
        </w:numPr>
        <w:spacing w:line="22" w:lineRule="atLeast"/>
        <w:jc w:val="both"/>
      </w:pPr>
      <w:bookmarkStart w:id="75" w:name="_Toc231337016"/>
      <w:r w:rsidRPr="00A74D23">
        <w:t>Pourquoi agir en faveur du climat</w:t>
      </w:r>
      <w:bookmarkEnd w:id="75"/>
    </w:p>
    <w:p w14:paraId="4B515924" w14:textId="77777777" w:rsidR="00AE78F1" w:rsidRPr="00A74D23" w:rsidRDefault="00AE78F1" w:rsidP="009D6EE5">
      <w:pPr>
        <w:spacing w:line="22" w:lineRule="atLeast"/>
        <w:jc w:val="both"/>
        <w:rPr>
          <w:rFonts w:asciiTheme="minorHAnsi" w:hAnsiTheme="minorHAnsi"/>
          <w:lang w:val="fr-FR"/>
        </w:rPr>
      </w:pPr>
    </w:p>
    <w:p w14:paraId="7A054720" w14:textId="77777777" w:rsidR="00AE78F1" w:rsidRPr="00A74D23" w:rsidRDefault="00AE78F1"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 xml:space="preserve">Depuis sa création en 1856 pour protéger les agriculteurs et viticulteurs bourguignons contre les sinistres climatiques menaçant leurs récoltes, Abeille Assurances porte dans son ADN la conscience profonde des risques liés au climat. Près de 170 ans plus tard, cette préoccupation initiale résonne avec une acuité nouvelle. Les impacts du changement climatique ne relèvent plus de l'anticipation lointaine, mais d'une réalité tangible qui s'impose à tous. </w:t>
      </w:r>
    </w:p>
    <w:p w14:paraId="08AFD34D" w14:textId="77777777" w:rsidR="00FB58F7" w:rsidRPr="00A74D23" w:rsidRDefault="00FB58F7" w:rsidP="009D6EE5">
      <w:pPr>
        <w:spacing w:line="22" w:lineRule="atLeast"/>
        <w:jc w:val="both"/>
        <w:rPr>
          <w:rFonts w:asciiTheme="minorHAnsi" w:hAnsiTheme="minorHAnsi" w:cs="Open Sans"/>
          <w:sz w:val="20"/>
          <w:szCs w:val="20"/>
          <w:lang w:val="fr-FR"/>
        </w:rPr>
      </w:pPr>
    </w:p>
    <w:p w14:paraId="37869421" w14:textId="4C065602" w:rsidR="00AE78F1" w:rsidRPr="00A74D23" w:rsidRDefault="000A2EE1" w:rsidP="009D6EE5">
      <w:pPr>
        <w:spacing w:line="22" w:lineRule="atLeast"/>
        <w:jc w:val="both"/>
        <w:rPr>
          <w:rFonts w:asciiTheme="minorHAnsi" w:hAnsiTheme="minorHAnsi" w:cs="Open Sans"/>
          <w:b/>
          <w:bCs/>
          <w:lang w:val="fr-FR"/>
        </w:rPr>
      </w:pPr>
      <w:r w:rsidRPr="00A74D23">
        <w:rPr>
          <w:rFonts w:asciiTheme="minorHAnsi" w:hAnsiTheme="minorHAnsi" w:cs="Open Sans"/>
          <w:b/>
          <w:bCs/>
          <w:lang w:val="fr-FR"/>
        </w:rPr>
        <w:t xml:space="preserve">Une année 2025 </w:t>
      </w:r>
      <w:r w:rsidR="00BD0056" w:rsidRPr="00A74D23">
        <w:rPr>
          <w:rFonts w:asciiTheme="minorHAnsi" w:hAnsiTheme="minorHAnsi" w:cs="Open Sans"/>
          <w:b/>
          <w:bCs/>
          <w:lang w:val="fr-FR"/>
        </w:rPr>
        <w:t>encore marquée par des évènements climatiques</w:t>
      </w:r>
    </w:p>
    <w:p w14:paraId="4F90272D" w14:textId="77777777" w:rsidR="0067158D" w:rsidRPr="00A74D23" w:rsidRDefault="0067158D" w:rsidP="009D6EE5">
      <w:pPr>
        <w:spacing w:line="22" w:lineRule="atLeast"/>
        <w:jc w:val="both"/>
        <w:rPr>
          <w:rFonts w:asciiTheme="minorHAnsi" w:hAnsiTheme="minorHAnsi" w:cs="Open Sans"/>
          <w:b/>
          <w:bCs/>
          <w:sz w:val="16"/>
          <w:szCs w:val="16"/>
          <w:lang w:val="fr-FR"/>
        </w:rPr>
      </w:pPr>
    </w:p>
    <w:p w14:paraId="40ED996B" w14:textId="702550C5" w:rsidR="00AE78F1" w:rsidRPr="00A74D23" w:rsidRDefault="00AE78F1"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 xml:space="preserve">L'année 2025 l'illustre de façon </w:t>
      </w:r>
      <w:r w:rsidR="00C72E9B" w:rsidRPr="00A74D23">
        <w:rPr>
          <w:rFonts w:asciiTheme="minorHAnsi" w:hAnsiTheme="minorHAnsi" w:cs="Open Sans"/>
          <w:sz w:val="20"/>
          <w:szCs w:val="20"/>
          <w:lang w:val="fr-FR"/>
        </w:rPr>
        <w:t>frappante :</w:t>
      </w:r>
      <w:r w:rsidRPr="00A74D23">
        <w:rPr>
          <w:rFonts w:asciiTheme="minorHAnsi" w:hAnsiTheme="minorHAnsi" w:cs="Open Sans"/>
          <w:sz w:val="20"/>
          <w:szCs w:val="20"/>
          <w:lang w:val="fr-FR"/>
        </w:rPr>
        <w:t xml:space="preserve"> la France a enregistré une température moyenne de +2,5°C par rapport à l'ère préindustrielle, janvier 2025 est devenu le mois de janvier le plus chaud jamais mesuré dans le monde (+1,61°C), tandis que deux canicules successives ont étouffé le pays durant l'été, faisant de 2025 le troisième été le plus chaud jamais enregistré en France. Au-delà de ces événements spectaculaires, 56 % des Français déclarent aujourd'hui avoir déjà subi un dommage lié à un événement climatique sur leur logement ou leurs biens.</w:t>
      </w:r>
      <w:r w:rsidRPr="00A74D23">
        <w:rPr>
          <w:rStyle w:val="Appelnotedebasdep"/>
          <w:rFonts w:asciiTheme="minorHAnsi" w:hAnsiTheme="minorHAnsi" w:cs="Open Sans"/>
          <w:sz w:val="20"/>
          <w:szCs w:val="20"/>
        </w:rPr>
        <w:footnoteReference w:id="8"/>
      </w:r>
      <w:r w:rsidRPr="00A74D23">
        <w:rPr>
          <w:rFonts w:asciiTheme="minorHAnsi" w:hAnsiTheme="minorHAnsi" w:cs="Open Sans"/>
          <w:sz w:val="20"/>
          <w:szCs w:val="20"/>
          <w:lang w:val="fr-FR"/>
        </w:rPr>
        <w:t xml:space="preserve"> </w:t>
      </w:r>
    </w:p>
    <w:p w14:paraId="060817C3" w14:textId="77777777" w:rsidR="00375950" w:rsidRPr="00A74D23" w:rsidRDefault="00375950" w:rsidP="009D6EE5">
      <w:pPr>
        <w:spacing w:line="22" w:lineRule="atLeast"/>
        <w:jc w:val="both"/>
        <w:rPr>
          <w:rFonts w:asciiTheme="minorHAnsi" w:hAnsiTheme="minorHAnsi" w:cs="Open Sans"/>
          <w:sz w:val="20"/>
          <w:szCs w:val="20"/>
          <w:lang w:val="fr-FR"/>
        </w:rPr>
      </w:pPr>
    </w:p>
    <w:p w14:paraId="136294F1" w14:textId="77777777" w:rsidR="00375950" w:rsidRPr="00A74D23" w:rsidRDefault="00375950" w:rsidP="009D6EE5">
      <w:pPr>
        <w:spacing w:line="22" w:lineRule="atLeast"/>
        <w:jc w:val="both"/>
        <w:rPr>
          <w:rFonts w:asciiTheme="minorHAnsi" w:hAnsiTheme="minorHAnsi" w:cs="Open Sans"/>
          <w:b/>
          <w:bCs/>
          <w:sz w:val="20"/>
          <w:szCs w:val="20"/>
          <w:lang w:val="fr-FR"/>
        </w:rPr>
      </w:pPr>
    </w:p>
    <w:p w14:paraId="76237921" w14:textId="79C83D22" w:rsidR="00AE78F1" w:rsidRPr="00A74D23" w:rsidRDefault="001E7499" w:rsidP="009D6EE5">
      <w:pPr>
        <w:spacing w:line="22" w:lineRule="atLeast"/>
        <w:jc w:val="both"/>
        <w:rPr>
          <w:rFonts w:asciiTheme="minorHAnsi" w:hAnsiTheme="minorHAnsi" w:cs="Open Sans"/>
          <w:sz w:val="18"/>
          <w:szCs w:val="18"/>
          <w:lang w:val="fr-FR"/>
        </w:rPr>
      </w:pPr>
      <w:r w:rsidRPr="00A74D23">
        <w:rPr>
          <w:rFonts w:asciiTheme="minorHAnsi" w:hAnsiTheme="minorHAnsi" w:cs="Open Sans"/>
          <w:noProof/>
        </w:rPr>
        <mc:AlternateContent>
          <mc:Choice Requires="wps">
            <w:drawing>
              <wp:anchor distT="0" distB="0" distL="114300" distR="114300" simplePos="0" relativeHeight="251345920" behindDoc="0" locked="0" layoutInCell="1" allowOverlap="1" wp14:anchorId="32F7F3E3" wp14:editId="5E6BCFBB">
                <wp:simplePos x="0" y="0"/>
                <wp:positionH relativeFrom="margin">
                  <wp:posOffset>617545</wp:posOffset>
                </wp:positionH>
                <wp:positionV relativeFrom="paragraph">
                  <wp:posOffset>169545</wp:posOffset>
                </wp:positionV>
                <wp:extent cx="4874895" cy="260350"/>
                <wp:effectExtent l="0" t="0" r="1905" b="9525"/>
                <wp:wrapNone/>
                <wp:docPr id="108469865" name="Rectangle : coins arrondis 108469865"/>
                <wp:cNvGraphicFramePr/>
                <a:graphic xmlns:a="http://schemas.openxmlformats.org/drawingml/2006/main">
                  <a:graphicData uri="http://schemas.microsoft.com/office/word/2010/wordprocessingShape">
                    <wps:wsp>
                      <wps:cNvSpPr/>
                      <wps:spPr>
                        <a:xfrm>
                          <a:off x="0" y="0"/>
                          <a:ext cx="4874895" cy="260350"/>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9CB6AF" w14:textId="77777777" w:rsidR="00AE78F1" w:rsidRPr="001E7499" w:rsidRDefault="00AE78F1" w:rsidP="00AE78F1">
                            <w:pPr>
                              <w:jc w:val="center"/>
                              <w:rPr>
                                <w:b/>
                                <w:bCs/>
                                <w:color w:val="000000" w:themeColor="text1"/>
                                <w:sz w:val="32"/>
                                <w:szCs w:val="32"/>
                                <w:lang w:val="fr-FR"/>
                              </w:rPr>
                            </w:pPr>
                            <w:r w:rsidRPr="001E7499">
                              <w:rPr>
                                <w:rFonts w:ascii="Source Sans Pro" w:hAnsi="Source Sans Pro"/>
                                <w:b/>
                                <w:bCs/>
                                <w:color w:val="000000" w:themeColor="text1"/>
                                <w:lang w:val="fr-FR"/>
                              </w:rPr>
                              <w:t>Une réalité climatique encore mal intégrée par les marchés</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roundrect w14:anchorId="32F7F3E3" id="Rectangle : coins arrondis 108469865" o:spid="_x0000_s1105" style="position:absolute;left:0;text-align:left;margin-left:48.65pt;margin-top:13.35pt;width:383.85pt;height:20.5pt;z-index:2513459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" fillcolor="#ffc000" stroked="f" strokeweight="1pt">
                <v:stroke joinstyle="miter"/>
                <v:textbox style="mso-fit-shape-to-text:t" inset="2.5mm,1mm,2.5mm,1mm">
                  <w:txbxContent>
                    <w:p w14:paraId="4E9CB6AF" w14:textId="77777777" w:rsidR="00AE78F1" w:rsidRPr="001E7499" w:rsidRDefault="00AE78F1" w:rsidP="00AE78F1">
                      <w:pPr>
                        <w:jc w:val="center"/>
                        <w:rPr>
                          <w:b/>
                          <w:bCs/>
                          <w:color w:val="000000" w:themeColor="text1"/>
                          <w:sz w:val="32"/>
                          <w:szCs w:val="32"/>
                          <w:lang w:val="fr-FR"/>
                        </w:rPr>
                      </w:pPr>
                      <w:r w:rsidRPr="001E7499">
                        <w:rPr>
                          <w:rFonts w:ascii="Source Sans Pro" w:hAnsi="Source Sans Pro"/>
                          <w:b/>
                          <w:bCs/>
                          <w:color w:val="000000" w:themeColor="text1"/>
                          <w:lang w:val="fr-FR"/>
                        </w:rPr>
                        <w:t>Une réalité climatique encore mal intégrée par les marchés</w:t>
                      </w:r>
                    </w:p>
                  </w:txbxContent>
                </v:textbox>
                <w10:wrap anchorx="margin"/>
              </v:roundrect>
            </w:pict>
          </mc:Fallback>
        </mc:AlternateContent>
      </w:r>
    </w:p>
    <w:p w14:paraId="49EAF055" w14:textId="01FA48D1" w:rsidR="00AE78F1" w:rsidRPr="00A74D23" w:rsidRDefault="00AE78F1" w:rsidP="009D6EE5">
      <w:pPr>
        <w:spacing w:line="22" w:lineRule="atLeast"/>
        <w:jc w:val="both"/>
        <w:rPr>
          <w:rFonts w:asciiTheme="minorHAnsi" w:hAnsiTheme="minorHAnsi" w:cs="Open Sans"/>
          <w:lang w:val="fr-FR"/>
        </w:rPr>
      </w:pPr>
      <w:r w:rsidRPr="00A74D23">
        <w:rPr>
          <w:rFonts w:asciiTheme="minorHAnsi" w:hAnsiTheme="minorHAnsi" w:cs="Open Sans"/>
          <w:noProof/>
        </w:rPr>
        <mc:AlternateContent>
          <mc:Choice Requires="wps">
            <w:drawing>
              <wp:anchor distT="0" distB="0" distL="114300" distR="114300" simplePos="0" relativeHeight="251347968" behindDoc="1" locked="0" layoutInCell="1" allowOverlap="1" wp14:anchorId="379CB036" wp14:editId="690D28CD">
                <wp:simplePos x="0" y="0"/>
                <wp:positionH relativeFrom="margin">
                  <wp:align>left</wp:align>
                </wp:positionH>
                <wp:positionV relativeFrom="paragraph">
                  <wp:posOffset>186620</wp:posOffset>
                </wp:positionV>
                <wp:extent cx="6035040" cy="1876567"/>
                <wp:effectExtent l="0" t="0" r="3810" b="9525"/>
                <wp:wrapNone/>
                <wp:docPr id="720545999" name="Rectangle : coins arrondis 720545999"/>
                <wp:cNvGraphicFramePr/>
                <a:graphic xmlns:a="http://schemas.openxmlformats.org/drawingml/2006/main">
                  <a:graphicData uri="http://schemas.microsoft.com/office/word/2010/wordprocessingShape">
                    <wps:wsp>
                      <wps:cNvSpPr/>
                      <wps:spPr>
                        <a:xfrm>
                          <a:off x="0" y="0"/>
                          <a:ext cx="6035040" cy="1876567"/>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ECE165" w14:textId="77777777" w:rsidR="00AE78F1" w:rsidRPr="001E7499" w:rsidRDefault="00AE78F1" w:rsidP="00AE78F1">
                            <w:pPr>
                              <w:pStyle w:val="Paragraphedeliste"/>
                              <w:spacing w:after="0" w:line="240" w:lineRule="auto"/>
                              <w:ind w:left="0" w:right="335"/>
                              <w:rPr>
                                <w:color w:val="000000" w:themeColor="text1"/>
                              </w:rPr>
                            </w:pPr>
                            <w:r w:rsidRPr="001E7499">
                              <w:rPr>
                                <w:rFonts w:ascii="Source Sans Pro" w:hAnsi="Source Sans Pro" w:cs="Calibri"/>
                                <w:color w:val="000000"/>
                                <w:sz w:val="20"/>
                                <w:szCs w:val="20"/>
                                <w:lang w:eastAsia="fr-FR"/>
                              </w:rPr>
                              <w:t xml:space="preserve">La réalité du changement climatique demeure largement sous-estimée par les professionnels de l'investissement. L'étude de Rebonato et al. (2024) met en évidence que </w:t>
                            </w:r>
                            <w:r w:rsidRPr="001E7499">
                              <w:rPr>
                                <w:rFonts w:ascii="Source Sans Pro" w:hAnsi="Source Sans Pro" w:cs="Calibri"/>
                                <w:b/>
                                <w:bCs/>
                                <w:color w:val="000000"/>
                                <w:sz w:val="20"/>
                                <w:szCs w:val="20"/>
                                <w:lang w:eastAsia="fr-FR"/>
                              </w:rPr>
                              <w:t>les risques physiques du changement climatique ne sont pas correctement reflétés dans les prix des actifs.</w:t>
                            </w:r>
                            <w:r w:rsidRPr="001E7499">
                              <w:rPr>
                                <w:rFonts w:ascii="Source Sans Pro" w:hAnsi="Source Sans Pro" w:cs="Calibri"/>
                                <w:color w:val="000000"/>
                                <w:sz w:val="20"/>
                                <w:szCs w:val="20"/>
                                <w:lang w:eastAsia="fr-FR"/>
                              </w:rPr>
                              <w:t xml:space="preserve"> Cette sous-évaluation s'explique en partie par la complexité inhérente aux scénarios climatiques. Comme le souligne Morgan Stanley (2023), les horizons d'investissement sont généralement beaucoup plus courts que les échelles de temps des impacts climatiques, et l'impact des risques physiques peut être structurellement sous-estimé dans les modèles. Les climatologues alertent par ailleurs sur le caractère potentiellement exponentiel et irréversible des impacts physiques si certains points de basculement sont atteints dans les écosystèmes, un phénomène que les modèles existants ne capturent qu'imparfaitement.</w:t>
                            </w:r>
                          </w:p>
                          <w:p w14:paraId="278FD22F" w14:textId="77777777" w:rsidR="00AE78F1" w:rsidRPr="00040E3F" w:rsidRDefault="00AE78F1" w:rsidP="00AE78F1">
                            <w:pPr>
                              <w:pStyle w:val="Paragraphedeliste"/>
                              <w:spacing w:after="0" w:line="240" w:lineRule="auto"/>
                              <w:ind w:left="0" w:right="335"/>
                              <w:rPr>
                                <w:color w:val="000000" w:themeColor="text1"/>
                              </w:rPr>
                            </w:pPr>
                          </w:p>
                          <w:p w14:paraId="537F1D87" w14:textId="77777777" w:rsidR="00AE78F1" w:rsidRPr="00474EE1" w:rsidRDefault="00AE78F1" w:rsidP="00AE78F1">
                            <w:pPr>
                              <w:ind w:right="337"/>
                              <w:rPr>
                                <w:color w:val="000000" w:themeColor="text1"/>
                                <w:lang w:val="fr-FR"/>
                              </w:rPr>
                            </w:pPr>
                          </w:p>
                        </w:txbxContent>
                      </wps:txbx>
                      <wps:bodyPr rot="0" spcFirstLastPara="0" vertOverflow="overflow" horzOverflow="overflow" vert="horz" wrap="square" lIns="180000" tIns="72000" rIns="180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9CB036" id="Rectangle : coins arrondis 720545999" o:spid="_x0000_s1106" style="position:absolute;left:0;text-align:left;margin-left:0;margin-top:14.7pt;width:475.2pt;height:147.75pt;z-index:-251968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" fillcolor="#d8d8d8 [2732]" stroked="f" strokeweight="1pt">
                <v:stroke joinstyle="miter"/>
                <v:textbox inset="5mm,2mm,5mm,1mm">
                  <w:txbxContent>
                    <w:p w14:paraId="71ECE165" w14:textId="77777777" w:rsidR="00AE78F1" w:rsidRPr="001E7499" w:rsidRDefault="00AE78F1" w:rsidP="00AE78F1">
                      <w:pPr>
                        <w:pStyle w:val="Paragraphedeliste"/>
                        <w:spacing w:after="0" w:line="240" w:lineRule="auto"/>
                        <w:ind w:left="0" w:right="335"/>
                        <w:rPr>
                          <w:color w:val="000000" w:themeColor="text1"/>
                        </w:rPr>
                      </w:pPr>
                      <w:r w:rsidRPr="001E7499">
                        <w:rPr>
                          <w:rFonts w:ascii="Source Sans Pro" w:hAnsi="Source Sans Pro" w:cs="Calibri"/>
                          <w:color w:val="000000"/>
                          <w:sz w:val="20"/>
                          <w:szCs w:val="20"/>
                          <w:lang w:eastAsia="fr-FR"/>
                        </w:rPr>
                        <w:t xml:space="preserve">La réalité du changement climatique demeure largement sous-estimée par les professionnels de l'investissement. L'étude de Rebonato et al. (2024) met en évidence que </w:t>
                      </w:r>
                      <w:r w:rsidRPr="001E7499">
                        <w:rPr>
                          <w:rFonts w:ascii="Source Sans Pro" w:hAnsi="Source Sans Pro" w:cs="Calibri"/>
                          <w:b/>
                          <w:bCs/>
                          <w:color w:val="000000"/>
                          <w:sz w:val="20"/>
                          <w:szCs w:val="20"/>
                          <w:lang w:eastAsia="fr-FR"/>
                        </w:rPr>
                        <w:t>les risques physiques du changement climatique ne sont pas correctement reflétés dans les prix des actifs.</w:t>
                      </w:r>
                      <w:r w:rsidRPr="001E7499">
                        <w:rPr>
                          <w:rFonts w:ascii="Source Sans Pro" w:hAnsi="Source Sans Pro" w:cs="Calibri"/>
                          <w:color w:val="000000"/>
                          <w:sz w:val="20"/>
                          <w:szCs w:val="20"/>
                          <w:lang w:eastAsia="fr-FR"/>
                        </w:rPr>
                        <w:t xml:space="preserve"> Cette sous-évaluation s'explique en partie par la complexité inhérente aux scénarios climatiques. Comme le souligne Morgan Stanley (2023), les horizons d'investissement sont généralement beaucoup plus courts que les échelles de temps des impacts climatiques, et l'impact des risques physiques peut être structurellement sous-estimé dans les modèles. Les climatologues alertent par ailleurs sur le caractère potentiellement exponentiel et irréversible des impacts physiques si certains points de basculement sont atteints dans les écosystèmes, un phénomène que les modèles existants ne capturent qu'imparfaitement.</w:t>
                      </w:r>
                    </w:p>
                    <w:p w14:paraId="278FD22F" w14:textId="77777777" w:rsidR="00AE78F1" w:rsidRPr="00040E3F" w:rsidRDefault="00AE78F1" w:rsidP="00AE78F1">
                      <w:pPr>
                        <w:pStyle w:val="Paragraphedeliste"/>
                        <w:spacing w:after="0" w:line="240" w:lineRule="auto"/>
                        <w:ind w:left="0" w:right="335"/>
                        <w:rPr>
                          <w:color w:val="000000" w:themeColor="text1"/>
                        </w:rPr>
                      </w:pPr>
                    </w:p>
                    <w:p w14:paraId="537F1D87" w14:textId="77777777" w:rsidR="00AE78F1" w:rsidRPr="00474EE1" w:rsidRDefault="00AE78F1" w:rsidP="00AE78F1">
                      <w:pPr>
                        <w:ind w:right="337"/>
                        <w:rPr>
                          <w:color w:val="000000" w:themeColor="text1"/>
                          <w:lang w:val="fr-FR"/>
                        </w:rPr>
                      </w:pPr>
                    </w:p>
                  </w:txbxContent>
                </v:textbox>
                <w10:wrap anchorx="margin"/>
              </v:roundrect>
            </w:pict>
          </mc:Fallback>
        </mc:AlternateContent>
      </w:r>
    </w:p>
    <w:p w14:paraId="5512C4C5" w14:textId="77777777" w:rsidR="00AE78F1" w:rsidRPr="00A74D23" w:rsidRDefault="00AE78F1" w:rsidP="009D6EE5">
      <w:pPr>
        <w:spacing w:line="22" w:lineRule="atLeast"/>
        <w:jc w:val="both"/>
        <w:rPr>
          <w:rFonts w:asciiTheme="minorHAnsi" w:hAnsiTheme="minorHAnsi" w:cs="Open Sans"/>
          <w:lang w:val="fr-FR"/>
        </w:rPr>
      </w:pPr>
    </w:p>
    <w:p w14:paraId="4C1395E1" w14:textId="77777777" w:rsidR="00AE78F1" w:rsidRPr="00A74D23" w:rsidRDefault="00AE78F1" w:rsidP="009D6EE5">
      <w:pPr>
        <w:spacing w:line="22" w:lineRule="atLeast"/>
        <w:jc w:val="both"/>
        <w:rPr>
          <w:rFonts w:asciiTheme="minorHAnsi" w:hAnsiTheme="minorHAnsi" w:cs="Open Sans"/>
          <w:lang w:val="fr-FR"/>
        </w:rPr>
      </w:pPr>
    </w:p>
    <w:p w14:paraId="2669AA30" w14:textId="777AAEFE" w:rsidR="00AE78F1" w:rsidRPr="00A74D23" w:rsidRDefault="00AE78F1" w:rsidP="009D6EE5">
      <w:pPr>
        <w:spacing w:line="22" w:lineRule="atLeast"/>
        <w:jc w:val="both"/>
        <w:rPr>
          <w:rFonts w:asciiTheme="minorHAnsi" w:hAnsiTheme="minorHAnsi" w:cs="Open Sans"/>
          <w:lang w:val="fr-FR"/>
        </w:rPr>
      </w:pPr>
    </w:p>
    <w:p w14:paraId="3EB2B7EC" w14:textId="38F9C6E6" w:rsidR="00AE78F1" w:rsidRPr="00A74D23" w:rsidRDefault="00AE78F1" w:rsidP="009D6EE5">
      <w:pPr>
        <w:spacing w:line="22" w:lineRule="atLeast"/>
        <w:jc w:val="both"/>
        <w:rPr>
          <w:rFonts w:asciiTheme="minorHAnsi" w:hAnsiTheme="minorHAnsi" w:cs="Open Sans"/>
          <w:lang w:val="fr-FR"/>
        </w:rPr>
      </w:pPr>
    </w:p>
    <w:p w14:paraId="6946B352" w14:textId="503CBE0A" w:rsidR="00AE78F1" w:rsidRPr="00A74D23" w:rsidRDefault="00AE78F1" w:rsidP="009D6EE5">
      <w:pPr>
        <w:spacing w:line="22" w:lineRule="atLeast"/>
        <w:jc w:val="both"/>
        <w:rPr>
          <w:rFonts w:asciiTheme="minorHAnsi" w:hAnsiTheme="minorHAnsi" w:cs="Open Sans"/>
          <w:lang w:val="fr-FR"/>
        </w:rPr>
      </w:pPr>
    </w:p>
    <w:p w14:paraId="585A41C8" w14:textId="135FE008" w:rsidR="00AE78F1" w:rsidRPr="00A74D23" w:rsidRDefault="00AE78F1" w:rsidP="009D6EE5">
      <w:pPr>
        <w:spacing w:line="22" w:lineRule="atLeast"/>
        <w:jc w:val="both"/>
        <w:rPr>
          <w:rFonts w:asciiTheme="minorHAnsi" w:hAnsiTheme="minorHAnsi" w:cs="Open Sans"/>
          <w:lang w:val="fr-FR"/>
        </w:rPr>
      </w:pPr>
    </w:p>
    <w:p w14:paraId="0C1D1049" w14:textId="2A7D039C" w:rsidR="002A2E42" w:rsidRPr="00A74D23" w:rsidRDefault="002A2E42" w:rsidP="009D6EE5">
      <w:pPr>
        <w:spacing w:line="22" w:lineRule="atLeast"/>
        <w:jc w:val="both"/>
        <w:rPr>
          <w:rFonts w:asciiTheme="minorHAnsi" w:hAnsiTheme="minorHAnsi" w:cs="Open Sans"/>
          <w:lang w:val="fr-FR"/>
        </w:rPr>
      </w:pPr>
    </w:p>
    <w:p w14:paraId="5BD6783B" w14:textId="362DCD96" w:rsidR="002A2E42" w:rsidRPr="00A74D23" w:rsidRDefault="002A2E42" w:rsidP="009D6EE5">
      <w:pPr>
        <w:spacing w:line="22" w:lineRule="atLeast"/>
        <w:jc w:val="both"/>
        <w:rPr>
          <w:rFonts w:asciiTheme="minorHAnsi" w:hAnsiTheme="minorHAnsi" w:cs="Open Sans"/>
          <w:lang w:val="fr-FR"/>
        </w:rPr>
      </w:pPr>
    </w:p>
    <w:p w14:paraId="26881997" w14:textId="54336161" w:rsidR="002A2E42" w:rsidRPr="00A74D23" w:rsidRDefault="002A2E42" w:rsidP="009D6EE5">
      <w:pPr>
        <w:spacing w:line="22" w:lineRule="atLeast"/>
        <w:jc w:val="both"/>
        <w:rPr>
          <w:rFonts w:asciiTheme="minorHAnsi" w:hAnsiTheme="minorHAnsi" w:cs="Open Sans"/>
          <w:lang w:val="fr-FR"/>
        </w:rPr>
      </w:pPr>
    </w:p>
    <w:p w14:paraId="2D89C6A2" w14:textId="67385260" w:rsidR="002A2E42" w:rsidRPr="00A74D23" w:rsidRDefault="002A2E42" w:rsidP="009D6EE5">
      <w:pPr>
        <w:spacing w:line="22" w:lineRule="atLeast"/>
        <w:jc w:val="both"/>
        <w:rPr>
          <w:rFonts w:asciiTheme="minorHAnsi" w:hAnsiTheme="minorHAnsi" w:cs="Open Sans"/>
          <w:sz w:val="18"/>
          <w:szCs w:val="18"/>
          <w:lang w:val="fr-FR"/>
        </w:rPr>
      </w:pPr>
    </w:p>
    <w:p w14:paraId="2B0DA767" w14:textId="77777777" w:rsidR="00AE78F1" w:rsidRPr="00A74D23" w:rsidRDefault="00AE78F1" w:rsidP="009D6EE5">
      <w:pPr>
        <w:spacing w:line="22" w:lineRule="atLeast"/>
        <w:jc w:val="both"/>
        <w:rPr>
          <w:rFonts w:asciiTheme="minorHAnsi" w:hAnsiTheme="minorHAnsi" w:cs="Open Sans"/>
          <w:sz w:val="18"/>
          <w:szCs w:val="18"/>
          <w:lang w:val="fr-FR"/>
        </w:rPr>
      </w:pPr>
    </w:p>
    <w:p w14:paraId="45DBD829" w14:textId="624CCCEF" w:rsidR="00AE78F1" w:rsidRPr="00A74D23" w:rsidRDefault="00AE78F1"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 xml:space="preserve">Dans le même temps, la transition climatique constitue un enjeu mondial où les gouvernements jouent un rôle déterminant. Les investisseurs disposent désormais de repères structurants pour identifier ce qui est « vert » : taxonomies, réglementations et cadres normalisés se multiplient et guident progressivement l'allocation du capital. L'étude de Faccini et al. (2023) confirme d'ailleurs que les investisseurs réagissent principalement aux risques de politique climatique liés à l'intervention gouvernementale, d’avantage qu’aux risques physiques directs. Cette réactivité aux signaux réglementaires démontre que le marché attend des impulsions claires pour orienter ses décisions d'investissement. </w:t>
      </w:r>
    </w:p>
    <w:p w14:paraId="1E006A26" w14:textId="77777777" w:rsidR="00AE78F1" w:rsidRPr="00A74D23" w:rsidRDefault="00AE78F1" w:rsidP="009D6EE5">
      <w:pPr>
        <w:spacing w:line="22" w:lineRule="atLeast"/>
        <w:jc w:val="both"/>
        <w:rPr>
          <w:rFonts w:asciiTheme="minorHAnsi" w:hAnsiTheme="minorHAnsi" w:cs="Open Sans"/>
          <w:lang w:val="fr-FR"/>
        </w:rPr>
      </w:pPr>
    </w:p>
    <w:p w14:paraId="10F4F1B3" w14:textId="706ED534" w:rsidR="00AE78F1" w:rsidRPr="00A74D23" w:rsidRDefault="00AE78F1" w:rsidP="009D6EE5">
      <w:pPr>
        <w:spacing w:line="22" w:lineRule="atLeast"/>
        <w:jc w:val="both"/>
        <w:rPr>
          <w:rFonts w:asciiTheme="minorHAnsi" w:hAnsiTheme="minorHAnsi" w:cs="Open Sans"/>
          <w:b/>
          <w:bCs/>
          <w:lang w:val="fr-FR"/>
        </w:rPr>
      </w:pPr>
      <w:r w:rsidRPr="00A74D23">
        <w:rPr>
          <w:rFonts w:asciiTheme="minorHAnsi" w:hAnsiTheme="minorHAnsi" w:cs="Open Sans"/>
          <w:b/>
          <w:bCs/>
          <w:lang w:val="fr-FR"/>
        </w:rPr>
        <w:t>Anticiper un monde en transition retardée</w:t>
      </w:r>
    </w:p>
    <w:p w14:paraId="3D9D43C3" w14:textId="77777777" w:rsidR="00470B30" w:rsidRPr="00A74D23" w:rsidRDefault="00470B30" w:rsidP="009D6EE5">
      <w:pPr>
        <w:spacing w:line="22" w:lineRule="atLeast"/>
        <w:jc w:val="both"/>
        <w:rPr>
          <w:rFonts w:asciiTheme="minorHAnsi" w:hAnsiTheme="minorHAnsi" w:cs="Open Sans"/>
          <w:sz w:val="18"/>
          <w:szCs w:val="18"/>
          <w:lang w:val="fr-FR"/>
        </w:rPr>
      </w:pPr>
    </w:p>
    <w:p w14:paraId="1FE914DB" w14:textId="39328D7C" w:rsidR="00AE78F1" w:rsidRPr="00A74D23" w:rsidRDefault="00AE78F1"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 xml:space="preserve">Face à cette incertitude, Abeille Assurances s'attache à construire sa propre vision du scénario climatique le plus probable, en s'appuyant sur les scénarios du Network for Greening the Financial System (NGFS). Ces scénarios explorent différentes trajectoires couvrant un large éventail de risques de transition et de risques physiques. Le NGFS identifie notamment le scénario « Delayed Transition », où les émissions annuelles mondiales ne diminuent pas jusqu'en 2030, avant qu'un durcissement rapide des politiques ne devienne nécessaire pour limiter le réchauffement à moins de 2°C, ainsi que le scénario « NDCs » (Nationally Determined Contributions), qui intègre tous les engagements politiques promis, même ceux qui ne sont pas encore soutenus par des politiques efficaces. </w:t>
      </w:r>
    </w:p>
    <w:p w14:paraId="4BD1CB35" w14:textId="3FB33EF1" w:rsidR="00AE78F1" w:rsidRPr="00A74D23" w:rsidRDefault="00375950" w:rsidP="009D6EE5">
      <w:pPr>
        <w:spacing w:line="22" w:lineRule="atLeast"/>
        <w:jc w:val="both"/>
        <w:rPr>
          <w:rFonts w:asciiTheme="minorHAnsi" w:hAnsiTheme="minorHAnsi" w:cs="Open Sans"/>
          <w:lang w:val="fr-FR"/>
        </w:rPr>
      </w:pPr>
      <w:r w:rsidRPr="00A74D23">
        <w:rPr>
          <w:rFonts w:asciiTheme="minorHAnsi" w:hAnsiTheme="minorHAnsi" w:cs="Open Sans"/>
          <w:noProof/>
        </w:rPr>
        <mc:AlternateContent>
          <mc:Choice Requires="wps">
            <w:drawing>
              <wp:anchor distT="0" distB="0" distL="114300" distR="114300" simplePos="0" relativeHeight="251683840" behindDoc="0" locked="0" layoutInCell="1" allowOverlap="1" wp14:anchorId="59189A7D" wp14:editId="5B417500">
                <wp:simplePos x="0" y="0"/>
                <wp:positionH relativeFrom="column">
                  <wp:posOffset>1703516</wp:posOffset>
                </wp:positionH>
                <wp:positionV relativeFrom="paragraph">
                  <wp:posOffset>1699095</wp:posOffset>
                </wp:positionV>
                <wp:extent cx="693469" cy="432212"/>
                <wp:effectExtent l="19050" t="19050" r="11430" b="25400"/>
                <wp:wrapNone/>
                <wp:docPr id="901639230" name="Rectangle 1"/>
                <wp:cNvGraphicFramePr/>
                <a:graphic xmlns:a="http://schemas.openxmlformats.org/drawingml/2006/main">
                  <a:graphicData uri="http://schemas.microsoft.com/office/word/2010/wordprocessingShape">
                    <wps:wsp>
                      <wps:cNvSpPr/>
                      <wps:spPr>
                        <a:xfrm>
                          <a:off x="0" y="0"/>
                          <a:ext cx="693469" cy="432212"/>
                        </a:xfrm>
                        <a:prstGeom prst="rect">
                          <a:avLst/>
                        </a:prstGeom>
                        <a:solidFill>
                          <a:schemeClr val="accent2"/>
                        </a:solidFill>
                        <a:ln w="28575">
                          <a:solidFill>
                            <a:schemeClr val="accent1"/>
                          </a:solidFill>
                          <a:prstDash val="sysDot"/>
                        </a:ln>
                      </wps:spPr>
                      <wps:style>
                        <a:lnRef idx="0">
                          <a:scrgbClr r="0" g="0" b="0"/>
                        </a:lnRef>
                        <a:fillRef idx="0">
                          <a:scrgbClr r="0" g="0" b="0"/>
                        </a:fillRef>
                        <a:effectRef idx="0">
                          <a:scrgbClr r="0" g="0" b="0"/>
                        </a:effectRef>
                        <a:fontRef idx="minor">
                          <a:schemeClr val="lt1"/>
                        </a:fontRef>
                      </wps:style>
                      <wps:txbx>
                        <w:txbxContent>
                          <w:p w14:paraId="0F470403" w14:textId="63CA0B73" w:rsidR="00375950" w:rsidRPr="00375950" w:rsidRDefault="00375950" w:rsidP="00375950">
                            <w:pPr>
                              <w:jc w:val="center"/>
                              <w:rPr>
                                <w:rFonts w:asciiTheme="minorHAnsi" w:hAnsiTheme="minorHAnsi"/>
                                <w:b/>
                                <w:bCs/>
                                <w:sz w:val="20"/>
                                <w:szCs w:val="20"/>
                                <w:lang w:val="fr-FR"/>
                              </w:rPr>
                            </w:pPr>
                            <w:r w:rsidRPr="00375950">
                              <w:rPr>
                                <w:rFonts w:asciiTheme="minorHAnsi" w:hAnsiTheme="minorHAnsi"/>
                                <w:b/>
                                <w:bCs/>
                                <w:sz w:val="20"/>
                                <w:szCs w:val="20"/>
                                <w:lang w:val="fr-FR"/>
                              </w:rPr>
                              <w:t>Vision centrale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189A7D" id="_x0000_s1107" style="position:absolute;left:0;text-align:left;margin-left:134.15pt;margin-top:133.8pt;width:54.6pt;height:34.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" fillcolor="#8a2c24 [3205]" strokecolor="#ffd400 [3204]" strokeweight="2.25pt">
                <v:stroke dashstyle="1 1"/>
                <v:textbox>
                  <w:txbxContent>
                    <w:p w14:paraId="0F470403" w14:textId="63CA0B73" w:rsidR="00375950" w:rsidRPr="00375950" w:rsidRDefault="00375950" w:rsidP="00375950">
                      <w:pPr>
                        <w:jc w:val="center"/>
                        <w:rPr>
                          <w:rFonts w:asciiTheme="minorHAnsi" w:hAnsiTheme="minorHAnsi"/>
                          <w:b/>
                          <w:bCs/>
                          <w:sz w:val="20"/>
                          <w:szCs w:val="20"/>
                          <w:lang w:val="fr-FR"/>
                        </w:rPr>
                      </w:pPr>
                      <w:r w:rsidRPr="00375950">
                        <w:rPr>
                          <w:rFonts w:asciiTheme="minorHAnsi" w:hAnsiTheme="minorHAnsi"/>
                          <w:b/>
                          <w:bCs/>
                          <w:sz w:val="20"/>
                          <w:szCs w:val="20"/>
                          <w:lang w:val="fr-FR"/>
                        </w:rPr>
                        <w:t>Vision centrale</w:t>
                      </w:r>
                    </w:p>
                  </w:txbxContent>
                </v:textbox>
              </v:rect>
            </w:pict>
          </mc:Fallback>
        </mc:AlternateContent>
      </w:r>
      <w:r w:rsidRPr="00A74D23">
        <w:rPr>
          <w:rFonts w:asciiTheme="minorHAnsi" w:hAnsiTheme="minorHAnsi" w:cs="Open Sans"/>
          <w:noProof/>
          <w:sz w:val="18"/>
          <w:szCs w:val="18"/>
          <w:lang w:val="fr-FR"/>
        </w:rPr>
        <mc:AlternateContent>
          <mc:Choice Requires="wps">
            <w:drawing>
              <wp:anchor distT="0" distB="0" distL="114300" distR="114300" simplePos="0" relativeHeight="251679744" behindDoc="0" locked="0" layoutInCell="1" allowOverlap="1" wp14:anchorId="69744122" wp14:editId="49604BC2">
                <wp:simplePos x="0" y="0"/>
                <wp:positionH relativeFrom="column">
                  <wp:posOffset>3584575</wp:posOffset>
                </wp:positionH>
                <wp:positionV relativeFrom="paragraph">
                  <wp:posOffset>277495</wp:posOffset>
                </wp:positionV>
                <wp:extent cx="2660015" cy="3253105"/>
                <wp:effectExtent l="0" t="0" r="6985" b="4445"/>
                <wp:wrapSquare wrapText="bothSides"/>
                <wp:docPr id="1221571325" name="Rectangle 2"/>
                <wp:cNvGraphicFramePr/>
                <a:graphic xmlns:a="http://schemas.openxmlformats.org/drawingml/2006/main">
                  <a:graphicData uri="http://schemas.microsoft.com/office/word/2010/wordprocessingShape">
                    <wps:wsp>
                      <wps:cNvSpPr/>
                      <wps:spPr>
                        <a:xfrm>
                          <a:off x="0" y="0"/>
                          <a:ext cx="2660015" cy="325310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F64CC3" w14:textId="77777777" w:rsidR="00375950" w:rsidRPr="00375950" w:rsidRDefault="00375950" w:rsidP="00375950">
                            <w:pPr>
                              <w:spacing w:line="276" w:lineRule="auto"/>
                              <w:rPr>
                                <w:rFonts w:asciiTheme="minorHAnsi" w:hAnsiTheme="minorHAnsi" w:cs="Open Sans"/>
                                <w:color w:val="000000" w:themeColor="text1"/>
                                <w:sz w:val="20"/>
                                <w:szCs w:val="20"/>
                                <w:lang w:val="fr-FR"/>
                              </w:rPr>
                            </w:pPr>
                            <w:r w:rsidRPr="00375950">
                              <w:rPr>
                                <w:rFonts w:asciiTheme="minorHAnsi" w:hAnsiTheme="minorHAnsi" w:cs="Open Sans"/>
                                <w:color w:val="000000" w:themeColor="text1"/>
                                <w:sz w:val="20"/>
                                <w:szCs w:val="20"/>
                                <w:lang w:val="fr-FR"/>
                              </w:rPr>
                              <w:t xml:space="preserve">Notre </w:t>
                            </w:r>
                            <w:r w:rsidRPr="00375950">
                              <w:rPr>
                                <w:rFonts w:asciiTheme="minorHAnsi" w:hAnsiTheme="minorHAnsi" w:cs="Open Sans"/>
                                <w:b/>
                                <w:bCs/>
                                <w:color w:val="000000" w:themeColor="text1"/>
                                <w:sz w:val="20"/>
                                <w:szCs w:val="20"/>
                                <w:lang w:val="fr-FR"/>
                              </w:rPr>
                              <w:t>vision centrale du scénario monde le plus probable</w:t>
                            </w:r>
                            <w:r w:rsidRPr="00375950">
                              <w:rPr>
                                <w:rFonts w:asciiTheme="minorHAnsi" w:hAnsiTheme="minorHAnsi" w:cs="Open Sans"/>
                                <w:color w:val="000000" w:themeColor="text1"/>
                                <w:sz w:val="20"/>
                                <w:szCs w:val="20"/>
                                <w:lang w:val="fr-FR"/>
                              </w:rPr>
                              <w:t xml:space="preserve"> combine à parts égales les trajectoires « Delayed Transition » et « NDCs ». Jusqu’en 2030, les efforts de réduction des émissions restent en deçà de ce qui serait nécessaire pour une trajectoire 1,5°C. Ensuite, une accélération s’enclenche, portée par une prise de conscience accrue des impacts physiques et des coûts associés à l’inaction. Dans ce contexte, les risques augmentent progressivement, tout comme les exigences de transition. La réponse des politiques publiques et des marchés s’intensifie de manière graduelle. Les prix du carbone amorcent une hausse modérée, reflet d’une dynamique de transition qui se structure dans le temps.</w:t>
                            </w:r>
                          </w:p>
                          <w:p w14:paraId="6465472A" w14:textId="77777777" w:rsidR="00375950" w:rsidRPr="00375950" w:rsidRDefault="00375950" w:rsidP="00375950">
                            <w:pPr>
                              <w:jc w:val="center"/>
                              <w:rPr>
                                <w:color w:val="000000" w:themeColor="text1"/>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744122" id="_x0000_s1108" style="position:absolute;left:0;text-align:left;margin-left:282.25pt;margin-top:21.85pt;width:209.45pt;height:256.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" fillcolor="#ffd400 [3204]" stroked="f" strokeweight="1pt">
                <v:textbox>
                  <w:txbxContent>
                    <w:p w14:paraId="5EF64CC3" w14:textId="77777777" w:rsidR="00375950" w:rsidRPr="00375950" w:rsidRDefault="00375950" w:rsidP="00375950">
                      <w:pPr>
                        <w:spacing w:line="276" w:lineRule="auto"/>
                        <w:rPr>
                          <w:rFonts w:asciiTheme="minorHAnsi" w:hAnsiTheme="minorHAnsi" w:cs="Open Sans"/>
                          <w:color w:val="000000" w:themeColor="text1"/>
                          <w:sz w:val="20"/>
                          <w:szCs w:val="20"/>
                          <w:lang w:val="fr-FR"/>
                        </w:rPr>
                      </w:pPr>
                      <w:r w:rsidRPr="00375950">
                        <w:rPr>
                          <w:rFonts w:asciiTheme="minorHAnsi" w:hAnsiTheme="minorHAnsi" w:cs="Open Sans"/>
                          <w:color w:val="000000" w:themeColor="text1"/>
                          <w:sz w:val="20"/>
                          <w:szCs w:val="20"/>
                          <w:lang w:val="fr-FR"/>
                        </w:rPr>
                        <w:t xml:space="preserve">Notre </w:t>
                      </w:r>
                      <w:r w:rsidRPr="00375950">
                        <w:rPr>
                          <w:rFonts w:asciiTheme="minorHAnsi" w:hAnsiTheme="minorHAnsi" w:cs="Open Sans"/>
                          <w:b/>
                          <w:bCs/>
                          <w:color w:val="000000" w:themeColor="text1"/>
                          <w:sz w:val="20"/>
                          <w:szCs w:val="20"/>
                          <w:lang w:val="fr-FR"/>
                        </w:rPr>
                        <w:t>vision centrale du scénario monde le plus probable</w:t>
                      </w:r>
                      <w:r w:rsidRPr="00375950">
                        <w:rPr>
                          <w:rFonts w:asciiTheme="minorHAnsi" w:hAnsiTheme="minorHAnsi" w:cs="Open Sans"/>
                          <w:color w:val="000000" w:themeColor="text1"/>
                          <w:sz w:val="20"/>
                          <w:szCs w:val="20"/>
                          <w:lang w:val="fr-FR"/>
                        </w:rPr>
                        <w:t xml:space="preserve"> combine à parts égales les trajectoires « Delayed Transition » et « NDCs ». Jusqu’en 2030, les efforts de réduction des émissions restent en deçà de ce qui serait nécessaire pour une trajectoire 1,5°C. Ensuite, une accélération s’enclenche, portée par une prise de conscience accrue des impacts physiques et des coûts associés à l’inaction. Dans ce contexte, les risques augmentent progressivement, tout comme les exigences de transition. La réponse des politiques publiques et des marchés s’intensifie de manière graduelle. Les prix du carbone amorcent une hausse modérée, reflet d’une dynamique de transition qui se structure dans le temps.</w:t>
                      </w:r>
                    </w:p>
                    <w:p w14:paraId="6465472A" w14:textId="77777777" w:rsidR="00375950" w:rsidRPr="00375950" w:rsidRDefault="00375950" w:rsidP="00375950">
                      <w:pPr>
                        <w:jc w:val="center"/>
                        <w:rPr>
                          <w:color w:val="000000" w:themeColor="text1"/>
                          <w:lang w:val="fr-FR"/>
                        </w:rPr>
                      </w:pPr>
                    </w:p>
                  </w:txbxContent>
                </v:textbox>
                <w10:wrap type="square"/>
              </v:rect>
            </w:pict>
          </mc:Fallback>
        </mc:AlternateContent>
      </w:r>
    </w:p>
    <w:p w14:paraId="4A6D8C31" w14:textId="115C1391" w:rsidR="00AE78F1" w:rsidRPr="00A74D23" w:rsidRDefault="00375950" w:rsidP="009D6EE5">
      <w:pPr>
        <w:spacing w:line="22" w:lineRule="atLeast"/>
        <w:jc w:val="both"/>
        <w:rPr>
          <w:rFonts w:asciiTheme="minorHAnsi" w:hAnsiTheme="minorHAnsi" w:cs="Open Sans"/>
          <w:lang w:val="fr-FR"/>
        </w:rPr>
      </w:pPr>
      <w:r w:rsidRPr="00A74D23">
        <w:rPr>
          <w:rFonts w:asciiTheme="minorHAnsi" w:hAnsiTheme="minorHAnsi" w:cs="Open Sans"/>
          <w:noProof/>
        </w:rPr>
        <w:drawing>
          <wp:anchor distT="0" distB="0" distL="114300" distR="114300" simplePos="0" relativeHeight="251681792" behindDoc="0" locked="0" layoutInCell="1" allowOverlap="1" wp14:anchorId="4F367DDF" wp14:editId="0E472ACB">
            <wp:simplePos x="0" y="0"/>
            <wp:positionH relativeFrom="margin">
              <wp:posOffset>6985</wp:posOffset>
            </wp:positionH>
            <wp:positionV relativeFrom="paragraph">
              <wp:posOffset>42545</wp:posOffset>
            </wp:positionV>
            <wp:extent cx="3440430" cy="3289300"/>
            <wp:effectExtent l="0" t="0" r="7620" b="6350"/>
            <wp:wrapSquare wrapText="bothSides"/>
            <wp:docPr id="1697319477" name="Image 6" descr="Une image contenant texte, capture d’écran, Police, diagramme&#10;&#10;Le contenu généré par l’IA peut être incorrect.">
              <a:extLst xmlns:a="http://schemas.openxmlformats.org/drawingml/2006/main">
                <a:ext uri="{FF2B5EF4-FFF2-40B4-BE49-F238E27FC236}">
                  <a16:creationId xmlns:a16="http://schemas.microsoft.com/office/drawing/2014/main" id="{90C9D63C-7AE1-C3B1-9C0E-E1079EF8D8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descr="Une image contenant texte, capture d’écran, Police, diagramme&#10;&#10;Le contenu généré par l’IA peut être incorrect.">
                      <a:extLst>
                        <a:ext uri="{FF2B5EF4-FFF2-40B4-BE49-F238E27FC236}">
                          <a16:creationId xmlns:a16="http://schemas.microsoft.com/office/drawing/2014/main" id="{90C9D63C-7AE1-C3B1-9C0E-E1079EF8D89A}"/>
                        </a:ext>
                      </a:extLst>
                    </pic:cNvPr>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3440430" cy="3289300"/>
                    </a:xfrm>
                    <a:prstGeom prst="rect">
                      <a:avLst/>
                    </a:prstGeom>
                  </pic:spPr>
                </pic:pic>
              </a:graphicData>
            </a:graphic>
          </wp:anchor>
        </w:drawing>
      </w:r>
    </w:p>
    <w:p w14:paraId="67A808C4" w14:textId="498A705B" w:rsidR="00AE78F1" w:rsidRPr="00A74D23" w:rsidRDefault="00AE78F1" w:rsidP="009D6EE5">
      <w:pPr>
        <w:spacing w:line="22" w:lineRule="atLeast"/>
        <w:jc w:val="both"/>
        <w:rPr>
          <w:rFonts w:asciiTheme="minorHAnsi" w:hAnsiTheme="minorHAnsi" w:cs="Open Sans"/>
          <w:lang w:val="fr-FR"/>
        </w:rPr>
      </w:pPr>
    </w:p>
    <w:p w14:paraId="15ADBE9B" w14:textId="7491F56A" w:rsidR="00AE78F1" w:rsidRPr="00A74D23" w:rsidRDefault="00AE78F1" w:rsidP="009D6EE5">
      <w:pPr>
        <w:spacing w:line="22" w:lineRule="atLeast"/>
        <w:jc w:val="both"/>
        <w:rPr>
          <w:rFonts w:asciiTheme="minorHAnsi" w:hAnsiTheme="minorHAnsi" w:cs="Open Sans"/>
          <w:lang w:val="fr-FR"/>
        </w:rPr>
      </w:pPr>
    </w:p>
    <w:p w14:paraId="457608EA" w14:textId="77777777" w:rsidR="00AE78F1" w:rsidRPr="00A74D23" w:rsidRDefault="00AE78F1" w:rsidP="009D6EE5">
      <w:pPr>
        <w:spacing w:line="22" w:lineRule="atLeast"/>
        <w:jc w:val="both"/>
        <w:rPr>
          <w:rFonts w:asciiTheme="minorHAnsi" w:hAnsiTheme="minorHAnsi" w:cs="Open Sans"/>
          <w:b/>
          <w:bCs/>
          <w:lang w:val="fr-FR"/>
        </w:rPr>
      </w:pPr>
      <w:r w:rsidRPr="00A74D23">
        <w:rPr>
          <w:rFonts w:asciiTheme="minorHAnsi" w:hAnsiTheme="minorHAnsi" w:cs="Open Sans"/>
          <w:b/>
          <w:bCs/>
          <w:lang w:val="fr-FR"/>
        </w:rPr>
        <w:t>Un engagement stratégique au service de la performance et de l'impact</w:t>
      </w:r>
    </w:p>
    <w:p w14:paraId="5C40D338" w14:textId="77777777" w:rsidR="00AE78F1" w:rsidRPr="00A74D23" w:rsidRDefault="00AE78F1" w:rsidP="009D6EE5">
      <w:pPr>
        <w:spacing w:line="22" w:lineRule="atLeast"/>
        <w:jc w:val="both"/>
        <w:rPr>
          <w:rFonts w:asciiTheme="minorHAnsi" w:hAnsiTheme="minorHAnsi" w:cs="Open Sans"/>
          <w:b/>
          <w:bCs/>
          <w:lang w:val="fr-FR"/>
        </w:rPr>
      </w:pPr>
    </w:p>
    <w:p w14:paraId="54AB5FB5" w14:textId="0FFBF727" w:rsidR="00AE78F1" w:rsidRPr="00A74D23" w:rsidRDefault="00AE78F1" w:rsidP="009D6EE5">
      <w:pPr>
        <w:spacing w:line="22" w:lineRule="atLeast"/>
        <w:jc w:val="both"/>
        <w:rPr>
          <w:rFonts w:asciiTheme="minorHAnsi" w:hAnsiTheme="minorHAnsi" w:cs="Open Sans"/>
          <w:sz w:val="20"/>
          <w:szCs w:val="20"/>
          <w:lang w:val="fr-FR"/>
        </w:rPr>
      </w:pPr>
      <w:r w:rsidRPr="00A74D23">
        <w:rPr>
          <w:rFonts w:asciiTheme="minorHAnsi" w:hAnsiTheme="minorHAnsi" w:cs="Open Sans"/>
          <w:b/>
          <w:bCs/>
          <w:sz w:val="20"/>
          <w:szCs w:val="20"/>
          <w:lang w:val="fr-FR"/>
        </w:rPr>
        <w:t>Dans ce contexte, Abeille Assurances réaffirme son engagement en faveur du Net Zéro à l’horizon 2050, un choix stratégique et une responsabilité sociétale pleinement assumés.</w:t>
      </w:r>
      <w:r w:rsidR="0067158D" w:rsidRPr="00A74D23">
        <w:rPr>
          <w:rFonts w:asciiTheme="minorHAnsi" w:hAnsiTheme="minorHAnsi" w:cs="Open Sans"/>
          <w:sz w:val="20"/>
          <w:szCs w:val="20"/>
          <w:lang w:val="fr-FR"/>
        </w:rPr>
        <w:t xml:space="preserve"> </w:t>
      </w:r>
      <w:r w:rsidRPr="00A74D23">
        <w:rPr>
          <w:rFonts w:asciiTheme="minorHAnsi" w:hAnsiTheme="minorHAnsi" w:cs="Open Sans"/>
          <w:sz w:val="20"/>
          <w:szCs w:val="20"/>
          <w:lang w:val="fr-FR"/>
        </w:rPr>
        <w:t>Nous sommes convaincus qu’il est possible</w:t>
      </w:r>
      <w:r w:rsidR="0067158D" w:rsidRPr="00A74D23">
        <w:rPr>
          <w:rFonts w:asciiTheme="minorHAnsi" w:hAnsiTheme="minorHAnsi" w:cs="Open Sans"/>
          <w:sz w:val="20"/>
          <w:szCs w:val="20"/>
          <w:lang w:val="fr-FR"/>
        </w:rPr>
        <w:t xml:space="preserve">, </w:t>
      </w:r>
      <w:r w:rsidRPr="00A74D23">
        <w:rPr>
          <w:rFonts w:asciiTheme="minorHAnsi" w:hAnsiTheme="minorHAnsi" w:cs="Open Sans"/>
          <w:sz w:val="20"/>
          <w:szCs w:val="20"/>
          <w:lang w:val="fr-FR"/>
        </w:rPr>
        <w:t>et nécessaire</w:t>
      </w:r>
      <w:r w:rsidR="0067158D" w:rsidRPr="00A74D23">
        <w:rPr>
          <w:rFonts w:asciiTheme="minorHAnsi" w:hAnsiTheme="minorHAnsi" w:cs="Open Sans"/>
          <w:sz w:val="20"/>
          <w:szCs w:val="20"/>
          <w:lang w:val="fr-FR"/>
        </w:rPr>
        <w:t xml:space="preserve">, </w:t>
      </w:r>
      <w:r w:rsidRPr="00A74D23">
        <w:rPr>
          <w:rFonts w:asciiTheme="minorHAnsi" w:hAnsiTheme="minorHAnsi" w:cs="Open Sans"/>
          <w:sz w:val="20"/>
          <w:szCs w:val="20"/>
          <w:lang w:val="fr-FR"/>
        </w:rPr>
        <w:t xml:space="preserve">de concilier performance financière et extra-financière. Trois raisons guident cette ambition : générer un impact durable et mesurable sur les enjeux sociaux et environnementaux ; renforcer la performance des investissements sur le moyen et long terme </w:t>
      </w:r>
      <w:r w:rsidR="004D5A2D" w:rsidRPr="00A74D23">
        <w:rPr>
          <w:rFonts w:asciiTheme="minorHAnsi" w:hAnsiTheme="minorHAnsi" w:cs="Open Sans"/>
          <w:sz w:val="20"/>
          <w:szCs w:val="20"/>
          <w:lang w:val="fr-FR"/>
        </w:rPr>
        <w:t xml:space="preserve">et </w:t>
      </w:r>
      <w:r w:rsidRPr="00A74D23">
        <w:rPr>
          <w:rFonts w:asciiTheme="minorHAnsi" w:hAnsiTheme="minorHAnsi" w:cs="Open Sans"/>
          <w:sz w:val="20"/>
          <w:szCs w:val="20"/>
          <w:lang w:val="fr-FR"/>
        </w:rPr>
        <w:t>répondre aux attentes croissantes des clients et des réseaux de distribution.</w:t>
      </w:r>
    </w:p>
    <w:p w14:paraId="0E68E5F6" w14:textId="77777777" w:rsidR="004D5A2D" w:rsidRPr="00A74D23" w:rsidRDefault="004D5A2D" w:rsidP="009D6EE5">
      <w:pPr>
        <w:spacing w:line="22" w:lineRule="atLeast"/>
        <w:jc w:val="both"/>
        <w:rPr>
          <w:rFonts w:asciiTheme="minorHAnsi" w:hAnsiTheme="minorHAnsi" w:cs="Open Sans"/>
          <w:sz w:val="20"/>
          <w:szCs w:val="20"/>
          <w:lang w:val="fr-FR"/>
        </w:rPr>
      </w:pPr>
    </w:p>
    <w:p w14:paraId="32B3D26F" w14:textId="172D05BE" w:rsidR="00AE78F1" w:rsidRPr="00A74D23" w:rsidRDefault="00AE78F1"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En tant qu'acteur majeur du financement de l'économie, Abeille Assurances a un rôle moteur à jouer pour favoriser et accélérer cette transition. Les assureurs disposent de leviers d'action déterminants à travers leurs décisions d'investissement, leur engagement actionnarial et leur dialogue avec les entreprises. Abeille Assurances entend orienter ses investissements vers des projets accélérant la transition ou vers des entreprises ayant besoin de financements pour transformer leur modèle d'affaires. Cette stratégie vise à réduire l'empreinte carbone des actifs financiers tout en accompagnant la transformation de l'économie réelle, en lien avec les objectifs nationaux et internationaux, dont l'Accord de Paris.</w:t>
      </w:r>
      <w:r w:rsidR="004D5A2D" w:rsidRPr="00A74D23">
        <w:rPr>
          <w:rFonts w:asciiTheme="minorHAnsi" w:hAnsiTheme="minorHAnsi" w:cs="Open Sans"/>
          <w:sz w:val="20"/>
          <w:szCs w:val="20"/>
          <w:lang w:val="fr-FR"/>
        </w:rPr>
        <w:t xml:space="preserve"> </w:t>
      </w:r>
      <w:r w:rsidRPr="00A74D23">
        <w:rPr>
          <w:rFonts w:asciiTheme="minorHAnsi" w:hAnsiTheme="minorHAnsi" w:cs="Open Sans"/>
          <w:sz w:val="20"/>
          <w:szCs w:val="20"/>
          <w:lang w:val="fr-FR"/>
        </w:rPr>
        <w:t xml:space="preserve">Cette transition doit également être la plus juste possible. La lutte contre le dérèglement climatique a des impacts sociaux et économiques majeurs qui ne peuvent être ignorés. La transition créera de nombreux emplois dans les secteurs verts, mais en détruira aussi dans les secteurs les plus carbonés. En tant qu'assureur, Abeille Assurances </w:t>
      </w:r>
      <w:r w:rsidR="004D5A2D" w:rsidRPr="00A74D23">
        <w:rPr>
          <w:rFonts w:asciiTheme="minorHAnsi" w:hAnsiTheme="minorHAnsi" w:cs="Open Sans"/>
          <w:sz w:val="20"/>
          <w:szCs w:val="20"/>
          <w:lang w:val="fr-FR"/>
        </w:rPr>
        <w:t>joue</w:t>
      </w:r>
      <w:r w:rsidRPr="00A74D23">
        <w:rPr>
          <w:rFonts w:asciiTheme="minorHAnsi" w:hAnsiTheme="minorHAnsi" w:cs="Open Sans"/>
          <w:sz w:val="20"/>
          <w:szCs w:val="20"/>
          <w:lang w:val="fr-FR"/>
        </w:rPr>
        <w:t xml:space="preserve"> un rôle clé pour accompagner les entreprises et les particuliers dans cette transformation, en leur proposant des solutions adaptées pour se préparer aux impacts sociaux, économiques et écologiques de la transition. </w:t>
      </w:r>
      <w:r w:rsidR="004D5A2D" w:rsidRPr="00A74D23">
        <w:rPr>
          <w:rFonts w:asciiTheme="minorHAnsi" w:hAnsiTheme="minorHAnsi" w:cs="Open Sans"/>
          <w:sz w:val="20"/>
          <w:szCs w:val="20"/>
          <w:lang w:val="fr-FR"/>
        </w:rPr>
        <w:t xml:space="preserve"> </w:t>
      </w:r>
      <w:r w:rsidRPr="00A74D23">
        <w:rPr>
          <w:rFonts w:asciiTheme="minorHAnsi" w:hAnsiTheme="minorHAnsi" w:cs="Open Sans"/>
          <w:sz w:val="20"/>
          <w:szCs w:val="20"/>
          <w:lang w:val="fr-FR"/>
        </w:rPr>
        <w:t>Cette approche pragmatique et responsable guide l'ensemble de la stratégie climat d'Abeille Assurances.</w:t>
      </w:r>
    </w:p>
    <w:p w14:paraId="627D09C6" w14:textId="77777777" w:rsidR="00AE78F1" w:rsidRPr="00A74D23" w:rsidRDefault="00AE78F1" w:rsidP="009D6EE5">
      <w:pPr>
        <w:spacing w:line="22" w:lineRule="atLeast"/>
        <w:jc w:val="both"/>
        <w:rPr>
          <w:rFonts w:asciiTheme="minorHAnsi" w:hAnsiTheme="minorHAnsi"/>
          <w:lang w:val="fr-FR"/>
        </w:rPr>
      </w:pPr>
    </w:p>
    <w:p w14:paraId="7F6FA5DE" w14:textId="41EDF662" w:rsidR="00156BA4" w:rsidRPr="00A74D23" w:rsidRDefault="0074201D" w:rsidP="00590DD1">
      <w:pPr>
        <w:pStyle w:val="StyleYO"/>
        <w:numPr>
          <w:ilvl w:val="0"/>
          <w:numId w:val="68"/>
        </w:numPr>
        <w:spacing w:line="22" w:lineRule="atLeast"/>
        <w:jc w:val="both"/>
      </w:pPr>
      <w:bookmarkStart w:id="76" w:name="_Toc231337017"/>
      <w:r w:rsidRPr="00A74D23">
        <w:t xml:space="preserve">Nos </w:t>
      </w:r>
      <w:r w:rsidR="00536BFC" w:rsidRPr="00A74D23">
        <w:t xml:space="preserve">objectifs dans le cadre de </w:t>
      </w:r>
      <w:r w:rsidR="0063269B" w:rsidRPr="00A74D23">
        <w:t>l’engagement Net Zero</w:t>
      </w:r>
      <w:r w:rsidR="0026328C" w:rsidRPr="00A74D23">
        <w:t xml:space="preserve"> 2050</w:t>
      </w:r>
      <w:bookmarkEnd w:id="76"/>
    </w:p>
    <w:p w14:paraId="3E7B17A7" w14:textId="77777777" w:rsidR="00E63CBA" w:rsidRPr="00A74D23" w:rsidRDefault="00E63CBA" w:rsidP="009D6EE5">
      <w:pPr>
        <w:spacing w:line="22" w:lineRule="atLeast"/>
        <w:jc w:val="both"/>
        <w:rPr>
          <w:rFonts w:asciiTheme="minorHAnsi" w:hAnsiTheme="minorHAnsi" w:cs="Open Sans"/>
          <w:b/>
          <w:lang w:val="fr-FR"/>
        </w:rPr>
      </w:pPr>
      <w:bookmarkStart w:id="77" w:name="_Toc227676249"/>
    </w:p>
    <w:p w14:paraId="31ABC56E" w14:textId="0FB8C570" w:rsidR="008C4152" w:rsidRPr="00A74D23" w:rsidRDefault="008C4152" w:rsidP="009D6EE5">
      <w:pPr>
        <w:spacing w:line="22" w:lineRule="atLeast"/>
        <w:jc w:val="both"/>
        <w:rPr>
          <w:rFonts w:asciiTheme="minorHAnsi" w:hAnsiTheme="minorHAnsi" w:cs="Open Sans"/>
          <w:b/>
          <w:sz w:val="20"/>
          <w:szCs w:val="20"/>
          <w:lang w:val="fr-FR"/>
        </w:rPr>
      </w:pPr>
      <w:r w:rsidRPr="00A74D23">
        <w:rPr>
          <w:rFonts w:asciiTheme="minorHAnsi" w:hAnsiTheme="minorHAnsi" w:cs="Open Sans"/>
          <w:sz w:val="20"/>
          <w:szCs w:val="20"/>
          <w:lang w:val="fr-FR"/>
        </w:rPr>
        <w:t>Les engagements d</w:t>
      </w:r>
      <w:r w:rsidR="005D5B44" w:rsidRPr="00A74D23">
        <w:rPr>
          <w:rFonts w:asciiTheme="minorHAnsi" w:hAnsiTheme="minorHAnsi" w:cs="Open Sans"/>
          <w:sz w:val="20"/>
          <w:szCs w:val="20"/>
          <w:lang w:val="fr-FR"/>
        </w:rPr>
        <w:t>’A</w:t>
      </w:r>
      <w:r w:rsidR="00E045C0" w:rsidRPr="00A74D23">
        <w:rPr>
          <w:rFonts w:asciiTheme="minorHAnsi" w:hAnsiTheme="minorHAnsi" w:cs="Open Sans"/>
          <w:sz w:val="20"/>
          <w:szCs w:val="20"/>
          <w:lang w:val="fr-FR"/>
        </w:rPr>
        <w:t xml:space="preserve">beille Assurances </w:t>
      </w:r>
      <w:r w:rsidR="00FD3C53" w:rsidRPr="00A74D23">
        <w:rPr>
          <w:rFonts w:asciiTheme="minorHAnsi" w:hAnsiTheme="minorHAnsi" w:cs="Open Sans"/>
          <w:sz w:val="20"/>
          <w:szCs w:val="20"/>
          <w:lang w:val="fr-FR"/>
        </w:rPr>
        <w:t>en mati</w:t>
      </w:r>
      <w:r w:rsidR="00E143B6" w:rsidRPr="00A74D23">
        <w:rPr>
          <w:rFonts w:asciiTheme="minorHAnsi" w:hAnsiTheme="minorHAnsi" w:cs="Open Sans"/>
          <w:sz w:val="20"/>
          <w:szCs w:val="20"/>
          <w:lang w:val="fr-FR"/>
        </w:rPr>
        <w:t xml:space="preserve">ère de décarbonation s’inscrivent dans le cadre de </w:t>
      </w:r>
      <w:r w:rsidR="00986E3C" w:rsidRPr="00A74D23">
        <w:rPr>
          <w:rFonts w:asciiTheme="minorHAnsi" w:hAnsiTheme="minorHAnsi" w:cs="Open Sans"/>
          <w:sz w:val="20"/>
          <w:szCs w:val="20"/>
          <w:lang w:val="fr-FR"/>
        </w:rPr>
        <w:t>l’adhésion du groupe Aéma à la Net Zero Asset Owner Alliance.</w:t>
      </w:r>
      <w:r w:rsidR="00340879" w:rsidRPr="00A74D23">
        <w:rPr>
          <w:rFonts w:asciiTheme="minorHAnsi" w:hAnsiTheme="minorHAnsi" w:cs="Open Sans"/>
          <w:sz w:val="20"/>
          <w:szCs w:val="20"/>
          <w:lang w:val="fr-FR"/>
        </w:rPr>
        <w:t xml:space="preserve"> Les principaux engagements quantifiés par Abeille Assurances sont les suivants :</w:t>
      </w:r>
      <w:bookmarkEnd w:id="77"/>
      <w:r w:rsidR="00340879" w:rsidRPr="00A74D23">
        <w:rPr>
          <w:rFonts w:asciiTheme="minorHAnsi" w:hAnsiTheme="minorHAnsi" w:cs="Open Sans"/>
          <w:sz w:val="20"/>
          <w:szCs w:val="20"/>
          <w:lang w:val="fr-FR"/>
        </w:rPr>
        <w:t xml:space="preserve"> </w:t>
      </w:r>
      <w:r w:rsidR="00801D16" w:rsidRPr="00A74D23">
        <w:rPr>
          <w:rFonts w:asciiTheme="minorHAnsi" w:hAnsiTheme="minorHAnsi" w:cs="Open Sans"/>
          <w:sz w:val="20"/>
          <w:szCs w:val="20"/>
          <w:lang w:val="fr-FR"/>
        </w:rPr>
        <w:t xml:space="preserve"> </w:t>
      </w:r>
    </w:p>
    <w:p w14:paraId="3F931CC8" w14:textId="77777777" w:rsidR="00C72E9B" w:rsidRPr="00A74D23" w:rsidRDefault="00C72E9B" w:rsidP="009D6EE5">
      <w:pPr>
        <w:spacing w:line="22" w:lineRule="atLeast"/>
        <w:jc w:val="both"/>
        <w:rPr>
          <w:rFonts w:asciiTheme="minorHAnsi" w:hAnsiTheme="minorHAnsi" w:cs="Open Sans"/>
          <w:b/>
          <w:bCs/>
          <w:lang w:val="fr-FR"/>
        </w:rPr>
      </w:pPr>
      <w:bookmarkStart w:id="78" w:name="_Toc227676250"/>
    </w:p>
    <w:p w14:paraId="3E5207F5" w14:textId="25AB60F0" w:rsidR="00C72E9B" w:rsidRPr="00A74D23" w:rsidRDefault="00C72E9B" w:rsidP="009D6EE5">
      <w:pPr>
        <w:spacing w:line="22" w:lineRule="atLeast"/>
        <w:jc w:val="both"/>
        <w:rPr>
          <w:rFonts w:asciiTheme="minorHAnsi" w:hAnsiTheme="minorHAnsi" w:cs="Open Sans"/>
          <w:b/>
          <w:bCs/>
          <w:lang w:val="fr-FR"/>
        </w:rPr>
      </w:pPr>
      <w:r w:rsidRPr="00A74D23">
        <w:rPr>
          <w:rFonts w:asciiTheme="minorHAnsi" w:hAnsiTheme="minorHAnsi" w:cs="Open Sans"/>
          <w:b/>
          <w:bCs/>
          <w:noProof/>
        </w:rPr>
        <mc:AlternateContent>
          <mc:Choice Requires="wps">
            <w:drawing>
              <wp:anchor distT="0" distB="0" distL="114300" distR="114300" simplePos="0" relativeHeight="251356160" behindDoc="0" locked="0" layoutInCell="1" allowOverlap="1" wp14:anchorId="4F110DBE" wp14:editId="0F05A2FC">
                <wp:simplePos x="0" y="0"/>
                <wp:positionH relativeFrom="column">
                  <wp:posOffset>4622932</wp:posOffset>
                </wp:positionH>
                <wp:positionV relativeFrom="paragraph">
                  <wp:posOffset>136609</wp:posOffset>
                </wp:positionV>
                <wp:extent cx="1567815" cy="2846717"/>
                <wp:effectExtent l="0" t="0" r="0" b="0"/>
                <wp:wrapNone/>
                <wp:docPr id="756839221" name="Rectangle 2"/>
                <wp:cNvGraphicFramePr/>
                <a:graphic xmlns:a="http://schemas.openxmlformats.org/drawingml/2006/main">
                  <a:graphicData uri="http://schemas.microsoft.com/office/word/2010/wordprocessingShape">
                    <wps:wsp>
                      <wps:cNvSpPr/>
                      <wps:spPr>
                        <a:xfrm>
                          <a:off x="0" y="0"/>
                          <a:ext cx="1567815" cy="2846717"/>
                        </a:xfrm>
                        <a:prstGeom prst="rect">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A9F3FB" w14:textId="7FD94926" w:rsidR="00FE06A4" w:rsidRDefault="00F67534" w:rsidP="00FE06A4">
                            <w:pPr>
                              <w:jc w:val="center"/>
                              <w:rPr>
                                <w:rFonts w:asciiTheme="minorHAnsi" w:hAnsiTheme="minorHAnsi"/>
                                <w:b/>
                                <w:color w:val="000000" w:themeColor="text1"/>
                                <w:sz w:val="26"/>
                                <w:szCs w:val="26"/>
                              </w:rPr>
                            </w:pPr>
                            <w:r w:rsidRPr="00C72E9B">
                              <w:rPr>
                                <w:rFonts w:asciiTheme="minorHAnsi" w:hAnsiTheme="minorHAnsi"/>
                                <w:b/>
                                <w:color w:val="000000" w:themeColor="text1"/>
                                <w:sz w:val="26"/>
                                <w:szCs w:val="26"/>
                              </w:rPr>
                              <w:t>Fixer des engagements sectoriels</w:t>
                            </w:r>
                          </w:p>
                          <w:p w14:paraId="166BE5CF" w14:textId="77777777" w:rsidR="004D5A2D" w:rsidRPr="00C72E9B" w:rsidRDefault="004D5A2D" w:rsidP="00FE06A4">
                            <w:pPr>
                              <w:jc w:val="center"/>
                              <w:rPr>
                                <w:rFonts w:asciiTheme="minorHAnsi" w:hAnsiTheme="minorHAnsi"/>
                                <w:b/>
                                <w:color w:val="000000" w:themeColor="text1"/>
                                <w:sz w:val="26"/>
                                <w:szCs w:val="26"/>
                              </w:rPr>
                            </w:pPr>
                          </w:p>
                          <w:p w14:paraId="4607469E" w14:textId="51741CD9" w:rsidR="00DF055E" w:rsidRPr="00C72E9B" w:rsidRDefault="00DF055E" w:rsidP="00590DD1">
                            <w:pPr>
                              <w:pStyle w:val="Paragraphedeliste"/>
                              <w:numPr>
                                <w:ilvl w:val="0"/>
                                <w:numId w:val="54"/>
                              </w:numPr>
                              <w:ind w:left="142" w:hanging="218"/>
                              <w:rPr>
                                <w:bCs/>
                                <w:color w:val="000000" w:themeColor="text1"/>
                                <w:sz w:val="18"/>
                                <w:szCs w:val="18"/>
                              </w:rPr>
                            </w:pPr>
                            <w:r w:rsidRPr="00C72E9B">
                              <w:rPr>
                                <w:bCs/>
                                <w:color w:val="000000" w:themeColor="text1"/>
                                <w:sz w:val="18"/>
                                <w:szCs w:val="18"/>
                              </w:rPr>
                              <w:t>2030 : Sortie du charbon thermique</w:t>
                            </w:r>
                          </w:p>
                          <w:p w14:paraId="6FFE4E94" w14:textId="77777777" w:rsidR="00DF055E" w:rsidRPr="00C72E9B" w:rsidRDefault="00DF055E" w:rsidP="00DF055E">
                            <w:pPr>
                              <w:pStyle w:val="Paragraphedeliste"/>
                              <w:ind w:left="142"/>
                              <w:rPr>
                                <w:bCs/>
                                <w:color w:val="000000" w:themeColor="text1"/>
                                <w:sz w:val="18"/>
                                <w:szCs w:val="18"/>
                              </w:rPr>
                            </w:pPr>
                          </w:p>
                          <w:p w14:paraId="3D691739" w14:textId="1277FC9D" w:rsidR="004637B8" w:rsidRDefault="00DF055E" w:rsidP="00590DD1">
                            <w:pPr>
                              <w:pStyle w:val="Paragraphedeliste"/>
                              <w:numPr>
                                <w:ilvl w:val="0"/>
                                <w:numId w:val="54"/>
                              </w:numPr>
                              <w:ind w:left="142" w:hanging="218"/>
                              <w:rPr>
                                <w:bCs/>
                                <w:color w:val="000000" w:themeColor="text1"/>
                                <w:sz w:val="18"/>
                                <w:szCs w:val="18"/>
                              </w:rPr>
                            </w:pPr>
                            <w:r w:rsidRPr="00C72E9B">
                              <w:rPr>
                                <w:bCs/>
                                <w:color w:val="000000" w:themeColor="text1"/>
                                <w:sz w:val="18"/>
                                <w:szCs w:val="18"/>
                              </w:rPr>
                              <w:t>Engagement à construire des trajectoires d’alignement pour les secteurs carbo-intensifs</w:t>
                            </w:r>
                          </w:p>
                          <w:p w14:paraId="189AAE12" w14:textId="77777777" w:rsidR="004D5A2D" w:rsidRPr="004D5A2D" w:rsidRDefault="004D5A2D" w:rsidP="004D5A2D">
                            <w:pPr>
                              <w:pStyle w:val="Paragraphedeliste"/>
                              <w:rPr>
                                <w:bCs/>
                                <w:color w:val="000000" w:themeColor="text1"/>
                                <w:sz w:val="18"/>
                                <w:szCs w:val="18"/>
                              </w:rPr>
                            </w:pPr>
                          </w:p>
                          <w:p w14:paraId="42141C9E" w14:textId="77777777" w:rsidR="004D5A2D" w:rsidRPr="00ED41C5" w:rsidRDefault="004D5A2D" w:rsidP="004D5A2D">
                            <w:pPr>
                              <w:rPr>
                                <w:bCs/>
                                <w:color w:val="000000" w:themeColor="text1"/>
                                <w:sz w:val="18"/>
                                <w:szCs w:val="18"/>
                                <w:lang w:val="fr-FR"/>
                              </w:rPr>
                            </w:pPr>
                          </w:p>
                          <w:p w14:paraId="79B4E5A0" w14:textId="77777777" w:rsidR="00F67534" w:rsidRPr="00474EE1" w:rsidRDefault="00F67534" w:rsidP="00FE06A4">
                            <w:pPr>
                              <w:jc w:val="center"/>
                              <w:rPr>
                                <w:rFonts w:asciiTheme="minorHAnsi" w:hAnsiTheme="minorHAnsi"/>
                                <w:b/>
                                <w:color w:val="000000" w:themeColor="text1"/>
                                <w:sz w:val="26"/>
                                <w:szCs w:val="26"/>
                                <w:lang w:val="fr-FR"/>
                              </w:rPr>
                            </w:pPr>
                          </w:p>
                          <w:p w14:paraId="02C46793" w14:textId="77777777" w:rsidR="004637B8" w:rsidRPr="00474EE1" w:rsidRDefault="004637B8" w:rsidP="00FE06A4">
                            <w:pPr>
                              <w:jc w:val="center"/>
                              <w:rPr>
                                <w:rFonts w:asciiTheme="minorHAnsi" w:hAnsiTheme="minorHAnsi"/>
                                <w:b/>
                                <w:color w:val="000000" w:themeColor="text1"/>
                                <w:sz w:val="26"/>
                                <w:szCs w:val="26"/>
                                <w:lang w:val="fr-FR"/>
                              </w:rPr>
                            </w:pPr>
                          </w:p>
                          <w:p w14:paraId="6D46D578" w14:textId="77777777" w:rsidR="00F67534" w:rsidRPr="00474EE1" w:rsidRDefault="00F67534" w:rsidP="00FE06A4">
                            <w:pPr>
                              <w:jc w:val="center"/>
                              <w:rPr>
                                <w:rFonts w:asciiTheme="minorHAnsi" w:hAnsiTheme="minorHAnsi"/>
                                <w:b/>
                                <w:color w:val="000000" w:themeColor="text1"/>
                                <w:sz w:val="26"/>
                                <w:szCs w:val="26"/>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110DBE" id="_x0000_s1109" style="position:absolute;left:0;text-align:left;margin-left:364pt;margin-top:10.75pt;width:123.45pt;height:224.15pt;z-index:25135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" fillcolor="#e7d6dc [671]" stroked="f" strokeweight="1pt">
                <v:textbox>
                  <w:txbxContent>
                    <w:p w14:paraId="56A9F3FB" w14:textId="7FD94926" w:rsidR="00FE06A4" w:rsidRDefault="00F67534" w:rsidP="00FE06A4">
                      <w:pPr>
                        <w:jc w:val="center"/>
                        <w:rPr>
                          <w:rFonts w:asciiTheme="minorHAnsi" w:hAnsiTheme="minorHAnsi"/>
                          <w:b/>
                          <w:color w:val="000000" w:themeColor="text1"/>
                          <w:sz w:val="26"/>
                          <w:szCs w:val="26"/>
                        </w:rPr>
                      </w:pPr>
                      <w:r w:rsidRPr="00C72E9B">
                        <w:rPr>
                          <w:rFonts w:asciiTheme="minorHAnsi" w:hAnsiTheme="minorHAnsi"/>
                          <w:b/>
                          <w:color w:val="000000" w:themeColor="text1"/>
                          <w:sz w:val="26"/>
                          <w:szCs w:val="26"/>
                        </w:rPr>
                        <w:t>Fixer des engagements sectoriels</w:t>
                      </w:r>
                    </w:p>
                    <w:p w14:paraId="166BE5CF" w14:textId="77777777" w:rsidR="004D5A2D" w:rsidRPr="00C72E9B" w:rsidRDefault="004D5A2D" w:rsidP="00FE06A4">
                      <w:pPr>
                        <w:jc w:val="center"/>
                        <w:rPr>
                          <w:rFonts w:asciiTheme="minorHAnsi" w:hAnsiTheme="minorHAnsi"/>
                          <w:b/>
                          <w:color w:val="000000" w:themeColor="text1"/>
                          <w:sz w:val="26"/>
                          <w:szCs w:val="26"/>
                        </w:rPr>
                      </w:pPr>
                    </w:p>
                    <w:p w14:paraId="4607469E" w14:textId="51741CD9" w:rsidR="00DF055E" w:rsidRPr="00C72E9B" w:rsidRDefault="00DF055E" w:rsidP="00590DD1">
                      <w:pPr>
                        <w:pStyle w:val="Paragraphedeliste"/>
                        <w:numPr>
                          <w:ilvl w:val="0"/>
                          <w:numId w:val="54"/>
                        </w:numPr>
                        <w:ind w:left="142" w:hanging="218"/>
                        <w:rPr>
                          <w:bCs/>
                          <w:color w:val="000000" w:themeColor="text1"/>
                          <w:sz w:val="18"/>
                          <w:szCs w:val="18"/>
                        </w:rPr>
                      </w:pPr>
                      <w:r w:rsidRPr="00C72E9B">
                        <w:rPr>
                          <w:bCs/>
                          <w:color w:val="000000" w:themeColor="text1"/>
                          <w:sz w:val="18"/>
                          <w:szCs w:val="18"/>
                        </w:rPr>
                        <w:t>2030 : Sortie du charbon thermique</w:t>
                      </w:r>
                    </w:p>
                    <w:p w14:paraId="6FFE4E94" w14:textId="77777777" w:rsidR="00DF055E" w:rsidRPr="00C72E9B" w:rsidRDefault="00DF055E" w:rsidP="00DF055E">
                      <w:pPr>
                        <w:pStyle w:val="Paragraphedeliste"/>
                        <w:ind w:left="142"/>
                        <w:rPr>
                          <w:bCs/>
                          <w:color w:val="000000" w:themeColor="text1"/>
                          <w:sz w:val="18"/>
                          <w:szCs w:val="18"/>
                        </w:rPr>
                      </w:pPr>
                    </w:p>
                    <w:p w14:paraId="3D691739" w14:textId="1277FC9D" w:rsidR="004637B8" w:rsidRDefault="00DF055E" w:rsidP="00590DD1">
                      <w:pPr>
                        <w:pStyle w:val="Paragraphedeliste"/>
                        <w:numPr>
                          <w:ilvl w:val="0"/>
                          <w:numId w:val="54"/>
                        </w:numPr>
                        <w:ind w:left="142" w:hanging="218"/>
                        <w:rPr>
                          <w:bCs/>
                          <w:color w:val="000000" w:themeColor="text1"/>
                          <w:sz w:val="18"/>
                          <w:szCs w:val="18"/>
                        </w:rPr>
                      </w:pPr>
                      <w:r w:rsidRPr="00C72E9B">
                        <w:rPr>
                          <w:bCs/>
                          <w:color w:val="000000" w:themeColor="text1"/>
                          <w:sz w:val="18"/>
                          <w:szCs w:val="18"/>
                        </w:rPr>
                        <w:t>Engagement à construire des trajectoires d’alignement pour les secteurs carbo-intensifs</w:t>
                      </w:r>
                    </w:p>
                    <w:p w14:paraId="189AAE12" w14:textId="77777777" w:rsidR="004D5A2D" w:rsidRPr="004D5A2D" w:rsidRDefault="004D5A2D" w:rsidP="004D5A2D">
                      <w:pPr>
                        <w:pStyle w:val="Paragraphedeliste"/>
                        <w:rPr>
                          <w:bCs/>
                          <w:color w:val="000000" w:themeColor="text1"/>
                          <w:sz w:val="18"/>
                          <w:szCs w:val="18"/>
                        </w:rPr>
                      </w:pPr>
                    </w:p>
                    <w:p w14:paraId="42141C9E" w14:textId="77777777" w:rsidR="004D5A2D" w:rsidRPr="00ED41C5" w:rsidRDefault="004D5A2D" w:rsidP="004D5A2D">
                      <w:pPr>
                        <w:rPr>
                          <w:bCs/>
                          <w:color w:val="000000" w:themeColor="text1"/>
                          <w:sz w:val="18"/>
                          <w:szCs w:val="18"/>
                          <w:lang w:val="fr-FR"/>
                        </w:rPr>
                      </w:pPr>
                    </w:p>
                    <w:p w14:paraId="79B4E5A0" w14:textId="77777777" w:rsidR="00F67534" w:rsidRPr="00474EE1" w:rsidRDefault="00F67534" w:rsidP="00FE06A4">
                      <w:pPr>
                        <w:jc w:val="center"/>
                        <w:rPr>
                          <w:rFonts w:asciiTheme="minorHAnsi" w:hAnsiTheme="minorHAnsi"/>
                          <w:b/>
                          <w:color w:val="000000" w:themeColor="text1"/>
                          <w:sz w:val="26"/>
                          <w:szCs w:val="26"/>
                          <w:lang w:val="fr-FR"/>
                        </w:rPr>
                      </w:pPr>
                    </w:p>
                    <w:p w14:paraId="02C46793" w14:textId="77777777" w:rsidR="004637B8" w:rsidRPr="00474EE1" w:rsidRDefault="004637B8" w:rsidP="00FE06A4">
                      <w:pPr>
                        <w:jc w:val="center"/>
                        <w:rPr>
                          <w:rFonts w:asciiTheme="minorHAnsi" w:hAnsiTheme="minorHAnsi"/>
                          <w:b/>
                          <w:color w:val="000000" w:themeColor="text1"/>
                          <w:sz w:val="26"/>
                          <w:szCs w:val="26"/>
                          <w:lang w:val="fr-FR"/>
                        </w:rPr>
                      </w:pPr>
                    </w:p>
                    <w:p w14:paraId="6D46D578" w14:textId="77777777" w:rsidR="00F67534" w:rsidRPr="00474EE1" w:rsidRDefault="00F67534" w:rsidP="00FE06A4">
                      <w:pPr>
                        <w:jc w:val="center"/>
                        <w:rPr>
                          <w:rFonts w:asciiTheme="minorHAnsi" w:hAnsiTheme="minorHAnsi"/>
                          <w:b/>
                          <w:color w:val="000000" w:themeColor="text1"/>
                          <w:sz w:val="26"/>
                          <w:szCs w:val="26"/>
                          <w:lang w:val="fr-FR"/>
                        </w:rPr>
                      </w:pPr>
                    </w:p>
                  </w:txbxContent>
                </v:textbox>
              </v:rect>
            </w:pict>
          </mc:Fallback>
        </mc:AlternateContent>
      </w:r>
      <w:r w:rsidRPr="00A74D23">
        <w:rPr>
          <w:rFonts w:asciiTheme="minorHAnsi" w:hAnsiTheme="minorHAnsi" w:cs="Open Sans"/>
          <w:b/>
          <w:bCs/>
          <w:noProof/>
        </w:rPr>
        <mc:AlternateContent>
          <mc:Choice Requires="wps">
            <w:drawing>
              <wp:anchor distT="0" distB="0" distL="114300" distR="114300" simplePos="0" relativeHeight="251352064" behindDoc="0" locked="0" layoutInCell="1" allowOverlap="1" wp14:anchorId="4044B3F0" wp14:editId="7C8C1430">
                <wp:simplePos x="0" y="0"/>
                <wp:positionH relativeFrom="column">
                  <wp:posOffset>-509785</wp:posOffset>
                </wp:positionH>
                <wp:positionV relativeFrom="paragraph">
                  <wp:posOffset>136609</wp:posOffset>
                </wp:positionV>
                <wp:extent cx="1621790" cy="2846717"/>
                <wp:effectExtent l="0" t="0" r="0" b="0"/>
                <wp:wrapNone/>
                <wp:docPr id="1111440092" name="Rectangle 2"/>
                <wp:cNvGraphicFramePr/>
                <a:graphic xmlns:a="http://schemas.openxmlformats.org/drawingml/2006/main">
                  <a:graphicData uri="http://schemas.microsoft.com/office/word/2010/wordprocessingShape">
                    <wps:wsp>
                      <wps:cNvSpPr/>
                      <wps:spPr>
                        <a:xfrm>
                          <a:off x="0" y="0"/>
                          <a:ext cx="1621790" cy="284671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A8BF3C" w14:textId="2ED74224" w:rsidR="00FE06A4" w:rsidRPr="00937A61" w:rsidRDefault="002C1DAF" w:rsidP="00FE06A4">
                            <w:pPr>
                              <w:jc w:val="center"/>
                              <w:rPr>
                                <w:rFonts w:asciiTheme="minorHAnsi" w:hAnsiTheme="minorHAnsi"/>
                                <w:b/>
                                <w:color w:val="000000" w:themeColor="text1"/>
                                <w:sz w:val="26"/>
                                <w:szCs w:val="26"/>
                                <w:lang w:val="fr-FR"/>
                              </w:rPr>
                            </w:pPr>
                            <w:r w:rsidRPr="00937A61">
                              <w:rPr>
                                <w:rFonts w:asciiTheme="minorHAnsi" w:hAnsiTheme="minorHAnsi"/>
                                <w:b/>
                                <w:color w:val="000000" w:themeColor="text1"/>
                                <w:sz w:val="26"/>
                                <w:szCs w:val="26"/>
                                <w:lang w:val="fr-FR"/>
                              </w:rPr>
                              <w:t>Réduire les émissions du portefeuille</w:t>
                            </w:r>
                          </w:p>
                          <w:p w14:paraId="147FB405" w14:textId="77777777" w:rsidR="002C1DAF" w:rsidRPr="00C72E9B" w:rsidRDefault="002C1DAF" w:rsidP="002C1DAF">
                            <w:pPr>
                              <w:pStyle w:val="Paragraphedeliste"/>
                              <w:ind w:left="426"/>
                              <w:rPr>
                                <w:bCs/>
                                <w:color w:val="000000" w:themeColor="text1"/>
                                <w:sz w:val="18"/>
                                <w:szCs w:val="18"/>
                              </w:rPr>
                            </w:pPr>
                          </w:p>
                          <w:p w14:paraId="55BB3981" w14:textId="23B903E2" w:rsidR="0061487F" w:rsidRPr="00C72E9B" w:rsidRDefault="00697475" w:rsidP="00590DD1">
                            <w:pPr>
                              <w:pStyle w:val="Paragraphedeliste"/>
                              <w:numPr>
                                <w:ilvl w:val="0"/>
                                <w:numId w:val="51"/>
                              </w:numPr>
                              <w:ind w:left="284" w:hanging="284"/>
                              <w:rPr>
                                <w:bCs/>
                                <w:color w:val="000000" w:themeColor="text1"/>
                                <w:sz w:val="18"/>
                                <w:szCs w:val="18"/>
                              </w:rPr>
                            </w:pPr>
                            <w:r w:rsidRPr="00C72E9B">
                              <w:rPr>
                                <w:b/>
                                <w:color w:val="000000" w:themeColor="text1"/>
                              </w:rPr>
                              <w:t>2030</w:t>
                            </w:r>
                            <w:r w:rsidR="003706D2" w:rsidRPr="00C72E9B">
                              <w:rPr>
                                <w:bCs/>
                                <w:color w:val="000000" w:themeColor="text1"/>
                                <w:sz w:val="18"/>
                                <w:szCs w:val="18"/>
                              </w:rPr>
                              <w:t xml:space="preserve"> </w:t>
                            </w:r>
                            <w:r w:rsidRPr="00C72E9B">
                              <w:rPr>
                                <w:bCs/>
                                <w:color w:val="000000" w:themeColor="text1"/>
                                <w:sz w:val="18"/>
                                <w:szCs w:val="18"/>
                              </w:rPr>
                              <w:t xml:space="preserve">: </w:t>
                            </w:r>
                            <w:r w:rsidR="009E7781" w:rsidRPr="00C72E9B">
                              <w:rPr>
                                <w:bCs/>
                                <w:color w:val="000000" w:themeColor="text1"/>
                                <w:kern w:val="24"/>
                                <w:sz w:val="18"/>
                                <w:szCs w:val="18"/>
                              </w:rPr>
                              <w:t>réduction de -40% par rapport à 2019 de l’empreinte carbone scope 1, 2 et 3 (tCO2e/M€ investi) sur le portefeuille d’investissement corporate (mandat et fonds dédié)</w:t>
                            </w:r>
                          </w:p>
                          <w:p w14:paraId="6B1EE605" w14:textId="77777777" w:rsidR="0061487F" w:rsidRPr="00C72E9B" w:rsidRDefault="0061487F" w:rsidP="0061487F">
                            <w:pPr>
                              <w:pStyle w:val="Paragraphedeliste"/>
                              <w:ind w:left="284"/>
                              <w:rPr>
                                <w:bCs/>
                                <w:color w:val="000000" w:themeColor="text1"/>
                                <w:sz w:val="18"/>
                                <w:szCs w:val="18"/>
                              </w:rPr>
                            </w:pPr>
                          </w:p>
                          <w:p w14:paraId="55ECC6AC" w14:textId="78DF0905" w:rsidR="0061487F" w:rsidRPr="00C72E9B" w:rsidRDefault="0061487F" w:rsidP="00590DD1">
                            <w:pPr>
                              <w:pStyle w:val="Paragraphedeliste"/>
                              <w:numPr>
                                <w:ilvl w:val="0"/>
                                <w:numId w:val="51"/>
                              </w:numPr>
                              <w:ind w:left="284" w:hanging="284"/>
                              <w:rPr>
                                <w:bCs/>
                                <w:color w:val="000000" w:themeColor="text1"/>
                                <w:sz w:val="18"/>
                                <w:szCs w:val="18"/>
                              </w:rPr>
                            </w:pPr>
                            <w:r w:rsidRPr="00C72E9B">
                              <w:rPr>
                                <w:b/>
                                <w:color w:val="000000" w:themeColor="text1"/>
                              </w:rPr>
                              <w:t>2030 </w:t>
                            </w:r>
                            <w:r w:rsidRPr="00C72E9B">
                              <w:rPr>
                                <w:bCs/>
                                <w:color w:val="000000" w:themeColor="text1"/>
                                <w:sz w:val="18"/>
                                <w:szCs w:val="18"/>
                              </w:rPr>
                              <w:t xml:space="preserve">: alignement </w:t>
                            </w:r>
                            <w:r w:rsidR="00961CDE" w:rsidRPr="00C72E9B">
                              <w:rPr>
                                <w:bCs/>
                                <w:color w:val="000000" w:themeColor="text1"/>
                                <w:sz w:val="18"/>
                                <w:szCs w:val="18"/>
                              </w:rPr>
                              <w:t xml:space="preserve">du portefeuille immobilier </w:t>
                            </w:r>
                            <w:r w:rsidRPr="00C72E9B">
                              <w:rPr>
                                <w:bCs/>
                                <w:color w:val="000000" w:themeColor="text1"/>
                                <w:sz w:val="18"/>
                                <w:szCs w:val="18"/>
                              </w:rPr>
                              <w:t>avec une trajectoire</w:t>
                            </w:r>
                            <w:r w:rsidR="00961CDE" w:rsidRPr="00C72E9B">
                              <w:rPr>
                                <w:bCs/>
                                <w:color w:val="000000" w:themeColor="text1"/>
                                <w:sz w:val="18"/>
                                <w:szCs w:val="18"/>
                              </w:rPr>
                              <w:t xml:space="preserve"> 1.5°C</w:t>
                            </w:r>
                          </w:p>
                          <w:p w14:paraId="10A28752" w14:textId="77777777" w:rsidR="00A41E22" w:rsidRPr="00C72E9B" w:rsidRDefault="00A41E22" w:rsidP="00AF26F0">
                            <w:pPr>
                              <w:pStyle w:val="Paragraphedeliste"/>
                              <w:ind w:left="284" w:hanging="284"/>
                              <w:rPr>
                                <w:bCs/>
                                <w:color w:val="000000" w:themeColor="text1"/>
                                <w:sz w:val="18"/>
                                <w:szCs w:val="18"/>
                              </w:rPr>
                            </w:pPr>
                          </w:p>
                          <w:p w14:paraId="2BEA6984" w14:textId="77777777" w:rsidR="00A41E22" w:rsidRPr="00C72E9B" w:rsidRDefault="00A41E22" w:rsidP="00961CDE">
                            <w:pPr>
                              <w:pStyle w:val="Paragraphedeliste"/>
                              <w:ind w:left="284"/>
                              <w:rPr>
                                <w:bCs/>
                                <w:color w:val="000000" w:themeColor="text1"/>
                                <w:sz w:val="18"/>
                                <w:szCs w:val="18"/>
                              </w:rPr>
                            </w:pPr>
                          </w:p>
                          <w:p w14:paraId="5D0629DF" w14:textId="77777777" w:rsidR="004637B8" w:rsidRPr="00474EE1" w:rsidRDefault="004637B8" w:rsidP="00AF26F0">
                            <w:pPr>
                              <w:ind w:left="284" w:hanging="284"/>
                              <w:jc w:val="center"/>
                              <w:rPr>
                                <w:rFonts w:asciiTheme="minorHAnsi" w:hAnsiTheme="minorHAnsi"/>
                                <w:bCs/>
                                <w:color w:val="000000" w:themeColor="text1"/>
                                <w:sz w:val="26"/>
                                <w:szCs w:val="26"/>
                                <w:lang w:val="fr-FR"/>
                              </w:rPr>
                            </w:pPr>
                          </w:p>
                          <w:p w14:paraId="09D877B6" w14:textId="77777777" w:rsidR="004637B8" w:rsidRPr="00474EE1" w:rsidRDefault="004637B8" w:rsidP="00AF26F0">
                            <w:pPr>
                              <w:ind w:left="284" w:hanging="284"/>
                              <w:jc w:val="center"/>
                              <w:rPr>
                                <w:rFonts w:asciiTheme="minorHAnsi" w:hAnsiTheme="minorHAnsi"/>
                                <w:bCs/>
                                <w:color w:val="000000" w:themeColor="text1"/>
                                <w:sz w:val="26"/>
                                <w:szCs w:val="26"/>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44B3F0" id="_x0000_s1110" style="position:absolute;left:0;text-align:left;margin-left:-40.15pt;margin-top:10.75pt;width:127.7pt;height:224.15pt;z-index:2513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" fillcolor="#ffd400 [3204]" stroked="f" strokeweight="1pt">
                <v:textbox>
                  <w:txbxContent>
                    <w:p w14:paraId="2BA8BF3C" w14:textId="2ED74224" w:rsidR="00FE06A4" w:rsidRPr="00937A61" w:rsidRDefault="002C1DAF" w:rsidP="00FE06A4">
                      <w:pPr>
                        <w:jc w:val="center"/>
                        <w:rPr>
                          <w:rFonts w:asciiTheme="minorHAnsi" w:hAnsiTheme="minorHAnsi"/>
                          <w:b/>
                          <w:color w:val="000000" w:themeColor="text1"/>
                          <w:sz w:val="26"/>
                          <w:szCs w:val="26"/>
                          <w:lang w:val="fr-FR"/>
                        </w:rPr>
                      </w:pPr>
                      <w:r w:rsidRPr="00937A61">
                        <w:rPr>
                          <w:rFonts w:asciiTheme="minorHAnsi" w:hAnsiTheme="minorHAnsi"/>
                          <w:b/>
                          <w:color w:val="000000" w:themeColor="text1"/>
                          <w:sz w:val="26"/>
                          <w:szCs w:val="26"/>
                          <w:lang w:val="fr-FR"/>
                        </w:rPr>
                        <w:t>Réduire les émissions du portefeuille</w:t>
                      </w:r>
                    </w:p>
                    <w:p w14:paraId="147FB405" w14:textId="77777777" w:rsidR="002C1DAF" w:rsidRPr="00C72E9B" w:rsidRDefault="002C1DAF" w:rsidP="002C1DAF">
                      <w:pPr>
                        <w:pStyle w:val="Paragraphedeliste"/>
                        <w:ind w:left="426"/>
                        <w:rPr>
                          <w:bCs/>
                          <w:color w:val="000000" w:themeColor="text1"/>
                          <w:sz w:val="18"/>
                          <w:szCs w:val="18"/>
                        </w:rPr>
                      </w:pPr>
                    </w:p>
                    <w:p w14:paraId="55BB3981" w14:textId="23B903E2" w:rsidR="0061487F" w:rsidRPr="00C72E9B" w:rsidRDefault="00697475" w:rsidP="00590DD1">
                      <w:pPr>
                        <w:pStyle w:val="Paragraphedeliste"/>
                        <w:numPr>
                          <w:ilvl w:val="0"/>
                          <w:numId w:val="51"/>
                        </w:numPr>
                        <w:ind w:left="284" w:hanging="284"/>
                        <w:rPr>
                          <w:bCs/>
                          <w:color w:val="000000" w:themeColor="text1"/>
                          <w:sz w:val="18"/>
                          <w:szCs w:val="18"/>
                        </w:rPr>
                      </w:pPr>
                      <w:r w:rsidRPr="00C72E9B">
                        <w:rPr>
                          <w:b/>
                          <w:color w:val="000000" w:themeColor="text1"/>
                        </w:rPr>
                        <w:t>2030</w:t>
                      </w:r>
                      <w:r w:rsidR="003706D2" w:rsidRPr="00C72E9B">
                        <w:rPr>
                          <w:bCs/>
                          <w:color w:val="000000" w:themeColor="text1"/>
                          <w:sz w:val="18"/>
                          <w:szCs w:val="18"/>
                        </w:rPr>
                        <w:t xml:space="preserve"> </w:t>
                      </w:r>
                      <w:r w:rsidRPr="00C72E9B">
                        <w:rPr>
                          <w:bCs/>
                          <w:color w:val="000000" w:themeColor="text1"/>
                          <w:sz w:val="18"/>
                          <w:szCs w:val="18"/>
                        </w:rPr>
                        <w:t xml:space="preserve">: </w:t>
                      </w:r>
                      <w:r w:rsidR="009E7781" w:rsidRPr="00C72E9B">
                        <w:rPr>
                          <w:bCs/>
                          <w:color w:val="000000" w:themeColor="text1"/>
                          <w:kern w:val="24"/>
                          <w:sz w:val="18"/>
                          <w:szCs w:val="18"/>
                        </w:rPr>
                        <w:t>réduction de -40% par rapport à 2019 de l’empreinte carbone scope 1, 2 et 3 (tCO2e/M€ investi) sur le portefeuille d’investissement corporate (mandat et fonds dédié)</w:t>
                      </w:r>
                    </w:p>
                    <w:p w14:paraId="6B1EE605" w14:textId="77777777" w:rsidR="0061487F" w:rsidRPr="00C72E9B" w:rsidRDefault="0061487F" w:rsidP="0061487F">
                      <w:pPr>
                        <w:pStyle w:val="Paragraphedeliste"/>
                        <w:ind w:left="284"/>
                        <w:rPr>
                          <w:bCs/>
                          <w:color w:val="000000" w:themeColor="text1"/>
                          <w:sz w:val="18"/>
                          <w:szCs w:val="18"/>
                        </w:rPr>
                      </w:pPr>
                    </w:p>
                    <w:p w14:paraId="55ECC6AC" w14:textId="78DF0905" w:rsidR="0061487F" w:rsidRPr="00C72E9B" w:rsidRDefault="0061487F" w:rsidP="00590DD1">
                      <w:pPr>
                        <w:pStyle w:val="Paragraphedeliste"/>
                        <w:numPr>
                          <w:ilvl w:val="0"/>
                          <w:numId w:val="51"/>
                        </w:numPr>
                        <w:ind w:left="284" w:hanging="284"/>
                        <w:rPr>
                          <w:bCs/>
                          <w:color w:val="000000" w:themeColor="text1"/>
                          <w:sz w:val="18"/>
                          <w:szCs w:val="18"/>
                        </w:rPr>
                      </w:pPr>
                      <w:r w:rsidRPr="00C72E9B">
                        <w:rPr>
                          <w:b/>
                          <w:color w:val="000000" w:themeColor="text1"/>
                        </w:rPr>
                        <w:t>2030 </w:t>
                      </w:r>
                      <w:r w:rsidRPr="00C72E9B">
                        <w:rPr>
                          <w:bCs/>
                          <w:color w:val="000000" w:themeColor="text1"/>
                          <w:sz w:val="18"/>
                          <w:szCs w:val="18"/>
                        </w:rPr>
                        <w:t xml:space="preserve">: alignement </w:t>
                      </w:r>
                      <w:r w:rsidR="00961CDE" w:rsidRPr="00C72E9B">
                        <w:rPr>
                          <w:bCs/>
                          <w:color w:val="000000" w:themeColor="text1"/>
                          <w:sz w:val="18"/>
                          <w:szCs w:val="18"/>
                        </w:rPr>
                        <w:t xml:space="preserve">du portefeuille immobilier </w:t>
                      </w:r>
                      <w:r w:rsidRPr="00C72E9B">
                        <w:rPr>
                          <w:bCs/>
                          <w:color w:val="000000" w:themeColor="text1"/>
                          <w:sz w:val="18"/>
                          <w:szCs w:val="18"/>
                        </w:rPr>
                        <w:t>avec une trajectoire</w:t>
                      </w:r>
                      <w:r w:rsidR="00961CDE" w:rsidRPr="00C72E9B">
                        <w:rPr>
                          <w:bCs/>
                          <w:color w:val="000000" w:themeColor="text1"/>
                          <w:sz w:val="18"/>
                          <w:szCs w:val="18"/>
                        </w:rPr>
                        <w:t xml:space="preserve"> 1.5°C</w:t>
                      </w:r>
                    </w:p>
                    <w:p w14:paraId="10A28752" w14:textId="77777777" w:rsidR="00A41E22" w:rsidRPr="00C72E9B" w:rsidRDefault="00A41E22" w:rsidP="00AF26F0">
                      <w:pPr>
                        <w:pStyle w:val="Paragraphedeliste"/>
                        <w:ind w:left="284" w:hanging="284"/>
                        <w:rPr>
                          <w:bCs/>
                          <w:color w:val="000000" w:themeColor="text1"/>
                          <w:sz w:val="18"/>
                          <w:szCs w:val="18"/>
                        </w:rPr>
                      </w:pPr>
                    </w:p>
                    <w:p w14:paraId="2BEA6984" w14:textId="77777777" w:rsidR="00A41E22" w:rsidRPr="00C72E9B" w:rsidRDefault="00A41E22" w:rsidP="00961CDE">
                      <w:pPr>
                        <w:pStyle w:val="Paragraphedeliste"/>
                        <w:ind w:left="284"/>
                        <w:rPr>
                          <w:bCs/>
                          <w:color w:val="000000" w:themeColor="text1"/>
                          <w:sz w:val="18"/>
                          <w:szCs w:val="18"/>
                        </w:rPr>
                      </w:pPr>
                    </w:p>
                    <w:p w14:paraId="5D0629DF" w14:textId="77777777" w:rsidR="004637B8" w:rsidRPr="00474EE1" w:rsidRDefault="004637B8" w:rsidP="00AF26F0">
                      <w:pPr>
                        <w:ind w:left="284" w:hanging="284"/>
                        <w:jc w:val="center"/>
                        <w:rPr>
                          <w:rFonts w:asciiTheme="minorHAnsi" w:hAnsiTheme="minorHAnsi"/>
                          <w:bCs/>
                          <w:color w:val="000000" w:themeColor="text1"/>
                          <w:sz w:val="26"/>
                          <w:szCs w:val="26"/>
                          <w:lang w:val="fr-FR"/>
                        </w:rPr>
                      </w:pPr>
                    </w:p>
                    <w:p w14:paraId="09D877B6" w14:textId="77777777" w:rsidR="004637B8" w:rsidRPr="00474EE1" w:rsidRDefault="004637B8" w:rsidP="00AF26F0">
                      <w:pPr>
                        <w:ind w:left="284" w:hanging="284"/>
                        <w:jc w:val="center"/>
                        <w:rPr>
                          <w:rFonts w:asciiTheme="minorHAnsi" w:hAnsiTheme="minorHAnsi"/>
                          <w:bCs/>
                          <w:color w:val="000000" w:themeColor="text1"/>
                          <w:sz w:val="26"/>
                          <w:szCs w:val="26"/>
                          <w:lang w:val="fr-FR"/>
                        </w:rPr>
                      </w:pPr>
                    </w:p>
                  </w:txbxContent>
                </v:textbox>
              </v:rect>
            </w:pict>
          </mc:Fallback>
        </mc:AlternateContent>
      </w:r>
      <w:r w:rsidRPr="00A74D23">
        <w:rPr>
          <w:rFonts w:asciiTheme="minorHAnsi" w:hAnsiTheme="minorHAnsi" w:cs="Open Sans"/>
          <w:b/>
          <w:bCs/>
          <w:noProof/>
        </w:rPr>
        <mc:AlternateContent>
          <mc:Choice Requires="wps">
            <w:drawing>
              <wp:anchor distT="0" distB="0" distL="114300" distR="114300" simplePos="0" relativeHeight="251354112" behindDoc="0" locked="0" layoutInCell="1" allowOverlap="1" wp14:anchorId="5AA51A0F" wp14:editId="24EF6515">
                <wp:simplePos x="0" y="0"/>
                <wp:positionH relativeFrom="column">
                  <wp:posOffset>2932154</wp:posOffset>
                </wp:positionH>
                <wp:positionV relativeFrom="paragraph">
                  <wp:posOffset>136609</wp:posOffset>
                </wp:positionV>
                <wp:extent cx="1567815" cy="2846717"/>
                <wp:effectExtent l="0" t="0" r="0" b="0"/>
                <wp:wrapNone/>
                <wp:docPr id="1099437262" name="Rectangle 2"/>
                <wp:cNvGraphicFramePr/>
                <a:graphic xmlns:a="http://schemas.openxmlformats.org/drawingml/2006/main">
                  <a:graphicData uri="http://schemas.microsoft.com/office/word/2010/wordprocessingShape">
                    <wps:wsp>
                      <wps:cNvSpPr/>
                      <wps:spPr>
                        <a:xfrm>
                          <a:off x="0" y="0"/>
                          <a:ext cx="1567815" cy="2846717"/>
                        </a:xfrm>
                        <a:prstGeom prst="rect">
                          <a:avLst/>
                        </a:prstGeom>
                        <a:solidFill>
                          <a:schemeClr val="bg2">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BCF92" w14:textId="77777777" w:rsidR="00697475" w:rsidRDefault="00697475" w:rsidP="00697475">
                            <w:pPr>
                              <w:jc w:val="center"/>
                              <w:rPr>
                                <w:rFonts w:asciiTheme="minorHAnsi" w:hAnsiTheme="minorHAnsi"/>
                                <w:b/>
                                <w:color w:val="000000" w:themeColor="text1"/>
                                <w:sz w:val="26"/>
                                <w:szCs w:val="26"/>
                              </w:rPr>
                            </w:pPr>
                            <w:r w:rsidRPr="00C72E9B">
                              <w:rPr>
                                <w:rFonts w:asciiTheme="minorHAnsi" w:hAnsiTheme="minorHAnsi"/>
                                <w:b/>
                                <w:color w:val="000000" w:themeColor="text1"/>
                                <w:sz w:val="26"/>
                                <w:szCs w:val="26"/>
                              </w:rPr>
                              <w:t>Financer la transition</w:t>
                            </w:r>
                          </w:p>
                          <w:p w14:paraId="28FD439C" w14:textId="77777777" w:rsidR="004D5A2D" w:rsidRPr="00C72E9B" w:rsidRDefault="004D5A2D" w:rsidP="00697475">
                            <w:pPr>
                              <w:jc w:val="center"/>
                              <w:rPr>
                                <w:rFonts w:asciiTheme="minorHAnsi" w:hAnsiTheme="minorHAnsi"/>
                                <w:b/>
                                <w:color w:val="000000" w:themeColor="text1"/>
                                <w:sz w:val="26"/>
                                <w:szCs w:val="26"/>
                              </w:rPr>
                            </w:pPr>
                          </w:p>
                          <w:p w14:paraId="65152BF4" w14:textId="66FA9C44" w:rsidR="00697475" w:rsidRPr="00C72E9B" w:rsidRDefault="00AA6C5A" w:rsidP="00590DD1">
                            <w:pPr>
                              <w:pStyle w:val="Paragraphedeliste"/>
                              <w:numPr>
                                <w:ilvl w:val="0"/>
                                <w:numId w:val="53"/>
                              </w:numPr>
                              <w:spacing w:after="0"/>
                              <w:ind w:left="142" w:hanging="218"/>
                              <w:rPr>
                                <w:bCs/>
                                <w:color w:val="000000" w:themeColor="text1"/>
                                <w:sz w:val="18"/>
                                <w:szCs w:val="18"/>
                              </w:rPr>
                            </w:pPr>
                            <w:r w:rsidRPr="00C72E9B">
                              <w:rPr>
                                <w:bCs/>
                                <w:color w:val="000000" w:themeColor="text1"/>
                                <w:sz w:val="18"/>
                                <w:szCs w:val="18"/>
                              </w:rPr>
                              <w:t xml:space="preserve">Au moins </w:t>
                            </w:r>
                            <w:r w:rsidR="008B657F">
                              <w:rPr>
                                <w:bCs/>
                                <w:color w:val="000000" w:themeColor="text1"/>
                                <w:sz w:val="18"/>
                                <w:szCs w:val="18"/>
                              </w:rPr>
                              <w:t>5</w:t>
                            </w:r>
                            <w:r w:rsidR="00DF055E" w:rsidRPr="00C72E9B">
                              <w:rPr>
                                <w:bCs/>
                                <w:color w:val="000000" w:themeColor="text1"/>
                                <w:sz w:val="18"/>
                                <w:szCs w:val="18"/>
                              </w:rPr>
                              <w:t>00</w:t>
                            </w:r>
                            <w:r w:rsidRPr="00C72E9B">
                              <w:rPr>
                                <w:bCs/>
                                <w:color w:val="000000" w:themeColor="text1"/>
                                <w:sz w:val="18"/>
                                <w:szCs w:val="18"/>
                              </w:rPr>
                              <w:t>m€ d’investissements</w:t>
                            </w:r>
                            <w:r w:rsidR="00331970">
                              <w:rPr>
                                <w:bCs/>
                                <w:color w:val="000000" w:themeColor="text1"/>
                                <w:sz w:val="18"/>
                                <w:szCs w:val="18"/>
                              </w:rPr>
                              <w:t xml:space="preserve"> durables</w:t>
                            </w:r>
                            <w:r w:rsidRPr="00C72E9B">
                              <w:rPr>
                                <w:bCs/>
                                <w:color w:val="000000" w:themeColor="text1"/>
                                <w:sz w:val="18"/>
                                <w:szCs w:val="18"/>
                              </w:rPr>
                              <w:t xml:space="preserve"> </w:t>
                            </w:r>
                            <w:r w:rsidR="0010055A" w:rsidRPr="00C72E9B">
                              <w:rPr>
                                <w:bCs/>
                                <w:color w:val="000000" w:themeColor="text1"/>
                                <w:sz w:val="18"/>
                                <w:szCs w:val="18"/>
                              </w:rPr>
                              <w:t>bruts annuels</w:t>
                            </w:r>
                            <w:r w:rsidRPr="00C72E9B">
                              <w:rPr>
                                <w:bCs/>
                                <w:color w:val="000000" w:themeColor="text1"/>
                                <w:sz w:val="18"/>
                                <w:szCs w:val="18"/>
                              </w:rPr>
                              <w:t xml:space="preserve"> </w:t>
                            </w:r>
                            <w:r w:rsidR="00331970">
                              <w:rPr>
                                <w:bCs/>
                                <w:color w:val="000000" w:themeColor="text1"/>
                                <w:sz w:val="18"/>
                                <w:szCs w:val="18"/>
                              </w:rPr>
                              <w:t>(incluant des actifs verts)</w:t>
                            </w:r>
                          </w:p>
                          <w:p w14:paraId="2B47BEB8" w14:textId="77777777" w:rsidR="00B342D5" w:rsidRDefault="00B342D5" w:rsidP="00B342D5">
                            <w:pPr>
                              <w:rPr>
                                <w:rFonts w:asciiTheme="minorHAnsi" w:hAnsiTheme="minorHAnsi"/>
                                <w:bCs/>
                                <w:color w:val="000000" w:themeColor="text1"/>
                                <w:sz w:val="18"/>
                                <w:szCs w:val="18"/>
                                <w:lang w:val="fr-FR"/>
                              </w:rPr>
                            </w:pPr>
                          </w:p>
                          <w:p w14:paraId="2FE95016" w14:textId="77777777" w:rsidR="004D5A2D" w:rsidRDefault="004D5A2D" w:rsidP="00B342D5">
                            <w:pPr>
                              <w:rPr>
                                <w:rFonts w:asciiTheme="minorHAnsi" w:hAnsiTheme="minorHAnsi"/>
                                <w:bCs/>
                                <w:color w:val="000000" w:themeColor="text1"/>
                                <w:sz w:val="18"/>
                                <w:szCs w:val="18"/>
                                <w:lang w:val="fr-FR"/>
                              </w:rPr>
                            </w:pPr>
                          </w:p>
                          <w:p w14:paraId="621BB152" w14:textId="77777777" w:rsidR="004D5A2D" w:rsidRDefault="004D5A2D" w:rsidP="00B342D5">
                            <w:pPr>
                              <w:rPr>
                                <w:rFonts w:asciiTheme="minorHAnsi" w:hAnsiTheme="minorHAnsi"/>
                                <w:bCs/>
                                <w:color w:val="000000" w:themeColor="text1"/>
                                <w:sz w:val="18"/>
                                <w:szCs w:val="18"/>
                                <w:lang w:val="fr-FR"/>
                              </w:rPr>
                            </w:pPr>
                          </w:p>
                          <w:p w14:paraId="36DB028D" w14:textId="77777777" w:rsidR="004D5A2D" w:rsidRPr="00474EE1" w:rsidRDefault="004D5A2D" w:rsidP="00B342D5">
                            <w:pPr>
                              <w:rPr>
                                <w:rFonts w:asciiTheme="minorHAnsi" w:hAnsiTheme="minorHAnsi"/>
                                <w:bCs/>
                                <w:color w:val="000000" w:themeColor="text1"/>
                                <w:sz w:val="18"/>
                                <w:szCs w:val="18"/>
                                <w:lang w:val="fr-FR"/>
                              </w:rPr>
                            </w:pPr>
                          </w:p>
                          <w:p w14:paraId="34C68B04" w14:textId="77777777" w:rsidR="00AA6C5A" w:rsidRPr="00474EE1" w:rsidRDefault="00AA6C5A" w:rsidP="00B31895">
                            <w:pPr>
                              <w:ind w:left="142" w:hanging="218"/>
                              <w:rPr>
                                <w:rFonts w:asciiTheme="minorHAnsi" w:hAnsiTheme="minorHAnsi"/>
                                <w:bCs/>
                                <w:color w:val="000000" w:themeColor="text1"/>
                                <w:sz w:val="18"/>
                                <w:szCs w:val="18"/>
                                <w:lang w:val="fr-FR"/>
                              </w:rPr>
                            </w:pPr>
                          </w:p>
                          <w:p w14:paraId="671AEF33" w14:textId="77777777" w:rsidR="00AA6C5A" w:rsidRPr="00474EE1" w:rsidRDefault="00AA6C5A" w:rsidP="00AA6C5A">
                            <w:pPr>
                              <w:rPr>
                                <w:rFonts w:asciiTheme="minorHAnsi" w:hAnsiTheme="minorHAnsi"/>
                                <w:bCs/>
                                <w:color w:val="000000" w:themeColor="text1"/>
                                <w:sz w:val="18"/>
                                <w:szCs w:val="18"/>
                                <w:lang w:val="fr-FR"/>
                              </w:rPr>
                            </w:pPr>
                          </w:p>
                          <w:p w14:paraId="7715DB13" w14:textId="77777777" w:rsidR="00697475" w:rsidRPr="00474EE1" w:rsidRDefault="00697475" w:rsidP="004637B8">
                            <w:pPr>
                              <w:jc w:val="center"/>
                              <w:rPr>
                                <w:rFonts w:asciiTheme="minorHAnsi" w:hAnsiTheme="minorHAnsi"/>
                                <w:b/>
                                <w:color w:val="000000" w:themeColor="text1"/>
                                <w:sz w:val="26"/>
                                <w:szCs w:val="26"/>
                                <w:lang w:val="fr-FR"/>
                              </w:rPr>
                            </w:pPr>
                          </w:p>
                          <w:p w14:paraId="57505029" w14:textId="77777777" w:rsidR="004637B8" w:rsidRPr="00474EE1" w:rsidRDefault="004637B8" w:rsidP="004637B8">
                            <w:pPr>
                              <w:jc w:val="center"/>
                              <w:rPr>
                                <w:rFonts w:asciiTheme="minorHAnsi" w:hAnsiTheme="minorHAnsi"/>
                                <w:b/>
                                <w:color w:val="000000" w:themeColor="text1"/>
                                <w:sz w:val="26"/>
                                <w:szCs w:val="26"/>
                                <w:lang w:val="fr-FR"/>
                              </w:rPr>
                            </w:pPr>
                          </w:p>
                          <w:p w14:paraId="4F013004" w14:textId="77777777" w:rsidR="004637B8" w:rsidRPr="00474EE1" w:rsidRDefault="004637B8" w:rsidP="004637B8">
                            <w:pPr>
                              <w:jc w:val="center"/>
                              <w:rPr>
                                <w:rFonts w:asciiTheme="minorHAnsi" w:hAnsiTheme="minorHAnsi"/>
                                <w:b/>
                                <w:color w:val="000000" w:themeColor="text1"/>
                                <w:sz w:val="26"/>
                                <w:szCs w:val="26"/>
                                <w:lang w:val="fr-FR"/>
                              </w:rPr>
                            </w:pPr>
                          </w:p>
                          <w:p w14:paraId="37B610C9" w14:textId="77777777" w:rsidR="004637B8" w:rsidRPr="00474EE1" w:rsidRDefault="004637B8" w:rsidP="004637B8">
                            <w:pPr>
                              <w:jc w:val="center"/>
                              <w:rPr>
                                <w:rFonts w:asciiTheme="minorHAnsi" w:hAnsiTheme="minorHAnsi"/>
                                <w:b/>
                                <w:color w:val="000000" w:themeColor="text1"/>
                                <w:sz w:val="26"/>
                                <w:szCs w:val="26"/>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A51A0F" id="_x0000_s1111" style="position:absolute;left:0;text-align:left;margin-left:230.9pt;margin-top:10.75pt;width:123.45pt;height:224.15pt;z-index:25135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" fillcolor="#b5ddda [1310]" stroked="f" strokeweight="1pt">
                <v:textbox>
                  <w:txbxContent>
                    <w:p w14:paraId="672BCF92" w14:textId="77777777" w:rsidR="00697475" w:rsidRDefault="00697475" w:rsidP="00697475">
                      <w:pPr>
                        <w:jc w:val="center"/>
                        <w:rPr>
                          <w:rFonts w:asciiTheme="minorHAnsi" w:hAnsiTheme="minorHAnsi"/>
                          <w:b/>
                          <w:color w:val="000000" w:themeColor="text1"/>
                          <w:sz w:val="26"/>
                          <w:szCs w:val="26"/>
                        </w:rPr>
                      </w:pPr>
                      <w:r w:rsidRPr="00C72E9B">
                        <w:rPr>
                          <w:rFonts w:asciiTheme="minorHAnsi" w:hAnsiTheme="minorHAnsi"/>
                          <w:b/>
                          <w:color w:val="000000" w:themeColor="text1"/>
                          <w:sz w:val="26"/>
                          <w:szCs w:val="26"/>
                        </w:rPr>
                        <w:t>Financer la transition</w:t>
                      </w:r>
                    </w:p>
                    <w:p w14:paraId="28FD439C" w14:textId="77777777" w:rsidR="004D5A2D" w:rsidRPr="00C72E9B" w:rsidRDefault="004D5A2D" w:rsidP="00697475">
                      <w:pPr>
                        <w:jc w:val="center"/>
                        <w:rPr>
                          <w:rFonts w:asciiTheme="minorHAnsi" w:hAnsiTheme="minorHAnsi"/>
                          <w:b/>
                          <w:color w:val="000000" w:themeColor="text1"/>
                          <w:sz w:val="26"/>
                          <w:szCs w:val="26"/>
                        </w:rPr>
                      </w:pPr>
                    </w:p>
                    <w:p w14:paraId="65152BF4" w14:textId="66FA9C44" w:rsidR="00697475" w:rsidRPr="00C72E9B" w:rsidRDefault="00AA6C5A" w:rsidP="00590DD1">
                      <w:pPr>
                        <w:pStyle w:val="Paragraphedeliste"/>
                        <w:numPr>
                          <w:ilvl w:val="0"/>
                          <w:numId w:val="53"/>
                        </w:numPr>
                        <w:spacing w:after="0"/>
                        <w:ind w:left="142" w:hanging="218"/>
                        <w:rPr>
                          <w:bCs/>
                          <w:color w:val="000000" w:themeColor="text1"/>
                          <w:sz w:val="18"/>
                          <w:szCs w:val="18"/>
                        </w:rPr>
                      </w:pPr>
                      <w:r w:rsidRPr="00C72E9B">
                        <w:rPr>
                          <w:bCs/>
                          <w:color w:val="000000" w:themeColor="text1"/>
                          <w:sz w:val="18"/>
                          <w:szCs w:val="18"/>
                        </w:rPr>
                        <w:t xml:space="preserve">Au moins </w:t>
                      </w:r>
                      <w:r w:rsidR="008B657F">
                        <w:rPr>
                          <w:bCs/>
                          <w:color w:val="000000" w:themeColor="text1"/>
                          <w:sz w:val="18"/>
                          <w:szCs w:val="18"/>
                        </w:rPr>
                        <w:t>5</w:t>
                      </w:r>
                      <w:r w:rsidR="00DF055E" w:rsidRPr="00C72E9B">
                        <w:rPr>
                          <w:bCs/>
                          <w:color w:val="000000" w:themeColor="text1"/>
                          <w:sz w:val="18"/>
                          <w:szCs w:val="18"/>
                        </w:rPr>
                        <w:t>00</w:t>
                      </w:r>
                      <w:r w:rsidRPr="00C72E9B">
                        <w:rPr>
                          <w:bCs/>
                          <w:color w:val="000000" w:themeColor="text1"/>
                          <w:sz w:val="18"/>
                          <w:szCs w:val="18"/>
                        </w:rPr>
                        <w:t>m€ d’investissements</w:t>
                      </w:r>
                      <w:r w:rsidR="00331970">
                        <w:rPr>
                          <w:bCs/>
                          <w:color w:val="000000" w:themeColor="text1"/>
                          <w:sz w:val="18"/>
                          <w:szCs w:val="18"/>
                        </w:rPr>
                        <w:t xml:space="preserve"> durables</w:t>
                      </w:r>
                      <w:r w:rsidRPr="00C72E9B">
                        <w:rPr>
                          <w:bCs/>
                          <w:color w:val="000000" w:themeColor="text1"/>
                          <w:sz w:val="18"/>
                          <w:szCs w:val="18"/>
                        </w:rPr>
                        <w:t xml:space="preserve"> </w:t>
                      </w:r>
                      <w:r w:rsidR="0010055A" w:rsidRPr="00C72E9B">
                        <w:rPr>
                          <w:bCs/>
                          <w:color w:val="000000" w:themeColor="text1"/>
                          <w:sz w:val="18"/>
                          <w:szCs w:val="18"/>
                        </w:rPr>
                        <w:t>bruts annuels</w:t>
                      </w:r>
                      <w:r w:rsidRPr="00C72E9B">
                        <w:rPr>
                          <w:bCs/>
                          <w:color w:val="000000" w:themeColor="text1"/>
                          <w:sz w:val="18"/>
                          <w:szCs w:val="18"/>
                        </w:rPr>
                        <w:t xml:space="preserve"> </w:t>
                      </w:r>
                      <w:r w:rsidR="00331970">
                        <w:rPr>
                          <w:bCs/>
                          <w:color w:val="000000" w:themeColor="text1"/>
                          <w:sz w:val="18"/>
                          <w:szCs w:val="18"/>
                        </w:rPr>
                        <w:t>(incluant des actifs verts)</w:t>
                      </w:r>
                    </w:p>
                    <w:p w14:paraId="2B47BEB8" w14:textId="77777777" w:rsidR="00B342D5" w:rsidRDefault="00B342D5" w:rsidP="00B342D5">
                      <w:pPr>
                        <w:rPr>
                          <w:rFonts w:asciiTheme="minorHAnsi" w:hAnsiTheme="minorHAnsi"/>
                          <w:bCs/>
                          <w:color w:val="000000" w:themeColor="text1"/>
                          <w:sz w:val="18"/>
                          <w:szCs w:val="18"/>
                          <w:lang w:val="fr-FR"/>
                        </w:rPr>
                      </w:pPr>
                    </w:p>
                    <w:p w14:paraId="2FE95016" w14:textId="77777777" w:rsidR="004D5A2D" w:rsidRDefault="004D5A2D" w:rsidP="00B342D5">
                      <w:pPr>
                        <w:rPr>
                          <w:rFonts w:asciiTheme="minorHAnsi" w:hAnsiTheme="minorHAnsi"/>
                          <w:bCs/>
                          <w:color w:val="000000" w:themeColor="text1"/>
                          <w:sz w:val="18"/>
                          <w:szCs w:val="18"/>
                          <w:lang w:val="fr-FR"/>
                        </w:rPr>
                      </w:pPr>
                    </w:p>
                    <w:p w14:paraId="621BB152" w14:textId="77777777" w:rsidR="004D5A2D" w:rsidRDefault="004D5A2D" w:rsidP="00B342D5">
                      <w:pPr>
                        <w:rPr>
                          <w:rFonts w:asciiTheme="minorHAnsi" w:hAnsiTheme="minorHAnsi"/>
                          <w:bCs/>
                          <w:color w:val="000000" w:themeColor="text1"/>
                          <w:sz w:val="18"/>
                          <w:szCs w:val="18"/>
                          <w:lang w:val="fr-FR"/>
                        </w:rPr>
                      </w:pPr>
                    </w:p>
                    <w:p w14:paraId="36DB028D" w14:textId="77777777" w:rsidR="004D5A2D" w:rsidRPr="00474EE1" w:rsidRDefault="004D5A2D" w:rsidP="00B342D5">
                      <w:pPr>
                        <w:rPr>
                          <w:rFonts w:asciiTheme="minorHAnsi" w:hAnsiTheme="minorHAnsi"/>
                          <w:bCs/>
                          <w:color w:val="000000" w:themeColor="text1"/>
                          <w:sz w:val="18"/>
                          <w:szCs w:val="18"/>
                          <w:lang w:val="fr-FR"/>
                        </w:rPr>
                      </w:pPr>
                    </w:p>
                    <w:p w14:paraId="34C68B04" w14:textId="77777777" w:rsidR="00AA6C5A" w:rsidRPr="00474EE1" w:rsidRDefault="00AA6C5A" w:rsidP="00B31895">
                      <w:pPr>
                        <w:ind w:left="142" w:hanging="218"/>
                        <w:rPr>
                          <w:rFonts w:asciiTheme="minorHAnsi" w:hAnsiTheme="minorHAnsi"/>
                          <w:bCs/>
                          <w:color w:val="000000" w:themeColor="text1"/>
                          <w:sz w:val="18"/>
                          <w:szCs w:val="18"/>
                          <w:lang w:val="fr-FR"/>
                        </w:rPr>
                      </w:pPr>
                    </w:p>
                    <w:p w14:paraId="671AEF33" w14:textId="77777777" w:rsidR="00AA6C5A" w:rsidRPr="00474EE1" w:rsidRDefault="00AA6C5A" w:rsidP="00AA6C5A">
                      <w:pPr>
                        <w:rPr>
                          <w:rFonts w:asciiTheme="minorHAnsi" w:hAnsiTheme="minorHAnsi"/>
                          <w:bCs/>
                          <w:color w:val="000000" w:themeColor="text1"/>
                          <w:sz w:val="18"/>
                          <w:szCs w:val="18"/>
                          <w:lang w:val="fr-FR"/>
                        </w:rPr>
                      </w:pPr>
                    </w:p>
                    <w:p w14:paraId="7715DB13" w14:textId="77777777" w:rsidR="00697475" w:rsidRPr="00474EE1" w:rsidRDefault="00697475" w:rsidP="004637B8">
                      <w:pPr>
                        <w:jc w:val="center"/>
                        <w:rPr>
                          <w:rFonts w:asciiTheme="minorHAnsi" w:hAnsiTheme="minorHAnsi"/>
                          <w:b/>
                          <w:color w:val="000000" w:themeColor="text1"/>
                          <w:sz w:val="26"/>
                          <w:szCs w:val="26"/>
                          <w:lang w:val="fr-FR"/>
                        </w:rPr>
                      </w:pPr>
                    </w:p>
                    <w:p w14:paraId="57505029" w14:textId="77777777" w:rsidR="004637B8" w:rsidRPr="00474EE1" w:rsidRDefault="004637B8" w:rsidP="004637B8">
                      <w:pPr>
                        <w:jc w:val="center"/>
                        <w:rPr>
                          <w:rFonts w:asciiTheme="minorHAnsi" w:hAnsiTheme="minorHAnsi"/>
                          <w:b/>
                          <w:color w:val="000000" w:themeColor="text1"/>
                          <w:sz w:val="26"/>
                          <w:szCs w:val="26"/>
                          <w:lang w:val="fr-FR"/>
                        </w:rPr>
                      </w:pPr>
                    </w:p>
                    <w:p w14:paraId="4F013004" w14:textId="77777777" w:rsidR="004637B8" w:rsidRPr="00474EE1" w:rsidRDefault="004637B8" w:rsidP="004637B8">
                      <w:pPr>
                        <w:jc w:val="center"/>
                        <w:rPr>
                          <w:rFonts w:asciiTheme="minorHAnsi" w:hAnsiTheme="minorHAnsi"/>
                          <w:b/>
                          <w:color w:val="000000" w:themeColor="text1"/>
                          <w:sz w:val="26"/>
                          <w:szCs w:val="26"/>
                          <w:lang w:val="fr-FR"/>
                        </w:rPr>
                      </w:pPr>
                    </w:p>
                    <w:p w14:paraId="37B610C9" w14:textId="77777777" w:rsidR="004637B8" w:rsidRPr="00474EE1" w:rsidRDefault="004637B8" w:rsidP="004637B8">
                      <w:pPr>
                        <w:jc w:val="center"/>
                        <w:rPr>
                          <w:rFonts w:asciiTheme="minorHAnsi" w:hAnsiTheme="minorHAnsi"/>
                          <w:b/>
                          <w:color w:val="000000" w:themeColor="text1"/>
                          <w:sz w:val="26"/>
                          <w:szCs w:val="26"/>
                          <w:lang w:val="fr-FR"/>
                        </w:rPr>
                      </w:pPr>
                    </w:p>
                  </w:txbxContent>
                </v:textbox>
              </v:rect>
            </w:pict>
          </mc:Fallback>
        </mc:AlternateContent>
      </w:r>
      <w:r w:rsidRPr="00A74D23">
        <w:rPr>
          <w:rFonts w:asciiTheme="minorHAnsi" w:hAnsiTheme="minorHAnsi" w:cs="Open Sans"/>
          <w:b/>
          <w:bCs/>
          <w:noProof/>
        </w:rPr>
        <mc:AlternateContent>
          <mc:Choice Requires="wps">
            <w:drawing>
              <wp:anchor distT="0" distB="0" distL="114300" distR="114300" simplePos="0" relativeHeight="251350016" behindDoc="0" locked="0" layoutInCell="1" allowOverlap="1" wp14:anchorId="144DB981" wp14:editId="38E32195">
                <wp:simplePos x="0" y="0"/>
                <wp:positionH relativeFrom="column">
                  <wp:posOffset>1232751</wp:posOffset>
                </wp:positionH>
                <wp:positionV relativeFrom="paragraph">
                  <wp:posOffset>136609</wp:posOffset>
                </wp:positionV>
                <wp:extent cx="1568210" cy="2846717"/>
                <wp:effectExtent l="0" t="0" r="0" b="0"/>
                <wp:wrapNone/>
                <wp:docPr id="1145564175" name="Rectangle 2"/>
                <wp:cNvGraphicFramePr/>
                <a:graphic xmlns:a="http://schemas.openxmlformats.org/drawingml/2006/main">
                  <a:graphicData uri="http://schemas.microsoft.com/office/word/2010/wordprocessingShape">
                    <wps:wsp>
                      <wps:cNvSpPr/>
                      <wps:spPr>
                        <a:xfrm>
                          <a:off x="0" y="0"/>
                          <a:ext cx="1568210" cy="2846717"/>
                        </a:xfrm>
                        <a:prstGeom prst="rect">
                          <a:avLst/>
                        </a:prstGeom>
                        <a:solidFill>
                          <a:schemeClr val="accent6">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CB594E" w14:textId="0F9A41A6" w:rsidR="004637B8" w:rsidRDefault="00697475" w:rsidP="00FE06A4">
                            <w:pPr>
                              <w:jc w:val="center"/>
                              <w:rPr>
                                <w:rFonts w:asciiTheme="minorHAnsi" w:hAnsiTheme="minorHAnsi"/>
                                <w:b/>
                                <w:color w:val="000000" w:themeColor="text1"/>
                                <w:sz w:val="26"/>
                                <w:szCs w:val="26"/>
                              </w:rPr>
                            </w:pPr>
                            <w:r w:rsidRPr="00C72E9B">
                              <w:rPr>
                                <w:rFonts w:asciiTheme="minorHAnsi" w:hAnsiTheme="minorHAnsi"/>
                                <w:b/>
                                <w:color w:val="000000" w:themeColor="text1"/>
                                <w:sz w:val="26"/>
                                <w:szCs w:val="26"/>
                              </w:rPr>
                              <w:t>Engager les contreparties</w:t>
                            </w:r>
                          </w:p>
                          <w:p w14:paraId="78F7BCA7" w14:textId="77777777" w:rsidR="004D5A2D" w:rsidRPr="00C72E9B" w:rsidRDefault="004D5A2D" w:rsidP="00FE06A4">
                            <w:pPr>
                              <w:jc w:val="center"/>
                              <w:rPr>
                                <w:rFonts w:asciiTheme="minorHAnsi" w:hAnsiTheme="minorHAnsi"/>
                                <w:b/>
                                <w:color w:val="000000" w:themeColor="text1"/>
                                <w:sz w:val="26"/>
                                <w:szCs w:val="26"/>
                              </w:rPr>
                            </w:pPr>
                          </w:p>
                          <w:p w14:paraId="0D0D6217" w14:textId="6F8C77DE" w:rsidR="00697475" w:rsidRPr="00C72E9B" w:rsidRDefault="00AF26F0" w:rsidP="00590DD1">
                            <w:pPr>
                              <w:pStyle w:val="Paragraphedeliste"/>
                              <w:numPr>
                                <w:ilvl w:val="0"/>
                                <w:numId w:val="52"/>
                              </w:numPr>
                              <w:spacing w:after="0"/>
                              <w:ind w:left="142" w:hanging="218"/>
                              <w:rPr>
                                <w:bCs/>
                                <w:color w:val="000000" w:themeColor="text1"/>
                                <w:sz w:val="18"/>
                                <w:szCs w:val="18"/>
                              </w:rPr>
                            </w:pPr>
                            <w:r w:rsidRPr="00C72E9B">
                              <w:rPr>
                                <w:bCs/>
                                <w:color w:val="000000" w:themeColor="text1"/>
                                <w:sz w:val="18"/>
                                <w:szCs w:val="18"/>
                              </w:rPr>
                              <w:t xml:space="preserve">Engagement avec </w:t>
                            </w:r>
                            <w:r w:rsidRPr="00C72E9B">
                              <w:rPr>
                                <w:b/>
                                <w:color w:val="000000" w:themeColor="text1"/>
                                <w:sz w:val="18"/>
                                <w:szCs w:val="18"/>
                              </w:rPr>
                              <w:t>les 20 sociétés les plus émettrices</w:t>
                            </w:r>
                            <w:r w:rsidRPr="00C72E9B">
                              <w:rPr>
                                <w:bCs/>
                                <w:color w:val="000000" w:themeColor="text1"/>
                                <w:sz w:val="18"/>
                                <w:szCs w:val="18"/>
                              </w:rPr>
                              <w:t xml:space="preserve"> dans notre portefeuille d’investissement</w:t>
                            </w:r>
                          </w:p>
                          <w:p w14:paraId="0F640761" w14:textId="77777777" w:rsidR="00905D20" w:rsidRDefault="00905D20" w:rsidP="00B31895">
                            <w:pPr>
                              <w:pStyle w:val="Paragraphedeliste"/>
                              <w:spacing w:after="0"/>
                              <w:ind w:left="142" w:hanging="218"/>
                              <w:rPr>
                                <w:bCs/>
                                <w:color w:val="000000" w:themeColor="text1"/>
                                <w:sz w:val="18"/>
                                <w:szCs w:val="18"/>
                              </w:rPr>
                            </w:pPr>
                          </w:p>
                          <w:p w14:paraId="3E214623" w14:textId="77777777" w:rsidR="004D5A2D" w:rsidRPr="00C72E9B" w:rsidRDefault="004D5A2D" w:rsidP="00B31895">
                            <w:pPr>
                              <w:pStyle w:val="Paragraphedeliste"/>
                              <w:spacing w:after="0"/>
                              <w:ind w:left="142" w:hanging="218"/>
                              <w:rPr>
                                <w:bCs/>
                                <w:color w:val="000000" w:themeColor="text1"/>
                                <w:sz w:val="18"/>
                                <w:szCs w:val="18"/>
                              </w:rPr>
                            </w:pPr>
                          </w:p>
                          <w:p w14:paraId="00B30008" w14:textId="49CCD239" w:rsidR="00961380" w:rsidRPr="00C72E9B" w:rsidRDefault="00961380" w:rsidP="009F697E">
                            <w:pPr>
                              <w:pStyle w:val="Paragraphedeliste"/>
                              <w:spacing w:after="0"/>
                              <w:ind w:left="142"/>
                              <w:rPr>
                                <w:bCs/>
                                <w:color w:val="000000" w:themeColor="text1"/>
                                <w:sz w:val="18"/>
                                <w:szCs w:val="18"/>
                              </w:rPr>
                            </w:pPr>
                          </w:p>
                          <w:p w14:paraId="3E178EB1" w14:textId="77777777" w:rsidR="00905D20" w:rsidRPr="00474EE1" w:rsidRDefault="00905D20" w:rsidP="00B31895">
                            <w:pPr>
                              <w:ind w:left="142" w:hanging="218"/>
                              <w:rPr>
                                <w:rFonts w:asciiTheme="minorHAnsi" w:hAnsiTheme="minorHAnsi"/>
                                <w:bCs/>
                                <w:color w:val="000000" w:themeColor="text1"/>
                                <w:sz w:val="18"/>
                                <w:szCs w:val="18"/>
                                <w:lang w:val="fr-FR"/>
                              </w:rPr>
                            </w:pPr>
                          </w:p>
                          <w:p w14:paraId="133C0D60" w14:textId="77777777" w:rsidR="00697475" w:rsidRPr="00474EE1" w:rsidRDefault="00697475" w:rsidP="00B31895">
                            <w:pPr>
                              <w:ind w:left="142" w:hanging="218"/>
                              <w:jc w:val="center"/>
                              <w:rPr>
                                <w:rFonts w:asciiTheme="minorHAnsi" w:hAnsiTheme="minorHAnsi"/>
                                <w:b/>
                                <w:color w:val="000000" w:themeColor="text1"/>
                                <w:sz w:val="26"/>
                                <w:szCs w:val="26"/>
                                <w:lang w:val="fr-FR"/>
                              </w:rPr>
                            </w:pPr>
                          </w:p>
                          <w:p w14:paraId="1C421DE1" w14:textId="77777777" w:rsidR="00697475" w:rsidRPr="00474EE1" w:rsidRDefault="00697475" w:rsidP="00FE06A4">
                            <w:pPr>
                              <w:jc w:val="center"/>
                              <w:rPr>
                                <w:rFonts w:asciiTheme="minorHAnsi" w:hAnsiTheme="minorHAnsi"/>
                                <w:b/>
                                <w:color w:val="000000" w:themeColor="text1"/>
                                <w:sz w:val="26"/>
                                <w:szCs w:val="26"/>
                                <w:lang w:val="fr-FR"/>
                              </w:rPr>
                            </w:pPr>
                          </w:p>
                          <w:p w14:paraId="01A724D7" w14:textId="77777777" w:rsidR="00697475" w:rsidRPr="00474EE1" w:rsidRDefault="00697475" w:rsidP="00FE06A4">
                            <w:pPr>
                              <w:jc w:val="center"/>
                              <w:rPr>
                                <w:rFonts w:asciiTheme="minorHAnsi" w:hAnsiTheme="minorHAnsi"/>
                                <w:b/>
                                <w:color w:val="000000" w:themeColor="text1"/>
                                <w:sz w:val="26"/>
                                <w:szCs w:val="26"/>
                                <w:lang w:val="fr-FR"/>
                              </w:rPr>
                            </w:pPr>
                          </w:p>
                          <w:p w14:paraId="32AD0E3C" w14:textId="77777777" w:rsidR="00697475" w:rsidRPr="00474EE1" w:rsidRDefault="00697475" w:rsidP="00FE06A4">
                            <w:pPr>
                              <w:jc w:val="center"/>
                              <w:rPr>
                                <w:rFonts w:asciiTheme="minorHAnsi" w:hAnsiTheme="minorHAnsi"/>
                                <w:b/>
                                <w:color w:val="000000" w:themeColor="text1"/>
                                <w:sz w:val="26"/>
                                <w:szCs w:val="26"/>
                                <w:lang w:val="fr-FR"/>
                              </w:rPr>
                            </w:pPr>
                          </w:p>
                          <w:p w14:paraId="2E0D8723" w14:textId="77777777" w:rsidR="00697475" w:rsidRPr="00474EE1" w:rsidRDefault="00697475" w:rsidP="00FE06A4">
                            <w:pPr>
                              <w:jc w:val="center"/>
                              <w:rPr>
                                <w:rFonts w:asciiTheme="minorHAnsi" w:hAnsiTheme="minorHAnsi"/>
                                <w:b/>
                                <w:color w:val="000000" w:themeColor="text1"/>
                                <w:sz w:val="26"/>
                                <w:szCs w:val="26"/>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4DB981" id="_x0000_s1112" style="position:absolute;left:0;text-align:left;margin-left:97.05pt;margin-top:10.75pt;width:123.5pt;height:224.15pt;z-index:2513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" fillcolor="#bbc7dd [2889]" stroked="f" strokeweight="1pt">
                <v:textbox>
                  <w:txbxContent>
                    <w:p w14:paraId="2ACB594E" w14:textId="0F9A41A6" w:rsidR="004637B8" w:rsidRDefault="00697475" w:rsidP="00FE06A4">
                      <w:pPr>
                        <w:jc w:val="center"/>
                        <w:rPr>
                          <w:rFonts w:asciiTheme="minorHAnsi" w:hAnsiTheme="minorHAnsi"/>
                          <w:b/>
                          <w:color w:val="000000" w:themeColor="text1"/>
                          <w:sz w:val="26"/>
                          <w:szCs w:val="26"/>
                        </w:rPr>
                      </w:pPr>
                      <w:r w:rsidRPr="00C72E9B">
                        <w:rPr>
                          <w:rFonts w:asciiTheme="minorHAnsi" w:hAnsiTheme="minorHAnsi"/>
                          <w:b/>
                          <w:color w:val="000000" w:themeColor="text1"/>
                          <w:sz w:val="26"/>
                          <w:szCs w:val="26"/>
                        </w:rPr>
                        <w:t>Engager les contreparties</w:t>
                      </w:r>
                    </w:p>
                    <w:p w14:paraId="78F7BCA7" w14:textId="77777777" w:rsidR="004D5A2D" w:rsidRPr="00C72E9B" w:rsidRDefault="004D5A2D" w:rsidP="00FE06A4">
                      <w:pPr>
                        <w:jc w:val="center"/>
                        <w:rPr>
                          <w:rFonts w:asciiTheme="minorHAnsi" w:hAnsiTheme="minorHAnsi"/>
                          <w:b/>
                          <w:color w:val="000000" w:themeColor="text1"/>
                          <w:sz w:val="26"/>
                          <w:szCs w:val="26"/>
                        </w:rPr>
                      </w:pPr>
                    </w:p>
                    <w:p w14:paraId="0D0D6217" w14:textId="6F8C77DE" w:rsidR="00697475" w:rsidRPr="00C72E9B" w:rsidRDefault="00AF26F0" w:rsidP="00590DD1">
                      <w:pPr>
                        <w:pStyle w:val="Paragraphedeliste"/>
                        <w:numPr>
                          <w:ilvl w:val="0"/>
                          <w:numId w:val="52"/>
                        </w:numPr>
                        <w:spacing w:after="0"/>
                        <w:ind w:left="142" w:hanging="218"/>
                        <w:rPr>
                          <w:bCs/>
                          <w:color w:val="000000" w:themeColor="text1"/>
                          <w:sz w:val="18"/>
                          <w:szCs w:val="18"/>
                        </w:rPr>
                      </w:pPr>
                      <w:r w:rsidRPr="00C72E9B">
                        <w:rPr>
                          <w:bCs/>
                          <w:color w:val="000000" w:themeColor="text1"/>
                          <w:sz w:val="18"/>
                          <w:szCs w:val="18"/>
                        </w:rPr>
                        <w:t xml:space="preserve">Engagement avec </w:t>
                      </w:r>
                      <w:r w:rsidRPr="00C72E9B">
                        <w:rPr>
                          <w:b/>
                          <w:color w:val="000000" w:themeColor="text1"/>
                          <w:sz w:val="18"/>
                          <w:szCs w:val="18"/>
                        </w:rPr>
                        <w:t>les 20 sociétés les plus émettrices</w:t>
                      </w:r>
                      <w:r w:rsidRPr="00C72E9B">
                        <w:rPr>
                          <w:bCs/>
                          <w:color w:val="000000" w:themeColor="text1"/>
                          <w:sz w:val="18"/>
                          <w:szCs w:val="18"/>
                        </w:rPr>
                        <w:t xml:space="preserve"> dans notre portefeuille d’investissement</w:t>
                      </w:r>
                    </w:p>
                    <w:p w14:paraId="0F640761" w14:textId="77777777" w:rsidR="00905D20" w:rsidRDefault="00905D20" w:rsidP="00B31895">
                      <w:pPr>
                        <w:pStyle w:val="Paragraphedeliste"/>
                        <w:spacing w:after="0"/>
                        <w:ind w:left="142" w:hanging="218"/>
                        <w:rPr>
                          <w:bCs/>
                          <w:color w:val="000000" w:themeColor="text1"/>
                          <w:sz w:val="18"/>
                          <w:szCs w:val="18"/>
                        </w:rPr>
                      </w:pPr>
                    </w:p>
                    <w:p w14:paraId="3E214623" w14:textId="77777777" w:rsidR="004D5A2D" w:rsidRPr="00C72E9B" w:rsidRDefault="004D5A2D" w:rsidP="00B31895">
                      <w:pPr>
                        <w:pStyle w:val="Paragraphedeliste"/>
                        <w:spacing w:after="0"/>
                        <w:ind w:left="142" w:hanging="218"/>
                        <w:rPr>
                          <w:bCs/>
                          <w:color w:val="000000" w:themeColor="text1"/>
                          <w:sz w:val="18"/>
                          <w:szCs w:val="18"/>
                        </w:rPr>
                      </w:pPr>
                    </w:p>
                    <w:p w14:paraId="00B30008" w14:textId="49CCD239" w:rsidR="00961380" w:rsidRPr="00C72E9B" w:rsidRDefault="00961380" w:rsidP="009F697E">
                      <w:pPr>
                        <w:pStyle w:val="Paragraphedeliste"/>
                        <w:spacing w:after="0"/>
                        <w:ind w:left="142"/>
                        <w:rPr>
                          <w:bCs/>
                          <w:color w:val="000000" w:themeColor="text1"/>
                          <w:sz w:val="18"/>
                          <w:szCs w:val="18"/>
                        </w:rPr>
                      </w:pPr>
                    </w:p>
                    <w:p w14:paraId="3E178EB1" w14:textId="77777777" w:rsidR="00905D20" w:rsidRPr="00474EE1" w:rsidRDefault="00905D20" w:rsidP="00B31895">
                      <w:pPr>
                        <w:ind w:left="142" w:hanging="218"/>
                        <w:rPr>
                          <w:rFonts w:asciiTheme="minorHAnsi" w:hAnsiTheme="minorHAnsi"/>
                          <w:bCs/>
                          <w:color w:val="000000" w:themeColor="text1"/>
                          <w:sz w:val="18"/>
                          <w:szCs w:val="18"/>
                          <w:lang w:val="fr-FR"/>
                        </w:rPr>
                      </w:pPr>
                    </w:p>
                    <w:p w14:paraId="133C0D60" w14:textId="77777777" w:rsidR="00697475" w:rsidRPr="00474EE1" w:rsidRDefault="00697475" w:rsidP="00B31895">
                      <w:pPr>
                        <w:ind w:left="142" w:hanging="218"/>
                        <w:jc w:val="center"/>
                        <w:rPr>
                          <w:rFonts w:asciiTheme="minorHAnsi" w:hAnsiTheme="minorHAnsi"/>
                          <w:b/>
                          <w:color w:val="000000" w:themeColor="text1"/>
                          <w:sz w:val="26"/>
                          <w:szCs w:val="26"/>
                          <w:lang w:val="fr-FR"/>
                        </w:rPr>
                      </w:pPr>
                    </w:p>
                    <w:p w14:paraId="1C421DE1" w14:textId="77777777" w:rsidR="00697475" w:rsidRPr="00474EE1" w:rsidRDefault="00697475" w:rsidP="00FE06A4">
                      <w:pPr>
                        <w:jc w:val="center"/>
                        <w:rPr>
                          <w:rFonts w:asciiTheme="minorHAnsi" w:hAnsiTheme="minorHAnsi"/>
                          <w:b/>
                          <w:color w:val="000000" w:themeColor="text1"/>
                          <w:sz w:val="26"/>
                          <w:szCs w:val="26"/>
                          <w:lang w:val="fr-FR"/>
                        </w:rPr>
                      </w:pPr>
                    </w:p>
                    <w:p w14:paraId="01A724D7" w14:textId="77777777" w:rsidR="00697475" w:rsidRPr="00474EE1" w:rsidRDefault="00697475" w:rsidP="00FE06A4">
                      <w:pPr>
                        <w:jc w:val="center"/>
                        <w:rPr>
                          <w:rFonts w:asciiTheme="minorHAnsi" w:hAnsiTheme="minorHAnsi"/>
                          <w:b/>
                          <w:color w:val="000000" w:themeColor="text1"/>
                          <w:sz w:val="26"/>
                          <w:szCs w:val="26"/>
                          <w:lang w:val="fr-FR"/>
                        </w:rPr>
                      </w:pPr>
                    </w:p>
                    <w:p w14:paraId="32AD0E3C" w14:textId="77777777" w:rsidR="00697475" w:rsidRPr="00474EE1" w:rsidRDefault="00697475" w:rsidP="00FE06A4">
                      <w:pPr>
                        <w:jc w:val="center"/>
                        <w:rPr>
                          <w:rFonts w:asciiTheme="minorHAnsi" w:hAnsiTheme="minorHAnsi"/>
                          <w:b/>
                          <w:color w:val="000000" w:themeColor="text1"/>
                          <w:sz w:val="26"/>
                          <w:szCs w:val="26"/>
                          <w:lang w:val="fr-FR"/>
                        </w:rPr>
                      </w:pPr>
                    </w:p>
                    <w:p w14:paraId="2E0D8723" w14:textId="77777777" w:rsidR="00697475" w:rsidRPr="00474EE1" w:rsidRDefault="00697475" w:rsidP="00FE06A4">
                      <w:pPr>
                        <w:jc w:val="center"/>
                        <w:rPr>
                          <w:rFonts w:asciiTheme="minorHAnsi" w:hAnsiTheme="minorHAnsi"/>
                          <w:b/>
                          <w:color w:val="000000" w:themeColor="text1"/>
                          <w:sz w:val="26"/>
                          <w:szCs w:val="26"/>
                          <w:lang w:val="fr-FR"/>
                        </w:rPr>
                      </w:pPr>
                    </w:p>
                  </w:txbxContent>
                </v:textbox>
              </v:rect>
            </w:pict>
          </mc:Fallback>
        </mc:AlternateContent>
      </w:r>
    </w:p>
    <w:p w14:paraId="0CB9AF4F" w14:textId="77777777" w:rsidR="00C72E9B" w:rsidRPr="00A74D23" w:rsidRDefault="00C72E9B" w:rsidP="009D6EE5">
      <w:pPr>
        <w:spacing w:line="22" w:lineRule="atLeast"/>
        <w:jc w:val="both"/>
        <w:rPr>
          <w:rFonts w:asciiTheme="minorHAnsi" w:hAnsiTheme="minorHAnsi" w:cs="Open Sans"/>
          <w:b/>
          <w:bCs/>
          <w:lang w:val="fr-FR"/>
        </w:rPr>
      </w:pPr>
    </w:p>
    <w:p w14:paraId="3EDE3D58" w14:textId="18815CBF" w:rsidR="00C72E9B" w:rsidRPr="00A74D23" w:rsidRDefault="00C72E9B" w:rsidP="009D6EE5">
      <w:pPr>
        <w:spacing w:line="22" w:lineRule="atLeast"/>
        <w:jc w:val="both"/>
        <w:rPr>
          <w:rFonts w:asciiTheme="minorHAnsi" w:hAnsiTheme="minorHAnsi" w:cs="Open Sans"/>
          <w:b/>
          <w:bCs/>
          <w:lang w:val="fr-FR"/>
        </w:rPr>
      </w:pPr>
    </w:p>
    <w:p w14:paraId="437E00DF" w14:textId="77777777" w:rsidR="00C72E9B" w:rsidRPr="00A74D23" w:rsidRDefault="00C72E9B" w:rsidP="009D6EE5">
      <w:pPr>
        <w:spacing w:line="22" w:lineRule="atLeast"/>
        <w:jc w:val="both"/>
        <w:rPr>
          <w:rFonts w:asciiTheme="minorHAnsi" w:hAnsiTheme="minorHAnsi" w:cs="Open Sans"/>
          <w:b/>
          <w:bCs/>
          <w:lang w:val="fr-FR"/>
        </w:rPr>
      </w:pPr>
    </w:p>
    <w:p w14:paraId="5CF6B162" w14:textId="02CC39D5" w:rsidR="00C72E9B" w:rsidRPr="00A74D23" w:rsidRDefault="00C72E9B" w:rsidP="009D6EE5">
      <w:pPr>
        <w:spacing w:line="22" w:lineRule="atLeast"/>
        <w:jc w:val="both"/>
        <w:rPr>
          <w:rFonts w:asciiTheme="minorHAnsi" w:hAnsiTheme="minorHAnsi" w:cs="Open Sans"/>
          <w:b/>
          <w:bCs/>
          <w:lang w:val="fr-FR"/>
        </w:rPr>
      </w:pPr>
    </w:p>
    <w:bookmarkEnd w:id="78"/>
    <w:p w14:paraId="163D6988" w14:textId="409EF4C4" w:rsidR="00696B1A" w:rsidRPr="00A74D23" w:rsidRDefault="00696B1A" w:rsidP="009D6EE5">
      <w:pPr>
        <w:spacing w:line="22" w:lineRule="atLeast"/>
        <w:jc w:val="both"/>
        <w:rPr>
          <w:rFonts w:asciiTheme="minorHAnsi" w:hAnsiTheme="minorHAnsi" w:cs="Open Sans"/>
          <w:b/>
          <w:bCs/>
          <w:lang w:val="fr-FR"/>
        </w:rPr>
      </w:pPr>
    </w:p>
    <w:p w14:paraId="01D65110" w14:textId="52866D26" w:rsidR="00696B1A" w:rsidRPr="00A74D23" w:rsidRDefault="00696B1A" w:rsidP="009D6EE5">
      <w:pPr>
        <w:spacing w:line="22" w:lineRule="atLeast"/>
        <w:jc w:val="both"/>
        <w:rPr>
          <w:rFonts w:asciiTheme="minorHAnsi" w:hAnsiTheme="minorHAnsi" w:cs="Open Sans"/>
          <w:b/>
          <w:bCs/>
          <w:lang w:val="fr-FR"/>
        </w:rPr>
      </w:pPr>
    </w:p>
    <w:p w14:paraId="487929C1" w14:textId="10EEE41C" w:rsidR="00696B1A" w:rsidRPr="00A74D23" w:rsidRDefault="00696B1A" w:rsidP="009D6EE5">
      <w:pPr>
        <w:spacing w:line="22" w:lineRule="atLeast"/>
        <w:jc w:val="both"/>
        <w:rPr>
          <w:rFonts w:asciiTheme="minorHAnsi" w:hAnsiTheme="minorHAnsi" w:cs="Open Sans"/>
          <w:b/>
          <w:bCs/>
          <w:lang w:val="fr-FR"/>
        </w:rPr>
      </w:pPr>
    </w:p>
    <w:p w14:paraId="1DBD276B" w14:textId="6CCFC310" w:rsidR="00696B1A" w:rsidRPr="00A74D23" w:rsidRDefault="00696B1A" w:rsidP="009D6EE5">
      <w:pPr>
        <w:spacing w:line="22" w:lineRule="atLeast"/>
        <w:jc w:val="both"/>
        <w:rPr>
          <w:rFonts w:asciiTheme="minorHAnsi" w:hAnsiTheme="minorHAnsi" w:cs="Open Sans"/>
          <w:b/>
          <w:bCs/>
          <w:lang w:val="fr-FR"/>
        </w:rPr>
      </w:pPr>
    </w:p>
    <w:p w14:paraId="54086D3D" w14:textId="77777777" w:rsidR="00696B1A" w:rsidRPr="00A74D23" w:rsidRDefault="00696B1A" w:rsidP="009D6EE5">
      <w:pPr>
        <w:spacing w:line="22" w:lineRule="atLeast"/>
        <w:jc w:val="both"/>
        <w:rPr>
          <w:rFonts w:asciiTheme="minorHAnsi" w:hAnsiTheme="minorHAnsi" w:cs="Open Sans"/>
          <w:b/>
          <w:bCs/>
          <w:lang w:val="fr-FR"/>
        </w:rPr>
      </w:pPr>
    </w:p>
    <w:p w14:paraId="3F6C834A" w14:textId="77777777" w:rsidR="00696B1A" w:rsidRPr="00A74D23" w:rsidRDefault="00696B1A" w:rsidP="009D6EE5">
      <w:pPr>
        <w:spacing w:line="22" w:lineRule="atLeast"/>
        <w:jc w:val="both"/>
        <w:rPr>
          <w:rFonts w:asciiTheme="minorHAnsi" w:hAnsiTheme="minorHAnsi" w:cs="Open Sans"/>
          <w:b/>
          <w:bCs/>
          <w:lang w:val="fr-FR"/>
        </w:rPr>
      </w:pPr>
    </w:p>
    <w:p w14:paraId="242B6F7D" w14:textId="77777777" w:rsidR="00696B1A" w:rsidRPr="00A74D23" w:rsidRDefault="00696B1A" w:rsidP="009D6EE5">
      <w:pPr>
        <w:spacing w:line="22" w:lineRule="atLeast"/>
        <w:jc w:val="both"/>
        <w:rPr>
          <w:rFonts w:asciiTheme="minorHAnsi" w:hAnsiTheme="minorHAnsi" w:cs="Open Sans"/>
          <w:b/>
          <w:bCs/>
          <w:lang w:val="fr-FR"/>
        </w:rPr>
      </w:pPr>
    </w:p>
    <w:p w14:paraId="69766210" w14:textId="77777777" w:rsidR="00696B1A" w:rsidRPr="00A74D23" w:rsidRDefault="00696B1A" w:rsidP="009D6EE5">
      <w:pPr>
        <w:spacing w:line="22" w:lineRule="atLeast"/>
        <w:jc w:val="both"/>
        <w:rPr>
          <w:rFonts w:asciiTheme="minorHAnsi" w:hAnsiTheme="minorHAnsi" w:cs="Open Sans"/>
          <w:b/>
          <w:bCs/>
          <w:lang w:val="fr-FR"/>
        </w:rPr>
      </w:pPr>
    </w:p>
    <w:p w14:paraId="684E00B4" w14:textId="77777777" w:rsidR="0061487F" w:rsidRPr="00A74D23" w:rsidRDefault="0061487F" w:rsidP="009D6EE5">
      <w:pPr>
        <w:spacing w:line="22" w:lineRule="atLeast"/>
        <w:jc w:val="both"/>
        <w:rPr>
          <w:rFonts w:asciiTheme="minorHAnsi" w:hAnsiTheme="minorHAnsi" w:cs="Open Sans"/>
          <w:b/>
          <w:sz w:val="20"/>
          <w:szCs w:val="20"/>
          <w:lang w:val="fr-FR"/>
        </w:rPr>
      </w:pPr>
    </w:p>
    <w:p w14:paraId="4AED2FD7" w14:textId="77777777" w:rsidR="0061487F" w:rsidRPr="00A74D23" w:rsidRDefault="0061487F" w:rsidP="009D6EE5">
      <w:pPr>
        <w:spacing w:line="22" w:lineRule="atLeast"/>
        <w:jc w:val="both"/>
        <w:rPr>
          <w:rFonts w:asciiTheme="minorHAnsi" w:hAnsiTheme="minorHAnsi" w:cs="Open Sans"/>
          <w:b/>
          <w:sz w:val="20"/>
          <w:szCs w:val="20"/>
          <w:lang w:val="fr-FR"/>
        </w:rPr>
      </w:pPr>
    </w:p>
    <w:p w14:paraId="2D0E7D8F" w14:textId="77777777" w:rsidR="0061487F" w:rsidRPr="00A74D23" w:rsidRDefault="0061487F" w:rsidP="009D6EE5">
      <w:pPr>
        <w:spacing w:line="22" w:lineRule="atLeast"/>
        <w:jc w:val="both"/>
        <w:rPr>
          <w:rFonts w:asciiTheme="minorHAnsi" w:hAnsiTheme="minorHAnsi" w:cs="Open Sans"/>
          <w:b/>
          <w:sz w:val="20"/>
          <w:szCs w:val="20"/>
          <w:lang w:val="fr-FR"/>
        </w:rPr>
      </w:pPr>
    </w:p>
    <w:p w14:paraId="4FA7A657" w14:textId="77777777" w:rsidR="00C05130" w:rsidRPr="00A74D23" w:rsidRDefault="00C05130" w:rsidP="009D6EE5">
      <w:pPr>
        <w:spacing w:line="22" w:lineRule="atLeast"/>
        <w:jc w:val="both"/>
        <w:rPr>
          <w:rFonts w:asciiTheme="minorHAnsi" w:hAnsiTheme="minorHAnsi" w:cs="Open Sans"/>
          <w:b/>
          <w:lang w:val="fr-FR"/>
        </w:rPr>
      </w:pPr>
    </w:p>
    <w:p w14:paraId="78F30B37" w14:textId="77777777" w:rsidR="00C05130" w:rsidRPr="00A74D23" w:rsidRDefault="00C05130" w:rsidP="009D6EE5">
      <w:pPr>
        <w:spacing w:line="22" w:lineRule="atLeast"/>
        <w:jc w:val="both"/>
        <w:rPr>
          <w:rFonts w:asciiTheme="minorHAnsi" w:hAnsiTheme="minorHAnsi" w:cs="Open Sans"/>
          <w:b/>
          <w:lang w:val="fr-FR"/>
        </w:rPr>
      </w:pPr>
    </w:p>
    <w:p w14:paraId="13B890E2" w14:textId="64C93545" w:rsidR="00961CDE" w:rsidRPr="00A74D23" w:rsidRDefault="005406B8" w:rsidP="009D6EE5">
      <w:pPr>
        <w:spacing w:line="22" w:lineRule="atLeast"/>
        <w:jc w:val="both"/>
        <w:rPr>
          <w:rFonts w:asciiTheme="minorHAnsi" w:hAnsiTheme="minorHAnsi" w:cs="Open Sans"/>
          <w:b/>
          <w:sz w:val="20"/>
          <w:szCs w:val="20"/>
          <w:lang w:val="fr-FR"/>
        </w:rPr>
      </w:pPr>
      <w:r w:rsidRPr="00A74D23">
        <w:rPr>
          <w:rFonts w:asciiTheme="minorHAnsi" w:hAnsiTheme="minorHAnsi" w:cs="Open Sans"/>
          <w:noProof/>
        </w:rPr>
        <mc:AlternateContent>
          <mc:Choice Requires="wps">
            <w:drawing>
              <wp:anchor distT="0" distB="0" distL="114300" distR="114300" simplePos="0" relativeHeight="251358208" behindDoc="0" locked="0" layoutInCell="1" allowOverlap="1" wp14:anchorId="6F64CD7D" wp14:editId="664A548B">
                <wp:simplePos x="0" y="0"/>
                <wp:positionH relativeFrom="margin">
                  <wp:posOffset>387100</wp:posOffset>
                </wp:positionH>
                <wp:positionV relativeFrom="paragraph">
                  <wp:posOffset>49366</wp:posOffset>
                </wp:positionV>
                <wp:extent cx="5382848" cy="260350"/>
                <wp:effectExtent l="0" t="0" r="8890" b="8890"/>
                <wp:wrapNone/>
                <wp:docPr id="1308496323" name="Rectangle : coins arrondis 1308496323"/>
                <wp:cNvGraphicFramePr/>
                <a:graphic xmlns:a="http://schemas.openxmlformats.org/drawingml/2006/main">
                  <a:graphicData uri="http://schemas.microsoft.com/office/word/2010/wordprocessingShape">
                    <wps:wsp>
                      <wps:cNvSpPr/>
                      <wps:spPr>
                        <a:xfrm>
                          <a:off x="0" y="0"/>
                          <a:ext cx="5382848" cy="260350"/>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57D393" w14:textId="0953BB86" w:rsidR="00156B2D" w:rsidRPr="00474EE1" w:rsidRDefault="0010352F" w:rsidP="00156B2D">
                            <w:pPr>
                              <w:jc w:val="center"/>
                              <w:rPr>
                                <w:b/>
                                <w:bCs/>
                                <w:color w:val="000000" w:themeColor="text1"/>
                                <w:sz w:val="32"/>
                                <w:szCs w:val="32"/>
                                <w:lang w:val="fr-FR"/>
                              </w:rPr>
                            </w:pPr>
                            <w:r w:rsidRPr="00474EE1">
                              <w:rPr>
                                <w:rFonts w:ascii="Source Sans Pro" w:hAnsi="Source Sans Pro"/>
                                <w:b/>
                                <w:bCs/>
                                <w:color w:val="000000" w:themeColor="text1"/>
                                <w:lang w:val="fr-FR"/>
                              </w:rPr>
                              <w:t>Poursuivre la tendance historique de réduction des émissions du portefeuille</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roundrect w14:anchorId="6F64CD7D" id="Rectangle : coins arrondis 1308496323" o:spid="_x0000_s1113" style="position:absolute;left:0;text-align:left;margin-left:30.5pt;margin-top:3.9pt;width:423.85pt;height:20.5pt;z-index:2513582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" fillcolor="#ffc000" stroked="f" strokeweight="1pt">
                <v:stroke joinstyle="miter"/>
                <v:textbox style="mso-fit-shape-to-text:t" inset="2.5mm,1mm,2.5mm,1mm">
                  <w:txbxContent>
                    <w:p w14:paraId="7657D393" w14:textId="0953BB86" w:rsidR="00156B2D" w:rsidRPr="00474EE1" w:rsidRDefault="0010352F" w:rsidP="00156B2D">
                      <w:pPr>
                        <w:jc w:val="center"/>
                        <w:rPr>
                          <w:b/>
                          <w:bCs/>
                          <w:color w:val="000000" w:themeColor="text1"/>
                          <w:sz w:val="32"/>
                          <w:szCs w:val="32"/>
                          <w:lang w:val="fr-FR"/>
                        </w:rPr>
                      </w:pPr>
                      <w:r w:rsidRPr="00474EE1">
                        <w:rPr>
                          <w:rFonts w:ascii="Source Sans Pro" w:hAnsi="Source Sans Pro"/>
                          <w:b/>
                          <w:bCs/>
                          <w:color w:val="000000" w:themeColor="text1"/>
                          <w:lang w:val="fr-FR"/>
                        </w:rPr>
                        <w:t>Poursuivre la tendance historique de réduction des émissions du portefeuille</w:t>
                      </w:r>
                    </w:p>
                  </w:txbxContent>
                </v:textbox>
                <w10:wrap anchorx="margin"/>
              </v:roundrect>
            </w:pict>
          </mc:Fallback>
        </mc:AlternateContent>
      </w:r>
    </w:p>
    <w:p w14:paraId="153100E5" w14:textId="160D7A00" w:rsidR="00961CDE" w:rsidRPr="00A74D23" w:rsidRDefault="00F43EAE" w:rsidP="009D6EE5">
      <w:pPr>
        <w:spacing w:line="22" w:lineRule="atLeast"/>
        <w:jc w:val="both"/>
        <w:rPr>
          <w:rFonts w:asciiTheme="minorHAnsi" w:hAnsiTheme="minorHAnsi" w:cs="Open Sans"/>
          <w:b/>
          <w:sz w:val="20"/>
          <w:szCs w:val="20"/>
          <w:lang w:val="fr-FR"/>
        </w:rPr>
      </w:pPr>
      <w:r w:rsidRPr="00A74D23">
        <w:rPr>
          <w:rFonts w:asciiTheme="minorHAnsi" w:hAnsiTheme="minorHAnsi" w:cs="Open Sans"/>
          <w:noProof/>
        </w:rPr>
        <mc:AlternateContent>
          <mc:Choice Requires="wps">
            <w:drawing>
              <wp:anchor distT="0" distB="0" distL="114300" distR="114300" simplePos="0" relativeHeight="251360256" behindDoc="1" locked="0" layoutInCell="1" allowOverlap="1" wp14:anchorId="7F054720" wp14:editId="4C9A3EC6">
                <wp:simplePos x="0" y="0"/>
                <wp:positionH relativeFrom="margin">
                  <wp:align>left</wp:align>
                </wp:positionH>
                <wp:positionV relativeFrom="paragraph">
                  <wp:posOffset>63336</wp:posOffset>
                </wp:positionV>
                <wp:extent cx="6035040" cy="816678"/>
                <wp:effectExtent l="0" t="0" r="3810" b="2540"/>
                <wp:wrapNone/>
                <wp:docPr id="1249619982" name="Rectangle : coins arrondis 1249619982"/>
                <wp:cNvGraphicFramePr/>
                <a:graphic xmlns:a="http://schemas.openxmlformats.org/drawingml/2006/main">
                  <a:graphicData uri="http://schemas.microsoft.com/office/word/2010/wordprocessingShape">
                    <wps:wsp>
                      <wps:cNvSpPr/>
                      <wps:spPr>
                        <a:xfrm>
                          <a:off x="0" y="0"/>
                          <a:ext cx="6035040" cy="816678"/>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F6A452" w14:textId="5C06A5F5" w:rsidR="00156B2D" w:rsidRPr="005406B8" w:rsidRDefault="003C2098" w:rsidP="00C96BCF">
                            <w:pPr>
                              <w:pStyle w:val="Paragraphedeliste"/>
                              <w:spacing w:after="0" w:line="240" w:lineRule="auto"/>
                              <w:ind w:left="0" w:right="335"/>
                              <w:rPr>
                                <w:color w:val="000000" w:themeColor="text1"/>
                              </w:rPr>
                            </w:pPr>
                            <w:r w:rsidRPr="005406B8">
                              <w:rPr>
                                <w:rFonts w:ascii="Source Sans Pro" w:hAnsi="Source Sans Pro" w:cs="Calibri"/>
                                <w:b/>
                                <w:bCs/>
                                <w:color w:val="000000"/>
                                <w:sz w:val="20"/>
                                <w:szCs w:val="20"/>
                                <w:lang w:eastAsia="fr-FR"/>
                              </w:rPr>
                              <w:t>L’object</w:t>
                            </w:r>
                            <w:r w:rsidR="00BB3847" w:rsidRPr="005406B8">
                              <w:rPr>
                                <w:rFonts w:ascii="Source Sans Pro" w:hAnsi="Source Sans Pro" w:cs="Calibri"/>
                                <w:b/>
                                <w:bCs/>
                                <w:color w:val="000000"/>
                                <w:sz w:val="20"/>
                                <w:szCs w:val="20"/>
                                <w:lang w:eastAsia="fr-FR"/>
                              </w:rPr>
                              <w:t>if de réduction de l’intensité carbone</w:t>
                            </w:r>
                            <w:r w:rsidR="001230D3" w:rsidRPr="005406B8">
                              <w:rPr>
                                <w:rFonts w:ascii="Source Sans Pro" w:hAnsi="Source Sans Pro" w:cs="Calibri"/>
                                <w:color w:val="000000"/>
                                <w:sz w:val="20"/>
                                <w:szCs w:val="20"/>
                                <w:lang w:eastAsia="fr-FR"/>
                              </w:rPr>
                              <w:t xml:space="preserve"> (tCO2e/M€ CA) </w:t>
                            </w:r>
                            <w:r w:rsidR="00A81404" w:rsidRPr="005406B8">
                              <w:rPr>
                                <w:rFonts w:ascii="Source Sans Pro" w:hAnsi="Source Sans Pro" w:cs="Calibri"/>
                                <w:color w:val="000000"/>
                                <w:sz w:val="20"/>
                                <w:szCs w:val="20"/>
                                <w:lang w:eastAsia="fr-FR"/>
                              </w:rPr>
                              <w:t>entre 20</w:t>
                            </w:r>
                            <w:r w:rsidR="006C65B7" w:rsidRPr="005406B8">
                              <w:rPr>
                                <w:rFonts w:ascii="Source Sans Pro" w:hAnsi="Source Sans Pro" w:cs="Calibri"/>
                                <w:color w:val="000000"/>
                                <w:sz w:val="20"/>
                                <w:szCs w:val="20"/>
                                <w:lang w:eastAsia="fr-FR"/>
                              </w:rPr>
                              <w:t>20</w:t>
                            </w:r>
                            <w:r w:rsidR="00A81404" w:rsidRPr="005406B8">
                              <w:rPr>
                                <w:rFonts w:ascii="Source Sans Pro" w:hAnsi="Source Sans Pro" w:cs="Calibri"/>
                                <w:color w:val="000000"/>
                                <w:sz w:val="20"/>
                                <w:szCs w:val="20"/>
                                <w:lang w:eastAsia="fr-FR"/>
                              </w:rPr>
                              <w:t xml:space="preserve"> et 202</w:t>
                            </w:r>
                            <w:r w:rsidR="006C65B7" w:rsidRPr="005406B8">
                              <w:rPr>
                                <w:rFonts w:ascii="Source Sans Pro" w:hAnsi="Source Sans Pro" w:cs="Calibri"/>
                                <w:color w:val="000000"/>
                                <w:sz w:val="20"/>
                                <w:szCs w:val="20"/>
                                <w:lang w:eastAsia="fr-FR"/>
                              </w:rPr>
                              <w:t>5</w:t>
                            </w:r>
                            <w:r w:rsidR="00A81404" w:rsidRPr="005406B8">
                              <w:rPr>
                                <w:rFonts w:ascii="Source Sans Pro" w:hAnsi="Source Sans Pro" w:cs="Calibri"/>
                                <w:color w:val="000000"/>
                                <w:sz w:val="20"/>
                                <w:szCs w:val="20"/>
                                <w:lang w:eastAsia="fr-FR"/>
                              </w:rPr>
                              <w:t xml:space="preserve"> (-25%) a été </w:t>
                            </w:r>
                            <w:r w:rsidR="00A81404" w:rsidRPr="005406B8">
                              <w:rPr>
                                <w:rFonts w:ascii="Source Sans Pro" w:hAnsi="Source Sans Pro" w:cs="Calibri"/>
                                <w:b/>
                                <w:bCs/>
                                <w:color w:val="000000"/>
                                <w:sz w:val="20"/>
                                <w:szCs w:val="20"/>
                                <w:lang w:eastAsia="fr-FR"/>
                              </w:rPr>
                              <w:t>largement atteint</w:t>
                            </w:r>
                            <w:r w:rsidR="00A81404" w:rsidRPr="005406B8">
                              <w:rPr>
                                <w:rFonts w:ascii="Source Sans Pro" w:hAnsi="Source Sans Pro" w:cs="Calibri"/>
                                <w:color w:val="000000"/>
                                <w:sz w:val="20"/>
                                <w:szCs w:val="20"/>
                                <w:lang w:eastAsia="fr-FR"/>
                              </w:rPr>
                              <w:t xml:space="preserve"> (-54%) grâce à la mobilisation de plusieurs leviers et des outils adaptés. Nous </w:t>
                            </w:r>
                            <w:r w:rsidR="00C96BCF" w:rsidRPr="005406B8">
                              <w:rPr>
                                <w:rFonts w:ascii="Source Sans Pro" w:hAnsi="Source Sans Pro" w:cs="Calibri"/>
                                <w:color w:val="000000"/>
                                <w:sz w:val="20"/>
                                <w:szCs w:val="20"/>
                                <w:lang w:eastAsia="fr-FR"/>
                              </w:rPr>
                              <w:t xml:space="preserve">continuerons de poursuivre cette dynamique positive pour </w:t>
                            </w:r>
                            <w:r w:rsidR="00407AB3" w:rsidRPr="005406B8">
                              <w:rPr>
                                <w:rFonts w:ascii="Source Sans Pro" w:hAnsi="Source Sans Pro" w:cs="Calibri"/>
                                <w:color w:val="000000"/>
                                <w:sz w:val="20"/>
                                <w:szCs w:val="20"/>
                                <w:lang w:eastAsia="fr-FR"/>
                              </w:rPr>
                              <w:t xml:space="preserve">atteindre </w:t>
                            </w:r>
                            <w:r w:rsidR="00C96BCF" w:rsidRPr="005406B8">
                              <w:rPr>
                                <w:rFonts w:ascii="Source Sans Pro" w:hAnsi="Source Sans Pro" w:cs="Calibri"/>
                                <w:color w:val="000000"/>
                                <w:sz w:val="20"/>
                                <w:szCs w:val="20"/>
                                <w:lang w:eastAsia="fr-FR"/>
                              </w:rPr>
                              <w:t>nos objectifs 2030.</w:t>
                            </w:r>
                          </w:p>
                        </w:txbxContent>
                      </wps:txbx>
                      <wps:bodyPr rot="0" spcFirstLastPara="0" vertOverflow="overflow" horzOverflow="overflow" vert="horz" wrap="square" lIns="180000" tIns="72000" rIns="180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054720" id="Rectangle : coins arrondis 1249619982" o:spid="_x0000_s1114" style="position:absolute;left:0;text-align:left;margin-left:0;margin-top:5pt;width:475.2pt;height:64.3pt;z-index:-251956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" fillcolor="#d8d8d8 [2732]" stroked="f" strokeweight="1pt">
                <v:stroke joinstyle="miter"/>
                <v:textbox inset="5mm,2mm,5mm,1mm">
                  <w:txbxContent>
                    <w:p w14:paraId="17F6A452" w14:textId="5C06A5F5" w:rsidR="00156B2D" w:rsidRPr="005406B8" w:rsidRDefault="003C2098" w:rsidP="00C96BCF">
                      <w:pPr>
                        <w:pStyle w:val="Paragraphedeliste"/>
                        <w:spacing w:after="0" w:line="240" w:lineRule="auto"/>
                        <w:ind w:left="0" w:right="335"/>
                        <w:rPr>
                          <w:color w:val="000000" w:themeColor="text1"/>
                        </w:rPr>
                      </w:pPr>
                      <w:r w:rsidRPr="005406B8">
                        <w:rPr>
                          <w:rFonts w:ascii="Source Sans Pro" w:hAnsi="Source Sans Pro" w:cs="Calibri"/>
                          <w:b/>
                          <w:bCs/>
                          <w:color w:val="000000"/>
                          <w:sz w:val="20"/>
                          <w:szCs w:val="20"/>
                          <w:lang w:eastAsia="fr-FR"/>
                        </w:rPr>
                        <w:t>L’object</w:t>
                      </w:r>
                      <w:r w:rsidR="00BB3847" w:rsidRPr="005406B8">
                        <w:rPr>
                          <w:rFonts w:ascii="Source Sans Pro" w:hAnsi="Source Sans Pro" w:cs="Calibri"/>
                          <w:b/>
                          <w:bCs/>
                          <w:color w:val="000000"/>
                          <w:sz w:val="20"/>
                          <w:szCs w:val="20"/>
                          <w:lang w:eastAsia="fr-FR"/>
                        </w:rPr>
                        <w:t>if de réduction de l’intensité carbone</w:t>
                      </w:r>
                      <w:r w:rsidR="001230D3" w:rsidRPr="005406B8">
                        <w:rPr>
                          <w:rFonts w:ascii="Source Sans Pro" w:hAnsi="Source Sans Pro" w:cs="Calibri"/>
                          <w:color w:val="000000"/>
                          <w:sz w:val="20"/>
                          <w:szCs w:val="20"/>
                          <w:lang w:eastAsia="fr-FR"/>
                        </w:rPr>
                        <w:t xml:space="preserve"> (tCO2e/M€ CA) </w:t>
                      </w:r>
                      <w:r w:rsidR="00A81404" w:rsidRPr="005406B8">
                        <w:rPr>
                          <w:rFonts w:ascii="Source Sans Pro" w:hAnsi="Source Sans Pro" w:cs="Calibri"/>
                          <w:color w:val="000000"/>
                          <w:sz w:val="20"/>
                          <w:szCs w:val="20"/>
                          <w:lang w:eastAsia="fr-FR"/>
                        </w:rPr>
                        <w:t>entre 20</w:t>
                      </w:r>
                      <w:r w:rsidR="006C65B7" w:rsidRPr="005406B8">
                        <w:rPr>
                          <w:rFonts w:ascii="Source Sans Pro" w:hAnsi="Source Sans Pro" w:cs="Calibri"/>
                          <w:color w:val="000000"/>
                          <w:sz w:val="20"/>
                          <w:szCs w:val="20"/>
                          <w:lang w:eastAsia="fr-FR"/>
                        </w:rPr>
                        <w:t>20</w:t>
                      </w:r>
                      <w:r w:rsidR="00A81404" w:rsidRPr="005406B8">
                        <w:rPr>
                          <w:rFonts w:ascii="Source Sans Pro" w:hAnsi="Source Sans Pro" w:cs="Calibri"/>
                          <w:color w:val="000000"/>
                          <w:sz w:val="20"/>
                          <w:szCs w:val="20"/>
                          <w:lang w:eastAsia="fr-FR"/>
                        </w:rPr>
                        <w:t xml:space="preserve"> et 202</w:t>
                      </w:r>
                      <w:r w:rsidR="006C65B7" w:rsidRPr="005406B8">
                        <w:rPr>
                          <w:rFonts w:ascii="Source Sans Pro" w:hAnsi="Source Sans Pro" w:cs="Calibri"/>
                          <w:color w:val="000000"/>
                          <w:sz w:val="20"/>
                          <w:szCs w:val="20"/>
                          <w:lang w:eastAsia="fr-FR"/>
                        </w:rPr>
                        <w:t>5</w:t>
                      </w:r>
                      <w:r w:rsidR="00A81404" w:rsidRPr="005406B8">
                        <w:rPr>
                          <w:rFonts w:ascii="Source Sans Pro" w:hAnsi="Source Sans Pro" w:cs="Calibri"/>
                          <w:color w:val="000000"/>
                          <w:sz w:val="20"/>
                          <w:szCs w:val="20"/>
                          <w:lang w:eastAsia="fr-FR"/>
                        </w:rPr>
                        <w:t xml:space="preserve"> (-25%) a été </w:t>
                      </w:r>
                      <w:r w:rsidR="00A81404" w:rsidRPr="005406B8">
                        <w:rPr>
                          <w:rFonts w:ascii="Source Sans Pro" w:hAnsi="Source Sans Pro" w:cs="Calibri"/>
                          <w:b/>
                          <w:bCs/>
                          <w:color w:val="000000"/>
                          <w:sz w:val="20"/>
                          <w:szCs w:val="20"/>
                          <w:lang w:eastAsia="fr-FR"/>
                        </w:rPr>
                        <w:t>largement atteint</w:t>
                      </w:r>
                      <w:r w:rsidR="00A81404" w:rsidRPr="005406B8">
                        <w:rPr>
                          <w:rFonts w:ascii="Source Sans Pro" w:hAnsi="Source Sans Pro" w:cs="Calibri"/>
                          <w:color w:val="000000"/>
                          <w:sz w:val="20"/>
                          <w:szCs w:val="20"/>
                          <w:lang w:eastAsia="fr-FR"/>
                        </w:rPr>
                        <w:t xml:space="preserve"> (-54%) grâce à la mobilisation de plusieurs leviers et des outils adaptés. Nous </w:t>
                      </w:r>
                      <w:r w:rsidR="00C96BCF" w:rsidRPr="005406B8">
                        <w:rPr>
                          <w:rFonts w:ascii="Source Sans Pro" w:hAnsi="Source Sans Pro" w:cs="Calibri"/>
                          <w:color w:val="000000"/>
                          <w:sz w:val="20"/>
                          <w:szCs w:val="20"/>
                          <w:lang w:eastAsia="fr-FR"/>
                        </w:rPr>
                        <w:t xml:space="preserve">continuerons de poursuivre cette dynamique positive pour </w:t>
                      </w:r>
                      <w:r w:rsidR="00407AB3" w:rsidRPr="005406B8">
                        <w:rPr>
                          <w:rFonts w:ascii="Source Sans Pro" w:hAnsi="Source Sans Pro" w:cs="Calibri"/>
                          <w:color w:val="000000"/>
                          <w:sz w:val="20"/>
                          <w:szCs w:val="20"/>
                          <w:lang w:eastAsia="fr-FR"/>
                        </w:rPr>
                        <w:t xml:space="preserve">atteindre </w:t>
                      </w:r>
                      <w:r w:rsidR="00C96BCF" w:rsidRPr="005406B8">
                        <w:rPr>
                          <w:rFonts w:ascii="Source Sans Pro" w:hAnsi="Source Sans Pro" w:cs="Calibri"/>
                          <w:color w:val="000000"/>
                          <w:sz w:val="20"/>
                          <w:szCs w:val="20"/>
                          <w:lang w:eastAsia="fr-FR"/>
                        </w:rPr>
                        <w:t>nos objectifs 2030.</w:t>
                      </w:r>
                    </w:p>
                  </w:txbxContent>
                </v:textbox>
                <w10:wrap anchorx="margin"/>
              </v:roundrect>
            </w:pict>
          </mc:Fallback>
        </mc:AlternateContent>
      </w:r>
    </w:p>
    <w:p w14:paraId="46E9FEAE" w14:textId="77777777" w:rsidR="00961CDE" w:rsidRPr="00A74D23" w:rsidRDefault="00961CDE" w:rsidP="009D6EE5">
      <w:pPr>
        <w:spacing w:line="22" w:lineRule="atLeast"/>
        <w:jc w:val="both"/>
        <w:rPr>
          <w:rFonts w:asciiTheme="minorHAnsi" w:hAnsiTheme="minorHAnsi" w:cs="Open Sans"/>
          <w:b/>
          <w:sz w:val="20"/>
          <w:szCs w:val="20"/>
          <w:lang w:val="fr-FR"/>
        </w:rPr>
      </w:pPr>
    </w:p>
    <w:p w14:paraId="205335C0" w14:textId="0B808A67" w:rsidR="00D05362" w:rsidRPr="00A74D23" w:rsidRDefault="00D05362" w:rsidP="009D6EE5">
      <w:pPr>
        <w:spacing w:line="22" w:lineRule="atLeast"/>
        <w:jc w:val="both"/>
        <w:rPr>
          <w:rFonts w:asciiTheme="minorHAnsi" w:hAnsiTheme="minorHAnsi" w:cs="Open Sans"/>
          <w:b/>
          <w:sz w:val="20"/>
          <w:szCs w:val="20"/>
          <w:lang w:val="fr-FR"/>
        </w:rPr>
      </w:pPr>
    </w:p>
    <w:p w14:paraId="5C0E45BB" w14:textId="77777777" w:rsidR="00A735A9" w:rsidRPr="00A74D23" w:rsidRDefault="00A735A9" w:rsidP="009D6EE5">
      <w:pPr>
        <w:spacing w:line="22" w:lineRule="atLeast"/>
        <w:jc w:val="both"/>
        <w:rPr>
          <w:rFonts w:asciiTheme="minorHAnsi" w:hAnsiTheme="minorHAnsi" w:cs="Open Sans"/>
          <w:sz w:val="20"/>
          <w:szCs w:val="20"/>
          <w:lang w:val="fr-FR"/>
        </w:rPr>
      </w:pPr>
    </w:p>
    <w:p w14:paraId="5C0DCE9B" w14:textId="77777777" w:rsidR="00A735A9" w:rsidRPr="00A74D23" w:rsidRDefault="00A735A9" w:rsidP="009D6EE5">
      <w:pPr>
        <w:spacing w:line="22" w:lineRule="atLeast"/>
        <w:jc w:val="both"/>
        <w:rPr>
          <w:rFonts w:asciiTheme="minorHAnsi" w:hAnsiTheme="minorHAnsi" w:cs="Open Sans"/>
          <w:b/>
          <w:sz w:val="20"/>
          <w:szCs w:val="20"/>
          <w:lang w:val="fr-FR"/>
        </w:rPr>
      </w:pPr>
    </w:p>
    <w:p w14:paraId="48215F72" w14:textId="77777777" w:rsidR="00C72E9B" w:rsidRPr="00A74D23" w:rsidRDefault="00C72E9B" w:rsidP="009D6EE5">
      <w:pPr>
        <w:spacing w:line="22" w:lineRule="atLeast"/>
        <w:jc w:val="both"/>
        <w:rPr>
          <w:rFonts w:asciiTheme="minorHAnsi" w:hAnsiTheme="minorHAnsi" w:cs="Open Sans"/>
          <w:bCs/>
          <w:lang w:val="fr-FR"/>
        </w:rPr>
      </w:pPr>
    </w:p>
    <w:p w14:paraId="797D3F84" w14:textId="43576298" w:rsidR="00A735A9" w:rsidRPr="00A74D23" w:rsidRDefault="00A735A9" w:rsidP="009D6EE5">
      <w:pPr>
        <w:spacing w:line="22" w:lineRule="atLeast"/>
        <w:jc w:val="both"/>
        <w:rPr>
          <w:rFonts w:asciiTheme="minorHAnsi" w:hAnsiTheme="minorHAnsi" w:cs="Open Sans"/>
          <w:bCs/>
          <w:sz w:val="20"/>
          <w:szCs w:val="20"/>
          <w:lang w:val="fr-FR"/>
        </w:rPr>
      </w:pPr>
      <w:r w:rsidRPr="00A74D23">
        <w:rPr>
          <w:rFonts w:asciiTheme="minorHAnsi" w:hAnsiTheme="minorHAnsi" w:cs="Open Sans"/>
          <w:bCs/>
          <w:sz w:val="20"/>
          <w:szCs w:val="20"/>
          <w:lang w:val="fr-FR"/>
        </w:rPr>
        <w:t>De nombreuses actions ont été menées en 2025 dans le but de renforcer les objectifs de décarbonation :</w:t>
      </w:r>
    </w:p>
    <w:p w14:paraId="31119D6F" w14:textId="7CC44366" w:rsidR="00A735A9" w:rsidRPr="00A74D23" w:rsidRDefault="00A735A9" w:rsidP="00590DD1">
      <w:pPr>
        <w:pStyle w:val="Paragraphedeliste"/>
        <w:numPr>
          <w:ilvl w:val="0"/>
          <w:numId w:val="87"/>
        </w:numPr>
        <w:spacing w:after="120" w:line="22" w:lineRule="atLeast"/>
        <w:ind w:left="426" w:hanging="357"/>
        <w:contextualSpacing w:val="0"/>
        <w:jc w:val="both"/>
        <w:rPr>
          <w:rFonts w:cs="Open Sans"/>
          <w:bCs/>
          <w:sz w:val="20"/>
          <w:szCs w:val="20"/>
        </w:rPr>
      </w:pPr>
      <w:r w:rsidRPr="00A74D23">
        <w:rPr>
          <w:rFonts w:cs="Open Sans"/>
          <w:b/>
          <w:sz w:val="20"/>
          <w:szCs w:val="20"/>
        </w:rPr>
        <w:t>Sur les obligations souveraines :</w:t>
      </w:r>
      <w:r w:rsidRPr="00A74D23">
        <w:rPr>
          <w:rFonts w:cs="Open Sans"/>
          <w:bCs/>
          <w:sz w:val="20"/>
          <w:szCs w:val="20"/>
        </w:rPr>
        <w:t xml:space="preserve"> Nous avons lancé l’analyse ASCOR pour évaluer la crédibilité des engagements climatiques des États présents en portefeuille. En ligne avec le protocole NZAOA, nous suivons désormais l’« ASCOR Improvement Score » afin de piloter dynamiquement leur trajectoire de transition »</w:t>
      </w:r>
      <w:r w:rsidRPr="00A74D23">
        <w:rPr>
          <w:rStyle w:val="Appelnotedebasdep"/>
          <w:rFonts w:cs="Open Sans"/>
          <w:bCs/>
          <w:sz w:val="20"/>
          <w:szCs w:val="20"/>
        </w:rPr>
        <w:footnoteReference w:id="9"/>
      </w:r>
    </w:p>
    <w:p w14:paraId="0BD16C11" w14:textId="26F8ADA0" w:rsidR="00A735A9" w:rsidRPr="00A74D23" w:rsidRDefault="00A735A9" w:rsidP="00590DD1">
      <w:pPr>
        <w:pStyle w:val="Paragraphedeliste"/>
        <w:numPr>
          <w:ilvl w:val="0"/>
          <w:numId w:val="87"/>
        </w:numPr>
        <w:spacing w:line="22" w:lineRule="atLeast"/>
        <w:ind w:left="426"/>
        <w:jc w:val="both"/>
        <w:rPr>
          <w:rFonts w:cs="Open Sans"/>
          <w:b/>
          <w:sz w:val="20"/>
          <w:szCs w:val="20"/>
        </w:rPr>
      </w:pPr>
      <w:r w:rsidRPr="00A74D23">
        <w:rPr>
          <w:rFonts w:cs="Open Sans"/>
          <w:b/>
          <w:sz w:val="20"/>
          <w:szCs w:val="20"/>
        </w:rPr>
        <w:t xml:space="preserve">Sur le portefeuille corporate : </w:t>
      </w:r>
      <w:r w:rsidRPr="00A74D23">
        <w:rPr>
          <w:rFonts w:cs="Open Sans"/>
          <w:bCs/>
          <w:sz w:val="20"/>
          <w:szCs w:val="20"/>
        </w:rPr>
        <w:t>Nous suivons l’exposition du portefeuille aux différentes catégories NZIF (Net Zero, Aligned, Aligning, Not aligning). Cette approche est cohérente avec l’introduction des objectifs de transition dans la 5e édition du protocole NZAOA.</w:t>
      </w:r>
    </w:p>
    <w:p w14:paraId="51D585EF" w14:textId="5855F23B" w:rsidR="00A735A9" w:rsidRPr="00A74D23" w:rsidRDefault="00A735A9" w:rsidP="009D6EE5">
      <w:pPr>
        <w:spacing w:line="22" w:lineRule="atLeast"/>
        <w:jc w:val="both"/>
        <w:rPr>
          <w:rFonts w:asciiTheme="minorHAnsi" w:hAnsiTheme="minorHAnsi" w:cs="Open Sans"/>
          <w:sz w:val="20"/>
          <w:szCs w:val="20"/>
          <w:lang w:val="fr-FR"/>
        </w:rPr>
      </w:pPr>
    </w:p>
    <w:p w14:paraId="5758F2BA" w14:textId="0D520820" w:rsidR="00A735A9" w:rsidRPr="00A74D23" w:rsidRDefault="00495963" w:rsidP="009D6EE5">
      <w:pPr>
        <w:spacing w:line="22" w:lineRule="atLeast"/>
        <w:jc w:val="both"/>
        <w:rPr>
          <w:rFonts w:asciiTheme="minorHAnsi" w:hAnsiTheme="minorHAnsi" w:cs="Open Sans"/>
          <w:sz w:val="20"/>
          <w:szCs w:val="20"/>
          <w:lang w:val="fr-FR"/>
        </w:rPr>
      </w:pPr>
      <w:r w:rsidRPr="00A74D23">
        <w:rPr>
          <w:rFonts w:asciiTheme="minorHAnsi" w:hAnsiTheme="minorHAnsi" w:cs="Open Sans"/>
          <w:noProof/>
        </w:rPr>
        <mc:AlternateContent>
          <mc:Choice Requires="wps">
            <w:drawing>
              <wp:anchor distT="0" distB="0" distL="114300" distR="114300" simplePos="0" relativeHeight="251362304" behindDoc="0" locked="0" layoutInCell="1" allowOverlap="1" wp14:anchorId="52BFE3EB" wp14:editId="7D26C558">
                <wp:simplePos x="0" y="0"/>
                <wp:positionH relativeFrom="margin">
                  <wp:posOffset>1842301</wp:posOffset>
                </wp:positionH>
                <wp:positionV relativeFrom="paragraph">
                  <wp:posOffset>10905</wp:posOffset>
                </wp:positionV>
                <wp:extent cx="2505710" cy="258804"/>
                <wp:effectExtent l="0" t="0" r="8890" b="8255"/>
                <wp:wrapNone/>
                <wp:docPr id="805308123" name="Rectangle : coins arrondis 805308123"/>
                <wp:cNvGraphicFramePr/>
                <a:graphic xmlns:a="http://schemas.openxmlformats.org/drawingml/2006/main">
                  <a:graphicData uri="http://schemas.microsoft.com/office/word/2010/wordprocessingShape">
                    <wps:wsp>
                      <wps:cNvSpPr/>
                      <wps:spPr>
                        <a:xfrm>
                          <a:off x="0" y="0"/>
                          <a:ext cx="2505710" cy="258804"/>
                        </a:xfrm>
                        <a:prstGeom prst="roundRect">
                          <a:avLst>
                            <a:gd name="adj" fmla="val 0"/>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157EEE" w14:textId="6525ABAC" w:rsidR="00407AB3" w:rsidRPr="003074B6" w:rsidRDefault="00407AB3" w:rsidP="00C72E9B">
                            <w:pPr>
                              <w:jc w:val="center"/>
                              <w:rPr>
                                <w:b/>
                                <w:bCs/>
                                <w:sz w:val="32"/>
                                <w:szCs w:val="32"/>
                              </w:rPr>
                            </w:pPr>
                            <w:r w:rsidRPr="003074B6">
                              <w:rPr>
                                <w:rFonts w:ascii="Source Sans Pro" w:hAnsi="Source Sans Pro"/>
                                <w:b/>
                                <w:bCs/>
                              </w:rPr>
                              <w:t>Plan d’amélioration 2026</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BFE3EB" id="Rectangle : coins arrondis 805308123" o:spid="_x0000_s1115" style="position:absolute;left:0;text-align:left;margin-left:145.05pt;margin-top:.85pt;width:197.3pt;height:20.4pt;z-index:25136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" fillcolor="#8a2c24 [3205]" stroked="f" strokeweight="1pt">
                <v:stroke joinstyle="miter"/>
                <v:textbox inset="2.5mm,1mm,2.5mm,1mm">
                  <w:txbxContent>
                    <w:p w14:paraId="20157EEE" w14:textId="6525ABAC" w:rsidR="00407AB3" w:rsidRPr="003074B6" w:rsidRDefault="00407AB3" w:rsidP="00C72E9B">
                      <w:pPr>
                        <w:jc w:val="center"/>
                        <w:rPr>
                          <w:b/>
                          <w:bCs/>
                          <w:sz w:val="32"/>
                          <w:szCs w:val="32"/>
                        </w:rPr>
                      </w:pPr>
                      <w:r w:rsidRPr="003074B6">
                        <w:rPr>
                          <w:rFonts w:ascii="Source Sans Pro" w:hAnsi="Source Sans Pro"/>
                          <w:b/>
                          <w:bCs/>
                        </w:rPr>
                        <w:t>Plan d’amélioration 2026</w:t>
                      </w:r>
                    </w:p>
                  </w:txbxContent>
                </v:textbox>
                <w10:wrap anchorx="margin"/>
              </v:roundrect>
            </w:pict>
          </mc:Fallback>
        </mc:AlternateContent>
      </w:r>
      <w:r w:rsidR="00D5131F" w:rsidRPr="00A74D23">
        <w:rPr>
          <w:rFonts w:asciiTheme="minorHAnsi" w:hAnsiTheme="minorHAnsi" w:cs="Open Sans"/>
          <w:noProof/>
        </w:rPr>
        <mc:AlternateContent>
          <mc:Choice Requires="wps">
            <w:drawing>
              <wp:anchor distT="0" distB="0" distL="114300" distR="114300" simplePos="0" relativeHeight="251364352" behindDoc="1" locked="0" layoutInCell="1" allowOverlap="1" wp14:anchorId="221FC573" wp14:editId="0FE23A40">
                <wp:simplePos x="0" y="0"/>
                <wp:positionH relativeFrom="margin">
                  <wp:align>left</wp:align>
                </wp:positionH>
                <wp:positionV relativeFrom="paragraph">
                  <wp:posOffset>123414</wp:posOffset>
                </wp:positionV>
                <wp:extent cx="6035040" cy="914400"/>
                <wp:effectExtent l="0" t="0" r="3810" b="0"/>
                <wp:wrapNone/>
                <wp:docPr id="1368524137" name="Rectangle : coins arrondis 1368524137"/>
                <wp:cNvGraphicFramePr/>
                <a:graphic xmlns:a="http://schemas.openxmlformats.org/drawingml/2006/main">
                  <a:graphicData uri="http://schemas.microsoft.com/office/word/2010/wordprocessingShape">
                    <wps:wsp>
                      <wps:cNvSpPr/>
                      <wps:spPr>
                        <a:xfrm>
                          <a:off x="0" y="0"/>
                          <a:ext cx="6035040" cy="914400"/>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E6AC89" w14:textId="4D467225" w:rsidR="00E709B2" w:rsidRPr="00C72E9B" w:rsidRDefault="00F81AEF" w:rsidP="00590DD1">
                            <w:pPr>
                              <w:pStyle w:val="Paragraphedeliste"/>
                              <w:numPr>
                                <w:ilvl w:val="0"/>
                                <w:numId w:val="88"/>
                              </w:numPr>
                              <w:spacing w:after="0" w:line="240" w:lineRule="auto"/>
                              <w:ind w:left="284" w:right="335"/>
                              <w:rPr>
                                <w:rFonts w:ascii="Source Sans Pro" w:hAnsi="Source Sans Pro" w:cs="Calibri"/>
                                <w:color w:val="000000"/>
                                <w:sz w:val="18"/>
                                <w:szCs w:val="18"/>
                                <w:lang w:eastAsia="fr-FR"/>
                              </w:rPr>
                            </w:pPr>
                            <w:r w:rsidRPr="0035424F">
                              <w:rPr>
                                <w:rFonts w:ascii="Source Sans Pro" w:hAnsi="Source Sans Pro" w:cs="Calibri"/>
                                <w:color w:val="000000"/>
                                <w:sz w:val="20"/>
                                <w:szCs w:val="20"/>
                                <w:lang w:eastAsia="fr-FR"/>
                              </w:rPr>
                              <w:t>En 202</w:t>
                            </w:r>
                            <w:r w:rsidR="00D5131F">
                              <w:rPr>
                                <w:rFonts w:ascii="Source Sans Pro" w:hAnsi="Source Sans Pro" w:cs="Calibri"/>
                                <w:color w:val="000000"/>
                                <w:sz w:val="20"/>
                                <w:szCs w:val="20"/>
                                <w:lang w:eastAsia="fr-FR"/>
                              </w:rPr>
                              <w:t>6</w:t>
                            </w:r>
                            <w:r w:rsidRPr="0035424F">
                              <w:rPr>
                                <w:rFonts w:ascii="Source Sans Pro" w:hAnsi="Source Sans Pro" w:cs="Calibri"/>
                                <w:color w:val="000000"/>
                                <w:sz w:val="20"/>
                                <w:szCs w:val="20"/>
                                <w:lang w:eastAsia="fr-FR"/>
                              </w:rPr>
                              <w:t>, nous</w:t>
                            </w:r>
                            <w:r w:rsidR="00E709B2" w:rsidRPr="0035424F">
                              <w:rPr>
                                <w:rFonts w:ascii="Source Sans Pro" w:hAnsi="Source Sans Pro" w:cs="Calibri"/>
                                <w:color w:val="000000"/>
                                <w:sz w:val="20"/>
                                <w:szCs w:val="20"/>
                                <w:lang w:eastAsia="fr-FR"/>
                              </w:rPr>
                              <w:t xml:space="preserve"> travaillerons sur la possibilité de décliner l’objectif de réduction des émissions au niveau des secteurs d’activité en lien avec les scénarios de l’Agence Internationale de l’Energie (AIE) et le protocole de la Net Zero Asset Owner Alliance (NZAOA)</w:t>
                            </w:r>
                            <w:r w:rsidR="008A01E8" w:rsidRPr="0035424F">
                              <w:rPr>
                                <w:rFonts w:ascii="Source Sans Pro" w:hAnsi="Source Sans Pro" w:cs="Calibri"/>
                                <w:color w:val="000000"/>
                                <w:sz w:val="20"/>
                                <w:szCs w:val="20"/>
                                <w:lang w:eastAsia="fr-FR"/>
                              </w:rPr>
                              <w:t>, ainsi que sur le recensement des stratégies d’alignement climatique des sociétés de gestion</w:t>
                            </w:r>
                            <w:r w:rsidR="008A01E8" w:rsidRPr="00C72E9B">
                              <w:rPr>
                                <w:rFonts w:ascii="Source Sans Pro" w:hAnsi="Source Sans Pro" w:cs="Calibri"/>
                                <w:color w:val="000000"/>
                                <w:sz w:val="18"/>
                                <w:szCs w:val="18"/>
                                <w:lang w:eastAsia="fr-FR"/>
                              </w:rPr>
                              <w:t>.</w:t>
                            </w:r>
                          </w:p>
                        </w:txbxContent>
                      </wps:txbx>
                      <wps:bodyPr rot="0" spcFirstLastPara="0" vertOverflow="overflow" horzOverflow="overflow" vert="horz" wrap="square" lIns="180000" tIns="72000" rIns="180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1FC573" id="Rectangle : coins arrondis 1368524137" o:spid="_x0000_s1116" style="position:absolute;left:0;text-align:left;margin-left:0;margin-top:9.7pt;width:475.2pt;height:1in;z-index:-251952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" fillcolor="#d8d8d8 [2732]" stroked="f" strokeweight="1pt">
                <v:stroke joinstyle="miter"/>
                <v:textbox inset="5mm,2mm,5mm,1mm">
                  <w:txbxContent>
                    <w:p w14:paraId="23E6AC89" w14:textId="4D467225" w:rsidR="00E709B2" w:rsidRPr="00C72E9B" w:rsidRDefault="00F81AEF" w:rsidP="00590DD1">
                      <w:pPr>
                        <w:pStyle w:val="Paragraphedeliste"/>
                        <w:numPr>
                          <w:ilvl w:val="0"/>
                          <w:numId w:val="88"/>
                        </w:numPr>
                        <w:spacing w:after="0" w:line="240" w:lineRule="auto"/>
                        <w:ind w:left="284" w:right="335"/>
                        <w:rPr>
                          <w:rFonts w:ascii="Source Sans Pro" w:hAnsi="Source Sans Pro" w:cs="Calibri"/>
                          <w:color w:val="000000"/>
                          <w:sz w:val="18"/>
                          <w:szCs w:val="18"/>
                          <w:lang w:eastAsia="fr-FR"/>
                        </w:rPr>
                      </w:pPr>
                      <w:r w:rsidRPr="0035424F">
                        <w:rPr>
                          <w:rFonts w:ascii="Source Sans Pro" w:hAnsi="Source Sans Pro" w:cs="Calibri"/>
                          <w:color w:val="000000"/>
                          <w:sz w:val="20"/>
                          <w:szCs w:val="20"/>
                          <w:lang w:eastAsia="fr-FR"/>
                        </w:rPr>
                        <w:t>En 202</w:t>
                      </w:r>
                      <w:r w:rsidR="00D5131F">
                        <w:rPr>
                          <w:rFonts w:ascii="Source Sans Pro" w:hAnsi="Source Sans Pro" w:cs="Calibri"/>
                          <w:color w:val="000000"/>
                          <w:sz w:val="20"/>
                          <w:szCs w:val="20"/>
                          <w:lang w:eastAsia="fr-FR"/>
                        </w:rPr>
                        <w:t>6</w:t>
                      </w:r>
                      <w:r w:rsidRPr="0035424F">
                        <w:rPr>
                          <w:rFonts w:ascii="Source Sans Pro" w:hAnsi="Source Sans Pro" w:cs="Calibri"/>
                          <w:color w:val="000000"/>
                          <w:sz w:val="20"/>
                          <w:szCs w:val="20"/>
                          <w:lang w:eastAsia="fr-FR"/>
                        </w:rPr>
                        <w:t>, nous</w:t>
                      </w:r>
                      <w:r w:rsidR="00E709B2" w:rsidRPr="0035424F">
                        <w:rPr>
                          <w:rFonts w:ascii="Source Sans Pro" w:hAnsi="Source Sans Pro" w:cs="Calibri"/>
                          <w:color w:val="000000"/>
                          <w:sz w:val="20"/>
                          <w:szCs w:val="20"/>
                          <w:lang w:eastAsia="fr-FR"/>
                        </w:rPr>
                        <w:t xml:space="preserve"> travaillerons sur la possibilité de décliner l’objectif de réduction des émissions au niveau des secteurs d’activité en lien avec les scénarios de l’Agence Internationale de l’Energie (AIE) et le protocole de la Net Zero Asset Owner Alliance (NZAOA)</w:t>
                      </w:r>
                      <w:r w:rsidR="008A01E8" w:rsidRPr="0035424F">
                        <w:rPr>
                          <w:rFonts w:ascii="Source Sans Pro" w:hAnsi="Source Sans Pro" w:cs="Calibri"/>
                          <w:color w:val="000000"/>
                          <w:sz w:val="20"/>
                          <w:szCs w:val="20"/>
                          <w:lang w:eastAsia="fr-FR"/>
                        </w:rPr>
                        <w:t>, ainsi que sur le recensement des stratégies d’alignement climatique des sociétés de gestion</w:t>
                      </w:r>
                      <w:r w:rsidR="008A01E8" w:rsidRPr="00C72E9B">
                        <w:rPr>
                          <w:rFonts w:ascii="Source Sans Pro" w:hAnsi="Source Sans Pro" w:cs="Calibri"/>
                          <w:color w:val="000000"/>
                          <w:sz w:val="18"/>
                          <w:szCs w:val="18"/>
                          <w:lang w:eastAsia="fr-FR"/>
                        </w:rPr>
                        <w:t>.</w:t>
                      </w:r>
                    </w:p>
                  </w:txbxContent>
                </v:textbox>
                <w10:wrap anchorx="margin"/>
              </v:roundrect>
            </w:pict>
          </mc:Fallback>
        </mc:AlternateContent>
      </w:r>
    </w:p>
    <w:p w14:paraId="7EEF90E6" w14:textId="77777777" w:rsidR="005E16C1" w:rsidRPr="00A74D23" w:rsidRDefault="005E16C1" w:rsidP="009D6EE5">
      <w:pPr>
        <w:spacing w:line="22" w:lineRule="atLeast"/>
        <w:jc w:val="both"/>
        <w:rPr>
          <w:rFonts w:asciiTheme="minorHAnsi" w:hAnsiTheme="minorHAnsi" w:cs="Open Sans"/>
          <w:sz w:val="20"/>
          <w:szCs w:val="20"/>
          <w:lang w:val="fr-FR"/>
        </w:rPr>
      </w:pPr>
    </w:p>
    <w:p w14:paraId="3F61363D" w14:textId="77777777" w:rsidR="005E16C1" w:rsidRPr="00A74D23" w:rsidRDefault="005E16C1" w:rsidP="009D6EE5">
      <w:pPr>
        <w:spacing w:line="22" w:lineRule="atLeast"/>
        <w:jc w:val="both"/>
        <w:rPr>
          <w:rFonts w:asciiTheme="minorHAnsi" w:hAnsiTheme="minorHAnsi" w:cs="Open Sans"/>
          <w:sz w:val="20"/>
          <w:szCs w:val="20"/>
          <w:lang w:val="fr-FR"/>
        </w:rPr>
      </w:pPr>
    </w:p>
    <w:p w14:paraId="08797778" w14:textId="77777777" w:rsidR="005E16C1" w:rsidRPr="00A74D23" w:rsidRDefault="005E16C1" w:rsidP="009D6EE5">
      <w:pPr>
        <w:spacing w:line="22" w:lineRule="atLeast"/>
        <w:jc w:val="both"/>
        <w:rPr>
          <w:rFonts w:asciiTheme="minorHAnsi" w:hAnsiTheme="minorHAnsi" w:cs="Open Sans"/>
          <w:sz w:val="20"/>
          <w:szCs w:val="20"/>
          <w:lang w:val="fr-FR"/>
        </w:rPr>
      </w:pPr>
    </w:p>
    <w:p w14:paraId="5B429EA7" w14:textId="523E768F" w:rsidR="005E16C1" w:rsidRPr="00A74D23" w:rsidRDefault="005E16C1" w:rsidP="009D6EE5">
      <w:pPr>
        <w:spacing w:line="22" w:lineRule="atLeast"/>
        <w:jc w:val="both"/>
        <w:rPr>
          <w:rFonts w:asciiTheme="minorHAnsi" w:hAnsiTheme="minorHAnsi" w:cs="Open Sans"/>
          <w:sz w:val="20"/>
          <w:szCs w:val="20"/>
          <w:lang w:val="fr-FR"/>
        </w:rPr>
      </w:pPr>
    </w:p>
    <w:p w14:paraId="05DF1F17" w14:textId="77777777" w:rsidR="00945A99" w:rsidRPr="00A74D23" w:rsidRDefault="00945A99" w:rsidP="009D6EE5">
      <w:pPr>
        <w:spacing w:line="22" w:lineRule="atLeast"/>
        <w:jc w:val="both"/>
        <w:rPr>
          <w:rFonts w:asciiTheme="minorHAnsi" w:hAnsiTheme="minorHAnsi" w:cs="Open Sans"/>
          <w:sz w:val="20"/>
          <w:szCs w:val="20"/>
          <w:lang w:val="fr-FR"/>
        </w:rPr>
      </w:pPr>
    </w:p>
    <w:p w14:paraId="463F5234" w14:textId="77777777" w:rsidR="00C72E9B" w:rsidRPr="00A74D23" w:rsidRDefault="00C72E9B" w:rsidP="009D6EE5">
      <w:pPr>
        <w:spacing w:line="22" w:lineRule="atLeast"/>
        <w:jc w:val="both"/>
        <w:rPr>
          <w:rFonts w:asciiTheme="minorHAnsi" w:hAnsiTheme="minorHAnsi" w:cs="Open Sans"/>
          <w:b/>
          <w:bCs/>
          <w:lang w:val="fr-FR"/>
        </w:rPr>
      </w:pPr>
    </w:p>
    <w:p w14:paraId="294CE0A5" w14:textId="77777777" w:rsidR="00A52862" w:rsidRPr="00A74D23" w:rsidRDefault="00A52862" w:rsidP="009D6EE5">
      <w:pPr>
        <w:spacing w:line="22" w:lineRule="atLeast"/>
        <w:jc w:val="both"/>
        <w:rPr>
          <w:rFonts w:asciiTheme="minorHAnsi" w:hAnsiTheme="minorHAnsi" w:cs="Open Sans"/>
          <w:b/>
          <w:bCs/>
          <w:lang w:val="fr-FR"/>
        </w:rPr>
      </w:pPr>
    </w:p>
    <w:p w14:paraId="33D0B15A" w14:textId="5FA71E93" w:rsidR="005E16C1" w:rsidRPr="00A74D23" w:rsidRDefault="00945A99" w:rsidP="009D6EE5">
      <w:pPr>
        <w:spacing w:line="22" w:lineRule="atLeast"/>
        <w:jc w:val="both"/>
        <w:rPr>
          <w:rFonts w:asciiTheme="minorHAnsi" w:hAnsiTheme="minorHAnsi" w:cs="Open Sans"/>
          <w:b/>
          <w:bCs/>
          <w:lang w:val="fr-FR"/>
        </w:rPr>
      </w:pPr>
      <w:r w:rsidRPr="00A74D23">
        <w:rPr>
          <w:rFonts w:asciiTheme="minorHAnsi" w:hAnsiTheme="minorHAnsi" w:cs="Open Sans"/>
          <w:b/>
          <w:bCs/>
          <w:lang w:val="fr-FR"/>
        </w:rPr>
        <w:t>Illustration de la stratégie d’alignement Net zero</w:t>
      </w:r>
    </w:p>
    <w:p w14:paraId="29E25444" w14:textId="6127C276" w:rsidR="005E16C1" w:rsidRPr="00A74D23" w:rsidRDefault="00945A99" w:rsidP="009D6EE5">
      <w:pPr>
        <w:spacing w:line="22" w:lineRule="atLeast"/>
        <w:jc w:val="both"/>
        <w:rPr>
          <w:rFonts w:asciiTheme="minorHAnsi" w:hAnsiTheme="minorHAnsi" w:cs="Open Sans"/>
          <w:sz w:val="20"/>
          <w:szCs w:val="20"/>
        </w:rPr>
      </w:pPr>
      <w:r w:rsidRPr="00A74D23">
        <w:rPr>
          <w:rFonts w:asciiTheme="minorHAnsi" w:hAnsiTheme="minorHAnsi" w:cs="Open Sans"/>
          <w:noProof/>
        </w:rPr>
        <w:drawing>
          <wp:inline distT="0" distB="0" distL="0" distR="0" wp14:anchorId="4D5C142A" wp14:editId="4757C91B">
            <wp:extent cx="5761355" cy="3409297"/>
            <wp:effectExtent l="0" t="0" r="0" b="1270"/>
            <wp:docPr id="1581818334" name="Image 1581818334"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texte, capture d’écran, diagramme, ligne&#10;&#10;Description générée automatiquement"/>
                    <pic:cNvPicPr/>
                  </pic:nvPicPr>
                  <pic:blipFill>
                    <a:blip r:embed="rId66"/>
                    <a:stretch>
                      <a:fillRect/>
                    </a:stretch>
                  </pic:blipFill>
                  <pic:spPr>
                    <a:xfrm>
                      <a:off x="0" y="0"/>
                      <a:ext cx="5761355" cy="3409297"/>
                    </a:xfrm>
                    <a:prstGeom prst="rect">
                      <a:avLst/>
                    </a:prstGeom>
                  </pic:spPr>
                </pic:pic>
              </a:graphicData>
            </a:graphic>
          </wp:inline>
        </w:drawing>
      </w:r>
    </w:p>
    <w:p w14:paraId="5C935238" w14:textId="77777777" w:rsidR="00C72E9B" w:rsidRPr="00A74D23" w:rsidRDefault="00C72E9B" w:rsidP="009D6EE5">
      <w:pPr>
        <w:spacing w:line="22" w:lineRule="atLeast"/>
        <w:jc w:val="both"/>
        <w:rPr>
          <w:rFonts w:asciiTheme="minorHAnsi" w:hAnsiTheme="minorHAnsi" w:cs="Open Sans"/>
          <w:sz w:val="20"/>
          <w:szCs w:val="20"/>
        </w:rPr>
      </w:pPr>
    </w:p>
    <w:p w14:paraId="71858728" w14:textId="77777777" w:rsidR="00DC4B7F" w:rsidRPr="00A74D23" w:rsidRDefault="00DC4B7F" w:rsidP="009D6EE5">
      <w:pPr>
        <w:spacing w:line="22" w:lineRule="atLeast"/>
        <w:jc w:val="both"/>
        <w:rPr>
          <w:rFonts w:asciiTheme="minorHAnsi" w:hAnsiTheme="minorHAnsi" w:cs="Open Sans"/>
          <w:sz w:val="20"/>
          <w:szCs w:val="20"/>
        </w:rPr>
      </w:pPr>
    </w:p>
    <w:p w14:paraId="2CDD1655" w14:textId="04815ACF" w:rsidR="00AE78F1" w:rsidRPr="00A74D23" w:rsidRDefault="005F6B99" w:rsidP="00590DD1">
      <w:pPr>
        <w:pStyle w:val="StyleYO"/>
        <w:numPr>
          <w:ilvl w:val="0"/>
          <w:numId w:val="68"/>
        </w:numPr>
        <w:spacing w:line="22" w:lineRule="atLeast"/>
        <w:jc w:val="both"/>
      </w:pPr>
      <w:bookmarkStart w:id="79" w:name="_Toc231337018"/>
      <w:r w:rsidRPr="00A74D23">
        <w:t>Nos leviers d’action</w:t>
      </w:r>
      <w:bookmarkEnd w:id="79"/>
    </w:p>
    <w:p w14:paraId="58CB6363" w14:textId="77777777" w:rsidR="005E16C1" w:rsidRPr="00A74D23" w:rsidRDefault="005E16C1" w:rsidP="009D6EE5">
      <w:pPr>
        <w:spacing w:line="22" w:lineRule="atLeast"/>
        <w:jc w:val="both"/>
        <w:rPr>
          <w:rFonts w:asciiTheme="minorHAnsi" w:hAnsiTheme="minorHAnsi" w:cs="Open Sans"/>
        </w:rPr>
      </w:pPr>
    </w:p>
    <w:p w14:paraId="566F4905" w14:textId="48DF73C3" w:rsidR="00D40FAD" w:rsidRPr="00A74D23" w:rsidRDefault="00325994" w:rsidP="009D6EE5">
      <w:pPr>
        <w:spacing w:line="22" w:lineRule="atLeast"/>
        <w:jc w:val="both"/>
        <w:rPr>
          <w:rFonts w:asciiTheme="minorHAnsi" w:hAnsiTheme="minorHAnsi" w:cs="Open Sans"/>
        </w:rPr>
      </w:pPr>
      <w:r w:rsidRPr="00A74D23">
        <w:rPr>
          <w:rFonts w:asciiTheme="minorHAnsi" w:hAnsiTheme="minorHAnsi" w:cs="Open Sans"/>
          <w:noProof/>
          <w:sz w:val="20"/>
          <w:szCs w:val="20"/>
        </w:rPr>
        <w:drawing>
          <wp:inline distT="0" distB="0" distL="0" distR="0" wp14:anchorId="493E9982" wp14:editId="0193FA2E">
            <wp:extent cx="5185030" cy="3409950"/>
            <wp:effectExtent l="0" t="0" r="0" b="0"/>
            <wp:docPr id="571838092" name="Image 571838092" descr="Une image contenant texte, capture d’écran, cercl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649211" name="Image 1915649211" descr="Une image contenant texte, capture d’écran, cercle, diagramme&#10;&#10;Description générée automatiquement"/>
                    <pic:cNvPicPr/>
                  </pic:nvPicPr>
                  <pic:blipFill>
                    <a:blip r:embed="rId67"/>
                    <a:stretch>
                      <a:fillRect/>
                    </a:stretch>
                  </pic:blipFill>
                  <pic:spPr>
                    <a:xfrm>
                      <a:off x="0" y="0"/>
                      <a:ext cx="5206083" cy="3423796"/>
                    </a:xfrm>
                    <a:prstGeom prst="rect">
                      <a:avLst/>
                    </a:prstGeom>
                  </pic:spPr>
                </pic:pic>
              </a:graphicData>
            </a:graphic>
          </wp:inline>
        </w:drawing>
      </w:r>
    </w:p>
    <w:p w14:paraId="76574199" w14:textId="77777777" w:rsidR="00495963" w:rsidRPr="00A74D23" w:rsidRDefault="00495963" w:rsidP="009D6EE5">
      <w:pPr>
        <w:spacing w:line="22" w:lineRule="atLeast"/>
        <w:jc w:val="both"/>
        <w:rPr>
          <w:rFonts w:asciiTheme="minorHAnsi" w:hAnsiTheme="minorHAnsi" w:cs="Open Sans"/>
        </w:rPr>
      </w:pPr>
    </w:p>
    <w:p w14:paraId="3DE41CAA" w14:textId="77777777" w:rsidR="005E16C1" w:rsidRPr="00A74D23" w:rsidRDefault="005E16C1" w:rsidP="009D6EE5">
      <w:pPr>
        <w:spacing w:line="22" w:lineRule="atLeast"/>
        <w:jc w:val="both"/>
        <w:rPr>
          <w:rFonts w:asciiTheme="minorHAnsi" w:hAnsiTheme="minorHAnsi" w:cs="Open Sans"/>
        </w:rPr>
      </w:pPr>
    </w:p>
    <w:p w14:paraId="2C3FDC3B" w14:textId="77777777" w:rsidR="00582BD6" w:rsidRPr="00A74D23" w:rsidRDefault="00582BD6" w:rsidP="009D6EE5">
      <w:pPr>
        <w:spacing w:line="22" w:lineRule="atLeast"/>
        <w:jc w:val="both"/>
        <w:rPr>
          <w:rFonts w:asciiTheme="minorHAnsi" w:hAnsiTheme="minorHAnsi" w:cs="Open Sans"/>
        </w:rPr>
      </w:pPr>
    </w:p>
    <w:p w14:paraId="2F11226F" w14:textId="25A75EE4" w:rsidR="00483AEA" w:rsidRPr="00A74D23" w:rsidRDefault="00C4585B" w:rsidP="009D6EE5">
      <w:pPr>
        <w:spacing w:line="22" w:lineRule="atLeast"/>
        <w:jc w:val="both"/>
        <w:rPr>
          <w:rFonts w:asciiTheme="minorHAnsi" w:hAnsiTheme="minorHAnsi"/>
          <w:b/>
          <w:bCs/>
          <w:sz w:val="28"/>
          <w:szCs w:val="28"/>
          <w:lang w:val="fr-FR"/>
        </w:rPr>
      </w:pPr>
      <w:r w:rsidRPr="00A74D23">
        <w:rPr>
          <w:rFonts w:asciiTheme="minorHAnsi" w:hAnsiTheme="minorHAnsi"/>
          <w:b/>
          <w:bCs/>
          <w:sz w:val="32"/>
          <w:szCs w:val="32"/>
          <w:lang w:val="fr-FR"/>
        </w:rPr>
        <w:t>3</w:t>
      </w:r>
      <w:r w:rsidR="00C72E9B" w:rsidRPr="00A74D23">
        <w:rPr>
          <w:rFonts w:asciiTheme="minorHAnsi" w:hAnsiTheme="minorHAnsi"/>
          <w:b/>
          <w:bCs/>
          <w:sz w:val="32"/>
          <w:szCs w:val="32"/>
          <w:lang w:val="fr-FR"/>
        </w:rPr>
        <w:t>.</w:t>
      </w:r>
      <w:r w:rsidRPr="00A74D23">
        <w:rPr>
          <w:rFonts w:asciiTheme="minorHAnsi" w:hAnsiTheme="minorHAnsi"/>
          <w:b/>
          <w:bCs/>
          <w:sz w:val="32"/>
          <w:szCs w:val="32"/>
          <w:lang w:val="fr-FR"/>
        </w:rPr>
        <w:t>1</w:t>
      </w:r>
      <w:r w:rsidR="00EB059C" w:rsidRPr="00A74D23">
        <w:rPr>
          <w:rFonts w:asciiTheme="minorHAnsi" w:hAnsiTheme="minorHAnsi"/>
          <w:b/>
          <w:bCs/>
          <w:sz w:val="32"/>
          <w:szCs w:val="32"/>
          <w:lang w:val="fr-FR"/>
        </w:rPr>
        <w:t>.</w:t>
      </w:r>
      <w:r w:rsidRPr="00A74D23">
        <w:rPr>
          <w:rFonts w:asciiTheme="minorHAnsi" w:hAnsiTheme="minorHAnsi"/>
          <w:b/>
          <w:bCs/>
          <w:sz w:val="32"/>
          <w:szCs w:val="32"/>
          <w:lang w:val="fr-FR"/>
        </w:rPr>
        <w:t xml:space="preserve"> </w:t>
      </w:r>
      <w:r w:rsidR="00072C74" w:rsidRPr="00A74D23">
        <w:rPr>
          <w:rFonts w:asciiTheme="minorHAnsi" w:hAnsiTheme="minorHAnsi"/>
          <w:b/>
          <w:bCs/>
          <w:sz w:val="32"/>
          <w:szCs w:val="32"/>
          <w:lang w:val="fr-FR"/>
        </w:rPr>
        <w:t xml:space="preserve">Identification et </w:t>
      </w:r>
      <w:r w:rsidR="00F5751D" w:rsidRPr="00A74D23">
        <w:rPr>
          <w:rFonts w:asciiTheme="minorHAnsi" w:hAnsiTheme="minorHAnsi"/>
          <w:b/>
          <w:bCs/>
          <w:sz w:val="32"/>
          <w:szCs w:val="32"/>
          <w:lang w:val="fr-FR"/>
        </w:rPr>
        <w:t xml:space="preserve">gestion des risques </w:t>
      </w:r>
      <w:r w:rsidR="008064C4" w:rsidRPr="00A74D23">
        <w:rPr>
          <w:rFonts w:asciiTheme="minorHAnsi" w:hAnsiTheme="minorHAnsi"/>
          <w:b/>
          <w:bCs/>
          <w:sz w:val="32"/>
          <w:szCs w:val="32"/>
          <w:lang w:val="fr-FR"/>
        </w:rPr>
        <w:t xml:space="preserve">et opportunités </w:t>
      </w:r>
      <w:r w:rsidR="00F5751D" w:rsidRPr="00A74D23">
        <w:rPr>
          <w:rFonts w:asciiTheme="minorHAnsi" w:hAnsiTheme="minorHAnsi"/>
          <w:b/>
          <w:bCs/>
          <w:sz w:val="32"/>
          <w:szCs w:val="32"/>
          <w:lang w:val="fr-FR"/>
        </w:rPr>
        <w:t>climat</w:t>
      </w:r>
    </w:p>
    <w:p w14:paraId="3826AAD4" w14:textId="77777777" w:rsidR="004E6612" w:rsidRPr="00A74D23" w:rsidRDefault="004E6612" w:rsidP="009D6EE5">
      <w:pPr>
        <w:spacing w:line="22" w:lineRule="atLeast"/>
        <w:jc w:val="both"/>
        <w:rPr>
          <w:rFonts w:asciiTheme="minorHAnsi" w:hAnsiTheme="minorHAnsi" w:cs="Open Sans"/>
          <w:lang w:val="fr-FR"/>
        </w:rPr>
      </w:pPr>
    </w:p>
    <w:p w14:paraId="380F8C30" w14:textId="77777777" w:rsidR="00E54743" w:rsidRPr="00A74D23" w:rsidRDefault="00E54743" w:rsidP="009D6EE5">
      <w:pPr>
        <w:spacing w:line="22" w:lineRule="atLeast"/>
        <w:jc w:val="both"/>
        <w:rPr>
          <w:rFonts w:asciiTheme="minorHAnsi" w:eastAsiaTheme="majorEastAsia" w:hAnsiTheme="minorHAnsi" w:cs="Open Sans"/>
          <w:sz w:val="20"/>
          <w:szCs w:val="20"/>
        </w:rPr>
      </w:pPr>
      <w:r w:rsidRPr="00A74D23">
        <w:rPr>
          <w:rFonts w:asciiTheme="minorHAnsi" w:eastAsiaTheme="majorEastAsia" w:hAnsiTheme="minorHAnsi" w:cs="Open Sans"/>
          <w:sz w:val="20"/>
          <w:szCs w:val="20"/>
          <w:lang w:val="fr-FR"/>
        </w:rPr>
        <w:t xml:space="preserve">La mesure constitue un levier central de la finance climat. Depuis plusieurs années, nous avons déployé des outils permettant de mesurer nos expositions climatiques, à la fois au niveau de chaque actif et de manière consolidée au niveau des portefeuilles. </w:t>
      </w:r>
      <w:r w:rsidRPr="00A74D23">
        <w:rPr>
          <w:rFonts w:asciiTheme="minorHAnsi" w:eastAsiaTheme="majorEastAsia" w:hAnsiTheme="minorHAnsi" w:cs="Open Sans"/>
          <w:sz w:val="20"/>
          <w:szCs w:val="20"/>
        </w:rPr>
        <w:t>Ces travaux couvrent notamment :</w:t>
      </w:r>
    </w:p>
    <w:p w14:paraId="6BE28EA8" w14:textId="6F24F05E" w:rsidR="00A87B19" w:rsidRPr="00A74D23" w:rsidRDefault="00D766D4" w:rsidP="00590DD1">
      <w:pPr>
        <w:pStyle w:val="Paragraphedeliste"/>
        <w:numPr>
          <w:ilvl w:val="0"/>
          <w:numId w:val="109"/>
        </w:numPr>
        <w:spacing w:line="22" w:lineRule="atLeast"/>
        <w:jc w:val="both"/>
        <w:rPr>
          <w:rFonts w:eastAsiaTheme="majorEastAsia" w:cs="Open Sans"/>
          <w:sz w:val="20"/>
          <w:szCs w:val="20"/>
        </w:rPr>
      </w:pPr>
      <w:r w:rsidRPr="00A74D23">
        <w:rPr>
          <w:rFonts w:cs="Open Sans"/>
          <w:sz w:val="20"/>
          <w:szCs w:val="20"/>
        </w:rPr>
        <w:t>L’empreinte</w:t>
      </w:r>
      <w:r w:rsidR="00A87B19" w:rsidRPr="00A74D23">
        <w:rPr>
          <w:rFonts w:cs="Open Sans"/>
          <w:sz w:val="20"/>
          <w:szCs w:val="20"/>
        </w:rPr>
        <w:t xml:space="preserve"> carbone</w:t>
      </w:r>
      <w:r w:rsidR="00FA3DC7" w:rsidRPr="00A74D23">
        <w:rPr>
          <w:rFonts w:cs="Open Sans"/>
          <w:sz w:val="20"/>
          <w:szCs w:val="20"/>
        </w:rPr>
        <w:t>/énergétique</w:t>
      </w:r>
      <w:r w:rsidR="00A87B19" w:rsidRPr="00A74D23">
        <w:rPr>
          <w:rFonts w:cs="Open Sans"/>
          <w:sz w:val="20"/>
          <w:szCs w:val="20"/>
        </w:rPr>
        <w:t xml:space="preserve"> de nos actifs </w:t>
      </w:r>
      <w:r w:rsidR="00EE60A6" w:rsidRPr="00A74D23">
        <w:rPr>
          <w:rFonts w:cs="Open Sans"/>
          <w:sz w:val="20"/>
          <w:szCs w:val="20"/>
        </w:rPr>
        <w:t>(voir section 4)</w:t>
      </w:r>
    </w:p>
    <w:p w14:paraId="1D4F719B" w14:textId="3C494526" w:rsidR="00D766D4" w:rsidRPr="00A74D23" w:rsidRDefault="00D766D4" w:rsidP="00590DD1">
      <w:pPr>
        <w:pStyle w:val="Paragraphedeliste"/>
        <w:numPr>
          <w:ilvl w:val="0"/>
          <w:numId w:val="109"/>
        </w:numPr>
        <w:spacing w:line="22" w:lineRule="atLeast"/>
        <w:jc w:val="both"/>
        <w:rPr>
          <w:rFonts w:eastAsiaTheme="majorEastAsia" w:cs="Open Sans"/>
          <w:sz w:val="20"/>
          <w:szCs w:val="20"/>
        </w:rPr>
      </w:pPr>
      <w:r w:rsidRPr="00A74D23">
        <w:rPr>
          <w:rFonts w:cs="Open Sans"/>
          <w:sz w:val="20"/>
          <w:szCs w:val="20"/>
        </w:rPr>
        <w:t xml:space="preserve">La performance carbone/niveau d’alignement </w:t>
      </w:r>
      <w:r w:rsidR="00EE60A6" w:rsidRPr="00A74D23">
        <w:rPr>
          <w:rFonts w:cs="Open Sans"/>
          <w:sz w:val="20"/>
          <w:szCs w:val="20"/>
        </w:rPr>
        <w:t>(voir section 4)</w:t>
      </w:r>
    </w:p>
    <w:p w14:paraId="6DF2A4B6" w14:textId="08301EC2" w:rsidR="00FA3DC7" w:rsidRPr="00A74D23" w:rsidRDefault="00FA3DC7" w:rsidP="00590DD1">
      <w:pPr>
        <w:pStyle w:val="Paragraphedeliste"/>
        <w:numPr>
          <w:ilvl w:val="0"/>
          <w:numId w:val="109"/>
        </w:numPr>
        <w:spacing w:line="22" w:lineRule="atLeast"/>
        <w:jc w:val="both"/>
        <w:rPr>
          <w:rFonts w:eastAsiaTheme="majorEastAsia" w:cs="Open Sans"/>
          <w:sz w:val="20"/>
          <w:szCs w:val="20"/>
        </w:rPr>
      </w:pPr>
      <w:r w:rsidRPr="00A74D23">
        <w:rPr>
          <w:rFonts w:cs="Open Sans"/>
          <w:sz w:val="20"/>
          <w:szCs w:val="20"/>
        </w:rPr>
        <w:t>La part verte taxonomique (voir partie F)</w:t>
      </w:r>
    </w:p>
    <w:p w14:paraId="14A094AA" w14:textId="39972724" w:rsidR="00B24494" w:rsidRPr="00A74D23" w:rsidRDefault="00801E27" w:rsidP="00590DD1">
      <w:pPr>
        <w:pStyle w:val="Paragraphedeliste"/>
        <w:numPr>
          <w:ilvl w:val="0"/>
          <w:numId w:val="109"/>
        </w:numPr>
        <w:spacing w:line="22" w:lineRule="atLeast"/>
        <w:jc w:val="both"/>
        <w:rPr>
          <w:rFonts w:eastAsiaTheme="majorEastAsia" w:cs="Open Sans"/>
          <w:sz w:val="20"/>
          <w:szCs w:val="20"/>
        </w:rPr>
      </w:pPr>
      <w:r w:rsidRPr="00A74D23">
        <w:rPr>
          <w:rFonts w:cs="Open Sans"/>
          <w:sz w:val="20"/>
          <w:szCs w:val="20"/>
        </w:rPr>
        <w:t>L’exposition aux risques physiques et de transition</w:t>
      </w:r>
      <w:r w:rsidR="00EE60A6" w:rsidRPr="00A74D23">
        <w:rPr>
          <w:rFonts w:cs="Open Sans"/>
          <w:sz w:val="20"/>
          <w:szCs w:val="20"/>
        </w:rPr>
        <w:t xml:space="preserve"> (voir partie </w:t>
      </w:r>
      <w:r w:rsidR="0035424F" w:rsidRPr="00A74D23">
        <w:rPr>
          <w:rFonts w:cs="Open Sans"/>
          <w:sz w:val="20"/>
          <w:szCs w:val="20"/>
        </w:rPr>
        <w:t>I)</w:t>
      </w:r>
    </w:p>
    <w:p w14:paraId="0FFFB690" w14:textId="028F0B0B" w:rsidR="00E5322D" w:rsidRPr="00A74D23" w:rsidRDefault="00FA0EF1" w:rsidP="00A52862">
      <w:pPr>
        <w:spacing w:after="120" w:line="22" w:lineRule="atLeast"/>
        <w:jc w:val="both"/>
        <w:rPr>
          <w:rFonts w:asciiTheme="minorHAnsi" w:eastAsiaTheme="majorEastAsia" w:hAnsiTheme="minorHAnsi" w:cs="Open Sans"/>
          <w:sz w:val="20"/>
          <w:szCs w:val="20"/>
          <w:lang w:val="fr-FR"/>
        </w:rPr>
      </w:pPr>
      <w:r w:rsidRPr="00A74D23">
        <w:rPr>
          <w:rFonts w:asciiTheme="minorHAnsi" w:eastAsiaTheme="majorEastAsia" w:hAnsiTheme="minorHAnsi" w:cs="Open Sans"/>
          <w:sz w:val="20"/>
          <w:szCs w:val="20"/>
          <w:lang w:val="fr-FR"/>
        </w:rPr>
        <w:t xml:space="preserve">Plusieurs fournisseurs de données climatiques sont utilisés </w:t>
      </w:r>
      <w:r w:rsidR="009174FA" w:rsidRPr="00A74D23">
        <w:rPr>
          <w:rFonts w:asciiTheme="minorHAnsi" w:eastAsiaTheme="majorEastAsia" w:hAnsiTheme="minorHAnsi" w:cs="Open Sans"/>
          <w:sz w:val="20"/>
          <w:szCs w:val="20"/>
          <w:lang w:val="fr-FR"/>
        </w:rPr>
        <w:t xml:space="preserve">avec des indicateurs pertinents </w:t>
      </w:r>
      <w:r w:rsidR="006E3F50" w:rsidRPr="00A74D23">
        <w:rPr>
          <w:rFonts w:asciiTheme="minorHAnsi" w:eastAsiaTheme="majorEastAsia" w:hAnsiTheme="minorHAnsi" w:cs="Open Sans"/>
          <w:sz w:val="20"/>
          <w:szCs w:val="20"/>
          <w:lang w:val="fr-FR"/>
        </w:rPr>
        <w:t>(voir partie C)</w:t>
      </w:r>
      <w:r w:rsidR="009174FA" w:rsidRPr="00A74D23">
        <w:rPr>
          <w:rFonts w:asciiTheme="minorHAnsi" w:eastAsiaTheme="majorEastAsia" w:hAnsiTheme="minorHAnsi" w:cs="Open Sans"/>
          <w:sz w:val="20"/>
          <w:szCs w:val="20"/>
          <w:lang w:val="fr-FR"/>
        </w:rPr>
        <w:t>.</w:t>
      </w:r>
    </w:p>
    <w:p w14:paraId="1398DA7E" w14:textId="5B354510" w:rsidR="00EB059C" w:rsidRPr="00A74D23" w:rsidRDefault="00A24E74" w:rsidP="009D6EE5">
      <w:pPr>
        <w:spacing w:line="22" w:lineRule="atLeast"/>
        <w:jc w:val="both"/>
        <w:rPr>
          <w:rFonts w:asciiTheme="minorHAnsi" w:eastAsiaTheme="majorEastAsia" w:hAnsiTheme="minorHAnsi" w:cs="Open Sans"/>
          <w:sz w:val="20"/>
          <w:szCs w:val="20"/>
          <w:lang w:val="fr-FR"/>
        </w:rPr>
      </w:pPr>
      <w:r w:rsidRPr="00A74D23">
        <w:rPr>
          <w:rFonts w:asciiTheme="minorHAnsi" w:eastAsiaTheme="majorEastAsia" w:hAnsiTheme="minorHAnsi" w:cs="Open Sans"/>
          <w:sz w:val="20"/>
          <w:szCs w:val="20"/>
          <w:lang w:val="fr-FR"/>
        </w:rPr>
        <w:t xml:space="preserve">L’identification et la mesure de l’exposition aux risques et opportunités climatique est une composante fondamentale de l’approche d’investisseur responsable d’Abeille Assurances. Pour ce faire, nous avons développé des outils et indicateurs permettant de suivre et piloter notre exposition aux risques climat de nos investissements. Nous identifions, analysons et gérons les risques matériels du climat (risques de transition et risques physiques). Cette analyse est réalisée à la fois au niveau micro (émetteurs ou secteurs à travers des métriques carbone ou des métriques idoines comme le transition risk indicator) et macro (au niveau portefeuille ou du bilan à travers la métrique </w:t>
      </w:r>
      <w:r w:rsidR="008E0433" w:rsidRPr="00A74D23">
        <w:rPr>
          <w:rFonts w:asciiTheme="minorHAnsi" w:eastAsiaTheme="majorEastAsia" w:hAnsiTheme="minorHAnsi" w:cs="Open Sans"/>
          <w:sz w:val="20"/>
          <w:szCs w:val="20"/>
          <w:lang w:val="fr-FR"/>
        </w:rPr>
        <w:t xml:space="preserve">climate </w:t>
      </w:r>
      <w:r w:rsidRPr="00A74D23">
        <w:rPr>
          <w:rFonts w:asciiTheme="minorHAnsi" w:eastAsiaTheme="majorEastAsia" w:hAnsiTheme="minorHAnsi" w:cs="Open Sans"/>
          <w:sz w:val="20"/>
          <w:szCs w:val="20"/>
          <w:lang w:val="fr-FR"/>
        </w:rPr>
        <w:t xml:space="preserve">value at risk </w:t>
      </w:r>
      <w:r w:rsidR="008E0433" w:rsidRPr="00A74D23">
        <w:rPr>
          <w:rFonts w:asciiTheme="minorHAnsi" w:eastAsiaTheme="majorEastAsia" w:hAnsiTheme="minorHAnsi" w:cs="Open Sans"/>
          <w:sz w:val="20"/>
          <w:szCs w:val="20"/>
          <w:lang w:val="fr-FR"/>
        </w:rPr>
        <w:t xml:space="preserve">(voir partie </w:t>
      </w:r>
      <w:r w:rsidR="00EB059C" w:rsidRPr="00A74D23">
        <w:rPr>
          <w:rFonts w:asciiTheme="minorHAnsi" w:eastAsiaTheme="majorEastAsia" w:hAnsiTheme="minorHAnsi" w:cs="Open Sans"/>
          <w:sz w:val="20"/>
          <w:szCs w:val="20"/>
          <w:lang w:val="fr-FR"/>
        </w:rPr>
        <w:t>I</w:t>
      </w:r>
      <w:r w:rsidR="008E0433" w:rsidRPr="00A74D23">
        <w:rPr>
          <w:rFonts w:asciiTheme="minorHAnsi" w:eastAsiaTheme="majorEastAsia" w:hAnsiTheme="minorHAnsi" w:cs="Open Sans"/>
          <w:sz w:val="20"/>
          <w:szCs w:val="20"/>
          <w:lang w:val="fr-FR"/>
        </w:rPr>
        <w:t>).</w:t>
      </w:r>
    </w:p>
    <w:p w14:paraId="178CF308" w14:textId="77777777" w:rsidR="00EB059C" w:rsidRPr="00A74D23" w:rsidRDefault="00EB059C" w:rsidP="009D6EE5">
      <w:pPr>
        <w:spacing w:line="22" w:lineRule="atLeast"/>
        <w:ind w:left="709"/>
        <w:jc w:val="both"/>
        <w:rPr>
          <w:rFonts w:asciiTheme="minorHAnsi" w:eastAsiaTheme="majorEastAsia" w:hAnsiTheme="minorHAnsi" w:cs="Open Sans"/>
          <w:sz w:val="20"/>
          <w:szCs w:val="20"/>
          <w:lang w:val="fr-FR"/>
        </w:rPr>
      </w:pPr>
    </w:p>
    <w:p w14:paraId="09F91E38" w14:textId="18A239DB" w:rsidR="00EB059C" w:rsidRPr="00A74D23" w:rsidRDefault="0057408C" w:rsidP="00590DD1">
      <w:pPr>
        <w:pStyle w:val="Paragraphedeliste"/>
        <w:numPr>
          <w:ilvl w:val="1"/>
          <w:numId w:val="89"/>
        </w:numPr>
        <w:spacing w:line="22" w:lineRule="atLeast"/>
        <w:ind w:left="709"/>
        <w:jc w:val="both"/>
        <w:rPr>
          <w:b/>
          <w:bCs/>
          <w:sz w:val="32"/>
          <w:szCs w:val="32"/>
        </w:rPr>
      </w:pPr>
      <w:r w:rsidRPr="00A74D23">
        <w:rPr>
          <w:b/>
          <w:bCs/>
          <w:sz w:val="32"/>
          <w:szCs w:val="32"/>
        </w:rPr>
        <w:t>Engager nos parties prenantes</w:t>
      </w:r>
    </w:p>
    <w:p w14:paraId="524B23D2" w14:textId="4ABC8088" w:rsidR="0057408C" w:rsidRPr="00A74D23" w:rsidRDefault="0057408C" w:rsidP="00765C26">
      <w:pPr>
        <w:spacing w:after="120" w:line="22" w:lineRule="atLeast"/>
        <w:jc w:val="both"/>
        <w:rPr>
          <w:rFonts w:asciiTheme="minorHAnsi" w:hAnsiTheme="minorHAnsi"/>
          <w:b/>
          <w:sz w:val="20"/>
          <w:szCs w:val="20"/>
          <w:lang w:val="fr-FR"/>
        </w:rPr>
      </w:pPr>
      <w:bookmarkStart w:id="80" w:name="_Toc228203012"/>
      <w:r w:rsidRPr="00A74D23">
        <w:rPr>
          <w:rFonts w:asciiTheme="minorHAnsi" w:hAnsiTheme="minorHAnsi"/>
          <w:sz w:val="20"/>
          <w:szCs w:val="20"/>
          <w:lang w:val="fr-FR"/>
        </w:rPr>
        <w:t xml:space="preserve">En tant qu’investisseur institutionnel, nous mobilisons plusieurs leviers d’action pour piloter l’alignement climatique de nos </w:t>
      </w:r>
      <w:bookmarkEnd w:id="80"/>
      <w:r w:rsidR="00CB329B" w:rsidRPr="00A74D23">
        <w:rPr>
          <w:rFonts w:asciiTheme="minorHAnsi" w:hAnsiTheme="minorHAnsi"/>
          <w:sz w:val="20"/>
          <w:szCs w:val="20"/>
          <w:lang w:val="fr-FR"/>
        </w:rPr>
        <w:t>investissements :</w:t>
      </w:r>
    </w:p>
    <w:p w14:paraId="6F51C241" w14:textId="77777777" w:rsidR="00DC4B7F" w:rsidRPr="00A74D23" w:rsidRDefault="00DC4B7F" w:rsidP="009D6EE5">
      <w:pPr>
        <w:spacing w:line="22" w:lineRule="atLeast"/>
        <w:jc w:val="both"/>
        <w:rPr>
          <w:rFonts w:asciiTheme="minorHAnsi" w:hAnsiTheme="minorHAnsi"/>
          <w:lang w:val="fr-FR"/>
        </w:rPr>
      </w:pPr>
    </w:p>
    <w:p w14:paraId="654E0E76" w14:textId="57D7CE13" w:rsidR="0057408C" w:rsidRPr="00A74D23" w:rsidRDefault="00674F65" w:rsidP="00590DD1">
      <w:pPr>
        <w:pStyle w:val="Paragraphedeliste"/>
        <w:numPr>
          <w:ilvl w:val="0"/>
          <w:numId w:val="62"/>
        </w:numPr>
        <w:spacing w:after="0" w:line="22" w:lineRule="atLeast"/>
        <w:ind w:left="284" w:hanging="284"/>
        <w:jc w:val="both"/>
        <w:rPr>
          <w:rFonts w:cstheme="minorHAnsi"/>
          <w:b/>
          <w:bCs/>
          <w:sz w:val="24"/>
          <w:szCs w:val="24"/>
        </w:rPr>
      </w:pPr>
      <w:r w:rsidRPr="00A74D23">
        <w:rPr>
          <w:rFonts w:cstheme="minorHAnsi"/>
          <w:b/>
          <w:bCs/>
          <w:sz w:val="24"/>
          <w:szCs w:val="24"/>
        </w:rPr>
        <w:t xml:space="preserve">Dialogue actionnarial </w:t>
      </w:r>
    </w:p>
    <w:p w14:paraId="1AFCECB2" w14:textId="09322372" w:rsidR="0057408C" w:rsidRPr="00A74D23" w:rsidRDefault="0057408C" w:rsidP="00765C26">
      <w:pPr>
        <w:spacing w:after="120" w:line="22" w:lineRule="atLeast"/>
        <w:jc w:val="both"/>
        <w:rPr>
          <w:rFonts w:asciiTheme="minorHAnsi" w:hAnsiTheme="minorHAnsi" w:cs="Segoe UI"/>
          <w:sz w:val="20"/>
          <w:szCs w:val="20"/>
          <w:lang w:val="fr-FR"/>
        </w:rPr>
      </w:pPr>
      <w:r w:rsidRPr="00A74D23">
        <w:rPr>
          <w:rFonts w:asciiTheme="minorHAnsi" w:hAnsiTheme="minorHAnsi" w:cs="Segoe UI"/>
          <w:sz w:val="20"/>
          <w:szCs w:val="20"/>
          <w:lang w:val="fr-FR"/>
        </w:rPr>
        <w:t>La politique d’engagement actionnarial constitue un levier central de l’exercice de notre rôle d’actionnaire responsable. Elle vise à encourager les entreprises en portefeuille à accélérer leur transition et à améliorer leurs pratiques extra</w:t>
      </w:r>
      <w:r w:rsidRPr="00A74D23">
        <w:rPr>
          <w:rFonts w:asciiTheme="minorHAnsi" w:hAnsiTheme="minorHAnsi" w:cs="Segoe UI"/>
          <w:sz w:val="20"/>
          <w:szCs w:val="20"/>
          <w:lang w:val="fr-FR"/>
        </w:rPr>
        <w:noBreakHyphen/>
        <w:t>financières, notamment sur les enjeux climatiques.</w:t>
      </w:r>
    </w:p>
    <w:p w14:paraId="2A59F0FC" w14:textId="1608FE52" w:rsidR="0057408C" w:rsidRPr="00A74D23" w:rsidRDefault="0057408C" w:rsidP="00765C26">
      <w:pPr>
        <w:spacing w:after="120" w:line="22" w:lineRule="atLeast"/>
        <w:jc w:val="both"/>
        <w:rPr>
          <w:rFonts w:asciiTheme="minorHAnsi" w:hAnsiTheme="minorHAnsi" w:cs="Segoe UI"/>
          <w:sz w:val="20"/>
          <w:szCs w:val="20"/>
          <w:lang w:val="fr-FR"/>
        </w:rPr>
      </w:pPr>
      <w:r w:rsidRPr="00A74D23">
        <w:rPr>
          <w:rFonts w:asciiTheme="minorHAnsi" w:hAnsiTheme="minorHAnsi" w:cs="Segoe UI"/>
          <w:sz w:val="20"/>
          <w:szCs w:val="20"/>
          <w:lang w:val="fr-FR"/>
        </w:rPr>
        <w:t xml:space="preserve">Le dialogue actionnarial est un levier d’action privilégié pour accompagner cette transition. Il est mené pour notre compte par </w:t>
      </w:r>
      <w:r w:rsidR="00495330" w:rsidRPr="00A74D23">
        <w:rPr>
          <w:rFonts w:asciiTheme="minorHAnsi" w:hAnsiTheme="minorHAnsi" w:cs="Segoe UI"/>
          <w:sz w:val="20"/>
          <w:szCs w:val="20"/>
          <w:lang w:val="fr-FR"/>
        </w:rPr>
        <w:t>Ofi</w:t>
      </w:r>
      <w:r w:rsidRPr="00A74D23">
        <w:rPr>
          <w:rFonts w:asciiTheme="minorHAnsi" w:hAnsiTheme="minorHAnsi" w:cs="Segoe UI"/>
          <w:sz w:val="20"/>
          <w:szCs w:val="20"/>
          <w:lang w:val="fr-FR"/>
        </w:rPr>
        <w:t xml:space="preserve"> Invest AM, ainsi que dans le cadre d’initiatives collaboratives telles que le CDP et la Net</w:t>
      </w:r>
      <w:r w:rsidRPr="00A74D23">
        <w:rPr>
          <w:rFonts w:asciiTheme="minorHAnsi" w:hAnsiTheme="minorHAnsi" w:cs="Segoe UI"/>
          <w:sz w:val="20"/>
          <w:szCs w:val="20"/>
          <w:lang w:val="fr-FR"/>
        </w:rPr>
        <w:noBreakHyphen/>
        <w:t>Zero Asset Owner Alliance. Des actions d’engagement ciblées ont notamment été conduites auprès de compagnies pétrolières et d’énergéticiens afin d’accélérer leurs trajectoires de transition. La politique de vote complète ce dispositif et constitue un moyen essentiel d’influencer les pratiques de durabilité des entreprises dont nous sommes actionnaires.</w:t>
      </w:r>
    </w:p>
    <w:p w14:paraId="45482F44" w14:textId="77777777" w:rsidR="00904069" w:rsidRPr="00A74D23" w:rsidRDefault="0057408C" w:rsidP="009D6EE5">
      <w:pPr>
        <w:spacing w:line="22" w:lineRule="atLeast"/>
        <w:jc w:val="both"/>
        <w:rPr>
          <w:rFonts w:asciiTheme="minorHAnsi" w:hAnsiTheme="minorHAnsi" w:cs="Segoe UI"/>
          <w:sz w:val="20"/>
          <w:szCs w:val="20"/>
          <w:lang w:val="fr-FR"/>
        </w:rPr>
      </w:pPr>
      <w:r w:rsidRPr="00A74D23">
        <w:rPr>
          <w:rFonts w:asciiTheme="minorHAnsi" w:hAnsiTheme="minorHAnsi" w:cs="Segoe UI"/>
          <w:sz w:val="20"/>
          <w:szCs w:val="20"/>
          <w:lang w:val="fr-FR"/>
        </w:rPr>
        <w:t xml:space="preserve">Nous renforçons progressivement nos actions d’engagement, individuelles ou collectives, auprès des entreprises des secteurs les plus carbonés lorsque leurs trajectoires ne sont pas alignées avec les objectifs de l’Accord de Paris. </w:t>
      </w:r>
      <w:r w:rsidR="00904069" w:rsidRPr="00A74D23">
        <w:rPr>
          <w:rFonts w:asciiTheme="minorHAnsi" w:hAnsiTheme="minorHAnsi" w:cs="Segoe UI"/>
          <w:sz w:val="20"/>
          <w:szCs w:val="20"/>
          <w:lang w:val="fr-FR"/>
        </w:rPr>
        <w:t>Dès 2023, Abeille Assurances a mis en place un dialogue actionnarial et un accompagnement systématique auprès des 20 plus grands contributeurs à l’empreinte carbone de son portefeuille d’investissement (voir section E)</w:t>
      </w:r>
    </w:p>
    <w:p w14:paraId="658360C7" w14:textId="77777777" w:rsidR="0057408C" w:rsidRPr="00A74D23" w:rsidRDefault="0057408C" w:rsidP="009D6EE5">
      <w:pPr>
        <w:spacing w:line="22" w:lineRule="atLeast"/>
        <w:jc w:val="both"/>
        <w:rPr>
          <w:rFonts w:asciiTheme="minorHAnsi" w:hAnsiTheme="minorHAnsi"/>
          <w:sz w:val="21"/>
          <w:szCs w:val="21"/>
          <w:u w:val="single"/>
          <w:lang w:val="fr-FR"/>
        </w:rPr>
      </w:pPr>
    </w:p>
    <w:p w14:paraId="7C248DA1" w14:textId="502D6595" w:rsidR="0057408C" w:rsidRPr="00A74D23" w:rsidRDefault="00674F65" w:rsidP="00590DD1">
      <w:pPr>
        <w:pStyle w:val="Paragraphedeliste"/>
        <w:numPr>
          <w:ilvl w:val="0"/>
          <w:numId w:val="61"/>
        </w:numPr>
        <w:spacing w:after="0" w:line="22" w:lineRule="atLeast"/>
        <w:ind w:left="284" w:hanging="284"/>
        <w:jc w:val="both"/>
        <w:rPr>
          <w:b/>
          <w:bCs/>
          <w:sz w:val="24"/>
          <w:szCs w:val="24"/>
        </w:rPr>
      </w:pPr>
      <w:r w:rsidRPr="00A74D23">
        <w:rPr>
          <w:b/>
          <w:bCs/>
          <w:sz w:val="24"/>
          <w:szCs w:val="24"/>
        </w:rPr>
        <w:t>D</w:t>
      </w:r>
      <w:r w:rsidR="0057408C" w:rsidRPr="00A74D23">
        <w:rPr>
          <w:b/>
          <w:bCs/>
          <w:sz w:val="24"/>
          <w:szCs w:val="24"/>
        </w:rPr>
        <w:t xml:space="preserve">émarche collaborative </w:t>
      </w:r>
    </w:p>
    <w:p w14:paraId="77058379" w14:textId="77777777" w:rsidR="00904069" w:rsidRPr="00A74D23" w:rsidRDefault="00904069" w:rsidP="004C20F2">
      <w:pPr>
        <w:spacing w:after="120" w:line="22" w:lineRule="atLeast"/>
        <w:jc w:val="both"/>
        <w:rPr>
          <w:rFonts w:asciiTheme="minorHAnsi" w:hAnsiTheme="minorHAnsi" w:cs="Segoe UI"/>
          <w:sz w:val="20"/>
          <w:szCs w:val="20"/>
          <w:lang w:val="fr-FR"/>
        </w:rPr>
      </w:pPr>
      <w:r w:rsidRPr="00A74D23">
        <w:rPr>
          <w:rFonts w:asciiTheme="minorHAnsi" w:hAnsiTheme="minorHAnsi"/>
          <w:sz w:val="20"/>
          <w:szCs w:val="20"/>
          <w:lang w:val="fr-FR"/>
        </w:rPr>
        <w:t xml:space="preserve">Sur les </w:t>
      </w:r>
      <w:r w:rsidRPr="00A74D23">
        <w:rPr>
          <w:rFonts w:asciiTheme="minorHAnsi" w:hAnsiTheme="minorHAnsi" w:cs="Segoe UI"/>
          <w:sz w:val="20"/>
          <w:szCs w:val="20"/>
          <w:lang w:val="fr-FR"/>
        </w:rPr>
        <w:t xml:space="preserve">OPC en direct, nous avons engagé un dialogue structuré avec les sociétés de gestion tierces afin de nous assurer que la transition climatique constitue un pilier de leur stratégie d’investissement. </w:t>
      </w:r>
    </w:p>
    <w:p w14:paraId="215A4370" w14:textId="02F11D81" w:rsidR="0057408C" w:rsidRPr="00A74D23" w:rsidRDefault="0057408C" w:rsidP="004C20F2">
      <w:pPr>
        <w:spacing w:after="120" w:line="22" w:lineRule="atLeast"/>
        <w:jc w:val="both"/>
        <w:rPr>
          <w:rFonts w:asciiTheme="minorHAnsi" w:hAnsiTheme="minorHAnsi" w:cs="Segoe UI"/>
          <w:sz w:val="20"/>
          <w:szCs w:val="20"/>
          <w:lang w:val="fr-FR"/>
        </w:rPr>
      </w:pPr>
      <w:r w:rsidRPr="00A74D23">
        <w:rPr>
          <w:rFonts w:asciiTheme="minorHAnsi" w:hAnsiTheme="minorHAnsi"/>
          <w:sz w:val="20"/>
          <w:szCs w:val="20"/>
          <w:lang w:val="fr-FR"/>
        </w:rPr>
        <w:t>Le Groupe Aéma et Abeille Assurances ont rejoint la Net</w:t>
      </w:r>
      <w:r w:rsidRPr="00A74D23">
        <w:rPr>
          <w:rFonts w:ascii="Cambria Math" w:hAnsi="Cambria Math" w:cs="Cambria Math"/>
          <w:sz w:val="20"/>
          <w:szCs w:val="20"/>
          <w:lang w:val="fr-FR"/>
        </w:rPr>
        <w:t>‑</w:t>
      </w:r>
      <w:r w:rsidRPr="00A74D23">
        <w:rPr>
          <w:rFonts w:asciiTheme="minorHAnsi" w:hAnsiTheme="minorHAnsi"/>
          <w:sz w:val="20"/>
          <w:szCs w:val="20"/>
          <w:lang w:val="fr-FR"/>
        </w:rPr>
        <w:t>Zero Asset Owner Alliance (NZAOA) en 2022. Cette coalition d</w:t>
      </w:r>
      <w:r w:rsidRPr="00A74D23">
        <w:rPr>
          <w:rFonts w:asciiTheme="minorHAnsi" w:hAnsiTheme="minorHAnsi" w:cs="Source Sans Pro"/>
          <w:sz w:val="20"/>
          <w:szCs w:val="20"/>
          <w:lang w:val="fr-FR"/>
        </w:rPr>
        <w:t>’</w:t>
      </w:r>
      <w:r w:rsidRPr="00A74D23">
        <w:rPr>
          <w:rFonts w:asciiTheme="minorHAnsi" w:hAnsiTheme="minorHAnsi"/>
          <w:sz w:val="20"/>
          <w:szCs w:val="20"/>
          <w:lang w:val="fr-FR"/>
        </w:rPr>
        <w:t>investisseurs institutionnels, soutenue par l</w:t>
      </w:r>
      <w:r w:rsidRPr="00A74D23">
        <w:rPr>
          <w:rFonts w:asciiTheme="minorHAnsi" w:hAnsiTheme="minorHAnsi" w:cs="Source Sans Pro"/>
          <w:sz w:val="20"/>
          <w:szCs w:val="20"/>
          <w:lang w:val="fr-FR"/>
        </w:rPr>
        <w:t>’</w:t>
      </w:r>
      <w:r w:rsidRPr="00A74D23">
        <w:rPr>
          <w:rFonts w:asciiTheme="minorHAnsi" w:hAnsiTheme="minorHAnsi"/>
          <w:sz w:val="20"/>
          <w:szCs w:val="20"/>
          <w:lang w:val="fr-FR"/>
        </w:rPr>
        <w:t>UNEP FI, s</w:t>
      </w:r>
      <w:r w:rsidRPr="00A74D23">
        <w:rPr>
          <w:rFonts w:asciiTheme="minorHAnsi" w:hAnsiTheme="minorHAnsi" w:cs="Source Sans Pro"/>
          <w:sz w:val="20"/>
          <w:szCs w:val="20"/>
          <w:lang w:val="fr-FR"/>
        </w:rPr>
        <w:t>’</w:t>
      </w:r>
      <w:r w:rsidRPr="00A74D23">
        <w:rPr>
          <w:rFonts w:asciiTheme="minorHAnsi" w:hAnsiTheme="minorHAnsi"/>
          <w:sz w:val="20"/>
          <w:szCs w:val="20"/>
          <w:lang w:val="fr-FR"/>
        </w:rPr>
        <w:t xml:space="preserve">engage </w:t>
      </w:r>
      <w:r w:rsidRPr="00A74D23">
        <w:rPr>
          <w:rFonts w:asciiTheme="minorHAnsi" w:hAnsiTheme="minorHAnsi" w:cs="Source Sans Pro"/>
          <w:sz w:val="20"/>
          <w:szCs w:val="20"/>
          <w:lang w:val="fr-FR"/>
        </w:rPr>
        <w:t>à</w:t>
      </w:r>
      <w:r w:rsidRPr="00A74D23">
        <w:rPr>
          <w:rFonts w:asciiTheme="minorHAnsi" w:hAnsiTheme="minorHAnsi"/>
          <w:sz w:val="20"/>
          <w:szCs w:val="20"/>
          <w:lang w:val="fr-FR"/>
        </w:rPr>
        <w:t xml:space="preserve"> atteindre la neutralit</w:t>
      </w:r>
      <w:r w:rsidRPr="00A74D23">
        <w:rPr>
          <w:rFonts w:asciiTheme="minorHAnsi" w:hAnsiTheme="minorHAnsi" w:cs="Source Sans Pro"/>
          <w:sz w:val="20"/>
          <w:szCs w:val="20"/>
          <w:lang w:val="fr-FR"/>
        </w:rPr>
        <w:t>é</w:t>
      </w:r>
      <w:r w:rsidRPr="00A74D23">
        <w:rPr>
          <w:rFonts w:asciiTheme="minorHAnsi" w:hAnsiTheme="minorHAnsi"/>
          <w:sz w:val="20"/>
          <w:szCs w:val="20"/>
          <w:lang w:val="fr-FR"/>
        </w:rPr>
        <w:t xml:space="preserve"> carbone des portefeuilles d</w:t>
      </w:r>
      <w:r w:rsidRPr="00A74D23">
        <w:rPr>
          <w:rFonts w:asciiTheme="minorHAnsi" w:hAnsiTheme="minorHAnsi" w:cs="Source Sans Pro"/>
          <w:sz w:val="20"/>
          <w:szCs w:val="20"/>
          <w:lang w:val="fr-FR"/>
        </w:rPr>
        <w:t>’</w:t>
      </w:r>
      <w:r w:rsidRPr="00A74D23">
        <w:rPr>
          <w:rFonts w:asciiTheme="minorHAnsi" w:hAnsiTheme="minorHAnsi"/>
          <w:sz w:val="20"/>
          <w:szCs w:val="20"/>
          <w:lang w:val="fr-FR"/>
        </w:rPr>
        <w:t xml:space="preserve">investissement </w:t>
      </w:r>
      <w:r w:rsidRPr="00A74D23">
        <w:rPr>
          <w:rFonts w:asciiTheme="minorHAnsi" w:hAnsiTheme="minorHAnsi" w:cs="Source Sans Pro"/>
          <w:sz w:val="20"/>
          <w:szCs w:val="20"/>
          <w:lang w:val="fr-FR"/>
        </w:rPr>
        <w:t>à</w:t>
      </w:r>
      <w:r w:rsidRPr="00A74D23">
        <w:rPr>
          <w:rFonts w:asciiTheme="minorHAnsi" w:hAnsiTheme="minorHAnsi"/>
          <w:sz w:val="20"/>
          <w:szCs w:val="20"/>
          <w:lang w:val="fr-FR"/>
        </w:rPr>
        <w:t xml:space="preserve"> horizon 2050. Les signataires d</w:t>
      </w:r>
      <w:r w:rsidRPr="00A74D23">
        <w:rPr>
          <w:rFonts w:asciiTheme="minorHAnsi" w:hAnsiTheme="minorHAnsi" w:cs="Source Sans Pro"/>
          <w:sz w:val="20"/>
          <w:szCs w:val="20"/>
          <w:lang w:val="fr-FR"/>
        </w:rPr>
        <w:t>é</w:t>
      </w:r>
      <w:r w:rsidRPr="00A74D23">
        <w:rPr>
          <w:rFonts w:asciiTheme="minorHAnsi" w:hAnsiTheme="minorHAnsi"/>
          <w:sz w:val="20"/>
          <w:szCs w:val="20"/>
          <w:lang w:val="fr-FR"/>
        </w:rPr>
        <w:t>finissent des objectifs interm</w:t>
      </w:r>
      <w:r w:rsidRPr="00A74D23">
        <w:rPr>
          <w:rFonts w:asciiTheme="minorHAnsi" w:hAnsiTheme="minorHAnsi" w:cs="Source Sans Pro"/>
          <w:sz w:val="20"/>
          <w:szCs w:val="20"/>
          <w:lang w:val="fr-FR"/>
        </w:rPr>
        <w:t>é</w:t>
      </w:r>
      <w:r w:rsidRPr="00A74D23">
        <w:rPr>
          <w:rFonts w:asciiTheme="minorHAnsi" w:hAnsiTheme="minorHAnsi"/>
          <w:sz w:val="20"/>
          <w:szCs w:val="20"/>
          <w:lang w:val="fr-FR"/>
        </w:rPr>
        <w:t>diaires de r</w:t>
      </w:r>
      <w:r w:rsidRPr="00A74D23">
        <w:rPr>
          <w:rFonts w:asciiTheme="minorHAnsi" w:hAnsiTheme="minorHAnsi" w:cs="Source Sans Pro"/>
          <w:sz w:val="20"/>
          <w:szCs w:val="20"/>
          <w:lang w:val="fr-FR"/>
        </w:rPr>
        <w:t>é</w:t>
      </w:r>
      <w:r w:rsidRPr="00A74D23">
        <w:rPr>
          <w:rFonts w:asciiTheme="minorHAnsi" w:hAnsiTheme="minorHAnsi"/>
          <w:sz w:val="20"/>
          <w:szCs w:val="20"/>
          <w:lang w:val="fr-FR"/>
        </w:rPr>
        <w:t xml:space="preserve">duction des </w:t>
      </w:r>
      <w:r w:rsidRPr="00A74D23">
        <w:rPr>
          <w:rFonts w:asciiTheme="minorHAnsi" w:hAnsiTheme="minorHAnsi" w:cs="Source Sans Pro"/>
          <w:sz w:val="20"/>
          <w:szCs w:val="20"/>
          <w:lang w:val="fr-FR"/>
        </w:rPr>
        <w:t>é</w:t>
      </w:r>
      <w:r w:rsidRPr="00A74D23">
        <w:rPr>
          <w:rFonts w:asciiTheme="minorHAnsi" w:hAnsiTheme="minorHAnsi"/>
          <w:sz w:val="20"/>
          <w:szCs w:val="20"/>
          <w:lang w:val="fr-FR"/>
        </w:rPr>
        <w:t>missions, r</w:t>
      </w:r>
      <w:r w:rsidRPr="00A74D23">
        <w:rPr>
          <w:rFonts w:asciiTheme="minorHAnsi" w:hAnsiTheme="minorHAnsi" w:cs="Source Sans Pro"/>
          <w:sz w:val="20"/>
          <w:szCs w:val="20"/>
          <w:lang w:val="fr-FR"/>
        </w:rPr>
        <w:t>é</w:t>
      </w:r>
      <w:r w:rsidRPr="00A74D23">
        <w:rPr>
          <w:rFonts w:asciiTheme="minorHAnsi" w:hAnsiTheme="minorHAnsi"/>
          <w:sz w:val="20"/>
          <w:szCs w:val="20"/>
          <w:lang w:val="fr-FR"/>
        </w:rPr>
        <w:t>vis</w:t>
      </w:r>
      <w:r w:rsidRPr="00A74D23">
        <w:rPr>
          <w:rFonts w:asciiTheme="minorHAnsi" w:hAnsiTheme="minorHAnsi" w:cs="Source Sans Pro"/>
          <w:sz w:val="20"/>
          <w:szCs w:val="20"/>
          <w:lang w:val="fr-FR"/>
        </w:rPr>
        <w:t>é</w:t>
      </w:r>
      <w:r w:rsidRPr="00A74D23">
        <w:rPr>
          <w:rFonts w:asciiTheme="minorHAnsi" w:hAnsiTheme="minorHAnsi"/>
          <w:sz w:val="20"/>
          <w:szCs w:val="20"/>
          <w:lang w:val="fr-FR"/>
        </w:rPr>
        <w:t>s tous les cinq ans, et publient r</w:t>
      </w:r>
      <w:r w:rsidRPr="00A74D23">
        <w:rPr>
          <w:rFonts w:asciiTheme="minorHAnsi" w:hAnsiTheme="minorHAnsi" w:cs="Source Sans Pro"/>
          <w:sz w:val="20"/>
          <w:szCs w:val="20"/>
          <w:lang w:val="fr-FR"/>
        </w:rPr>
        <w:t>é</w:t>
      </w:r>
      <w:r w:rsidRPr="00A74D23">
        <w:rPr>
          <w:rFonts w:asciiTheme="minorHAnsi" w:hAnsiTheme="minorHAnsi"/>
          <w:sz w:val="20"/>
          <w:szCs w:val="20"/>
          <w:lang w:val="fr-FR"/>
        </w:rPr>
        <w:t>guli</w:t>
      </w:r>
      <w:r w:rsidRPr="00A74D23">
        <w:rPr>
          <w:rFonts w:asciiTheme="minorHAnsi" w:hAnsiTheme="minorHAnsi" w:cs="Source Sans Pro"/>
          <w:sz w:val="20"/>
          <w:szCs w:val="20"/>
          <w:lang w:val="fr-FR"/>
        </w:rPr>
        <w:t>è</w:t>
      </w:r>
      <w:r w:rsidRPr="00A74D23">
        <w:rPr>
          <w:rFonts w:asciiTheme="minorHAnsi" w:hAnsiTheme="minorHAnsi"/>
          <w:sz w:val="20"/>
          <w:szCs w:val="20"/>
          <w:lang w:val="fr-FR"/>
        </w:rPr>
        <w:t>rement les progr</w:t>
      </w:r>
      <w:r w:rsidRPr="00A74D23">
        <w:rPr>
          <w:rFonts w:asciiTheme="minorHAnsi" w:hAnsiTheme="minorHAnsi" w:cs="Source Sans Pro"/>
          <w:sz w:val="20"/>
          <w:szCs w:val="20"/>
          <w:lang w:val="fr-FR"/>
        </w:rPr>
        <w:t>è</w:t>
      </w:r>
      <w:r w:rsidRPr="00A74D23">
        <w:rPr>
          <w:rFonts w:asciiTheme="minorHAnsi" w:hAnsiTheme="minorHAnsi"/>
          <w:sz w:val="20"/>
          <w:szCs w:val="20"/>
          <w:lang w:val="fr-FR"/>
        </w:rPr>
        <w:t>s r</w:t>
      </w:r>
      <w:r w:rsidRPr="00A74D23">
        <w:rPr>
          <w:rFonts w:asciiTheme="minorHAnsi" w:hAnsiTheme="minorHAnsi" w:cs="Source Sans Pro"/>
          <w:sz w:val="20"/>
          <w:szCs w:val="20"/>
          <w:lang w:val="fr-FR"/>
        </w:rPr>
        <w:t>é</w:t>
      </w:r>
      <w:r w:rsidRPr="00A74D23">
        <w:rPr>
          <w:rFonts w:asciiTheme="minorHAnsi" w:hAnsiTheme="minorHAnsi"/>
          <w:sz w:val="20"/>
          <w:szCs w:val="20"/>
          <w:lang w:val="fr-FR"/>
        </w:rPr>
        <w:t>alis</w:t>
      </w:r>
      <w:r w:rsidRPr="00A74D23">
        <w:rPr>
          <w:rFonts w:asciiTheme="minorHAnsi" w:hAnsiTheme="minorHAnsi" w:cs="Source Sans Pro"/>
          <w:sz w:val="20"/>
          <w:szCs w:val="20"/>
          <w:lang w:val="fr-FR"/>
        </w:rPr>
        <w:t>é</w:t>
      </w:r>
      <w:r w:rsidRPr="00A74D23">
        <w:rPr>
          <w:rFonts w:asciiTheme="minorHAnsi" w:hAnsiTheme="minorHAnsi"/>
          <w:sz w:val="20"/>
          <w:szCs w:val="20"/>
          <w:lang w:val="fr-FR"/>
        </w:rPr>
        <w:t>s.</w:t>
      </w:r>
    </w:p>
    <w:p w14:paraId="2A608C10" w14:textId="626B8320" w:rsidR="0057408C" w:rsidRPr="00A74D23" w:rsidRDefault="0057408C" w:rsidP="009D6EE5">
      <w:pPr>
        <w:spacing w:line="22" w:lineRule="atLeast"/>
        <w:jc w:val="both"/>
        <w:rPr>
          <w:rFonts w:asciiTheme="minorHAnsi" w:eastAsiaTheme="minorHAnsi" w:hAnsiTheme="minorHAnsi"/>
          <w:b/>
          <w:sz w:val="20"/>
          <w:szCs w:val="20"/>
          <w:lang w:val="fr-FR"/>
        </w:rPr>
      </w:pPr>
      <w:bookmarkStart w:id="81" w:name="_Toc228203013"/>
      <w:r w:rsidRPr="00A74D23">
        <w:rPr>
          <w:rFonts w:asciiTheme="minorHAnsi" w:eastAsiaTheme="minorHAnsi" w:hAnsiTheme="minorHAnsi"/>
          <w:sz w:val="20"/>
          <w:szCs w:val="20"/>
          <w:lang w:val="fr-FR"/>
        </w:rPr>
        <w:t>Abeille Assurances a également renouvelé son adhésion au Carbon Disclosure Project (CDP). Le CDP incite les entreprises à publier un reporting climat à destination des investisseurs. Abeille Assurances répond à ce reporting et s’appuie sur les données du CDP dans ses processus d’investissement. Le CDP mène par ailleurs des actions d’engagement afin d’améliorer la transparence et la qualité des informations extra</w:t>
      </w:r>
      <w:r w:rsidRPr="00A74D23">
        <w:rPr>
          <w:rFonts w:ascii="Cambria Math" w:eastAsiaTheme="minorHAnsi" w:hAnsi="Cambria Math" w:cs="Cambria Math"/>
          <w:sz w:val="20"/>
          <w:szCs w:val="20"/>
          <w:lang w:val="fr-FR"/>
        </w:rPr>
        <w:t>‑</w:t>
      </w:r>
      <w:r w:rsidRPr="00A74D23">
        <w:rPr>
          <w:rFonts w:asciiTheme="minorHAnsi" w:eastAsiaTheme="minorHAnsi" w:hAnsiTheme="minorHAnsi"/>
          <w:sz w:val="20"/>
          <w:szCs w:val="20"/>
          <w:lang w:val="fr-FR"/>
        </w:rPr>
        <w:t>financi</w:t>
      </w:r>
      <w:r w:rsidRPr="00A74D23">
        <w:rPr>
          <w:rFonts w:asciiTheme="minorHAnsi" w:eastAsiaTheme="minorHAnsi" w:hAnsiTheme="minorHAnsi" w:cs="Source Sans Pro"/>
          <w:sz w:val="20"/>
          <w:szCs w:val="20"/>
          <w:lang w:val="fr-FR"/>
        </w:rPr>
        <w:t>è</w:t>
      </w:r>
      <w:r w:rsidRPr="00A74D23">
        <w:rPr>
          <w:rFonts w:asciiTheme="minorHAnsi" w:eastAsiaTheme="minorHAnsi" w:hAnsiTheme="minorHAnsi"/>
          <w:sz w:val="20"/>
          <w:szCs w:val="20"/>
          <w:lang w:val="fr-FR"/>
        </w:rPr>
        <w:t>res publi</w:t>
      </w:r>
      <w:r w:rsidRPr="00A74D23">
        <w:rPr>
          <w:rFonts w:asciiTheme="minorHAnsi" w:eastAsiaTheme="minorHAnsi" w:hAnsiTheme="minorHAnsi" w:cs="Source Sans Pro"/>
          <w:sz w:val="20"/>
          <w:szCs w:val="20"/>
          <w:lang w:val="fr-FR"/>
        </w:rPr>
        <w:t>é</w:t>
      </w:r>
      <w:r w:rsidRPr="00A74D23">
        <w:rPr>
          <w:rFonts w:asciiTheme="minorHAnsi" w:eastAsiaTheme="minorHAnsi" w:hAnsiTheme="minorHAnsi"/>
          <w:sz w:val="20"/>
          <w:szCs w:val="20"/>
          <w:lang w:val="fr-FR"/>
        </w:rPr>
        <w:t>es par les entreprises.</w:t>
      </w:r>
      <w:bookmarkStart w:id="82" w:name="_Toc228203014"/>
      <w:bookmarkEnd w:id="81"/>
      <w:r w:rsidR="0018038F" w:rsidRPr="00A74D23">
        <w:rPr>
          <w:rFonts w:asciiTheme="minorHAnsi" w:eastAsiaTheme="minorHAnsi" w:hAnsiTheme="minorHAnsi"/>
          <w:b/>
          <w:sz w:val="20"/>
          <w:szCs w:val="20"/>
          <w:lang w:val="fr-FR"/>
        </w:rPr>
        <w:t xml:space="preserve"> </w:t>
      </w:r>
      <w:r w:rsidRPr="00A74D23">
        <w:rPr>
          <w:rFonts w:asciiTheme="minorHAnsi" w:eastAsiaTheme="minorHAnsi" w:hAnsiTheme="minorHAnsi"/>
          <w:sz w:val="20"/>
          <w:szCs w:val="20"/>
          <w:lang w:val="fr-FR"/>
        </w:rPr>
        <w:t xml:space="preserve">Enfin, Abeille Assurances poursuit son engagement auprès des instances de place par la signature des Principes pour l’Investissement Responsable (UN PRI), soutenus par les Nations unies. Ces principes engagent les investisseurs à intégrer les enjeux ESG, et en particulier climatiques, dans l’analyse et la prise de décision en matière d’investissement. Les signataires rendent compte annuellement de leurs pratiques d’investissement responsable. </w:t>
      </w:r>
      <w:r w:rsidRPr="00A74D23">
        <w:rPr>
          <w:rFonts w:asciiTheme="minorHAnsi" w:hAnsiTheme="minorHAnsi" w:cs="Segoe UI"/>
          <w:sz w:val="20"/>
          <w:szCs w:val="20"/>
          <w:lang w:val="fr-FR"/>
        </w:rPr>
        <w:t>(</w:t>
      </w:r>
      <w:r w:rsidR="0018038F" w:rsidRPr="00A74D23">
        <w:rPr>
          <w:rFonts w:asciiTheme="minorHAnsi" w:hAnsiTheme="minorHAnsi" w:cs="Segoe UI"/>
          <w:sz w:val="20"/>
          <w:szCs w:val="20"/>
          <w:lang w:val="fr-FR"/>
        </w:rPr>
        <w:t>Voir</w:t>
      </w:r>
      <w:r w:rsidRPr="00A74D23">
        <w:rPr>
          <w:rFonts w:asciiTheme="minorHAnsi" w:hAnsiTheme="minorHAnsi" w:cs="Segoe UI"/>
          <w:sz w:val="20"/>
          <w:szCs w:val="20"/>
          <w:lang w:val="fr-FR"/>
        </w:rPr>
        <w:t xml:space="preserve"> section E)</w:t>
      </w:r>
      <w:bookmarkEnd w:id="82"/>
    </w:p>
    <w:p w14:paraId="2B811D89" w14:textId="77777777" w:rsidR="00674F65" w:rsidRPr="00A74D23" w:rsidRDefault="00674F65" w:rsidP="009D6EE5">
      <w:pPr>
        <w:spacing w:line="22" w:lineRule="atLeast"/>
        <w:jc w:val="both"/>
        <w:rPr>
          <w:rFonts w:asciiTheme="minorHAnsi" w:hAnsiTheme="minorHAnsi"/>
          <w:sz w:val="20"/>
          <w:szCs w:val="20"/>
          <w:lang w:val="fr-FR"/>
        </w:rPr>
      </w:pPr>
    </w:p>
    <w:p w14:paraId="6084543B" w14:textId="77777777" w:rsidR="00674F65" w:rsidRPr="00A74D23" w:rsidRDefault="00674F65" w:rsidP="009D6EE5">
      <w:pPr>
        <w:spacing w:line="22" w:lineRule="atLeast"/>
        <w:jc w:val="both"/>
        <w:rPr>
          <w:rFonts w:asciiTheme="minorHAnsi" w:hAnsiTheme="minorHAnsi"/>
          <w:sz w:val="20"/>
          <w:szCs w:val="20"/>
          <w:lang w:val="fr-FR"/>
        </w:rPr>
      </w:pPr>
    </w:p>
    <w:p w14:paraId="1DB25D2C" w14:textId="6EF08C64" w:rsidR="00F55DA6" w:rsidRPr="00A74D23" w:rsidRDefault="00F55DA6" w:rsidP="00590DD1">
      <w:pPr>
        <w:pStyle w:val="Paragraphedeliste"/>
        <w:numPr>
          <w:ilvl w:val="1"/>
          <w:numId w:val="89"/>
        </w:numPr>
        <w:spacing w:line="22" w:lineRule="atLeast"/>
        <w:ind w:left="709"/>
        <w:jc w:val="both"/>
        <w:rPr>
          <w:b/>
          <w:bCs/>
          <w:sz w:val="32"/>
          <w:szCs w:val="32"/>
        </w:rPr>
      </w:pPr>
      <w:r w:rsidRPr="00A74D23">
        <w:rPr>
          <w:b/>
          <w:bCs/>
          <w:sz w:val="32"/>
          <w:szCs w:val="32"/>
        </w:rPr>
        <w:t>Des politiques sectorielles dédiées</w:t>
      </w:r>
    </w:p>
    <w:p w14:paraId="5092EB51" w14:textId="77777777" w:rsidR="00674F65" w:rsidRPr="00A74D23" w:rsidRDefault="00674F65" w:rsidP="009D6EE5">
      <w:pPr>
        <w:spacing w:line="22" w:lineRule="atLeast"/>
        <w:jc w:val="both"/>
        <w:rPr>
          <w:rFonts w:asciiTheme="minorHAnsi" w:hAnsiTheme="minorHAnsi"/>
          <w:sz w:val="20"/>
          <w:szCs w:val="20"/>
          <w:lang w:val="fr-FR"/>
        </w:rPr>
      </w:pPr>
    </w:p>
    <w:p w14:paraId="0DCB0965" w14:textId="77777777" w:rsidR="0057408C" w:rsidRPr="00A74D23" w:rsidRDefault="0057408C" w:rsidP="009D6EE5">
      <w:pPr>
        <w:spacing w:line="22" w:lineRule="atLeast"/>
        <w:jc w:val="both"/>
        <w:rPr>
          <w:rFonts w:asciiTheme="minorHAnsi" w:hAnsiTheme="minorHAnsi" w:cs="Segoe UI"/>
          <w:sz w:val="20"/>
          <w:szCs w:val="20"/>
          <w:lang w:val="fr-FR"/>
        </w:rPr>
      </w:pPr>
      <w:r w:rsidRPr="00A74D23">
        <w:rPr>
          <w:rFonts w:asciiTheme="minorHAnsi" w:hAnsiTheme="minorHAnsi" w:cs="Segoe UI"/>
          <w:sz w:val="20"/>
          <w:szCs w:val="20"/>
          <w:lang w:val="fr-FR"/>
        </w:rPr>
        <w:t xml:space="preserve">Afin de progresser en continu et d’atteindre nos objectifs climatiques, nous déployons une </w:t>
      </w:r>
      <w:r w:rsidRPr="00A74D23">
        <w:rPr>
          <w:rFonts w:asciiTheme="minorHAnsi" w:hAnsiTheme="minorHAnsi" w:cs="Segoe UI"/>
          <w:b/>
          <w:bCs/>
          <w:sz w:val="20"/>
          <w:szCs w:val="20"/>
          <w:lang w:val="fr-FR"/>
        </w:rPr>
        <w:t>stratégie articulée autour de trois leviers sectoriels complémentaires</w:t>
      </w:r>
      <w:r w:rsidRPr="00A74D23">
        <w:rPr>
          <w:rFonts w:asciiTheme="minorHAnsi" w:hAnsiTheme="minorHAnsi" w:cs="Segoe UI"/>
          <w:sz w:val="20"/>
          <w:szCs w:val="20"/>
          <w:lang w:val="fr-FR"/>
        </w:rPr>
        <w:t xml:space="preserve"> :</w:t>
      </w:r>
    </w:p>
    <w:p w14:paraId="41343278" w14:textId="77777777" w:rsidR="0057408C" w:rsidRPr="00A74D23" w:rsidRDefault="0057408C" w:rsidP="00590DD1">
      <w:pPr>
        <w:numPr>
          <w:ilvl w:val="0"/>
          <w:numId w:val="110"/>
        </w:numPr>
        <w:tabs>
          <w:tab w:val="clear" w:pos="720"/>
          <w:tab w:val="num" w:pos="360"/>
        </w:tabs>
        <w:spacing w:line="22" w:lineRule="atLeast"/>
        <w:ind w:left="426"/>
        <w:jc w:val="both"/>
        <w:rPr>
          <w:rFonts w:asciiTheme="minorHAnsi" w:hAnsiTheme="minorHAnsi"/>
          <w:sz w:val="20"/>
          <w:szCs w:val="20"/>
          <w:lang w:val="fr-FR"/>
        </w:rPr>
      </w:pPr>
      <w:r w:rsidRPr="00A74D23">
        <w:rPr>
          <w:rFonts w:asciiTheme="minorHAnsi" w:hAnsiTheme="minorHAnsi"/>
          <w:b/>
          <w:bCs/>
          <w:sz w:val="20"/>
          <w:szCs w:val="20"/>
          <w:lang w:val="fr-FR"/>
        </w:rPr>
        <w:t>Financer la transition</w:t>
      </w:r>
      <w:r w:rsidRPr="00A74D23">
        <w:rPr>
          <w:rFonts w:asciiTheme="minorHAnsi" w:hAnsiTheme="minorHAnsi"/>
          <w:sz w:val="20"/>
          <w:szCs w:val="20"/>
          <w:lang w:val="fr-FR"/>
        </w:rPr>
        <w:t> : nous orientons nos investissements vers les infrastructures d’énergies renouvelables et les entreprises développant des solutions contribuant à l’atténuation et à l’adaptation au changement climatique.</w:t>
      </w:r>
    </w:p>
    <w:p w14:paraId="0A810A14" w14:textId="77777777" w:rsidR="0057408C" w:rsidRPr="00A74D23" w:rsidRDefault="0057408C" w:rsidP="00590DD1">
      <w:pPr>
        <w:numPr>
          <w:ilvl w:val="0"/>
          <w:numId w:val="110"/>
        </w:numPr>
        <w:tabs>
          <w:tab w:val="clear" w:pos="720"/>
          <w:tab w:val="num" w:pos="360"/>
        </w:tabs>
        <w:spacing w:line="22" w:lineRule="atLeast"/>
        <w:ind w:left="426"/>
        <w:jc w:val="both"/>
        <w:rPr>
          <w:rFonts w:asciiTheme="minorHAnsi" w:hAnsiTheme="minorHAnsi"/>
          <w:sz w:val="20"/>
          <w:szCs w:val="20"/>
          <w:lang w:val="fr-FR"/>
        </w:rPr>
      </w:pPr>
      <w:r w:rsidRPr="00A74D23">
        <w:rPr>
          <w:rFonts w:asciiTheme="minorHAnsi" w:hAnsiTheme="minorHAnsi"/>
          <w:b/>
          <w:bCs/>
          <w:sz w:val="20"/>
          <w:szCs w:val="20"/>
          <w:lang w:val="fr-FR"/>
        </w:rPr>
        <w:t>Dialoguer avec les émetteurs en portefeuille</w:t>
      </w:r>
      <w:r w:rsidRPr="00A74D23">
        <w:rPr>
          <w:rFonts w:asciiTheme="minorHAnsi" w:hAnsiTheme="minorHAnsi"/>
          <w:sz w:val="20"/>
          <w:szCs w:val="20"/>
          <w:lang w:val="fr-FR"/>
        </w:rPr>
        <w:t> : nous menons un engagement actif auprès des entreprises afin de soutenir et d’accélérer leurs trajectoires de transition. En tant qu’investisseur et actionnaire, nous sommes convaincus de l’impact de ce dialogue dans la transformation de l’économie réelle.</w:t>
      </w:r>
    </w:p>
    <w:p w14:paraId="136C44A3" w14:textId="290EE363" w:rsidR="0057408C" w:rsidRPr="00A74D23" w:rsidRDefault="0057408C" w:rsidP="00590DD1">
      <w:pPr>
        <w:numPr>
          <w:ilvl w:val="0"/>
          <w:numId w:val="110"/>
        </w:numPr>
        <w:tabs>
          <w:tab w:val="clear" w:pos="720"/>
          <w:tab w:val="num" w:pos="360"/>
        </w:tabs>
        <w:spacing w:line="22" w:lineRule="atLeast"/>
        <w:ind w:left="426"/>
        <w:jc w:val="both"/>
        <w:rPr>
          <w:rFonts w:asciiTheme="minorHAnsi" w:hAnsiTheme="minorHAnsi"/>
          <w:sz w:val="20"/>
          <w:szCs w:val="20"/>
          <w:lang w:val="fr-FR"/>
        </w:rPr>
      </w:pPr>
      <w:r w:rsidRPr="00A74D23">
        <w:rPr>
          <w:rFonts w:asciiTheme="minorHAnsi" w:hAnsiTheme="minorHAnsi"/>
          <w:b/>
          <w:bCs/>
          <w:sz w:val="20"/>
          <w:szCs w:val="20"/>
          <w:lang w:val="fr-FR"/>
        </w:rPr>
        <w:t>Cesser certains investissements</w:t>
      </w:r>
      <w:r w:rsidRPr="00A74D23">
        <w:rPr>
          <w:rFonts w:asciiTheme="minorHAnsi" w:hAnsiTheme="minorHAnsi"/>
          <w:sz w:val="20"/>
          <w:szCs w:val="20"/>
          <w:lang w:val="fr-FR"/>
        </w:rPr>
        <w:t> : nous excluons progressivement les entreprises les plus exposées au charbon et aux hydrocarbures non conventionnels ; dont la stratégie d’expansion est incompatible avec une trajectoire de neutralité carbone fondée sur la science.</w:t>
      </w:r>
    </w:p>
    <w:p w14:paraId="3B91CA80" w14:textId="77777777" w:rsidR="0057408C" w:rsidRPr="00A74D23" w:rsidRDefault="0057408C" w:rsidP="009D6EE5">
      <w:pPr>
        <w:spacing w:line="22" w:lineRule="atLeast"/>
        <w:ind w:left="284"/>
        <w:jc w:val="both"/>
        <w:rPr>
          <w:rFonts w:asciiTheme="minorHAnsi" w:hAnsiTheme="minorHAnsi"/>
          <w:sz w:val="20"/>
          <w:szCs w:val="20"/>
          <w:lang w:val="fr-FR"/>
        </w:rPr>
      </w:pPr>
    </w:p>
    <w:p w14:paraId="5501F7B7" w14:textId="616FEDD1" w:rsidR="0057408C" w:rsidRPr="00A74D23" w:rsidRDefault="0057408C" w:rsidP="004C20F2">
      <w:pPr>
        <w:tabs>
          <w:tab w:val="num" w:pos="720"/>
        </w:tabs>
        <w:spacing w:after="120" w:line="22" w:lineRule="atLeast"/>
        <w:jc w:val="both"/>
        <w:rPr>
          <w:rFonts w:asciiTheme="minorHAnsi" w:hAnsiTheme="minorHAnsi"/>
          <w:sz w:val="20"/>
          <w:szCs w:val="20"/>
          <w:lang w:val="fr-FR"/>
        </w:rPr>
      </w:pPr>
      <w:r w:rsidRPr="00A74D23">
        <w:rPr>
          <w:rFonts w:asciiTheme="minorHAnsi" w:hAnsiTheme="minorHAnsi"/>
          <w:sz w:val="20"/>
          <w:szCs w:val="20"/>
          <w:lang w:val="fr-FR"/>
        </w:rPr>
        <w:t>Les politiques détaillées ci</w:t>
      </w:r>
      <w:r w:rsidRPr="00A74D23">
        <w:rPr>
          <w:rFonts w:asciiTheme="minorHAnsi" w:hAnsiTheme="minorHAnsi"/>
          <w:sz w:val="20"/>
          <w:szCs w:val="20"/>
          <w:lang w:val="fr-FR"/>
        </w:rPr>
        <w:noBreakHyphen/>
        <w:t xml:space="preserve">après s’appliquent aux </w:t>
      </w:r>
      <w:r w:rsidRPr="00A74D23">
        <w:rPr>
          <w:rFonts w:asciiTheme="minorHAnsi" w:hAnsiTheme="minorHAnsi"/>
          <w:b/>
          <w:bCs/>
          <w:sz w:val="20"/>
          <w:szCs w:val="20"/>
          <w:lang w:val="fr-FR"/>
        </w:rPr>
        <w:t>nouveaux investissements</w:t>
      </w:r>
      <w:r w:rsidRPr="00A74D23">
        <w:rPr>
          <w:rFonts w:asciiTheme="minorHAnsi" w:hAnsiTheme="minorHAnsi"/>
          <w:sz w:val="20"/>
          <w:szCs w:val="20"/>
          <w:lang w:val="fr-FR"/>
        </w:rPr>
        <w:t>. Les obligations détenues avant la publication des politiques d’exclusion sont conservées jusqu’à maturité, lorsque celle</w:t>
      </w:r>
      <w:r w:rsidRPr="00A74D23">
        <w:rPr>
          <w:rFonts w:asciiTheme="minorHAnsi" w:hAnsiTheme="minorHAnsi"/>
          <w:sz w:val="20"/>
          <w:szCs w:val="20"/>
          <w:lang w:val="fr-FR"/>
        </w:rPr>
        <w:noBreakHyphen/>
        <w:t xml:space="preserve">ci intervient avant 2030 pour le charbon et les hydrocarbures non conventionnels. </w:t>
      </w:r>
    </w:p>
    <w:p w14:paraId="7023C004" w14:textId="66994D5A" w:rsidR="0057408C" w:rsidRPr="00A74D23" w:rsidRDefault="0057408C" w:rsidP="004C20F2">
      <w:pPr>
        <w:tabs>
          <w:tab w:val="num" w:pos="720"/>
        </w:tabs>
        <w:spacing w:after="120" w:line="22" w:lineRule="atLeast"/>
        <w:jc w:val="both"/>
        <w:rPr>
          <w:rFonts w:asciiTheme="minorHAnsi" w:hAnsiTheme="minorHAnsi"/>
          <w:sz w:val="20"/>
          <w:szCs w:val="20"/>
          <w:lang w:val="fr-FR"/>
        </w:rPr>
      </w:pPr>
      <w:r w:rsidRPr="00A74D23">
        <w:rPr>
          <w:rFonts w:asciiTheme="minorHAnsi" w:hAnsiTheme="minorHAnsi"/>
          <w:sz w:val="20"/>
          <w:szCs w:val="20"/>
          <w:lang w:val="fr-FR"/>
        </w:rPr>
        <w:t>L’exposition actuelle d’Abeille Assurances et de ses entités d’assurance au secteur pétro</w:t>
      </w:r>
      <w:r w:rsidRPr="00A74D23">
        <w:rPr>
          <w:rFonts w:asciiTheme="minorHAnsi" w:hAnsiTheme="minorHAnsi"/>
          <w:sz w:val="20"/>
          <w:szCs w:val="20"/>
          <w:lang w:val="fr-FR"/>
        </w:rPr>
        <w:noBreakHyphen/>
        <w:t xml:space="preserve">gazier demeure </w:t>
      </w:r>
      <w:r w:rsidRPr="00A74D23">
        <w:rPr>
          <w:rFonts w:asciiTheme="minorHAnsi" w:hAnsiTheme="minorHAnsi"/>
          <w:b/>
          <w:bCs/>
          <w:sz w:val="20"/>
          <w:szCs w:val="20"/>
          <w:lang w:val="fr-FR"/>
        </w:rPr>
        <w:t>très limitée</w:t>
      </w:r>
      <w:r w:rsidR="00574ACF" w:rsidRPr="00A74D23">
        <w:rPr>
          <w:rFonts w:asciiTheme="minorHAnsi" w:hAnsiTheme="minorHAnsi"/>
          <w:sz w:val="20"/>
          <w:szCs w:val="20"/>
          <w:lang w:val="fr-FR"/>
        </w:rPr>
        <w:t>.</w:t>
      </w:r>
      <w:r w:rsidRPr="00A74D23">
        <w:rPr>
          <w:rFonts w:asciiTheme="minorHAnsi" w:hAnsiTheme="minorHAnsi"/>
          <w:sz w:val="20"/>
          <w:szCs w:val="20"/>
          <w:lang w:val="fr-FR"/>
        </w:rPr>
        <w:t xml:space="preserve"> Par ailleurs, s’agissant des investissements en actions, nous ne détenons aucun titre direct ni OPC dédiés dans des sociétés figurant sur les listes d’exclusion charbon et hydrocarbures.</w:t>
      </w:r>
    </w:p>
    <w:p w14:paraId="268A4D98" w14:textId="606A8412" w:rsidR="0057408C" w:rsidRPr="00A74D23" w:rsidRDefault="0057408C" w:rsidP="004C20F2">
      <w:pPr>
        <w:tabs>
          <w:tab w:val="num" w:pos="720"/>
        </w:tabs>
        <w:spacing w:after="120" w:line="22" w:lineRule="atLeast"/>
        <w:jc w:val="both"/>
        <w:rPr>
          <w:rFonts w:asciiTheme="minorHAnsi" w:hAnsiTheme="minorHAnsi"/>
          <w:sz w:val="20"/>
          <w:szCs w:val="20"/>
          <w:lang w:val="fr-FR"/>
        </w:rPr>
      </w:pPr>
      <w:r w:rsidRPr="00A74D23">
        <w:rPr>
          <w:rFonts w:asciiTheme="minorHAnsi" w:hAnsiTheme="minorHAnsi"/>
          <w:sz w:val="20"/>
          <w:szCs w:val="20"/>
          <w:lang w:val="fr-FR"/>
        </w:rPr>
        <w:t xml:space="preserve">Ces exclusions sont formalisées au sein de </w:t>
      </w:r>
      <w:r w:rsidRPr="00A74D23">
        <w:rPr>
          <w:rFonts w:asciiTheme="minorHAnsi" w:hAnsiTheme="minorHAnsi"/>
          <w:b/>
          <w:bCs/>
          <w:sz w:val="20"/>
          <w:szCs w:val="20"/>
          <w:lang w:val="fr-FR"/>
        </w:rPr>
        <w:t>politiques dédiées</w:t>
      </w:r>
      <w:r w:rsidRPr="00A74D23">
        <w:rPr>
          <w:rFonts w:asciiTheme="minorHAnsi" w:hAnsiTheme="minorHAnsi"/>
          <w:sz w:val="20"/>
          <w:szCs w:val="20"/>
          <w:lang w:val="fr-FR"/>
        </w:rPr>
        <w:t>, régulièrement mises à jour. Elles s’appliquent à l’ensemble des activités d’investissement d’Abeille Assurances et de ses entités d’assurance.</w:t>
      </w:r>
    </w:p>
    <w:p w14:paraId="3BF29F05" w14:textId="77777777" w:rsidR="0057408C" w:rsidRPr="00A74D23" w:rsidRDefault="0057408C" w:rsidP="009D6EE5">
      <w:pPr>
        <w:spacing w:line="22" w:lineRule="atLeast"/>
        <w:jc w:val="both"/>
        <w:rPr>
          <w:rFonts w:asciiTheme="minorHAnsi" w:hAnsiTheme="minorHAnsi"/>
          <w:sz w:val="20"/>
          <w:szCs w:val="20"/>
          <w:lang w:val="fr-FR"/>
        </w:rPr>
      </w:pPr>
    </w:p>
    <w:p w14:paraId="2484661F" w14:textId="77777777" w:rsidR="00F55DA6" w:rsidRPr="00A74D23" w:rsidRDefault="00F55DA6" w:rsidP="009D6EE5">
      <w:pPr>
        <w:spacing w:line="22" w:lineRule="atLeast"/>
        <w:jc w:val="both"/>
        <w:rPr>
          <w:rFonts w:asciiTheme="minorHAnsi" w:hAnsiTheme="minorHAnsi"/>
          <w:sz w:val="20"/>
          <w:lang w:val="fr-FR"/>
        </w:rPr>
      </w:pPr>
    </w:p>
    <w:p w14:paraId="65CB46D9" w14:textId="77777777" w:rsidR="0057408C" w:rsidRPr="00A74D23" w:rsidRDefault="0057408C" w:rsidP="009D6EE5">
      <w:pPr>
        <w:shd w:val="clear" w:color="auto" w:fill="FFD400" w:themeFill="accent1"/>
        <w:spacing w:line="22" w:lineRule="atLeast"/>
        <w:jc w:val="both"/>
        <w:rPr>
          <w:rFonts w:asciiTheme="minorHAnsi" w:hAnsiTheme="minorHAnsi"/>
          <w:b/>
          <w:sz w:val="8"/>
          <w:szCs w:val="8"/>
          <w:lang w:val="fr-FR"/>
        </w:rPr>
      </w:pPr>
    </w:p>
    <w:p w14:paraId="4269F056" w14:textId="77777777" w:rsidR="0057408C" w:rsidRPr="00A74D23" w:rsidRDefault="0057408C" w:rsidP="00004703">
      <w:pPr>
        <w:shd w:val="clear" w:color="auto" w:fill="FFD400" w:themeFill="accent1"/>
        <w:spacing w:line="22" w:lineRule="atLeast"/>
        <w:jc w:val="center"/>
        <w:rPr>
          <w:rFonts w:asciiTheme="minorHAnsi" w:hAnsiTheme="minorHAnsi"/>
          <w:b/>
          <w:sz w:val="28"/>
          <w:szCs w:val="36"/>
          <w:lang w:val="fr-FR"/>
        </w:rPr>
      </w:pPr>
      <w:r w:rsidRPr="00A74D23">
        <w:rPr>
          <w:rFonts w:asciiTheme="minorHAnsi" w:hAnsiTheme="minorHAnsi"/>
          <w:b/>
          <w:sz w:val="28"/>
          <w:szCs w:val="36"/>
          <w:lang w:val="fr-FR"/>
        </w:rPr>
        <w:t>Stratégie d’investissement charbon</w:t>
      </w:r>
    </w:p>
    <w:p w14:paraId="7535F698" w14:textId="77777777" w:rsidR="0057408C" w:rsidRPr="00A74D23" w:rsidRDefault="0057408C" w:rsidP="009D6EE5">
      <w:pPr>
        <w:shd w:val="clear" w:color="auto" w:fill="FFD400" w:themeFill="accent1"/>
        <w:spacing w:line="22" w:lineRule="atLeast"/>
        <w:jc w:val="both"/>
        <w:rPr>
          <w:rFonts w:asciiTheme="minorHAnsi" w:hAnsiTheme="minorHAnsi"/>
          <w:b/>
          <w:sz w:val="8"/>
          <w:szCs w:val="8"/>
          <w:lang w:val="fr-FR"/>
        </w:rPr>
      </w:pPr>
    </w:p>
    <w:p w14:paraId="32421FE1" w14:textId="77777777" w:rsidR="0057408C" w:rsidRPr="00A74D23" w:rsidRDefault="0057408C" w:rsidP="009D6EE5">
      <w:pPr>
        <w:spacing w:line="22" w:lineRule="atLeast"/>
        <w:jc w:val="both"/>
        <w:rPr>
          <w:rFonts w:asciiTheme="minorHAnsi" w:hAnsiTheme="minorHAnsi" w:cstheme="minorHAnsi"/>
          <w:sz w:val="12"/>
          <w:szCs w:val="12"/>
          <w:lang w:val="fr-FR"/>
        </w:rPr>
      </w:pPr>
    </w:p>
    <w:p w14:paraId="2DCDBB8D" w14:textId="77777777" w:rsidR="0057408C" w:rsidRPr="00A74D23" w:rsidRDefault="0057408C" w:rsidP="009D6EE5">
      <w:pPr>
        <w:spacing w:line="22" w:lineRule="atLeast"/>
        <w:jc w:val="both"/>
        <w:rPr>
          <w:rFonts w:asciiTheme="minorHAnsi" w:hAnsiTheme="minorHAnsi"/>
          <w:sz w:val="20"/>
          <w:szCs w:val="20"/>
          <w:lang w:val="fr-FR"/>
        </w:rPr>
      </w:pPr>
      <w:r w:rsidRPr="00A74D23">
        <w:rPr>
          <w:rFonts w:asciiTheme="minorHAnsi" w:hAnsiTheme="minorHAnsi"/>
          <w:sz w:val="20"/>
          <w:szCs w:val="20"/>
          <w:lang w:val="fr-FR"/>
        </w:rPr>
        <w:t>Notre stratégie d’investissement liée au charbon a été renforcée le 30 juin 2023. Elle repose désormais sur des critères d’exclusion plus stricts que ceux de la Global Coal Exit List (GCEL) établie par l’ONG Urgewald.</w:t>
      </w:r>
    </w:p>
    <w:p w14:paraId="48A0EEA2" w14:textId="77777777" w:rsidR="0057408C" w:rsidRPr="00A74D23" w:rsidRDefault="0057408C" w:rsidP="009D6EE5">
      <w:pPr>
        <w:pBdr>
          <w:top w:val="nil"/>
          <w:left w:val="nil"/>
          <w:bottom w:val="nil"/>
          <w:right w:val="nil"/>
          <w:between w:val="nil"/>
        </w:pBdr>
        <w:spacing w:line="22" w:lineRule="atLeast"/>
        <w:jc w:val="both"/>
        <w:rPr>
          <w:rFonts w:asciiTheme="minorHAnsi" w:hAnsiTheme="minorHAnsi"/>
          <w:sz w:val="20"/>
          <w:szCs w:val="20"/>
          <w:lang w:val="fr-FR"/>
        </w:rPr>
      </w:pPr>
    </w:p>
    <w:p w14:paraId="61B15EC4" w14:textId="7521ED25" w:rsidR="0057408C" w:rsidRPr="00A74D23" w:rsidRDefault="0057408C" w:rsidP="009D6EE5">
      <w:pPr>
        <w:pBdr>
          <w:top w:val="nil"/>
          <w:left w:val="nil"/>
          <w:bottom w:val="nil"/>
          <w:right w:val="nil"/>
          <w:between w:val="nil"/>
        </w:pBdr>
        <w:spacing w:line="22" w:lineRule="atLeast"/>
        <w:jc w:val="both"/>
        <w:rPr>
          <w:rFonts w:asciiTheme="minorHAnsi" w:eastAsia="Source Sans Pro" w:hAnsiTheme="minorHAnsi" w:cs="Source Sans Pro"/>
          <w:color w:val="000000"/>
          <w:sz w:val="20"/>
          <w:szCs w:val="20"/>
          <w:lang w:val="fr-FR"/>
        </w:rPr>
      </w:pPr>
      <w:r w:rsidRPr="00A74D23">
        <w:rPr>
          <w:rFonts w:asciiTheme="minorHAnsi" w:hAnsiTheme="minorHAnsi"/>
          <w:sz w:val="20"/>
          <w:szCs w:val="20"/>
          <w:lang w:val="fr-FR"/>
        </w:rPr>
        <w:t>Nous excluons tout nouvel investissement dans les entreprises répondant aux critères suivants :</w:t>
      </w:r>
    </w:p>
    <w:p w14:paraId="6C8D6A47" w14:textId="77777777" w:rsidR="0057408C" w:rsidRPr="00A74D23" w:rsidRDefault="00947814" w:rsidP="00590DD1">
      <w:pPr>
        <w:pStyle w:val="Paragraphedeliste"/>
        <w:numPr>
          <w:ilvl w:val="0"/>
          <w:numId w:val="65"/>
        </w:numPr>
        <w:pBdr>
          <w:top w:val="nil"/>
          <w:left w:val="nil"/>
          <w:bottom w:val="nil"/>
          <w:right w:val="nil"/>
          <w:between w:val="nil"/>
        </w:pBdr>
        <w:spacing w:after="0" w:line="22" w:lineRule="atLeast"/>
        <w:ind w:left="851"/>
        <w:jc w:val="both"/>
        <w:rPr>
          <w:rFonts w:eastAsia="Source Sans Pro" w:cs="Source Sans Pro"/>
          <w:color w:val="000000"/>
          <w:sz w:val="20"/>
          <w:szCs w:val="20"/>
        </w:rPr>
      </w:pPr>
      <w:sdt>
        <w:sdtPr>
          <w:tag w:val="goog_rdk_4"/>
          <w:id w:val="1052739690"/>
        </w:sdtPr>
        <w:sdtEndPr/>
        <w:sdtContent/>
      </w:sdt>
      <w:sdt>
        <w:sdtPr>
          <w:tag w:val="goog_rdk_5"/>
          <w:id w:val="-1290968811"/>
        </w:sdtPr>
        <w:sdtEndPr/>
        <w:sdtContent>
          <w:r w:rsidR="0057408C" w:rsidRPr="00A74D23">
            <w:rPr>
              <w:b/>
              <w:bCs/>
              <w:i/>
              <w:iCs/>
              <w:sz w:val="20"/>
              <w:szCs w:val="20"/>
            </w:rPr>
            <w:t xml:space="preserve">Développeurs </w:t>
          </w:r>
          <w:r w:rsidR="0057408C" w:rsidRPr="00A74D23">
            <w:rPr>
              <w:rFonts w:eastAsia="Source Sans Pro" w:cs="Source Sans Pro"/>
              <w:b/>
              <w:bCs/>
              <w:i/>
              <w:iCs/>
              <w:color w:val="000000"/>
              <w:sz w:val="20"/>
              <w:szCs w:val="20"/>
            </w:rPr>
            <w:t>charbon</w:t>
          </w:r>
          <w:r w:rsidR="0057408C" w:rsidRPr="00A74D23">
            <w:rPr>
              <w:sz w:val="20"/>
              <w:szCs w:val="20"/>
            </w:rPr>
            <w:t xml:space="preserve"> : </w:t>
          </w:r>
        </w:sdtContent>
      </w:sdt>
      <w:r w:rsidR="0057408C" w:rsidRPr="00A74D23">
        <w:t xml:space="preserve"> </w:t>
      </w:r>
      <w:r w:rsidR="0057408C" w:rsidRPr="00A74D23">
        <w:rPr>
          <w:rFonts w:eastAsia="Source Sans Pro" w:cs="Source Sans Pro"/>
          <w:color w:val="000000"/>
          <w:sz w:val="20"/>
          <w:szCs w:val="20"/>
        </w:rPr>
        <w:t>entreprises développant de nouveaux projets d’extraction de charbon thermique, de production d’électricité à partir du charbon ou d’infrastructures liées au charbon, quelle que soit leur taille.</w:t>
      </w:r>
    </w:p>
    <w:p w14:paraId="08332746" w14:textId="77777777" w:rsidR="0057408C" w:rsidRPr="00A74D23" w:rsidRDefault="0057408C" w:rsidP="00590DD1">
      <w:pPr>
        <w:pStyle w:val="Paragraphedeliste"/>
        <w:numPr>
          <w:ilvl w:val="0"/>
          <w:numId w:val="65"/>
        </w:numPr>
        <w:pBdr>
          <w:top w:val="nil"/>
          <w:left w:val="nil"/>
          <w:bottom w:val="nil"/>
          <w:right w:val="nil"/>
          <w:between w:val="nil"/>
        </w:pBdr>
        <w:spacing w:after="0" w:line="22" w:lineRule="atLeast"/>
        <w:ind w:left="851"/>
        <w:jc w:val="both"/>
        <w:rPr>
          <w:rFonts w:eastAsia="Source Sans Pro" w:cs="Source Sans Pro"/>
          <w:color w:val="000000"/>
          <w:sz w:val="20"/>
          <w:szCs w:val="20"/>
        </w:rPr>
      </w:pPr>
      <w:r w:rsidRPr="00A74D23">
        <w:rPr>
          <w:rFonts w:eastAsia="Source Sans Pro" w:cs="Source Sans Pro"/>
          <w:b/>
          <w:bCs/>
          <w:i/>
          <w:iCs/>
          <w:color w:val="000000"/>
          <w:sz w:val="20"/>
          <w:szCs w:val="20"/>
        </w:rPr>
        <w:t>Seuil absolu</w:t>
      </w:r>
      <w:r w:rsidRPr="00A74D23">
        <w:rPr>
          <w:rFonts w:eastAsia="Source Sans Pro" w:cs="Source Sans Pro"/>
          <w:color w:val="000000"/>
          <w:sz w:val="20"/>
          <w:szCs w:val="20"/>
        </w:rPr>
        <w:t> : entreprises dont la capacité de production d’électricité à partir du charbon dépasse 2 GW, ainsi que toute entreprise active dans l’extraction de charbon thermique dès le premier euro de chiffre d’affaires.</w:t>
      </w:r>
    </w:p>
    <w:p w14:paraId="2D76571D" w14:textId="77777777" w:rsidR="0057408C" w:rsidRPr="00A74D23" w:rsidRDefault="0057408C" w:rsidP="00590DD1">
      <w:pPr>
        <w:pStyle w:val="Paragraphedeliste"/>
        <w:numPr>
          <w:ilvl w:val="0"/>
          <w:numId w:val="65"/>
        </w:numPr>
        <w:pBdr>
          <w:top w:val="nil"/>
          <w:left w:val="nil"/>
          <w:bottom w:val="nil"/>
          <w:right w:val="nil"/>
          <w:between w:val="nil"/>
        </w:pBdr>
        <w:spacing w:after="0" w:line="22" w:lineRule="atLeast"/>
        <w:ind w:left="851"/>
        <w:jc w:val="both"/>
        <w:rPr>
          <w:rFonts w:eastAsia="Source Sans Pro" w:cs="Source Sans Pro"/>
          <w:color w:val="000000"/>
          <w:sz w:val="20"/>
          <w:szCs w:val="20"/>
        </w:rPr>
      </w:pPr>
      <w:r w:rsidRPr="00A74D23">
        <w:rPr>
          <w:rFonts w:eastAsia="Source Sans Pro" w:cs="Source Sans Pro"/>
          <w:b/>
          <w:bCs/>
          <w:i/>
          <w:iCs/>
          <w:color w:val="000000"/>
          <w:sz w:val="20"/>
          <w:szCs w:val="20"/>
        </w:rPr>
        <w:t>Seuil relatif</w:t>
      </w:r>
      <w:r w:rsidRPr="00A74D23">
        <w:rPr>
          <w:rFonts w:eastAsia="Source Sans Pro" w:cs="Source Sans Pro"/>
          <w:color w:val="000000"/>
          <w:sz w:val="20"/>
          <w:szCs w:val="20"/>
        </w:rPr>
        <w:t> : entreprises tirant plus de 10 % de leurs revenus de l’exploitation de mines de charbon ou de la production d’électricité à partir du charbon (ou, à défaut, selon la part des capacités installées).</w:t>
      </w:r>
    </w:p>
    <w:p w14:paraId="2FF8AD3B" w14:textId="77777777" w:rsidR="0057408C" w:rsidRPr="00A74D23" w:rsidRDefault="0057408C" w:rsidP="009D6EE5">
      <w:pPr>
        <w:pBdr>
          <w:top w:val="nil"/>
          <w:left w:val="nil"/>
          <w:bottom w:val="nil"/>
          <w:right w:val="nil"/>
          <w:between w:val="nil"/>
        </w:pBdr>
        <w:spacing w:line="22" w:lineRule="atLeast"/>
        <w:ind w:left="720"/>
        <w:jc w:val="both"/>
        <w:rPr>
          <w:rFonts w:asciiTheme="minorHAnsi" w:eastAsia="Source Sans Pro" w:hAnsiTheme="minorHAnsi" w:cs="Source Sans Pro"/>
          <w:color w:val="000000"/>
          <w:sz w:val="20"/>
          <w:szCs w:val="20"/>
          <w:lang w:val="fr-FR"/>
        </w:rPr>
      </w:pPr>
    </w:p>
    <w:p w14:paraId="721A8506" w14:textId="77777777" w:rsidR="0057408C" w:rsidRPr="00A74D23" w:rsidRDefault="0057408C" w:rsidP="00590DD1">
      <w:pPr>
        <w:pStyle w:val="Paragraphedeliste"/>
        <w:numPr>
          <w:ilvl w:val="0"/>
          <w:numId w:val="63"/>
        </w:numPr>
        <w:spacing w:after="0" w:line="22" w:lineRule="atLeast"/>
        <w:ind w:left="284" w:hanging="284"/>
        <w:jc w:val="both"/>
        <w:rPr>
          <w:sz w:val="20"/>
          <w:szCs w:val="20"/>
        </w:rPr>
      </w:pPr>
      <w:r w:rsidRPr="00A74D23">
        <w:rPr>
          <w:b/>
          <w:sz w:val="20"/>
          <w:szCs w:val="20"/>
        </w:rPr>
        <w:t>Périmètre d’application</w:t>
      </w:r>
    </w:p>
    <w:p w14:paraId="7E6E3A27" w14:textId="77777777" w:rsidR="0057408C" w:rsidRPr="00A74D23" w:rsidRDefault="0057408C" w:rsidP="009D6EE5">
      <w:pPr>
        <w:pStyle w:val="Paragraphedeliste"/>
        <w:spacing w:after="0" w:line="22" w:lineRule="atLeast"/>
        <w:ind w:left="284"/>
        <w:jc w:val="both"/>
        <w:rPr>
          <w:sz w:val="20"/>
          <w:szCs w:val="20"/>
        </w:rPr>
      </w:pPr>
      <w:r w:rsidRPr="00A74D23">
        <w:rPr>
          <w:sz w:val="20"/>
          <w:szCs w:val="20"/>
        </w:rPr>
        <w:t>Cette politique s’applique à l’ensemble des investissements gérés par Abeille AM pour le compte d’Abeille Assurances, sur les actions et obligations détenues en direct ainsi que sur les OPC dédiés.</w:t>
      </w:r>
    </w:p>
    <w:p w14:paraId="65B9D77D" w14:textId="77777777" w:rsidR="0057408C" w:rsidRPr="00A74D23" w:rsidRDefault="0057408C" w:rsidP="009D6EE5">
      <w:pPr>
        <w:pStyle w:val="Paragraphedeliste"/>
        <w:spacing w:after="0" w:line="22" w:lineRule="atLeast"/>
        <w:ind w:left="284"/>
        <w:jc w:val="both"/>
        <w:rPr>
          <w:sz w:val="20"/>
          <w:szCs w:val="20"/>
        </w:rPr>
      </w:pPr>
      <w:r w:rsidRPr="00A74D23">
        <w:rPr>
          <w:sz w:val="20"/>
          <w:szCs w:val="20"/>
        </w:rPr>
        <w:t xml:space="preserve"> </w:t>
      </w:r>
    </w:p>
    <w:p w14:paraId="216957E4" w14:textId="32C53412" w:rsidR="0057408C" w:rsidRPr="00A74D23" w:rsidRDefault="0057408C" w:rsidP="00590DD1">
      <w:pPr>
        <w:pStyle w:val="Paragraphedeliste"/>
        <w:numPr>
          <w:ilvl w:val="0"/>
          <w:numId w:val="63"/>
        </w:numPr>
        <w:spacing w:after="0" w:line="22" w:lineRule="atLeast"/>
        <w:ind w:left="284" w:hanging="284"/>
        <w:jc w:val="both"/>
        <w:rPr>
          <w:sz w:val="20"/>
          <w:szCs w:val="20"/>
        </w:rPr>
      </w:pPr>
      <w:r w:rsidRPr="00A74D23">
        <w:rPr>
          <w:b/>
          <w:sz w:val="20"/>
          <w:szCs w:val="20"/>
        </w:rPr>
        <w:t>Engagement et sortie du charbon</w:t>
      </w:r>
    </w:p>
    <w:p w14:paraId="615D7E3F" w14:textId="77777777" w:rsidR="0057408C" w:rsidRPr="00A74D23" w:rsidRDefault="0057408C" w:rsidP="009D6EE5">
      <w:pPr>
        <w:pStyle w:val="Paragraphedeliste"/>
        <w:spacing w:after="0" w:line="22" w:lineRule="atLeast"/>
        <w:ind w:left="284"/>
        <w:jc w:val="both"/>
        <w:rPr>
          <w:bCs/>
          <w:sz w:val="20"/>
          <w:szCs w:val="20"/>
        </w:rPr>
      </w:pPr>
      <w:r w:rsidRPr="00A74D23">
        <w:rPr>
          <w:bCs/>
          <w:sz w:val="20"/>
          <w:szCs w:val="20"/>
        </w:rPr>
        <w:t>Abeille Assurances s’engage à ne plus financer ni investir dans le charbon thermique au plus tard en 2030, toutes classes d’actifs et zones géographiques confondues, conformément aux trajectoires de l’Accord de Paris. Cette politique s’accompagne d’un engagement actif visant à inciter les entreprises à renoncer aux nouveaux projets charbon et à mettre en œuvre des plans crédibles de fermeture progressive de leurs actifs existants.</w:t>
      </w:r>
    </w:p>
    <w:p w14:paraId="5AC12E79" w14:textId="77777777" w:rsidR="0057408C" w:rsidRPr="00A74D23" w:rsidRDefault="0057408C" w:rsidP="009D6EE5">
      <w:pPr>
        <w:pStyle w:val="Paragraphedeliste"/>
        <w:spacing w:after="0" w:line="22" w:lineRule="atLeast"/>
        <w:ind w:left="284"/>
        <w:jc w:val="both"/>
        <w:rPr>
          <w:bCs/>
          <w:sz w:val="20"/>
          <w:szCs w:val="20"/>
        </w:rPr>
      </w:pPr>
    </w:p>
    <w:p w14:paraId="4020ADE6" w14:textId="77777777" w:rsidR="0057408C" w:rsidRPr="00A74D23" w:rsidRDefault="0057408C" w:rsidP="009D6EE5">
      <w:pPr>
        <w:pStyle w:val="Paragraphedeliste"/>
        <w:spacing w:after="0" w:line="22" w:lineRule="atLeast"/>
        <w:ind w:left="284"/>
        <w:jc w:val="both"/>
        <w:rPr>
          <w:bCs/>
          <w:sz w:val="20"/>
          <w:szCs w:val="20"/>
        </w:rPr>
      </w:pPr>
      <w:r w:rsidRPr="00A74D23">
        <w:rPr>
          <w:bCs/>
          <w:sz w:val="20"/>
          <w:szCs w:val="20"/>
        </w:rPr>
        <w:t>À défaut d’un engagement clair, validé par l’initiative Science Based Targets comme compatible avec une trajectoire « well below 2°C », et de la publication d’un plan de sortie du charbon effectif au plus tard en 2030, l’entreprise est exclue des portefeuilles. Pour les énergéticiens, ces plans doivent inclure la fermeture effective des sites. Les stratégies alternatives, telles que la cession d’actifs ou la reconversion vers d’autres énergies fossiles, font l’objet d’un dialogue renforcé.</w:t>
      </w:r>
    </w:p>
    <w:p w14:paraId="40BC3782" w14:textId="77777777" w:rsidR="0057408C" w:rsidRPr="00A74D23" w:rsidRDefault="0057408C" w:rsidP="009D6EE5">
      <w:pPr>
        <w:spacing w:line="22" w:lineRule="atLeast"/>
        <w:jc w:val="both"/>
        <w:rPr>
          <w:rFonts w:asciiTheme="minorHAnsi" w:hAnsiTheme="minorHAnsi"/>
          <w:bCs/>
          <w:sz w:val="20"/>
          <w:szCs w:val="20"/>
          <w:lang w:val="fr-FR"/>
        </w:rPr>
      </w:pPr>
    </w:p>
    <w:p w14:paraId="0FAA3FBC" w14:textId="77777777" w:rsidR="0057408C" w:rsidRPr="00A74D23" w:rsidRDefault="0057408C" w:rsidP="009D6EE5">
      <w:pPr>
        <w:pStyle w:val="Paragraphedeliste"/>
        <w:spacing w:after="0" w:line="22" w:lineRule="atLeast"/>
        <w:ind w:left="284"/>
        <w:jc w:val="both"/>
        <w:rPr>
          <w:sz w:val="20"/>
          <w:szCs w:val="20"/>
        </w:rPr>
      </w:pPr>
    </w:p>
    <w:p w14:paraId="115BCA0B" w14:textId="77777777" w:rsidR="0057408C" w:rsidRPr="00A74D23" w:rsidRDefault="0057408C" w:rsidP="009D6EE5">
      <w:pPr>
        <w:shd w:val="clear" w:color="auto" w:fill="FFD400" w:themeFill="accent1"/>
        <w:spacing w:line="22" w:lineRule="atLeast"/>
        <w:jc w:val="both"/>
        <w:rPr>
          <w:rFonts w:asciiTheme="minorHAnsi" w:hAnsiTheme="minorHAnsi"/>
          <w:b/>
          <w:sz w:val="8"/>
          <w:szCs w:val="8"/>
          <w:lang w:val="fr-FR"/>
        </w:rPr>
      </w:pPr>
    </w:p>
    <w:p w14:paraId="0962CB10" w14:textId="77777777" w:rsidR="0057408C" w:rsidRPr="00A74D23" w:rsidRDefault="0057408C" w:rsidP="00004703">
      <w:pPr>
        <w:shd w:val="clear" w:color="auto" w:fill="FFD400" w:themeFill="accent1"/>
        <w:spacing w:line="22" w:lineRule="atLeast"/>
        <w:jc w:val="center"/>
        <w:rPr>
          <w:rFonts w:asciiTheme="minorHAnsi" w:hAnsiTheme="minorHAnsi"/>
          <w:b/>
          <w:sz w:val="28"/>
          <w:szCs w:val="36"/>
          <w:lang w:val="fr-FR"/>
        </w:rPr>
      </w:pPr>
      <w:r w:rsidRPr="00A74D23">
        <w:rPr>
          <w:rFonts w:asciiTheme="minorHAnsi" w:hAnsiTheme="minorHAnsi"/>
          <w:b/>
          <w:sz w:val="28"/>
          <w:szCs w:val="36"/>
          <w:lang w:val="fr-FR"/>
        </w:rPr>
        <w:t>Stratégie d’investissement hydrocarbures</w:t>
      </w:r>
    </w:p>
    <w:p w14:paraId="2E14C7BB" w14:textId="77777777" w:rsidR="0057408C" w:rsidRPr="00A74D23" w:rsidRDefault="0057408C" w:rsidP="009D6EE5">
      <w:pPr>
        <w:shd w:val="clear" w:color="auto" w:fill="FFD400" w:themeFill="accent1"/>
        <w:spacing w:line="22" w:lineRule="atLeast"/>
        <w:jc w:val="both"/>
        <w:rPr>
          <w:rFonts w:asciiTheme="minorHAnsi" w:hAnsiTheme="minorHAnsi"/>
          <w:b/>
          <w:sz w:val="8"/>
          <w:szCs w:val="8"/>
          <w:lang w:val="fr-FR"/>
        </w:rPr>
      </w:pPr>
    </w:p>
    <w:p w14:paraId="6E3F1D22" w14:textId="77777777" w:rsidR="0057408C" w:rsidRPr="00A74D23" w:rsidRDefault="0057408C" w:rsidP="009D6EE5">
      <w:pPr>
        <w:spacing w:line="22" w:lineRule="atLeast"/>
        <w:jc w:val="both"/>
        <w:rPr>
          <w:rFonts w:asciiTheme="minorHAnsi" w:hAnsiTheme="minorHAnsi"/>
          <w:sz w:val="14"/>
          <w:szCs w:val="14"/>
          <w:lang w:val="fr-FR"/>
        </w:rPr>
      </w:pPr>
    </w:p>
    <w:p w14:paraId="064D9725" w14:textId="77777777" w:rsidR="0057408C" w:rsidRPr="00A74D23" w:rsidRDefault="0057408C" w:rsidP="009D6EE5">
      <w:pPr>
        <w:spacing w:line="22" w:lineRule="atLeast"/>
        <w:jc w:val="both"/>
        <w:rPr>
          <w:rFonts w:asciiTheme="minorHAnsi" w:hAnsiTheme="minorHAnsi"/>
          <w:sz w:val="20"/>
          <w:szCs w:val="20"/>
          <w:lang w:val="fr-FR"/>
        </w:rPr>
      </w:pPr>
      <w:r w:rsidRPr="00A74D23">
        <w:rPr>
          <w:rFonts w:asciiTheme="minorHAnsi" w:hAnsiTheme="minorHAnsi"/>
          <w:sz w:val="20"/>
          <w:szCs w:val="20"/>
          <w:lang w:val="fr-FR"/>
        </w:rPr>
        <w:t xml:space="preserve">Nous n’investissons plus dans les entreprises répondant à l’un des critères suivants : </w:t>
      </w:r>
    </w:p>
    <w:p w14:paraId="69AC083B" w14:textId="77777777" w:rsidR="0057408C" w:rsidRPr="00A74D23" w:rsidRDefault="0057408C" w:rsidP="00590DD1">
      <w:pPr>
        <w:pStyle w:val="Paragraphedeliste"/>
        <w:numPr>
          <w:ilvl w:val="2"/>
          <w:numId w:val="39"/>
        </w:numPr>
        <w:spacing w:after="0" w:line="22" w:lineRule="atLeast"/>
        <w:ind w:left="284" w:hanging="284"/>
        <w:jc w:val="both"/>
        <w:rPr>
          <w:sz w:val="20"/>
          <w:szCs w:val="20"/>
        </w:rPr>
      </w:pPr>
      <w:r w:rsidRPr="00A74D23">
        <w:rPr>
          <w:b/>
          <w:bCs/>
          <w:sz w:val="20"/>
          <w:szCs w:val="20"/>
        </w:rPr>
        <w:t>Seuil de production :</w:t>
      </w:r>
      <w:r w:rsidRPr="00A74D23">
        <w:rPr>
          <w:sz w:val="20"/>
          <w:szCs w:val="20"/>
        </w:rPr>
        <w:t xml:space="preserve"> plus de 25% de leur production totale d’énergie fossile</w:t>
      </w:r>
      <w:r w:rsidRPr="00A74D23">
        <w:rPr>
          <w:rStyle w:val="Appelnotedebasdep"/>
          <w:sz w:val="20"/>
          <w:szCs w:val="20"/>
        </w:rPr>
        <w:footnoteReference w:id="10"/>
      </w:r>
      <w:r w:rsidRPr="00A74D23">
        <w:rPr>
          <w:sz w:val="20"/>
          <w:szCs w:val="20"/>
        </w:rPr>
        <w:t xml:space="preserve"> issue d’hydrocabures non conventionnels ;</w:t>
      </w:r>
    </w:p>
    <w:p w14:paraId="07C4BC91" w14:textId="77777777" w:rsidR="0057408C" w:rsidRPr="00A74D23" w:rsidRDefault="0057408C" w:rsidP="00590DD1">
      <w:pPr>
        <w:pStyle w:val="Paragraphedeliste"/>
        <w:numPr>
          <w:ilvl w:val="2"/>
          <w:numId w:val="39"/>
        </w:numPr>
        <w:spacing w:after="0" w:line="22" w:lineRule="atLeast"/>
        <w:ind w:left="284" w:hanging="284"/>
        <w:jc w:val="both"/>
        <w:rPr>
          <w:sz w:val="20"/>
          <w:szCs w:val="20"/>
        </w:rPr>
      </w:pPr>
      <w:r w:rsidRPr="00A74D23">
        <w:rPr>
          <w:b/>
          <w:bCs/>
          <w:sz w:val="20"/>
          <w:szCs w:val="20"/>
        </w:rPr>
        <w:t xml:space="preserve">Seuil de chiffre d’affaires : </w:t>
      </w:r>
      <w:r w:rsidRPr="00A74D23">
        <w:rPr>
          <w:sz w:val="20"/>
          <w:szCs w:val="20"/>
        </w:rPr>
        <w:t>plus de 5% du chiffre d’affaires est lié aux hydrocarbures non-conventionnels</w:t>
      </w:r>
      <w:r w:rsidRPr="00A74D23">
        <w:rPr>
          <w:rStyle w:val="Appelnotedebasdep"/>
          <w:sz w:val="20"/>
          <w:szCs w:val="20"/>
        </w:rPr>
        <w:footnoteReference w:id="11"/>
      </w:r>
      <w:r w:rsidRPr="00A74D23">
        <w:rPr>
          <w:sz w:val="20"/>
          <w:szCs w:val="20"/>
        </w:rPr>
        <w:t> ;</w:t>
      </w:r>
    </w:p>
    <w:p w14:paraId="2182C731" w14:textId="77777777" w:rsidR="0057408C" w:rsidRDefault="0057408C" w:rsidP="00590DD1">
      <w:pPr>
        <w:pStyle w:val="Paragraphedeliste"/>
        <w:numPr>
          <w:ilvl w:val="2"/>
          <w:numId w:val="39"/>
        </w:numPr>
        <w:spacing w:line="22" w:lineRule="atLeast"/>
        <w:ind w:left="284" w:hanging="284"/>
        <w:jc w:val="both"/>
        <w:rPr>
          <w:sz w:val="20"/>
          <w:szCs w:val="20"/>
        </w:rPr>
      </w:pPr>
      <w:r w:rsidRPr="00A74D23">
        <w:rPr>
          <w:b/>
          <w:bCs/>
          <w:sz w:val="20"/>
          <w:szCs w:val="20"/>
        </w:rPr>
        <w:t>Zone Arctique</w:t>
      </w:r>
      <w:r w:rsidRPr="00A74D23">
        <w:rPr>
          <w:sz w:val="20"/>
          <w:szCs w:val="20"/>
        </w:rPr>
        <w:t xml:space="preserve"> : toute entreprise ayant annoncé un investissement dans de nouveaux projets pétroliers ou gaziers en zone arctique après le 1er juillet 2022</w:t>
      </w:r>
      <w:r w:rsidRPr="00A74D23">
        <w:rPr>
          <w:rStyle w:val="Appelnotedebasdep"/>
          <w:sz w:val="20"/>
          <w:szCs w:val="20"/>
        </w:rPr>
        <w:footnoteReference w:id="12"/>
      </w:r>
      <w:r w:rsidRPr="00A74D23">
        <w:rPr>
          <w:sz w:val="20"/>
          <w:szCs w:val="20"/>
        </w:rPr>
        <w:t xml:space="preserve">. </w:t>
      </w:r>
    </w:p>
    <w:p w14:paraId="7F6EED89" w14:textId="60BD6913" w:rsidR="006C63DF" w:rsidRPr="00031878" w:rsidRDefault="00031878" w:rsidP="006C63DF">
      <w:pPr>
        <w:spacing w:line="22" w:lineRule="atLeast"/>
        <w:jc w:val="both"/>
        <w:rPr>
          <w:rFonts w:asciiTheme="minorHAnsi" w:hAnsiTheme="minorHAnsi"/>
          <w:sz w:val="20"/>
          <w:szCs w:val="20"/>
        </w:rPr>
      </w:pPr>
      <w:r w:rsidRPr="00031878">
        <w:rPr>
          <w:rFonts w:asciiTheme="minorHAnsi" w:hAnsiTheme="minorHAnsi"/>
          <w:sz w:val="20"/>
          <w:szCs w:val="20"/>
        </w:rPr>
        <w:t xml:space="preserve">Par classe d’actifs: </w:t>
      </w:r>
    </w:p>
    <w:p w14:paraId="67995947" w14:textId="34CAEFE6" w:rsidR="00031878" w:rsidRDefault="006C63DF" w:rsidP="00590DD1">
      <w:pPr>
        <w:pStyle w:val="Paragraphedeliste"/>
        <w:numPr>
          <w:ilvl w:val="2"/>
          <w:numId w:val="39"/>
        </w:numPr>
        <w:spacing w:line="22" w:lineRule="atLeast"/>
        <w:ind w:left="284" w:hanging="284"/>
        <w:jc w:val="both"/>
        <w:rPr>
          <w:sz w:val="20"/>
          <w:szCs w:val="20"/>
        </w:rPr>
      </w:pPr>
      <w:r w:rsidRPr="00031878">
        <w:rPr>
          <w:sz w:val="20"/>
          <w:szCs w:val="20"/>
        </w:rPr>
        <w:t xml:space="preserve">Nous n’investissons plus en obligations dans les </w:t>
      </w:r>
      <w:r w:rsidRPr="00031878">
        <w:rPr>
          <w:b/>
          <w:bCs/>
          <w:sz w:val="20"/>
          <w:szCs w:val="20"/>
        </w:rPr>
        <w:t>entreprises impliquées dans le développement de nouvelles capacités conventionnelles et non conventionnelles</w:t>
      </w:r>
      <w:r w:rsidRPr="00031878">
        <w:rPr>
          <w:sz w:val="20"/>
          <w:szCs w:val="20"/>
        </w:rPr>
        <w:t xml:space="preserve">. </w:t>
      </w:r>
    </w:p>
    <w:p w14:paraId="7D6E8F65" w14:textId="77777777" w:rsidR="00031878" w:rsidRDefault="00031878" w:rsidP="00590DD1">
      <w:pPr>
        <w:pStyle w:val="Paragraphedeliste"/>
        <w:numPr>
          <w:ilvl w:val="2"/>
          <w:numId w:val="39"/>
        </w:numPr>
        <w:spacing w:line="22" w:lineRule="atLeast"/>
        <w:ind w:left="284" w:hanging="284"/>
        <w:jc w:val="both"/>
        <w:rPr>
          <w:sz w:val="20"/>
          <w:szCs w:val="20"/>
        </w:rPr>
      </w:pPr>
      <w:r>
        <w:rPr>
          <w:sz w:val="20"/>
          <w:szCs w:val="20"/>
        </w:rPr>
        <w:t xml:space="preserve">Nous maintenons </w:t>
      </w:r>
      <w:r w:rsidR="006C63DF" w:rsidRPr="00031878">
        <w:rPr>
          <w:sz w:val="20"/>
          <w:szCs w:val="20"/>
        </w:rPr>
        <w:t xml:space="preserve">des positions actions dans une démarche d’engagement </w:t>
      </w:r>
    </w:p>
    <w:p w14:paraId="26367DAC" w14:textId="1D9BCEAF" w:rsidR="0057408C" w:rsidRPr="00D449DD" w:rsidRDefault="006C63DF" w:rsidP="00590DD1">
      <w:pPr>
        <w:pStyle w:val="Paragraphedeliste"/>
        <w:numPr>
          <w:ilvl w:val="2"/>
          <w:numId w:val="39"/>
        </w:numPr>
        <w:spacing w:line="22" w:lineRule="atLeast"/>
        <w:ind w:left="284" w:hanging="284"/>
        <w:jc w:val="both"/>
        <w:rPr>
          <w:sz w:val="20"/>
          <w:szCs w:val="20"/>
        </w:rPr>
      </w:pPr>
      <w:r w:rsidRPr="00031878">
        <w:rPr>
          <w:sz w:val="20"/>
          <w:szCs w:val="20"/>
        </w:rPr>
        <w:t>Sortie complète des hydrocarbures non conventionnels en 2035 pour les obligations en direct et 2040, au plus tard, pour l’ensemble du portefeuille</w:t>
      </w:r>
    </w:p>
    <w:p w14:paraId="2006A56A" w14:textId="05FACE2F" w:rsidR="0057408C" w:rsidRPr="00A74D23" w:rsidRDefault="0057408C" w:rsidP="009D6EE5">
      <w:pPr>
        <w:spacing w:line="22" w:lineRule="atLeast"/>
        <w:jc w:val="both"/>
        <w:rPr>
          <w:rFonts w:asciiTheme="minorHAnsi" w:hAnsiTheme="minorHAnsi"/>
          <w:sz w:val="20"/>
          <w:lang w:val="fr-FR"/>
        </w:rPr>
      </w:pPr>
      <w:r w:rsidRPr="00A74D23">
        <w:rPr>
          <w:rFonts w:asciiTheme="minorHAnsi" w:eastAsiaTheme="minorHAnsi" w:hAnsiTheme="minorHAnsi" w:cstheme="minorBidi"/>
          <w:b/>
          <w:sz w:val="20"/>
          <w:szCs w:val="20"/>
          <w:lang w:val="fr-FR"/>
        </w:rPr>
        <w:t>Périmètre d’application</w:t>
      </w:r>
      <w:r w:rsidR="00080987" w:rsidRPr="00A74D23">
        <w:rPr>
          <w:rFonts w:asciiTheme="minorHAnsi" w:eastAsiaTheme="minorHAnsi" w:hAnsiTheme="minorHAnsi" w:cstheme="minorBidi"/>
          <w:sz w:val="20"/>
          <w:szCs w:val="20"/>
          <w:lang w:val="fr-FR"/>
        </w:rPr>
        <w:t xml:space="preserve"> : Cette</w:t>
      </w:r>
      <w:r w:rsidRPr="00A74D23">
        <w:rPr>
          <w:rFonts w:asciiTheme="minorHAnsi" w:eastAsiaTheme="minorHAnsi" w:hAnsiTheme="minorHAnsi" w:cstheme="minorBidi"/>
          <w:sz w:val="20"/>
          <w:szCs w:val="22"/>
          <w:lang w:val="fr-FR"/>
        </w:rPr>
        <w:t xml:space="preserve"> stratégie s’applique aux actifs détenus en direct (y compris fonds dédiés). </w:t>
      </w:r>
    </w:p>
    <w:p w14:paraId="3A049692" w14:textId="0D37795C" w:rsidR="0057408C" w:rsidRPr="00A74D23" w:rsidRDefault="0057408C" w:rsidP="009D6EE5">
      <w:pPr>
        <w:spacing w:line="22" w:lineRule="atLeast"/>
        <w:jc w:val="both"/>
        <w:rPr>
          <w:rFonts w:asciiTheme="minorHAnsi" w:hAnsiTheme="minorHAnsi"/>
          <w:sz w:val="20"/>
          <w:lang w:val="fr-FR"/>
        </w:rPr>
      </w:pPr>
    </w:p>
    <w:p w14:paraId="76449DFD" w14:textId="24376948" w:rsidR="0057408C" w:rsidRPr="00A74D23" w:rsidRDefault="00B34C4C" w:rsidP="009D6EE5">
      <w:pPr>
        <w:spacing w:line="22" w:lineRule="atLeast"/>
        <w:jc w:val="both"/>
        <w:rPr>
          <w:rFonts w:asciiTheme="minorHAnsi" w:hAnsiTheme="minorHAnsi"/>
          <w:sz w:val="20"/>
          <w:lang w:val="fr-FR"/>
        </w:rPr>
      </w:pPr>
      <w:r w:rsidRPr="00A74D23">
        <w:rPr>
          <w:rFonts w:asciiTheme="minorHAnsi" w:hAnsiTheme="minorHAnsi" w:cs="Open Sans"/>
          <w:noProof/>
          <w:sz w:val="18"/>
          <w:szCs w:val="18"/>
        </w:rPr>
        <mc:AlternateContent>
          <mc:Choice Requires="wps">
            <w:drawing>
              <wp:anchor distT="0" distB="0" distL="114300" distR="114300" simplePos="0" relativeHeight="251689984" behindDoc="0" locked="0" layoutInCell="1" allowOverlap="1" wp14:anchorId="31FA67F8" wp14:editId="2C16EB52">
                <wp:simplePos x="0" y="0"/>
                <wp:positionH relativeFrom="margin">
                  <wp:posOffset>1981701</wp:posOffset>
                </wp:positionH>
                <wp:positionV relativeFrom="paragraph">
                  <wp:posOffset>129240</wp:posOffset>
                </wp:positionV>
                <wp:extent cx="2202815" cy="271624"/>
                <wp:effectExtent l="0" t="0" r="6985" b="0"/>
                <wp:wrapNone/>
                <wp:docPr id="16170280" name="Rectangle : coins arrondis 16170280"/>
                <wp:cNvGraphicFramePr/>
                <a:graphic xmlns:a="http://schemas.openxmlformats.org/drawingml/2006/main">
                  <a:graphicData uri="http://schemas.microsoft.com/office/word/2010/wordprocessingShape">
                    <wps:wsp>
                      <wps:cNvSpPr/>
                      <wps:spPr>
                        <a:xfrm>
                          <a:off x="0" y="0"/>
                          <a:ext cx="2202815" cy="271624"/>
                        </a:xfrm>
                        <a:prstGeom prst="roundRect">
                          <a:avLst>
                            <a:gd name="adj" fmla="val 0"/>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BC05E2" w14:textId="77777777" w:rsidR="00F55DA6" w:rsidRPr="00B03098" w:rsidRDefault="00F55DA6" w:rsidP="00F55DA6">
                            <w:pPr>
                              <w:jc w:val="center"/>
                              <w:rPr>
                                <w:b/>
                                <w:bCs/>
                                <w:color w:val="F6F6F6"/>
                                <w:sz w:val="32"/>
                                <w:szCs w:val="32"/>
                              </w:rPr>
                            </w:pPr>
                            <w:r w:rsidRPr="00B03098">
                              <w:rPr>
                                <w:rFonts w:ascii="Source Sans Pro" w:hAnsi="Source Sans Pro"/>
                                <w:b/>
                                <w:bCs/>
                                <w:color w:val="F6F6F6"/>
                              </w:rPr>
                              <w:t>Plan d’amélioration 2026</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FA67F8" id="Rectangle : coins arrondis 16170280" o:spid="_x0000_s1117" style="position:absolute;left:0;text-align:left;margin-left:156.05pt;margin-top:10.2pt;width:173.45pt;height:21.4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" fillcolor="#8a2c24 [3205]" stroked="f" strokeweight="1pt">
                <v:stroke joinstyle="miter"/>
                <v:textbox inset="2.5mm,1mm,2.5mm,1mm">
                  <w:txbxContent>
                    <w:p w14:paraId="57BC05E2" w14:textId="77777777" w:rsidR="00F55DA6" w:rsidRPr="00B03098" w:rsidRDefault="00F55DA6" w:rsidP="00F55DA6">
                      <w:pPr>
                        <w:jc w:val="center"/>
                        <w:rPr>
                          <w:b/>
                          <w:bCs/>
                          <w:color w:val="F6F6F6"/>
                          <w:sz w:val="32"/>
                          <w:szCs w:val="32"/>
                        </w:rPr>
                      </w:pPr>
                      <w:r w:rsidRPr="00B03098">
                        <w:rPr>
                          <w:rFonts w:ascii="Source Sans Pro" w:hAnsi="Source Sans Pro"/>
                          <w:b/>
                          <w:bCs/>
                          <w:color w:val="F6F6F6"/>
                        </w:rPr>
                        <w:t>Plan d’amélioration 2026</w:t>
                      </w:r>
                    </w:p>
                  </w:txbxContent>
                </v:textbox>
                <w10:wrap anchorx="margin"/>
              </v:roundrect>
            </w:pict>
          </mc:Fallback>
        </mc:AlternateContent>
      </w:r>
    </w:p>
    <w:p w14:paraId="416DE8B3" w14:textId="05E94607" w:rsidR="0057408C" w:rsidRPr="00A74D23" w:rsidRDefault="00B34C4C" w:rsidP="009D6EE5">
      <w:pPr>
        <w:spacing w:line="22" w:lineRule="atLeast"/>
        <w:jc w:val="both"/>
        <w:rPr>
          <w:rFonts w:asciiTheme="minorHAnsi" w:hAnsiTheme="minorHAnsi"/>
          <w:b/>
          <w:bCs/>
          <w:lang w:val="fr-FR"/>
        </w:rPr>
      </w:pPr>
      <w:r w:rsidRPr="00A74D23">
        <w:rPr>
          <w:rFonts w:asciiTheme="minorHAnsi" w:hAnsiTheme="minorHAnsi" w:cs="Open Sans"/>
          <w:noProof/>
          <w:sz w:val="18"/>
          <w:szCs w:val="18"/>
        </w:rPr>
        <mc:AlternateContent>
          <mc:Choice Requires="wps">
            <w:drawing>
              <wp:anchor distT="0" distB="0" distL="114300" distR="114300" simplePos="0" relativeHeight="251686912" behindDoc="1" locked="0" layoutInCell="1" allowOverlap="1" wp14:anchorId="5BCEDE3F" wp14:editId="097274A5">
                <wp:simplePos x="0" y="0"/>
                <wp:positionH relativeFrom="margin">
                  <wp:posOffset>248151</wp:posOffset>
                </wp:positionH>
                <wp:positionV relativeFrom="paragraph">
                  <wp:posOffset>156545</wp:posOffset>
                </wp:positionV>
                <wp:extent cx="5762625" cy="414068"/>
                <wp:effectExtent l="0" t="0" r="9525" b="5080"/>
                <wp:wrapNone/>
                <wp:docPr id="885604686" name="Rectangle : coins arrondis 885604686"/>
                <wp:cNvGraphicFramePr/>
                <a:graphic xmlns:a="http://schemas.openxmlformats.org/drawingml/2006/main">
                  <a:graphicData uri="http://schemas.microsoft.com/office/word/2010/wordprocessingShape">
                    <wps:wsp>
                      <wps:cNvSpPr/>
                      <wps:spPr>
                        <a:xfrm>
                          <a:off x="0" y="0"/>
                          <a:ext cx="5762625" cy="414068"/>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B6B2E2" w14:textId="30BCC859" w:rsidR="00F55DA6" w:rsidRPr="00A2445D" w:rsidRDefault="00F55DA6" w:rsidP="0049254A">
                            <w:pPr>
                              <w:pStyle w:val="paragraph"/>
                              <w:numPr>
                                <w:ilvl w:val="0"/>
                                <w:numId w:val="7"/>
                              </w:numPr>
                              <w:spacing w:before="0" w:beforeAutospacing="0" w:after="0" w:afterAutospacing="0"/>
                              <w:ind w:left="284" w:right="335" w:hanging="284"/>
                              <w:jc w:val="both"/>
                              <w:textAlignment w:val="baseline"/>
                              <w:rPr>
                                <w:color w:val="000000" w:themeColor="text1"/>
                                <w:sz w:val="20"/>
                                <w:szCs w:val="20"/>
                              </w:rPr>
                            </w:pPr>
                            <w:r w:rsidRPr="00A2445D">
                              <w:rPr>
                                <w:rFonts w:ascii="Source Sans Pro" w:hAnsi="Source Sans Pro" w:cstheme="minorBidi"/>
                                <w:color w:val="000000" w:themeColor="text1"/>
                                <w:sz w:val="20"/>
                                <w:szCs w:val="20"/>
                                <w:lang w:eastAsia="en-US"/>
                              </w:rPr>
                              <w:t xml:space="preserve">En 2026, nous </w:t>
                            </w:r>
                            <w:r w:rsidR="007D3BC2">
                              <w:rPr>
                                <w:rFonts w:ascii="Source Sans Pro" w:hAnsi="Source Sans Pro" w:cstheme="minorBidi"/>
                                <w:color w:val="000000" w:themeColor="text1"/>
                                <w:sz w:val="20"/>
                                <w:szCs w:val="20"/>
                                <w:lang w:eastAsia="en-US"/>
                              </w:rPr>
                              <w:t>implémenterons</w:t>
                            </w:r>
                            <w:r w:rsidRPr="00A2445D">
                              <w:rPr>
                                <w:rFonts w:ascii="Source Sans Pro" w:hAnsi="Source Sans Pro" w:cstheme="minorBidi"/>
                                <w:color w:val="000000" w:themeColor="text1"/>
                                <w:sz w:val="20"/>
                                <w:szCs w:val="20"/>
                                <w:lang w:eastAsia="en-US"/>
                              </w:rPr>
                              <w:t xml:space="preserve"> la nouvelle politique d’exclusion sur les hydrocarbures </w:t>
                            </w:r>
                          </w:p>
                          <w:p w14:paraId="01F9659E" w14:textId="77777777" w:rsidR="00F55DA6" w:rsidRPr="00B03098" w:rsidRDefault="00F55DA6" w:rsidP="00F55DA6">
                            <w:pPr>
                              <w:ind w:right="337"/>
                              <w:rPr>
                                <w:color w:val="000000" w:themeColor="text1"/>
                                <w:lang w:val="fr-FR"/>
                              </w:rPr>
                            </w:pPr>
                          </w:p>
                        </w:txbxContent>
                      </wps:txbx>
                      <wps:bodyPr rot="0" spcFirstLastPara="0" vertOverflow="overflow" horzOverflow="overflow" vert="horz" wrap="square" lIns="180000" tIns="72000" rIns="180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CEDE3F" id="Rectangle : coins arrondis 885604686" o:spid="_x0000_s1118" style="position:absolute;left:0;text-align:left;margin-left:19.55pt;margin-top:12.35pt;width:453.75pt;height:32.6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" fillcolor="#d8d8d8 [2732]" stroked="f" strokeweight="1pt">
                <v:stroke joinstyle="miter"/>
                <v:textbox inset="5mm,2mm,5mm,3mm">
                  <w:txbxContent>
                    <w:p w14:paraId="3EB6B2E2" w14:textId="30BCC859" w:rsidR="00F55DA6" w:rsidRPr="00A2445D" w:rsidRDefault="00F55DA6" w:rsidP="0049254A">
                      <w:pPr>
                        <w:pStyle w:val="paragraph"/>
                        <w:numPr>
                          <w:ilvl w:val="0"/>
                          <w:numId w:val="7"/>
                        </w:numPr>
                        <w:spacing w:before="0" w:beforeAutospacing="0" w:after="0" w:afterAutospacing="0"/>
                        <w:ind w:left="284" w:right="335" w:hanging="284"/>
                        <w:jc w:val="both"/>
                        <w:textAlignment w:val="baseline"/>
                        <w:rPr>
                          <w:color w:val="000000" w:themeColor="text1"/>
                          <w:sz w:val="20"/>
                          <w:szCs w:val="20"/>
                        </w:rPr>
                      </w:pPr>
                      <w:r w:rsidRPr="00A2445D">
                        <w:rPr>
                          <w:rFonts w:ascii="Source Sans Pro" w:hAnsi="Source Sans Pro" w:cstheme="minorBidi"/>
                          <w:color w:val="000000" w:themeColor="text1"/>
                          <w:sz w:val="20"/>
                          <w:szCs w:val="20"/>
                          <w:lang w:eastAsia="en-US"/>
                        </w:rPr>
                        <w:t xml:space="preserve">En 2026, nous </w:t>
                      </w:r>
                      <w:r w:rsidR="007D3BC2">
                        <w:rPr>
                          <w:rFonts w:ascii="Source Sans Pro" w:hAnsi="Source Sans Pro" w:cstheme="minorBidi"/>
                          <w:color w:val="000000" w:themeColor="text1"/>
                          <w:sz w:val="20"/>
                          <w:szCs w:val="20"/>
                          <w:lang w:eastAsia="en-US"/>
                        </w:rPr>
                        <w:t>implémenterons</w:t>
                      </w:r>
                      <w:r w:rsidRPr="00A2445D">
                        <w:rPr>
                          <w:rFonts w:ascii="Source Sans Pro" w:hAnsi="Source Sans Pro" w:cstheme="minorBidi"/>
                          <w:color w:val="000000" w:themeColor="text1"/>
                          <w:sz w:val="20"/>
                          <w:szCs w:val="20"/>
                          <w:lang w:eastAsia="en-US"/>
                        </w:rPr>
                        <w:t xml:space="preserve"> la nouvelle politique d’exclusion sur les hydrocarbures </w:t>
                      </w:r>
                    </w:p>
                    <w:p w14:paraId="01F9659E" w14:textId="77777777" w:rsidR="00F55DA6" w:rsidRPr="00B03098" w:rsidRDefault="00F55DA6" w:rsidP="00F55DA6">
                      <w:pPr>
                        <w:ind w:right="337"/>
                        <w:rPr>
                          <w:color w:val="000000" w:themeColor="text1"/>
                          <w:lang w:val="fr-FR"/>
                        </w:rPr>
                      </w:pPr>
                    </w:p>
                  </w:txbxContent>
                </v:textbox>
                <w10:wrap anchorx="margin"/>
              </v:roundrect>
            </w:pict>
          </mc:Fallback>
        </mc:AlternateContent>
      </w:r>
    </w:p>
    <w:p w14:paraId="3084E32F" w14:textId="77777777" w:rsidR="0057408C" w:rsidRPr="00A74D23" w:rsidRDefault="0057408C" w:rsidP="009D6EE5">
      <w:pPr>
        <w:spacing w:line="22" w:lineRule="atLeast"/>
        <w:jc w:val="both"/>
        <w:rPr>
          <w:rFonts w:asciiTheme="minorHAnsi" w:hAnsiTheme="minorHAnsi"/>
          <w:b/>
          <w:bCs/>
          <w:lang w:val="fr-FR"/>
        </w:rPr>
      </w:pPr>
    </w:p>
    <w:p w14:paraId="75B916FB" w14:textId="77777777" w:rsidR="0057408C" w:rsidRDefault="0057408C" w:rsidP="009D6EE5">
      <w:pPr>
        <w:spacing w:line="22" w:lineRule="atLeast"/>
        <w:jc w:val="both"/>
        <w:rPr>
          <w:rFonts w:asciiTheme="minorHAnsi" w:hAnsiTheme="minorHAnsi"/>
          <w:b/>
          <w:bCs/>
          <w:lang w:val="fr-FR"/>
        </w:rPr>
      </w:pPr>
    </w:p>
    <w:p w14:paraId="3727C2C4" w14:textId="77777777" w:rsidR="00D449DD" w:rsidRDefault="00D449DD" w:rsidP="009D6EE5">
      <w:pPr>
        <w:spacing w:line="22" w:lineRule="atLeast"/>
        <w:jc w:val="both"/>
        <w:rPr>
          <w:rFonts w:asciiTheme="minorHAnsi" w:hAnsiTheme="minorHAnsi"/>
          <w:b/>
          <w:bCs/>
          <w:lang w:val="fr-FR"/>
        </w:rPr>
      </w:pPr>
    </w:p>
    <w:p w14:paraId="24F3372B" w14:textId="77777777" w:rsidR="00D449DD" w:rsidRPr="00A74D23" w:rsidRDefault="00D449DD" w:rsidP="009D6EE5">
      <w:pPr>
        <w:spacing w:line="22" w:lineRule="atLeast"/>
        <w:jc w:val="both"/>
        <w:rPr>
          <w:rFonts w:asciiTheme="minorHAnsi" w:hAnsiTheme="minorHAnsi"/>
          <w:b/>
          <w:bCs/>
          <w:lang w:val="fr-FR"/>
        </w:rPr>
      </w:pPr>
    </w:p>
    <w:p w14:paraId="58B38428" w14:textId="369BE7B6" w:rsidR="0057408C" w:rsidRPr="00A74D23" w:rsidRDefault="0057408C" w:rsidP="00004703">
      <w:pPr>
        <w:shd w:val="clear" w:color="auto" w:fill="FFD400" w:themeFill="accent1"/>
        <w:spacing w:line="22" w:lineRule="atLeast"/>
        <w:jc w:val="center"/>
        <w:rPr>
          <w:rFonts w:asciiTheme="minorHAnsi" w:hAnsiTheme="minorHAnsi"/>
          <w:b/>
          <w:sz w:val="28"/>
          <w:szCs w:val="36"/>
          <w:lang w:val="fr-FR"/>
        </w:rPr>
      </w:pPr>
      <w:r w:rsidRPr="00A74D23">
        <w:rPr>
          <w:rFonts w:asciiTheme="minorHAnsi" w:hAnsiTheme="minorHAnsi"/>
          <w:b/>
          <w:sz w:val="28"/>
          <w:szCs w:val="36"/>
          <w:lang w:val="fr-FR"/>
        </w:rPr>
        <w:t xml:space="preserve">Stratégie d’investissement </w:t>
      </w:r>
      <w:r w:rsidR="00144919" w:rsidRPr="00A74D23">
        <w:rPr>
          <w:rFonts w:asciiTheme="minorHAnsi" w:hAnsiTheme="minorHAnsi"/>
          <w:b/>
          <w:sz w:val="28"/>
          <w:szCs w:val="36"/>
          <w:lang w:val="fr-FR"/>
        </w:rPr>
        <w:t xml:space="preserve">net zero </w:t>
      </w:r>
      <w:r w:rsidRPr="00A74D23">
        <w:rPr>
          <w:rFonts w:asciiTheme="minorHAnsi" w:hAnsiTheme="minorHAnsi"/>
          <w:b/>
          <w:sz w:val="28"/>
          <w:szCs w:val="36"/>
          <w:lang w:val="fr-FR"/>
        </w:rPr>
        <w:t xml:space="preserve">immobilier </w:t>
      </w:r>
      <w:r w:rsidR="00144919" w:rsidRPr="00A74D23">
        <w:rPr>
          <w:rFonts w:asciiTheme="minorHAnsi" w:hAnsiTheme="minorHAnsi"/>
          <w:b/>
          <w:sz w:val="28"/>
          <w:szCs w:val="36"/>
          <w:lang w:val="fr-FR"/>
        </w:rPr>
        <w:t>en direct</w:t>
      </w:r>
    </w:p>
    <w:p w14:paraId="5E5D7F7D" w14:textId="77777777" w:rsidR="00574ACF" w:rsidRPr="00A74D23" w:rsidRDefault="00574ACF" w:rsidP="009D6EE5">
      <w:pPr>
        <w:spacing w:line="22" w:lineRule="atLeast"/>
        <w:jc w:val="both"/>
        <w:rPr>
          <w:rFonts w:asciiTheme="minorHAnsi" w:hAnsiTheme="minorHAnsi"/>
          <w:sz w:val="20"/>
          <w:szCs w:val="20"/>
          <w:lang w:val="fr-FR"/>
        </w:rPr>
      </w:pPr>
    </w:p>
    <w:p w14:paraId="79E1DECD" w14:textId="69BAE347" w:rsidR="0057408C" w:rsidRPr="00A74D23" w:rsidRDefault="00495330" w:rsidP="009D6EE5">
      <w:pPr>
        <w:spacing w:line="22" w:lineRule="atLeast"/>
        <w:jc w:val="both"/>
        <w:rPr>
          <w:rFonts w:asciiTheme="minorHAnsi" w:hAnsiTheme="minorHAnsi"/>
          <w:sz w:val="20"/>
          <w:szCs w:val="20"/>
        </w:rPr>
      </w:pPr>
      <w:r w:rsidRPr="00A74D23">
        <w:rPr>
          <w:rFonts w:asciiTheme="minorHAnsi" w:hAnsiTheme="minorHAnsi"/>
          <w:sz w:val="20"/>
          <w:szCs w:val="20"/>
          <w:lang w:val="fr-FR"/>
        </w:rPr>
        <w:t>OFI</w:t>
      </w:r>
      <w:r w:rsidR="0057408C" w:rsidRPr="00A74D23">
        <w:rPr>
          <w:rFonts w:asciiTheme="minorHAnsi" w:hAnsiTheme="minorHAnsi"/>
          <w:sz w:val="20"/>
          <w:szCs w:val="20"/>
          <w:lang w:val="fr-FR"/>
        </w:rPr>
        <w:t xml:space="preserve"> Invest Real Estate intègre la décarbonation et l’énergie au cœur de sa stratégie immobilière. La politique ESG publiée en juin 2025 vise explicitement la réduction de l’empreinte carbone du patrimoine et la maîtrise des risques climatiques, dans le cadre d’une feuille de route ESG à horizon 2030, alignée avec les objectifs de l’Accord de Paris. </w:t>
      </w:r>
      <w:r w:rsidR="0057408C" w:rsidRPr="00A74D23">
        <w:rPr>
          <w:rFonts w:asciiTheme="minorHAnsi" w:hAnsiTheme="minorHAnsi"/>
          <w:sz w:val="20"/>
          <w:szCs w:val="20"/>
        </w:rPr>
        <w:t xml:space="preserve">Dans ce cadre, plusieurs leviers d’action opérationnels sont utilisés : </w:t>
      </w:r>
    </w:p>
    <w:p w14:paraId="692D4A5E" w14:textId="77777777" w:rsidR="0057408C" w:rsidRPr="00A74D23" w:rsidRDefault="0057408C" w:rsidP="009D6EE5">
      <w:pPr>
        <w:spacing w:line="22" w:lineRule="atLeast"/>
        <w:jc w:val="both"/>
        <w:rPr>
          <w:rFonts w:asciiTheme="minorHAnsi" w:hAnsiTheme="minorHAnsi"/>
          <w:sz w:val="20"/>
        </w:rPr>
      </w:pPr>
    </w:p>
    <w:p w14:paraId="098AE792" w14:textId="77777777" w:rsidR="0057408C" w:rsidRPr="00A74D23" w:rsidRDefault="0057408C" w:rsidP="00590DD1">
      <w:pPr>
        <w:pStyle w:val="Paragraphedeliste"/>
        <w:numPr>
          <w:ilvl w:val="0"/>
          <w:numId w:val="64"/>
        </w:numPr>
        <w:spacing w:after="0" w:line="22" w:lineRule="atLeast"/>
        <w:ind w:left="284" w:hanging="284"/>
        <w:contextualSpacing w:val="0"/>
        <w:jc w:val="both"/>
        <w:rPr>
          <w:rFonts w:cstheme="minorHAnsi"/>
          <w:b/>
          <w:bCs/>
          <w:sz w:val="20"/>
          <w:szCs w:val="20"/>
        </w:rPr>
      </w:pPr>
      <w:r w:rsidRPr="00A74D23">
        <w:rPr>
          <w:b/>
          <w:bCs/>
          <w:sz w:val="20"/>
        </w:rPr>
        <w:t>Intégration du climat dans l’investissement</w:t>
      </w:r>
      <w:r w:rsidRPr="00A74D23">
        <w:rPr>
          <w:sz w:val="20"/>
        </w:rPr>
        <w:t xml:space="preserve"> : analyse des performances énergétiques et carbone dès l’acquisition, prise en compte dans les arbitrages et dans le développement de nouveaux projets immobiliers.</w:t>
      </w:r>
    </w:p>
    <w:p w14:paraId="30E28356" w14:textId="77777777" w:rsidR="0057408C" w:rsidRPr="00A74D23" w:rsidRDefault="0057408C" w:rsidP="009D6EE5">
      <w:pPr>
        <w:pStyle w:val="Paragraphedeliste"/>
        <w:spacing w:after="0" w:line="22" w:lineRule="atLeast"/>
        <w:ind w:left="284"/>
        <w:contextualSpacing w:val="0"/>
        <w:jc w:val="both"/>
        <w:rPr>
          <w:rFonts w:cstheme="minorHAnsi"/>
          <w:b/>
          <w:bCs/>
          <w:sz w:val="20"/>
          <w:szCs w:val="20"/>
        </w:rPr>
      </w:pPr>
    </w:p>
    <w:p w14:paraId="7CD55607" w14:textId="77777777" w:rsidR="0057408C" w:rsidRPr="00A74D23" w:rsidRDefault="0057408C" w:rsidP="00590DD1">
      <w:pPr>
        <w:pStyle w:val="Paragraphedeliste"/>
        <w:numPr>
          <w:ilvl w:val="0"/>
          <w:numId w:val="64"/>
        </w:numPr>
        <w:spacing w:after="0" w:line="22" w:lineRule="atLeast"/>
        <w:ind w:left="284" w:hanging="284"/>
        <w:contextualSpacing w:val="0"/>
        <w:jc w:val="both"/>
        <w:rPr>
          <w:rFonts w:cstheme="minorHAnsi"/>
          <w:b/>
          <w:bCs/>
          <w:sz w:val="20"/>
          <w:szCs w:val="20"/>
        </w:rPr>
      </w:pPr>
      <w:r w:rsidRPr="00A74D23">
        <w:rPr>
          <w:b/>
          <w:bCs/>
          <w:sz w:val="20"/>
          <w:szCs w:val="20"/>
        </w:rPr>
        <w:t xml:space="preserve">Efficacité énergétique du patrimoine existant : </w:t>
      </w:r>
    </w:p>
    <w:p w14:paraId="1F5237F1" w14:textId="77777777" w:rsidR="0057408C" w:rsidRPr="00A74D23" w:rsidRDefault="0057408C" w:rsidP="00590DD1">
      <w:pPr>
        <w:pStyle w:val="Paragraphedeliste"/>
        <w:numPr>
          <w:ilvl w:val="0"/>
          <w:numId w:val="111"/>
        </w:numPr>
        <w:spacing w:after="0" w:line="22" w:lineRule="atLeast"/>
        <w:jc w:val="both"/>
        <w:rPr>
          <w:sz w:val="20"/>
          <w:szCs w:val="20"/>
        </w:rPr>
      </w:pPr>
      <w:r w:rsidRPr="00A74D23">
        <w:rPr>
          <w:sz w:val="20"/>
          <w:szCs w:val="20"/>
        </w:rPr>
        <w:t>déploiement de plans de travaux ciblés,</w:t>
      </w:r>
    </w:p>
    <w:p w14:paraId="3038D385" w14:textId="77777777" w:rsidR="0057408C" w:rsidRPr="00A74D23" w:rsidRDefault="0057408C" w:rsidP="00590DD1">
      <w:pPr>
        <w:pStyle w:val="Paragraphedeliste"/>
        <w:numPr>
          <w:ilvl w:val="0"/>
          <w:numId w:val="111"/>
        </w:numPr>
        <w:spacing w:after="0" w:line="22" w:lineRule="atLeast"/>
        <w:jc w:val="both"/>
        <w:rPr>
          <w:sz w:val="20"/>
          <w:szCs w:val="20"/>
        </w:rPr>
      </w:pPr>
      <w:r w:rsidRPr="00A74D23">
        <w:rPr>
          <w:sz w:val="20"/>
          <w:szCs w:val="20"/>
        </w:rPr>
        <w:t>optimisation des consommations énergétiques en phase d’exploitation,</w:t>
      </w:r>
    </w:p>
    <w:p w14:paraId="0F176D49" w14:textId="77777777" w:rsidR="0057408C" w:rsidRPr="00A74D23" w:rsidRDefault="0057408C" w:rsidP="00590DD1">
      <w:pPr>
        <w:pStyle w:val="Paragraphedeliste"/>
        <w:numPr>
          <w:ilvl w:val="0"/>
          <w:numId w:val="111"/>
        </w:numPr>
        <w:spacing w:after="0" w:line="22" w:lineRule="atLeast"/>
        <w:jc w:val="both"/>
        <w:rPr>
          <w:sz w:val="20"/>
          <w:szCs w:val="20"/>
        </w:rPr>
      </w:pPr>
      <w:r w:rsidRPr="00A74D23">
        <w:rPr>
          <w:sz w:val="20"/>
          <w:szCs w:val="20"/>
        </w:rPr>
        <w:t>recours progressif à des sources d’énergie moins carbonées.</w:t>
      </w:r>
    </w:p>
    <w:p w14:paraId="10C84670" w14:textId="77777777" w:rsidR="0057408C" w:rsidRPr="00A74D23" w:rsidRDefault="0057408C" w:rsidP="009D6EE5">
      <w:pPr>
        <w:pStyle w:val="Paragraphedeliste"/>
        <w:spacing w:after="0" w:line="22" w:lineRule="atLeast"/>
        <w:jc w:val="both"/>
        <w:rPr>
          <w:sz w:val="20"/>
          <w:szCs w:val="20"/>
        </w:rPr>
      </w:pPr>
    </w:p>
    <w:p w14:paraId="6E430403" w14:textId="77777777" w:rsidR="0057408C" w:rsidRPr="00A74D23" w:rsidRDefault="0057408C" w:rsidP="00590DD1">
      <w:pPr>
        <w:pStyle w:val="Paragraphedeliste"/>
        <w:numPr>
          <w:ilvl w:val="0"/>
          <w:numId w:val="64"/>
        </w:numPr>
        <w:spacing w:after="0" w:line="22" w:lineRule="atLeast"/>
        <w:ind w:left="284" w:hanging="284"/>
        <w:contextualSpacing w:val="0"/>
        <w:jc w:val="both"/>
        <w:rPr>
          <w:sz w:val="20"/>
          <w:szCs w:val="20"/>
        </w:rPr>
      </w:pPr>
      <w:r w:rsidRPr="00A74D23">
        <w:rPr>
          <w:b/>
          <w:bCs/>
          <w:sz w:val="20"/>
          <w:szCs w:val="20"/>
        </w:rPr>
        <w:t>Gestion active des actifs</w:t>
      </w:r>
      <w:r w:rsidRPr="00A74D23">
        <w:rPr>
          <w:sz w:val="20"/>
          <w:szCs w:val="20"/>
        </w:rPr>
        <w:t xml:space="preserve"> : visant à renforcer leur résilience face aux évolutions réglementaires et aux contraintes liées à la transition énergétique.</w:t>
      </w:r>
    </w:p>
    <w:p w14:paraId="1BFDD251" w14:textId="77777777" w:rsidR="0057408C" w:rsidRPr="00A74D23" w:rsidRDefault="0057408C" w:rsidP="009D6EE5">
      <w:pPr>
        <w:pStyle w:val="Paragraphedeliste"/>
        <w:spacing w:after="0" w:line="22" w:lineRule="atLeast"/>
        <w:ind w:left="284"/>
        <w:contextualSpacing w:val="0"/>
        <w:jc w:val="both"/>
        <w:rPr>
          <w:sz w:val="20"/>
          <w:szCs w:val="20"/>
        </w:rPr>
      </w:pPr>
    </w:p>
    <w:p w14:paraId="737A1E34" w14:textId="77777777" w:rsidR="0057408C" w:rsidRPr="00A74D23" w:rsidRDefault="0057408C" w:rsidP="00590DD1">
      <w:pPr>
        <w:pStyle w:val="Paragraphedeliste"/>
        <w:numPr>
          <w:ilvl w:val="0"/>
          <w:numId w:val="64"/>
        </w:numPr>
        <w:spacing w:after="0" w:line="22" w:lineRule="atLeast"/>
        <w:ind w:left="284" w:hanging="284"/>
        <w:contextualSpacing w:val="0"/>
        <w:jc w:val="both"/>
        <w:rPr>
          <w:b/>
          <w:bCs/>
          <w:sz w:val="20"/>
          <w:szCs w:val="20"/>
        </w:rPr>
      </w:pPr>
      <w:r w:rsidRPr="00A74D23">
        <w:rPr>
          <w:b/>
          <w:bCs/>
          <w:sz w:val="20"/>
          <w:szCs w:val="20"/>
        </w:rPr>
        <w:t xml:space="preserve">Engagement des parties prenantes : </w:t>
      </w:r>
      <w:r w:rsidRPr="00A74D23">
        <w:rPr>
          <w:sz w:val="20"/>
          <w:szCs w:val="20"/>
        </w:rPr>
        <w:t>en particulier des locataires et partenaires techniques, afin de favoriser des usages plus sobres et d’aligner les pratiques sur les objectifs de performance énergétique, notamment via des démarches collaboratives et des clauses environnementales.</w:t>
      </w:r>
    </w:p>
    <w:p w14:paraId="2EE5943F" w14:textId="77777777" w:rsidR="0057408C" w:rsidRPr="00A74D23" w:rsidRDefault="0057408C" w:rsidP="009D6EE5">
      <w:pPr>
        <w:spacing w:line="22" w:lineRule="atLeast"/>
        <w:jc w:val="both"/>
        <w:rPr>
          <w:rFonts w:asciiTheme="minorHAnsi" w:hAnsiTheme="minorHAnsi"/>
          <w:b/>
          <w:bCs/>
          <w:lang w:val="fr-FR"/>
        </w:rPr>
      </w:pPr>
    </w:p>
    <w:p w14:paraId="090447AB" w14:textId="0F75F8E1" w:rsidR="00E15C2B" w:rsidRPr="00A74D23" w:rsidRDefault="0057408C" w:rsidP="009D6EE5">
      <w:pPr>
        <w:spacing w:line="22" w:lineRule="atLeast"/>
        <w:jc w:val="both"/>
        <w:rPr>
          <w:rFonts w:asciiTheme="minorHAnsi" w:hAnsiTheme="minorHAnsi"/>
          <w:sz w:val="20"/>
          <w:szCs w:val="20"/>
          <w:lang w:val="fr-FR"/>
        </w:rPr>
      </w:pPr>
      <w:r w:rsidRPr="00A74D23">
        <w:rPr>
          <w:rFonts w:asciiTheme="minorHAnsi" w:hAnsiTheme="minorHAnsi"/>
          <w:sz w:val="20"/>
          <w:szCs w:val="20"/>
          <w:lang w:val="fr-FR"/>
        </w:rPr>
        <w:t>Plus d’éléments sont directement accessibles sur la politique ESG d’</w:t>
      </w:r>
      <w:r w:rsidR="00495330" w:rsidRPr="00A74D23">
        <w:rPr>
          <w:rFonts w:asciiTheme="minorHAnsi" w:hAnsiTheme="minorHAnsi"/>
          <w:sz w:val="20"/>
          <w:szCs w:val="20"/>
          <w:lang w:val="fr-FR"/>
        </w:rPr>
        <w:t>OFI</w:t>
      </w:r>
      <w:r w:rsidRPr="00A74D23">
        <w:rPr>
          <w:rFonts w:asciiTheme="minorHAnsi" w:hAnsiTheme="minorHAnsi"/>
          <w:sz w:val="20"/>
          <w:szCs w:val="20"/>
          <w:lang w:val="fr-FR"/>
        </w:rPr>
        <w:t xml:space="preserve"> Invest Real Estate, disponible sur leur site internet.</w:t>
      </w:r>
    </w:p>
    <w:p w14:paraId="5B138A0D" w14:textId="3914684B" w:rsidR="00F55DA6" w:rsidRPr="00A74D23" w:rsidRDefault="0022779E" w:rsidP="009D6EE5">
      <w:pPr>
        <w:spacing w:line="22" w:lineRule="atLeast"/>
        <w:jc w:val="both"/>
        <w:rPr>
          <w:rFonts w:asciiTheme="minorHAnsi" w:hAnsiTheme="minorHAnsi"/>
          <w:sz w:val="20"/>
          <w:szCs w:val="20"/>
          <w:lang w:val="fr-FR"/>
        </w:rPr>
      </w:pPr>
      <w:r w:rsidRPr="00A74D23">
        <w:rPr>
          <w:rFonts w:asciiTheme="minorHAnsi" w:hAnsiTheme="minorHAnsi" w:cs="Open Sans"/>
          <w:noProof/>
          <w:sz w:val="18"/>
          <w:szCs w:val="18"/>
        </w:rPr>
        <mc:AlternateContent>
          <mc:Choice Requires="wps">
            <w:drawing>
              <wp:anchor distT="0" distB="0" distL="114300" distR="114300" simplePos="0" relativeHeight="251702272" behindDoc="0" locked="0" layoutInCell="1" allowOverlap="1" wp14:anchorId="2868CAF3" wp14:editId="2C494F12">
                <wp:simplePos x="0" y="0"/>
                <wp:positionH relativeFrom="margin">
                  <wp:posOffset>1991684</wp:posOffset>
                </wp:positionH>
                <wp:positionV relativeFrom="paragraph">
                  <wp:posOffset>149225</wp:posOffset>
                </wp:positionV>
                <wp:extent cx="2286000" cy="262938"/>
                <wp:effectExtent l="0" t="0" r="0" b="3810"/>
                <wp:wrapNone/>
                <wp:docPr id="666228560" name="Rectangle : coins arrondis 666228560"/>
                <wp:cNvGraphicFramePr/>
                <a:graphic xmlns:a="http://schemas.openxmlformats.org/drawingml/2006/main">
                  <a:graphicData uri="http://schemas.microsoft.com/office/word/2010/wordprocessingShape">
                    <wps:wsp>
                      <wps:cNvSpPr/>
                      <wps:spPr>
                        <a:xfrm>
                          <a:off x="0" y="0"/>
                          <a:ext cx="2286000" cy="262938"/>
                        </a:xfrm>
                        <a:prstGeom prst="roundRect">
                          <a:avLst>
                            <a:gd name="adj" fmla="val 0"/>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8F424A" w14:textId="77777777" w:rsidR="00F55DA6" w:rsidRPr="00B03098" w:rsidRDefault="00F55DA6" w:rsidP="00F55DA6">
                            <w:pPr>
                              <w:jc w:val="center"/>
                              <w:rPr>
                                <w:b/>
                                <w:bCs/>
                                <w:color w:val="F6F6F6"/>
                                <w:sz w:val="32"/>
                                <w:szCs w:val="32"/>
                              </w:rPr>
                            </w:pPr>
                            <w:r w:rsidRPr="00B03098">
                              <w:rPr>
                                <w:rFonts w:ascii="Source Sans Pro" w:hAnsi="Source Sans Pro"/>
                                <w:b/>
                                <w:bCs/>
                                <w:color w:val="F6F6F6"/>
                              </w:rPr>
                              <w:t>Plan d’amélioration 2026</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68CAF3" id="Rectangle : coins arrondis 666228560" o:spid="_x0000_s1119" style="position:absolute;left:0;text-align:left;margin-left:156.85pt;margin-top:11.75pt;width:180pt;height:20.7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" fillcolor="#8a2c24 [3205]" stroked="f" strokeweight="1pt">
                <v:stroke joinstyle="miter"/>
                <v:textbox inset="2.5mm,1mm,2.5mm,1mm">
                  <w:txbxContent>
                    <w:p w14:paraId="028F424A" w14:textId="77777777" w:rsidR="00F55DA6" w:rsidRPr="00B03098" w:rsidRDefault="00F55DA6" w:rsidP="00F55DA6">
                      <w:pPr>
                        <w:jc w:val="center"/>
                        <w:rPr>
                          <w:b/>
                          <w:bCs/>
                          <w:color w:val="F6F6F6"/>
                          <w:sz w:val="32"/>
                          <w:szCs w:val="32"/>
                        </w:rPr>
                      </w:pPr>
                      <w:r w:rsidRPr="00B03098">
                        <w:rPr>
                          <w:rFonts w:ascii="Source Sans Pro" w:hAnsi="Source Sans Pro"/>
                          <w:b/>
                          <w:bCs/>
                          <w:color w:val="F6F6F6"/>
                        </w:rPr>
                        <w:t>Plan d’amélioration 2026</w:t>
                      </w:r>
                    </w:p>
                  </w:txbxContent>
                </v:textbox>
                <w10:wrap anchorx="margin"/>
              </v:roundrect>
            </w:pict>
          </mc:Fallback>
        </mc:AlternateContent>
      </w:r>
    </w:p>
    <w:p w14:paraId="089649E2" w14:textId="350FC564" w:rsidR="00F55DA6" w:rsidRPr="00A74D23" w:rsidRDefault="00F55DA6" w:rsidP="009D6EE5">
      <w:pPr>
        <w:spacing w:line="22" w:lineRule="atLeast"/>
        <w:jc w:val="both"/>
        <w:rPr>
          <w:rFonts w:asciiTheme="minorHAnsi" w:hAnsiTheme="minorHAnsi"/>
          <w:sz w:val="20"/>
          <w:szCs w:val="20"/>
          <w:lang w:val="fr-FR"/>
        </w:rPr>
      </w:pPr>
      <w:r w:rsidRPr="00A74D23">
        <w:rPr>
          <w:rFonts w:asciiTheme="minorHAnsi" w:hAnsiTheme="minorHAnsi" w:cs="Open Sans"/>
          <w:noProof/>
          <w:sz w:val="18"/>
          <w:szCs w:val="18"/>
        </w:rPr>
        <mc:AlternateContent>
          <mc:Choice Requires="wps">
            <w:drawing>
              <wp:anchor distT="0" distB="0" distL="114300" distR="114300" simplePos="0" relativeHeight="251694080" behindDoc="1" locked="0" layoutInCell="1" allowOverlap="1" wp14:anchorId="00C739E4" wp14:editId="7AA97EBC">
                <wp:simplePos x="0" y="0"/>
                <wp:positionH relativeFrom="margin">
                  <wp:posOffset>-130223</wp:posOffset>
                </wp:positionH>
                <wp:positionV relativeFrom="paragraph">
                  <wp:posOffset>162716</wp:posOffset>
                </wp:positionV>
                <wp:extent cx="6323162" cy="6142007"/>
                <wp:effectExtent l="0" t="0" r="1905" b="0"/>
                <wp:wrapNone/>
                <wp:docPr id="577775946" name="Rectangle : coins arrondis 577775946"/>
                <wp:cNvGraphicFramePr/>
                <a:graphic xmlns:a="http://schemas.openxmlformats.org/drawingml/2006/main">
                  <a:graphicData uri="http://schemas.microsoft.com/office/word/2010/wordprocessingShape">
                    <wps:wsp>
                      <wps:cNvSpPr/>
                      <wps:spPr>
                        <a:xfrm>
                          <a:off x="0" y="0"/>
                          <a:ext cx="6323162" cy="6142007"/>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784E03" w14:textId="77777777" w:rsidR="00513164" w:rsidRPr="00513164" w:rsidRDefault="00513164" w:rsidP="00513164">
                            <w:pPr>
                              <w:rPr>
                                <w:rFonts w:ascii="Source Sans Pro" w:hAnsi="Source Sans Pro" w:cs="Calibri"/>
                                <w:color w:val="000000"/>
                                <w:sz w:val="20"/>
                                <w:szCs w:val="20"/>
                                <w:lang w:val="fr-FR" w:eastAsia="fr-FR"/>
                              </w:rPr>
                            </w:pPr>
                            <w:bookmarkStart w:id="83" w:name="_Hlk167791468"/>
                            <w:r w:rsidRPr="00513164">
                              <w:rPr>
                                <w:rFonts w:ascii="Source Sans Pro" w:hAnsi="Source Sans Pro" w:cs="Calibri"/>
                                <w:color w:val="000000"/>
                                <w:sz w:val="20"/>
                                <w:szCs w:val="20"/>
                                <w:lang w:val="fr-FR" w:eastAsia="fr-FR"/>
                              </w:rPr>
                              <w:t xml:space="preserve">Afin d’améliorer le suivi de notre performance climatique de notre portefeuille immobilier, plusieurs chantiers sont en cours de déploiement : </w:t>
                            </w:r>
                          </w:p>
                          <w:p w14:paraId="4055888E" w14:textId="77777777" w:rsidR="00513164" w:rsidRPr="00513164" w:rsidRDefault="00513164" w:rsidP="00590DD1">
                            <w:pPr>
                              <w:pStyle w:val="Paragraphedeliste"/>
                              <w:numPr>
                                <w:ilvl w:val="0"/>
                                <w:numId w:val="122"/>
                              </w:numPr>
                              <w:spacing w:after="0" w:line="240" w:lineRule="auto"/>
                              <w:rPr>
                                <w:rFonts w:ascii="Source Sans Pro" w:hAnsi="Source Sans Pro" w:cs="Calibri"/>
                                <w:b/>
                                <w:bCs/>
                                <w:color w:val="000000"/>
                                <w:sz w:val="20"/>
                                <w:szCs w:val="20"/>
                                <w:lang w:eastAsia="fr-FR"/>
                              </w:rPr>
                            </w:pPr>
                            <w:r w:rsidRPr="00513164">
                              <w:rPr>
                                <w:rFonts w:ascii="Source Sans Pro" w:hAnsi="Source Sans Pro" w:cs="Calibri"/>
                                <w:b/>
                                <w:bCs/>
                                <w:color w:val="000000"/>
                                <w:sz w:val="20"/>
                                <w:szCs w:val="20"/>
                                <w:lang w:eastAsia="fr-FR"/>
                              </w:rPr>
                              <w:t>Premier chantier : Continuer d’intégrer à l’outil DEEPKI de trajectoire CRREM l’ensemble des CAPEX de décarbonation afin d’obtenir la projection ajustée de l’intensité carbone</w:t>
                            </w:r>
                          </w:p>
                          <w:p w14:paraId="2C6483A8" w14:textId="77777777" w:rsidR="00513164" w:rsidRDefault="00513164" w:rsidP="00513164">
                            <w:pPr>
                              <w:pStyle w:val="Paragraphedeliste"/>
                              <w:spacing w:after="0" w:line="240" w:lineRule="auto"/>
                              <w:ind w:left="284"/>
                              <w:jc w:val="both"/>
                              <w:rPr>
                                <w:rFonts w:ascii="Source Sans Pro" w:hAnsi="Source Sans Pro" w:cs="Calibri"/>
                                <w:color w:val="000000"/>
                                <w:sz w:val="20"/>
                                <w:szCs w:val="20"/>
                                <w:lang w:eastAsia="fr-FR"/>
                              </w:rPr>
                            </w:pPr>
                            <w:r w:rsidRPr="00513164">
                              <w:rPr>
                                <w:rFonts w:ascii="Source Sans Pro" w:hAnsi="Source Sans Pro" w:cs="Calibri"/>
                                <w:color w:val="000000"/>
                                <w:sz w:val="20"/>
                                <w:szCs w:val="20"/>
                                <w:lang w:eastAsia="fr-FR"/>
                              </w:rPr>
                              <w:t>L’objectif est d’intégrer dans l’outil DEEPKI de trajectoire énergétique et carbone et son module de « plan d’investissement », l’ensemble des CAPEX, déjà prévus dans les budgets ou à prévoir, afin de repousser au maximum la date d’« échouage » du patrimoine selon la trajectoire CRREM en lien avec les engagements de la NZAO. La majorité des CAPEX déjà identifiés ont d’ores et déjà été intégrés depuis 2025, mais quelques actifs doivent encore faire l’objet d’audits énergétiques afin d’identifier les CAPEX nécessaires et pertinent.</w:t>
                            </w:r>
                          </w:p>
                          <w:p w14:paraId="137E8C0C" w14:textId="77777777" w:rsidR="0022779E" w:rsidRPr="00513164" w:rsidRDefault="0022779E" w:rsidP="00513164">
                            <w:pPr>
                              <w:pStyle w:val="Paragraphedeliste"/>
                              <w:spacing w:after="0" w:line="240" w:lineRule="auto"/>
                              <w:ind w:left="284"/>
                              <w:jc w:val="both"/>
                              <w:rPr>
                                <w:rFonts w:ascii="Source Sans Pro" w:hAnsi="Source Sans Pro" w:cs="Calibri"/>
                                <w:color w:val="000000"/>
                                <w:sz w:val="20"/>
                                <w:szCs w:val="20"/>
                                <w:lang w:eastAsia="fr-FR"/>
                              </w:rPr>
                            </w:pPr>
                          </w:p>
                          <w:p w14:paraId="271B963B" w14:textId="77777777" w:rsidR="00513164" w:rsidRPr="00513164" w:rsidRDefault="00513164" w:rsidP="00590DD1">
                            <w:pPr>
                              <w:pStyle w:val="Paragraphedeliste"/>
                              <w:numPr>
                                <w:ilvl w:val="0"/>
                                <w:numId w:val="123"/>
                              </w:numPr>
                              <w:spacing w:after="0" w:line="240" w:lineRule="auto"/>
                              <w:rPr>
                                <w:rFonts w:ascii="Source Sans Pro" w:hAnsi="Source Sans Pro" w:cs="Calibri"/>
                                <w:b/>
                                <w:bCs/>
                                <w:color w:val="000000"/>
                                <w:sz w:val="20"/>
                                <w:szCs w:val="20"/>
                                <w:lang w:eastAsia="fr-FR"/>
                              </w:rPr>
                            </w:pPr>
                            <w:r w:rsidRPr="00513164">
                              <w:rPr>
                                <w:rFonts w:ascii="Source Sans Pro" w:hAnsi="Source Sans Pro" w:cs="Calibri"/>
                                <w:b/>
                                <w:bCs/>
                                <w:color w:val="000000"/>
                                <w:sz w:val="20"/>
                                <w:szCs w:val="20"/>
                                <w:lang w:eastAsia="fr-FR"/>
                              </w:rPr>
                              <w:t>Second chantier : Continuer à fiabiliser la donnée énergétique et carbone utilisée</w:t>
                            </w:r>
                          </w:p>
                          <w:p w14:paraId="685F12DF" w14:textId="77777777" w:rsidR="00513164" w:rsidRDefault="00513164" w:rsidP="00513164">
                            <w:pPr>
                              <w:pStyle w:val="Paragraphedeliste"/>
                              <w:spacing w:after="0" w:line="240" w:lineRule="auto"/>
                              <w:ind w:left="284"/>
                              <w:rPr>
                                <w:rFonts w:ascii="Source Sans Pro" w:hAnsi="Source Sans Pro" w:cs="Calibri"/>
                                <w:color w:val="000000"/>
                                <w:sz w:val="20"/>
                                <w:szCs w:val="20"/>
                                <w:lang w:eastAsia="fr-FR"/>
                              </w:rPr>
                            </w:pPr>
                            <w:r w:rsidRPr="00513164">
                              <w:rPr>
                                <w:rFonts w:ascii="Source Sans Pro" w:hAnsi="Source Sans Pro" w:cs="Calibri"/>
                                <w:color w:val="000000"/>
                                <w:sz w:val="20"/>
                                <w:szCs w:val="20"/>
                                <w:lang w:eastAsia="fr-FR"/>
                              </w:rPr>
                              <w:t>Le travail d’amélioration de la fiabilité de la donnée énergétique utilisée par Deepki doit continuer comme cela a été réalisé les années précédentes. L’amélioration du taux de données réelles (issues des fournisseurs d’énergie et non pas d’estimations) est un travail continu au cours de l’année. Pour se faire, nous proposons notamment aux locataires de nos actifs à activité tertiaire de renseigner pour eux la déclaration de leur consommation annuelle sur la plateforme gouvernementale (OPERAT), permettant ainsi d’augmenter le taux de collecte de données réelles.</w:t>
                            </w:r>
                            <w:bookmarkEnd w:id="83"/>
                          </w:p>
                          <w:p w14:paraId="44CF6040" w14:textId="77777777" w:rsidR="0022779E" w:rsidRPr="00513164" w:rsidRDefault="0022779E" w:rsidP="00513164">
                            <w:pPr>
                              <w:pStyle w:val="Paragraphedeliste"/>
                              <w:spacing w:after="0" w:line="240" w:lineRule="auto"/>
                              <w:ind w:left="284"/>
                              <w:rPr>
                                <w:rFonts w:ascii="Source Sans Pro" w:hAnsi="Source Sans Pro" w:cs="Calibri"/>
                                <w:color w:val="000000"/>
                                <w:sz w:val="20"/>
                                <w:szCs w:val="20"/>
                                <w:lang w:eastAsia="fr-FR"/>
                              </w:rPr>
                            </w:pPr>
                          </w:p>
                          <w:p w14:paraId="2263F31E" w14:textId="77777777" w:rsidR="00513164" w:rsidRPr="00513164" w:rsidRDefault="00513164" w:rsidP="00590DD1">
                            <w:pPr>
                              <w:pStyle w:val="Paragraphedeliste"/>
                              <w:numPr>
                                <w:ilvl w:val="0"/>
                                <w:numId w:val="124"/>
                              </w:numPr>
                              <w:spacing w:after="0" w:line="240" w:lineRule="auto"/>
                              <w:rPr>
                                <w:rFonts w:ascii="Source Sans Pro" w:hAnsi="Source Sans Pro" w:cs="Calibri"/>
                                <w:b/>
                                <w:bCs/>
                                <w:color w:val="000000"/>
                                <w:sz w:val="20"/>
                                <w:szCs w:val="20"/>
                                <w:lang w:eastAsia="fr-FR"/>
                              </w:rPr>
                            </w:pPr>
                            <w:r w:rsidRPr="00513164">
                              <w:rPr>
                                <w:rFonts w:ascii="Source Sans Pro" w:hAnsi="Source Sans Pro" w:cs="Calibri"/>
                                <w:b/>
                                <w:bCs/>
                                <w:color w:val="000000"/>
                                <w:sz w:val="20"/>
                                <w:szCs w:val="20"/>
                                <w:lang w:eastAsia="fr-FR"/>
                              </w:rPr>
                              <w:t>Troisième chantier : Continuer à mettre en place des solutions de pilotage énergétique en lien avec les systèmes de Gestion Technique du Bâtiment</w:t>
                            </w:r>
                          </w:p>
                          <w:p w14:paraId="65E44DF3" w14:textId="25C54451" w:rsidR="00F55DA6" w:rsidRPr="0022779E" w:rsidRDefault="00513164" w:rsidP="0022779E">
                            <w:pPr>
                              <w:pStyle w:val="Paragraphedeliste"/>
                              <w:spacing w:after="0" w:line="240" w:lineRule="auto"/>
                              <w:ind w:left="284"/>
                              <w:rPr>
                                <w:rFonts w:ascii="Source Sans Pro" w:hAnsi="Source Sans Pro" w:cs="Calibri"/>
                                <w:color w:val="000000"/>
                                <w:sz w:val="20"/>
                                <w:szCs w:val="20"/>
                                <w:lang w:eastAsia="fr-FR"/>
                              </w:rPr>
                            </w:pPr>
                            <w:r w:rsidRPr="00513164">
                              <w:rPr>
                                <w:rFonts w:ascii="Source Sans Pro" w:hAnsi="Source Sans Pro" w:cs="Calibri"/>
                                <w:color w:val="000000"/>
                                <w:sz w:val="20"/>
                                <w:szCs w:val="20"/>
                                <w:lang w:eastAsia="fr-FR"/>
                              </w:rPr>
                              <w:t>Des solutions d’Energy Management ont commencé à être déployées en 2025 sur certains actifs énergivores, permettant un suivi en temps réel des consommations et la mise en place d’alertes. Les solutions de ce type doivent continuer à être déployés sur les prochaines années pour un plus large périmètre, et en continuant la démarche jusqu’à la mise en place de systèmes « Auto Pilot » de contrôle automatique à distance des équipements techniques afin de réagir au plus vite en cas de dérive de consommations. Nous avons l’objectif d’intégrer dans la manière de faire de l’Energy Management, les principes de « Flexibilité électrique », autrement dit, l’optimisation de la consommation en fonction de l’heure de la journée. Ce travail est réalisé en lien avec les obligations réglementaires du décret BACS portant sur les systèmes de Gestion Technique du Bâtiment (GTB). A noter, depuis 2025, il y a une intégration systématique de ces solutions d’Energy Management sur les immeubles faisant l’objet de projets de rénovation. Enfin, nous avons pour objectifs d’améliorer la centralisation des données des différentes GTB des actifs du patrimoine, en développant à termes des solutions d « Hypervision ».</w:t>
                            </w:r>
                            <w:r>
                              <w:rPr>
                                <w:rFonts w:ascii="Source Sans Pro" w:hAnsi="Source Sans Pro" w:cs="Calibri"/>
                                <w:color w:val="000000"/>
                                <w:sz w:val="20"/>
                                <w:szCs w:val="20"/>
                                <w:lang w:eastAsia="fr-FR"/>
                              </w:rPr>
                              <w:t xml:space="preserve"> </w:t>
                            </w:r>
                          </w:p>
                        </w:txbxContent>
                      </wps:txbx>
                      <wps:bodyPr rot="0" spcFirstLastPara="0" vertOverflow="overflow" horzOverflow="overflow" vert="horz" wrap="square" lIns="180000" tIns="72000" rIns="180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C739E4" id="Rectangle : coins arrondis 577775946" o:spid="_x0000_s1120" style="position:absolute;left:0;text-align:left;margin-left:-10.25pt;margin-top:12.8pt;width:497.9pt;height:483.6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" fillcolor="#d8d8d8 [2732]" stroked="f" strokeweight="1pt">
                <v:stroke joinstyle="miter"/>
                <v:textbox inset="5mm,2mm,5mm,3mm">
                  <w:txbxContent>
                    <w:p w14:paraId="36784E03" w14:textId="77777777" w:rsidR="00513164" w:rsidRPr="00513164" w:rsidRDefault="00513164" w:rsidP="00513164">
                      <w:pPr>
                        <w:rPr>
                          <w:rFonts w:ascii="Source Sans Pro" w:hAnsi="Source Sans Pro" w:cs="Calibri"/>
                          <w:color w:val="000000"/>
                          <w:sz w:val="20"/>
                          <w:szCs w:val="20"/>
                          <w:lang w:val="fr-FR" w:eastAsia="fr-FR"/>
                        </w:rPr>
                      </w:pPr>
                      <w:bookmarkStart w:id="84" w:name="_Hlk167791468"/>
                      <w:r w:rsidRPr="00513164">
                        <w:rPr>
                          <w:rFonts w:ascii="Source Sans Pro" w:hAnsi="Source Sans Pro" w:cs="Calibri"/>
                          <w:color w:val="000000"/>
                          <w:sz w:val="20"/>
                          <w:szCs w:val="20"/>
                          <w:lang w:val="fr-FR" w:eastAsia="fr-FR"/>
                        </w:rPr>
                        <w:t xml:space="preserve">Afin d’améliorer le suivi de notre performance climatique de notre portefeuille immobilier, plusieurs chantiers sont en cours de déploiement : </w:t>
                      </w:r>
                    </w:p>
                    <w:p w14:paraId="4055888E" w14:textId="77777777" w:rsidR="00513164" w:rsidRPr="00513164" w:rsidRDefault="00513164" w:rsidP="00590DD1">
                      <w:pPr>
                        <w:pStyle w:val="Paragraphedeliste"/>
                        <w:numPr>
                          <w:ilvl w:val="0"/>
                          <w:numId w:val="122"/>
                        </w:numPr>
                        <w:spacing w:after="0" w:line="240" w:lineRule="auto"/>
                        <w:rPr>
                          <w:rFonts w:ascii="Source Sans Pro" w:hAnsi="Source Sans Pro" w:cs="Calibri"/>
                          <w:b/>
                          <w:bCs/>
                          <w:color w:val="000000"/>
                          <w:sz w:val="20"/>
                          <w:szCs w:val="20"/>
                          <w:lang w:eastAsia="fr-FR"/>
                        </w:rPr>
                      </w:pPr>
                      <w:r w:rsidRPr="00513164">
                        <w:rPr>
                          <w:rFonts w:ascii="Source Sans Pro" w:hAnsi="Source Sans Pro" w:cs="Calibri"/>
                          <w:b/>
                          <w:bCs/>
                          <w:color w:val="000000"/>
                          <w:sz w:val="20"/>
                          <w:szCs w:val="20"/>
                          <w:lang w:eastAsia="fr-FR"/>
                        </w:rPr>
                        <w:t>Premier chantier : Continuer d’intégrer à l’outil DEEPKI de trajectoire CRREM l’ensemble des CAPEX de décarbonation afin d’obtenir la projection ajustée de l’intensité carbone</w:t>
                      </w:r>
                    </w:p>
                    <w:p w14:paraId="2C6483A8" w14:textId="77777777" w:rsidR="00513164" w:rsidRDefault="00513164" w:rsidP="00513164">
                      <w:pPr>
                        <w:pStyle w:val="Paragraphedeliste"/>
                        <w:spacing w:after="0" w:line="240" w:lineRule="auto"/>
                        <w:ind w:left="284"/>
                        <w:jc w:val="both"/>
                        <w:rPr>
                          <w:rFonts w:ascii="Source Sans Pro" w:hAnsi="Source Sans Pro" w:cs="Calibri"/>
                          <w:color w:val="000000"/>
                          <w:sz w:val="20"/>
                          <w:szCs w:val="20"/>
                          <w:lang w:eastAsia="fr-FR"/>
                        </w:rPr>
                      </w:pPr>
                      <w:r w:rsidRPr="00513164">
                        <w:rPr>
                          <w:rFonts w:ascii="Source Sans Pro" w:hAnsi="Source Sans Pro" w:cs="Calibri"/>
                          <w:color w:val="000000"/>
                          <w:sz w:val="20"/>
                          <w:szCs w:val="20"/>
                          <w:lang w:eastAsia="fr-FR"/>
                        </w:rPr>
                        <w:t>L’objectif est d’intégrer dans l’outil DEEPKI de trajectoire énergétique et carbone et son module de « plan d’investissement », l’ensemble des CAPEX, déjà prévus dans les budgets ou à prévoir, afin de repousser au maximum la date d’« échouage » du patrimoine selon la trajectoire CRREM en lien avec les engagements de la NZAO. La majorité des CAPEX déjà identifiés ont d’ores et déjà été intégrés depuis 2025, mais quelques actifs doivent encore faire l’objet d’audits énergétiques afin d’identifier les CAPEX nécessaires et pertinent.</w:t>
                      </w:r>
                    </w:p>
                    <w:p w14:paraId="137E8C0C" w14:textId="77777777" w:rsidR="0022779E" w:rsidRPr="00513164" w:rsidRDefault="0022779E" w:rsidP="00513164">
                      <w:pPr>
                        <w:pStyle w:val="Paragraphedeliste"/>
                        <w:spacing w:after="0" w:line="240" w:lineRule="auto"/>
                        <w:ind w:left="284"/>
                        <w:jc w:val="both"/>
                        <w:rPr>
                          <w:rFonts w:ascii="Source Sans Pro" w:hAnsi="Source Sans Pro" w:cs="Calibri"/>
                          <w:color w:val="000000"/>
                          <w:sz w:val="20"/>
                          <w:szCs w:val="20"/>
                          <w:lang w:eastAsia="fr-FR"/>
                        </w:rPr>
                      </w:pPr>
                    </w:p>
                    <w:p w14:paraId="271B963B" w14:textId="77777777" w:rsidR="00513164" w:rsidRPr="00513164" w:rsidRDefault="00513164" w:rsidP="00590DD1">
                      <w:pPr>
                        <w:pStyle w:val="Paragraphedeliste"/>
                        <w:numPr>
                          <w:ilvl w:val="0"/>
                          <w:numId w:val="123"/>
                        </w:numPr>
                        <w:spacing w:after="0" w:line="240" w:lineRule="auto"/>
                        <w:rPr>
                          <w:rFonts w:ascii="Source Sans Pro" w:hAnsi="Source Sans Pro" w:cs="Calibri"/>
                          <w:b/>
                          <w:bCs/>
                          <w:color w:val="000000"/>
                          <w:sz w:val="20"/>
                          <w:szCs w:val="20"/>
                          <w:lang w:eastAsia="fr-FR"/>
                        </w:rPr>
                      </w:pPr>
                      <w:r w:rsidRPr="00513164">
                        <w:rPr>
                          <w:rFonts w:ascii="Source Sans Pro" w:hAnsi="Source Sans Pro" w:cs="Calibri"/>
                          <w:b/>
                          <w:bCs/>
                          <w:color w:val="000000"/>
                          <w:sz w:val="20"/>
                          <w:szCs w:val="20"/>
                          <w:lang w:eastAsia="fr-FR"/>
                        </w:rPr>
                        <w:t>Second chantier : Continuer à fiabiliser la donnée énergétique et carbone utilisée</w:t>
                      </w:r>
                    </w:p>
                    <w:p w14:paraId="685F12DF" w14:textId="77777777" w:rsidR="00513164" w:rsidRDefault="00513164" w:rsidP="00513164">
                      <w:pPr>
                        <w:pStyle w:val="Paragraphedeliste"/>
                        <w:spacing w:after="0" w:line="240" w:lineRule="auto"/>
                        <w:ind w:left="284"/>
                        <w:rPr>
                          <w:rFonts w:ascii="Source Sans Pro" w:hAnsi="Source Sans Pro" w:cs="Calibri"/>
                          <w:color w:val="000000"/>
                          <w:sz w:val="20"/>
                          <w:szCs w:val="20"/>
                          <w:lang w:eastAsia="fr-FR"/>
                        </w:rPr>
                      </w:pPr>
                      <w:r w:rsidRPr="00513164">
                        <w:rPr>
                          <w:rFonts w:ascii="Source Sans Pro" w:hAnsi="Source Sans Pro" w:cs="Calibri"/>
                          <w:color w:val="000000"/>
                          <w:sz w:val="20"/>
                          <w:szCs w:val="20"/>
                          <w:lang w:eastAsia="fr-FR"/>
                        </w:rPr>
                        <w:t>Le travail d’amélioration de la fiabilité de la donnée énergétique utilisée par Deepki doit continuer comme cela a été réalisé les années précédentes. L’amélioration du taux de données réelles (issues des fournisseurs d’énergie et non pas d’estimations) est un travail continu au cours de l’année. Pour se faire, nous proposons notamment aux locataires de nos actifs à activité tertiaire de renseigner pour eux la déclaration de leur consommation annuelle sur la plateforme gouvernementale (OPERAT), permettant ainsi d’augmenter le taux de collecte de données réelles.</w:t>
                      </w:r>
                      <w:bookmarkEnd w:id="84"/>
                    </w:p>
                    <w:p w14:paraId="44CF6040" w14:textId="77777777" w:rsidR="0022779E" w:rsidRPr="00513164" w:rsidRDefault="0022779E" w:rsidP="00513164">
                      <w:pPr>
                        <w:pStyle w:val="Paragraphedeliste"/>
                        <w:spacing w:after="0" w:line="240" w:lineRule="auto"/>
                        <w:ind w:left="284"/>
                        <w:rPr>
                          <w:rFonts w:ascii="Source Sans Pro" w:hAnsi="Source Sans Pro" w:cs="Calibri"/>
                          <w:color w:val="000000"/>
                          <w:sz w:val="20"/>
                          <w:szCs w:val="20"/>
                          <w:lang w:eastAsia="fr-FR"/>
                        </w:rPr>
                      </w:pPr>
                    </w:p>
                    <w:p w14:paraId="2263F31E" w14:textId="77777777" w:rsidR="00513164" w:rsidRPr="00513164" w:rsidRDefault="00513164" w:rsidP="00590DD1">
                      <w:pPr>
                        <w:pStyle w:val="Paragraphedeliste"/>
                        <w:numPr>
                          <w:ilvl w:val="0"/>
                          <w:numId w:val="124"/>
                        </w:numPr>
                        <w:spacing w:after="0" w:line="240" w:lineRule="auto"/>
                        <w:rPr>
                          <w:rFonts w:ascii="Source Sans Pro" w:hAnsi="Source Sans Pro" w:cs="Calibri"/>
                          <w:b/>
                          <w:bCs/>
                          <w:color w:val="000000"/>
                          <w:sz w:val="20"/>
                          <w:szCs w:val="20"/>
                          <w:lang w:eastAsia="fr-FR"/>
                        </w:rPr>
                      </w:pPr>
                      <w:r w:rsidRPr="00513164">
                        <w:rPr>
                          <w:rFonts w:ascii="Source Sans Pro" w:hAnsi="Source Sans Pro" w:cs="Calibri"/>
                          <w:b/>
                          <w:bCs/>
                          <w:color w:val="000000"/>
                          <w:sz w:val="20"/>
                          <w:szCs w:val="20"/>
                          <w:lang w:eastAsia="fr-FR"/>
                        </w:rPr>
                        <w:t>Troisième chantier : Continuer à mettre en place des solutions de pilotage énergétique en lien avec les systèmes de Gestion Technique du Bâtiment</w:t>
                      </w:r>
                    </w:p>
                    <w:p w14:paraId="65E44DF3" w14:textId="25C54451" w:rsidR="00F55DA6" w:rsidRPr="0022779E" w:rsidRDefault="00513164" w:rsidP="0022779E">
                      <w:pPr>
                        <w:pStyle w:val="Paragraphedeliste"/>
                        <w:spacing w:after="0" w:line="240" w:lineRule="auto"/>
                        <w:ind w:left="284"/>
                        <w:rPr>
                          <w:rFonts w:ascii="Source Sans Pro" w:hAnsi="Source Sans Pro" w:cs="Calibri"/>
                          <w:color w:val="000000"/>
                          <w:sz w:val="20"/>
                          <w:szCs w:val="20"/>
                          <w:lang w:eastAsia="fr-FR"/>
                        </w:rPr>
                      </w:pPr>
                      <w:r w:rsidRPr="00513164">
                        <w:rPr>
                          <w:rFonts w:ascii="Source Sans Pro" w:hAnsi="Source Sans Pro" w:cs="Calibri"/>
                          <w:color w:val="000000"/>
                          <w:sz w:val="20"/>
                          <w:szCs w:val="20"/>
                          <w:lang w:eastAsia="fr-FR"/>
                        </w:rPr>
                        <w:t>Des solutions d’Energy Management ont commencé à être déployées en 2025 sur certains actifs énergivores, permettant un suivi en temps réel des consommations et la mise en place d’alertes. Les solutions de ce type doivent continuer à être déployés sur les prochaines années pour un plus large périmètre, et en continuant la démarche jusqu’à la mise en place de systèmes « Auto Pilot » de contrôle automatique à distance des équipements techniques afin de réagir au plus vite en cas de dérive de consommations. Nous avons l’objectif d’intégrer dans la manière de faire de l’Energy Management, les principes de « Flexibilité électrique », autrement dit, l’optimisation de la consommation en fonction de l’heure de la journée. Ce travail est réalisé en lien avec les obligations réglementaires du décret BACS portant sur les systèmes de Gestion Technique du Bâtiment (GTB). A noter, depuis 2025, il y a une intégration systématique de ces solutions d’Energy Management sur les immeubles faisant l’objet de projets de rénovation. Enfin, nous avons pour objectifs d’améliorer la centralisation des données des différentes GTB des actifs du patrimoine, en développant à termes des solutions d « Hypervision ».</w:t>
                      </w:r>
                      <w:r>
                        <w:rPr>
                          <w:rFonts w:ascii="Source Sans Pro" w:hAnsi="Source Sans Pro" w:cs="Calibri"/>
                          <w:color w:val="000000"/>
                          <w:sz w:val="20"/>
                          <w:szCs w:val="20"/>
                          <w:lang w:eastAsia="fr-FR"/>
                        </w:rPr>
                        <w:t xml:space="preserve"> </w:t>
                      </w:r>
                    </w:p>
                  </w:txbxContent>
                </v:textbox>
                <w10:wrap anchorx="margin"/>
              </v:roundrect>
            </w:pict>
          </mc:Fallback>
        </mc:AlternateContent>
      </w:r>
    </w:p>
    <w:p w14:paraId="0D2D40CE" w14:textId="77777777" w:rsidR="00F55DA6" w:rsidRPr="00A74D23" w:rsidRDefault="00F55DA6" w:rsidP="009D6EE5">
      <w:pPr>
        <w:spacing w:line="22" w:lineRule="atLeast"/>
        <w:jc w:val="both"/>
        <w:rPr>
          <w:rFonts w:asciiTheme="minorHAnsi" w:hAnsiTheme="minorHAnsi"/>
          <w:sz w:val="20"/>
          <w:szCs w:val="20"/>
          <w:lang w:val="fr-FR"/>
        </w:rPr>
      </w:pPr>
    </w:p>
    <w:p w14:paraId="711E2737" w14:textId="77777777" w:rsidR="00F55DA6" w:rsidRPr="00A74D23" w:rsidRDefault="00F55DA6" w:rsidP="009D6EE5">
      <w:pPr>
        <w:spacing w:line="22" w:lineRule="atLeast"/>
        <w:jc w:val="both"/>
        <w:rPr>
          <w:rFonts w:asciiTheme="minorHAnsi" w:hAnsiTheme="minorHAnsi"/>
          <w:sz w:val="20"/>
          <w:szCs w:val="20"/>
          <w:lang w:val="fr-FR"/>
        </w:rPr>
      </w:pPr>
    </w:p>
    <w:p w14:paraId="4593C087" w14:textId="77777777" w:rsidR="00F55DA6" w:rsidRPr="00A74D23" w:rsidRDefault="00F55DA6" w:rsidP="009D6EE5">
      <w:pPr>
        <w:spacing w:line="22" w:lineRule="atLeast"/>
        <w:jc w:val="both"/>
        <w:rPr>
          <w:rFonts w:asciiTheme="minorHAnsi" w:hAnsiTheme="minorHAnsi"/>
          <w:sz w:val="20"/>
          <w:szCs w:val="20"/>
          <w:lang w:val="fr-FR"/>
        </w:rPr>
      </w:pPr>
    </w:p>
    <w:p w14:paraId="55798D6F" w14:textId="77777777" w:rsidR="00F55DA6" w:rsidRPr="00A74D23" w:rsidRDefault="00F55DA6" w:rsidP="009D6EE5">
      <w:pPr>
        <w:spacing w:line="22" w:lineRule="atLeast"/>
        <w:jc w:val="both"/>
        <w:rPr>
          <w:rFonts w:asciiTheme="minorHAnsi" w:hAnsiTheme="minorHAnsi"/>
          <w:sz w:val="20"/>
          <w:szCs w:val="20"/>
          <w:lang w:val="fr-FR"/>
        </w:rPr>
      </w:pPr>
    </w:p>
    <w:p w14:paraId="5C08FF58" w14:textId="77777777" w:rsidR="00E15C2B" w:rsidRPr="00A74D23" w:rsidRDefault="00E15C2B" w:rsidP="009D6EE5">
      <w:pPr>
        <w:spacing w:line="22" w:lineRule="atLeast"/>
        <w:jc w:val="both"/>
        <w:rPr>
          <w:rFonts w:asciiTheme="minorHAnsi" w:hAnsiTheme="minorHAnsi"/>
          <w:sz w:val="28"/>
          <w:szCs w:val="28"/>
          <w:lang w:val="fr-FR"/>
        </w:rPr>
      </w:pPr>
    </w:p>
    <w:p w14:paraId="41AA7F8C" w14:textId="77777777" w:rsidR="008D4C00" w:rsidRDefault="008D4C00" w:rsidP="009D6EE5">
      <w:pPr>
        <w:spacing w:line="22" w:lineRule="atLeast"/>
        <w:jc w:val="both"/>
        <w:rPr>
          <w:rFonts w:asciiTheme="minorHAnsi" w:eastAsiaTheme="minorHAnsi" w:hAnsiTheme="minorHAnsi"/>
          <w:b/>
          <w:bCs/>
          <w:sz w:val="20"/>
          <w:szCs w:val="20"/>
          <w:lang w:val="fr-FR"/>
        </w:rPr>
      </w:pPr>
    </w:p>
    <w:p w14:paraId="2B79207A" w14:textId="77777777" w:rsidR="008D4C00" w:rsidRDefault="008D4C00" w:rsidP="009D6EE5">
      <w:pPr>
        <w:spacing w:line="22" w:lineRule="atLeast"/>
        <w:jc w:val="both"/>
        <w:rPr>
          <w:rFonts w:asciiTheme="minorHAnsi" w:eastAsiaTheme="minorHAnsi" w:hAnsiTheme="minorHAnsi"/>
          <w:b/>
          <w:bCs/>
          <w:sz w:val="20"/>
          <w:szCs w:val="20"/>
          <w:lang w:val="fr-FR"/>
        </w:rPr>
      </w:pPr>
    </w:p>
    <w:p w14:paraId="010C08E2" w14:textId="77777777" w:rsidR="008D4C00" w:rsidRDefault="008D4C00" w:rsidP="009D6EE5">
      <w:pPr>
        <w:spacing w:line="22" w:lineRule="atLeast"/>
        <w:jc w:val="both"/>
        <w:rPr>
          <w:rFonts w:asciiTheme="minorHAnsi" w:eastAsiaTheme="minorHAnsi" w:hAnsiTheme="minorHAnsi"/>
          <w:b/>
          <w:bCs/>
          <w:sz w:val="20"/>
          <w:szCs w:val="20"/>
          <w:lang w:val="fr-FR"/>
        </w:rPr>
      </w:pPr>
    </w:p>
    <w:p w14:paraId="11FC2849" w14:textId="77777777" w:rsidR="008D4C00" w:rsidRDefault="008D4C00" w:rsidP="009D6EE5">
      <w:pPr>
        <w:spacing w:line="22" w:lineRule="atLeast"/>
        <w:jc w:val="both"/>
        <w:rPr>
          <w:rFonts w:asciiTheme="minorHAnsi" w:eastAsiaTheme="minorHAnsi" w:hAnsiTheme="minorHAnsi"/>
          <w:b/>
          <w:bCs/>
          <w:sz w:val="20"/>
          <w:szCs w:val="20"/>
          <w:lang w:val="fr-FR"/>
        </w:rPr>
      </w:pPr>
    </w:p>
    <w:p w14:paraId="16957AC4" w14:textId="77777777" w:rsidR="008D4C00" w:rsidRDefault="008D4C00" w:rsidP="009D6EE5">
      <w:pPr>
        <w:spacing w:line="22" w:lineRule="atLeast"/>
        <w:jc w:val="both"/>
        <w:rPr>
          <w:rFonts w:asciiTheme="minorHAnsi" w:eastAsiaTheme="minorHAnsi" w:hAnsiTheme="minorHAnsi"/>
          <w:b/>
          <w:bCs/>
          <w:sz w:val="20"/>
          <w:szCs w:val="20"/>
          <w:lang w:val="fr-FR"/>
        </w:rPr>
      </w:pPr>
    </w:p>
    <w:p w14:paraId="57CEB33F" w14:textId="77777777" w:rsidR="008D4C00" w:rsidRDefault="008D4C00" w:rsidP="009D6EE5">
      <w:pPr>
        <w:spacing w:line="22" w:lineRule="atLeast"/>
        <w:jc w:val="both"/>
        <w:rPr>
          <w:rFonts w:asciiTheme="minorHAnsi" w:eastAsiaTheme="minorHAnsi" w:hAnsiTheme="minorHAnsi"/>
          <w:b/>
          <w:bCs/>
          <w:sz w:val="20"/>
          <w:szCs w:val="20"/>
          <w:lang w:val="fr-FR"/>
        </w:rPr>
      </w:pPr>
    </w:p>
    <w:p w14:paraId="5DE22DDF" w14:textId="77777777" w:rsidR="008D4C00" w:rsidRDefault="008D4C00" w:rsidP="009D6EE5">
      <w:pPr>
        <w:spacing w:line="22" w:lineRule="atLeast"/>
        <w:jc w:val="both"/>
        <w:rPr>
          <w:rFonts w:asciiTheme="minorHAnsi" w:eastAsiaTheme="minorHAnsi" w:hAnsiTheme="minorHAnsi"/>
          <w:b/>
          <w:bCs/>
          <w:sz w:val="20"/>
          <w:szCs w:val="20"/>
          <w:lang w:val="fr-FR"/>
        </w:rPr>
      </w:pPr>
    </w:p>
    <w:p w14:paraId="228E5012" w14:textId="77777777" w:rsidR="008D4C00" w:rsidRDefault="008D4C00" w:rsidP="009D6EE5">
      <w:pPr>
        <w:spacing w:line="22" w:lineRule="atLeast"/>
        <w:jc w:val="both"/>
        <w:rPr>
          <w:rFonts w:asciiTheme="minorHAnsi" w:eastAsiaTheme="minorHAnsi" w:hAnsiTheme="minorHAnsi"/>
          <w:b/>
          <w:bCs/>
          <w:sz w:val="20"/>
          <w:szCs w:val="20"/>
          <w:lang w:val="fr-FR"/>
        </w:rPr>
      </w:pPr>
    </w:p>
    <w:p w14:paraId="1D50F536" w14:textId="77777777" w:rsidR="008D4C00" w:rsidRDefault="008D4C00" w:rsidP="009D6EE5">
      <w:pPr>
        <w:spacing w:line="22" w:lineRule="atLeast"/>
        <w:jc w:val="both"/>
        <w:rPr>
          <w:rFonts w:asciiTheme="minorHAnsi" w:eastAsiaTheme="minorHAnsi" w:hAnsiTheme="minorHAnsi"/>
          <w:b/>
          <w:bCs/>
          <w:sz w:val="20"/>
          <w:szCs w:val="20"/>
          <w:lang w:val="fr-FR"/>
        </w:rPr>
      </w:pPr>
    </w:p>
    <w:p w14:paraId="1EC0E8E8" w14:textId="77777777" w:rsidR="008D4C00" w:rsidRDefault="008D4C00" w:rsidP="009D6EE5">
      <w:pPr>
        <w:spacing w:line="22" w:lineRule="atLeast"/>
        <w:jc w:val="both"/>
        <w:rPr>
          <w:rFonts w:asciiTheme="minorHAnsi" w:eastAsiaTheme="minorHAnsi" w:hAnsiTheme="minorHAnsi"/>
          <w:b/>
          <w:bCs/>
          <w:sz w:val="20"/>
          <w:szCs w:val="20"/>
          <w:lang w:val="fr-FR"/>
        </w:rPr>
      </w:pPr>
    </w:p>
    <w:p w14:paraId="32AA664D" w14:textId="77777777" w:rsidR="008D4C00" w:rsidRDefault="008D4C00" w:rsidP="009D6EE5">
      <w:pPr>
        <w:spacing w:line="22" w:lineRule="atLeast"/>
        <w:jc w:val="both"/>
        <w:rPr>
          <w:rFonts w:asciiTheme="minorHAnsi" w:eastAsiaTheme="minorHAnsi" w:hAnsiTheme="minorHAnsi"/>
          <w:b/>
          <w:bCs/>
          <w:sz w:val="20"/>
          <w:szCs w:val="20"/>
          <w:lang w:val="fr-FR"/>
        </w:rPr>
      </w:pPr>
    </w:p>
    <w:p w14:paraId="3F1D1DE4" w14:textId="77777777" w:rsidR="008D4C00" w:rsidRDefault="008D4C00" w:rsidP="009D6EE5">
      <w:pPr>
        <w:spacing w:line="22" w:lineRule="atLeast"/>
        <w:jc w:val="both"/>
        <w:rPr>
          <w:rFonts w:asciiTheme="minorHAnsi" w:eastAsiaTheme="minorHAnsi" w:hAnsiTheme="minorHAnsi"/>
          <w:b/>
          <w:bCs/>
          <w:sz w:val="20"/>
          <w:szCs w:val="20"/>
          <w:lang w:val="fr-FR"/>
        </w:rPr>
      </w:pPr>
    </w:p>
    <w:p w14:paraId="26E955D8" w14:textId="77777777" w:rsidR="008D4C00" w:rsidRDefault="008D4C00" w:rsidP="009D6EE5">
      <w:pPr>
        <w:spacing w:line="22" w:lineRule="atLeast"/>
        <w:jc w:val="both"/>
        <w:rPr>
          <w:rFonts w:asciiTheme="minorHAnsi" w:eastAsiaTheme="minorHAnsi" w:hAnsiTheme="minorHAnsi"/>
          <w:b/>
          <w:bCs/>
          <w:sz w:val="20"/>
          <w:szCs w:val="20"/>
          <w:lang w:val="fr-FR"/>
        </w:rPr>
      </w:pPr>
    </w:p>
    <w:p w14:paraId="6A6958C9" w14:textId="77777777" w:rsidR="008D4C00" w:rsidRDefault="008D4C00" w:rsidP="009D6EE5">
      <w:pPr>
        <w:spacing w:line="22" w:lineRule="atLeast"/>
        <w:jc w:val="both"/>
        <w:rPr>
          <w:rFonts w:asciiTheme="minorHAnsi" w:eastAsiaTheme="minorHAnsi" w:hAnsiTheme="minorHAnsi"/>
          <w:b/>
          <w:bCs/>
          <w:sz w:val="20"/>
          <w:szCs w:val="20"/>
          <w:lang w:val="fr-FR"/>
        </w:rPr>
      </w:pPr>
    </w:p>
    <w:p w14:paraId="59A90728" w14:textId="77777777" w:rsidR="008D4C00" w:rsidRDefault="008D4C00" w:rsidP="009D6EE5">
      <w:pPr>
        <w:spacing w:line="22" w:lineRule="atLeast"/>
        <w:jc w:val="both"/>
        <w:rPr>
          <w:rFonts w:asciiTheme="minorHAnsi" w:eastAsiaTheme="minorHAnsi" w:hAnsiTheme="minorHAnsi"/>
          <w:b/>
          <w:bCs/>
          <w:sz w:val="20"/>
          <w:szCs w:val="20"/>
          <w:lang w:val="fr-FR"/>
        </w:rPr>
      </w:pPr>
    </w:p>
    <w:p w14:paraId="266EFEFA" w14:textId="77777777" w:rsidR="008D4C00" w:rsidRDefault="008D4C00" w:rsidP="009D6EE5">
      <w:pPr>
        <w:spacing w:line="22" w:lineRule="atLeast"/>
        <w:jc w:val="both"/>
        <w:rPr>
          <w:rFonts w:asciiTheme="minorHAnsi" w:eastAsiaTheme="minorHAnsi" w:hAnsiTheme="minorHAnsi"/>
          <w:b/>
          <w:bCs/>
          <w:sz w:val="20"/>
          <w:szCs w:val="20"/>
          <w:lang w:val="fr-FR"/>
        </w:rPr>
      </w:pPr>
    </w:p>
    <w:p w14:paraId="14016E31" w14:textId="77777777" w:rsidR="008D4C00" w:rsidRDefault="008D4C00" w:rsidP="009D6EE5">
      <w:pPr>
        <w:spacing w:line="22" w:lineRule="atLeast"/>
        <w:jc w:val="both"/>
        <w:rPr>
          <w:rFonts w:asciiTheme="minorHAnsi" w:eastAsiaTheme="minorHAnsi" w:hAnsiTheme="minorHAnsi"/>
          <w:b/>
          <w:bCs/>
          <w:sz w:val="20"/>
          <w:szCs w:val="20"/>
          <w:lang w:val="fr-FR"/>
        </w:rPr>
      </w:pPr>
    </w:p>
    <w:p w14:paraId="41A44377" w14:textId="77777777" w:rsidR="008D4C00" w:rsidRDefault="008D4C00" w:rsidP="009D6EE5">
      <w:pPr>
        <w:spacing w:line="22" w:lineRule="atLeast"/>
        <w:jc w:val="both"/>
        <w:rPr>
          <w:rFonts w:asciiTheme="minorHAnsi" w:eastAsiaTheme="minorHAnsi" w:hAnsiTheme="minorHAnsi"/>
          <w:b/>
          <w:bCs/>
          <w:sz w:val="20"/>
          <w:szCs w:val="20"/>
          <w:lang w:val="fr-FR"/>
        </w:rPr>
      </w:pPr>
    </w:p>
    <w:p w14:paraId="4CE71182" w14:textId="77777777" w:rsidR="008D4C00" w:rsidRDefault="008D4C00" w:rsidP="009D6EE5">
      <w:pPr>
        <w:spacing w:line="22" w:lineRule="atLeast"/>
        <w:jc w:val="both"/>
        <w:rPr>
          <w:rFonts w:asciiTheme="minorHAnsi" w:eastAsiaTheme="minorHAnsi" w:hAnsiTheme="minorHAnsi"/>
          <w:b/>
          <w:bCs/>
          <w:sz w:val="20"/>
          <w:szCs w:val="20"/>
          <w:lang w:val="fr-FR"/>
        </w:rPr>
      </w:pPr>
    </w:p>
    <w:p w14:paraId="6A4E98E1" w14:textId="77777777" w:rsidR="008D4C00" w:rsidRDefault="008D4C00" w:rsidP="009D6EE5">
      <w:pPr>
        <w:spacing w:line="22" w:lineRule="atLeast"/>
        <w:jc w:val="both"/>
        <w:rPr>
          <w:rFonts w:asciiTheme="minorHAnsi" w:eastAsiaTheme="minorHAnsi" w:hAnsiTheme="minorHAnsi"/>
          <w:b/>
          <w:bCs/>
          <w:sz w:val="20"/>
          <w:szCs w:val="20"/>
          <w:lang w:val="fr-FR"/>
        </w:rPr>
      </w:pPr>
    </w:p>
    <w:p w14:paraId="4F608C4F" w14:textId="77777777" w:rsidR="008D4C00" w:rsidRDefault="008D4C00" w:rsidP="009D6EE5">
      <w:pPr>
        <w:spacing w:line="22" w:lineRule="atLeast"/>
        <w:jc w:val="both"/>
        <w:rPr>
          <w:rFonts w:asciiTheme="minorHAnsi" w:eastAsiaTheme="minorHAnsi" w:hAnsiTheme="minorHAnsi"/>
          <w:b/>
          <w:bCs/>
          <w:sz w:val="20"/>
          <w:szCs w:val="20"/>
          <w:lang w:val="fr-FR"/>
        </w:rPr>
      </w:pPr>
    </w:p>
    <w:p w14:paraId="2D7FC37E" w14:textId="77777777" w:rsidR="008D4C00" w:rsidRDefault="008D4C00" w:rsidP="009D6EE5">
      <w:pPr>
        <w:spacing w:line="22" w:lineRule="atLeast"/>
        <w:jc w:val="both"/>
        <w:rPr>
          <w:rFonts w:asciiTheme="minorHAnsi" w:eastAsiaTheme="minorHAnsi" w:hAnsiTheme="minorHAnsi"/>
          <w:b/>
          <w:bCs/>
          <w:sz w:val="20"/>
          <w:szCs w:val="20"/>
          <w:lang w:val="fr-FR"/>
        </w:rPr>
      </w:pPr>
    </w:p>
    <w:p w14:paraId="3383B06B" w14:textId="77777777" w:rsidR="008D4C00" w:rsidRDefault="008D4C00" w:rsidP="009D6EE5">
      <w:pPr>
        <w:spacing w:line="22" w:lineRule="atLeast"/>
        <w:jc w:val="both"/>
        <w:rPr>
          <w:rFonts w:asciiTheme="minorHAnsi" w:eastAsiaTheme="minorHAnsi" w:hAnsiTheme="minorHAnsi"/>
          <w:b/>
          <w:bCs/>
          <w:sz w:val="20"/>
          <w:szCs w:val="20"/>
          <w:lang w:val="fr-FR"/>
        </w:rPr>
      </w:pPr>
    </w:p>
    <w:p w14:paraId="35EF8B2D" w14:textId="77777777" w:rsidR="008D4C00" w:rsidRDefault="008D4C00" w:rsidP="009D6EE5">
      <w:pPr>
        <w:spacing w:line="22" w:lineRule="atLeast"/>
        <w:jc w:val="both"/>
        <w:rPr>
          <w:rFonts w:asciiTheme="minorHAnsi" w:eastAsiaTheme="minorHAnsi" w:hAnsiTheme="minorHAnsi"/>
          <w:b/>
          <w:bCs/>
          <w:sz w:val="20"/>
          <w:szCs w:val="20"/>
          <w:lang w:val="fr-FR"/>
        </w:rPr>
      </w:pPr>
    </w:p>
    <w:p w14:paraId="3DCC4845" w14:textId="77777777" w:rsidR="008D4C00" w:rsidRDefault="008D4C00" w:rsidP="009D6EE5">
      <w:pPr>
        <w:spacing w:line="22" w:lineRule="atLeast"/>
        <w:jc w:val="both"/>
        <w:rPr>
          <w:rFonts w:asciiTheme="minorHAnsi" w:eastAsiaTheme="minorHAnsi" w:hAnsiTheme="minorHAnsi"/>
          <w:b/>
          <w:bCs/>
          <w:sz w:val="20"/>
          <w:szCs w:val="20"/>
          <w:lang w:val="fr-FR"/>
        </w:rPr>
      </w:pPr>
    </w:p>
    <w:p w14:paraId="72540D6F" w14:textId="77777777" w:rsidR="008D4C00" w:rsidRDefault="008D4C00" w:rsidP="009D6EE5">
      <w:pPr>
        <w:spacing w:line="22" w:lineRule="atLeast"/>
        <w:jc w:val="both"/>
        <w:rPr>
          <w:rFonts w:asciiTheme="minorHAnsi" w:eastAsiaTheme="minorHAnsi" w:hAnsiTheme="minorHAnsi"/>
          <w:b/>
          <w:bCs/>
          <w:sz w:val="20"/>
          <w:szCs w:val="20"/>
          <w:lang w:val="fr-FR"/>
        </w:rPr>
      </w:pPr>
    </w:p>
    <w:p w14:paraId="5CFE7904" w14:textId="77777777" w:rsidR="008D4C00" w:rsidRDefault="008D4C00" w:rsidP="009D6EE5">
      <w:pPr>
        <w:spacing w:line="22" w:lineRule="atLeast"/>
        <w:jc w:val="both"/>
        <w:rPr>
          <w:rFonts w:asciiTheme="minorHAnsi" w:eastAsiaTheme="minorHAnsi" w:hAnsiTheme="minorHAnsi"/>
          <w:b/>
          <w:bCs/>
          <w:sz w:val="20"/>
          <w:szCs w:val="20"/>
          <w:lang w:val="fr-FR"/>
        </w:rPr>
      </w:pPr>
    </w:p>
    <w:p w14:paraId="1AC1194E" w14:textId="77777777" w:rsidR="008D4C00" w:rsidRDefault="008D4C00" w:rsidP="009D6EE5">
      <w:pPr>
        <w:spacing w:line="22" w:lineRule="atLeast"/>
        <w:jc w:val="both"/>
        <w:rPr>
          <w:rFonts w:asciiTheme="minorHAnsi" w:eastAsiaTheme="minorHAnsi" w:hAnsiTheme="minorHAnsi"/>
          <w:b/>
          <w:bCs/>
          <w:sz w:val="20"/>
          <w:szCs w:val="20"/>
          <w:lang w:val="fr-FR"/>
        </w:rPr>
      </w:pPr>
    </w:p>
    <w:p w14:paraId="4C079B80" w14:textId="77777777" w:rsidR="008D4C00" w:rsidRDefault="008D4C00" w:rsidP="009D6EE5">
      <w:pPr>
        <w:spacing w:line="22" w:lineRule="atLeast"/>
        <w:jc w:val="both"/>
        <w:rPr>
          <w:rFonts w:asciiTheme="minorHAnsi" w:eastAsiaTheme="minorHAnsi" w:hAnsiTheme="minorHAnsi"/>
          <w:b/>
          <w:bCs/>
          <w:sz w:val="20"/>
          <w:szCs w:val="20"/>
          <w:lang w:val="fr-FR"/>
        </w:rPr>
      </w:pPr>
    </w:p>
    <w:p w14:paraId="291B4FE3" w14:textId="77777777" w:rsidR="008D4C00" w:rsidRDefault="008D4C00" w:rsidP="009D6EE5">
      <w:pPr>
        <w:spacing w:line="22" w:lineRule="atLeast"/>
        <w:jc w:val="both"/>
        <w:rPr>
          <w:rFonts w:asciiTheme="minorHAnsi" w:eastAsiaTheme="minorHAnsi" w:hAnsiTheme="minorHAnsi"/>
          <w:b/>
          <w:bCs/>
          <w:sz w:val="20"/>
          <w:szCs w:val="20"/>
          <w:lang w:val="fr-FR"/>
        </w:rPr>
      </w:pPr>
    </w:p>
    <w:p w14:paraId="4C92E027" w14:textId="77777777" w:rsidR="008D4C00" w:rsidRDefault="008D4C00" w:rsidP="009D6EE5">
      <w:pPr>
        <w:spacing w:line="22" w:lineRule="atLeast"/>
        <w:jc w:val="both"/>
        <w:rPr>
          <w:rFonts w:asciiTheme="minorHAnsi" w:eastAsiaTheme="minorHAnsi" w:hAnsiTheme="minorHAnsi"/>
          <w:b/>
          <w:bCs/>
          <w:sz w:val="20"/>
          <w:szCs w:val="20"/>
          <w:lang w:val="fr-FR"/>
        </w:rPr>
      </w:pPr>
    </w:p>
    <w:p w14:paraId="64DBF512" w14:textId="77777777" w:rsidR="008D4C00" w:rsidRDefault="008D4C00" w:rsidP="009D6EE5">
      <w:pPr>
        <w:spacing w:line="22" w:lineRule="atLeast"/>
        <w:jc w:val="both"/>
        <w:rPr>
          <w:rFonts w:asciiTheme="minorHAnsi" w:eastAsiaTheme="minorHAnsi" w:hAnsiTheme="minorHAnsi"/>
          <w:b/>
          <w:bCs/>
          <w:sz w:val="20"/>
          <w:szCs w:val="20"/>
          <w:lang w:val="fr-FR"/>
        </w:rPr>
      </w:pPr>
    </w:p>
    <w:p w14:paraId="211471C5" w14:textId="77777777" w:rsidR="008D4C00" w:rsidRDefault="008D4C00" w:rsidP="009D6EE5">
      <w:pPr>
        <w:spacing w:line="22" w:lineRule="atLeast"/>
        <w:jc w:val="both"/>
        <w:rPr>
          <w:rFonts w:asciiTheme="minorHAnsi" w:eastAsiaTheme="minorHAnsi" w:hAnsiTheme="minorHAnsi"/>
          <w:b/>
          <w:bCs/>
          <w:sz w:val="20"/>
          <w:szCs w:val="20"/>
          <w:lang w:val="fr-FR"/>
        </w:rPr>
      </w:pPr>
    </w:p>
    <w:p w14:paraId="3122C1E4" w14:textId="434AC492" w:rsidR="00E649AD" w:rsidRDefault="00E649AD" w:rsidP="009D6EE5">
      <w:pPr>
        <w:spacing w:line="22" w:lineRule="atLeast"/>
        <w:jc w:val="both"/>
        <w:rPr>
          <w:rFonts w:asciiTheme="minorHAnsi" w:eastAsiaTheme="minorHAnsi" w:hAnsiTheme="minorHAnsi"/>
          <w:b/>
          <w:bCs/>
          <w:sz w:val="20"/>
          <w:szCs w:val="20"/>
          <w:lang w:val="fr-FR"/>
        </w:rPr>
      </w:pPr>
    </w:p>
    <w:p w14:paraId="5131EFB6" w14:textId="4E9E6715" w:rsidR="00E649AD" w:rsidRDefault="00E649AD" w:rsidP="009D6EE5">
      <w:pPr>
        <w:spacing w:line="22" w:lineRule="atLeast"/>
        <w:jc w:val="both"/>
        <w:rPr>
          <w:rFonts w:asciiTheme="minorHAnsi" w:eastAsiaTheme="minorHAnsi" w:hAnsiTheme="minorHAnsi"/>
          <w:b/>
          <w:bCs/>
          <w:sz w:val="20"/>
          <w:szCs w:val="20"/>
          <w:lang w:val="fr-FR"/>
        </w:rPr>
      </w:pPr>
    </w:p>
    <w:p w14:paraId="77D1E673" w14:textId="5B92F1B6" w:rsidR="00E649AD" w:rsidRPr="00E649AD" w:rsidRDefault="00E649AD" w:rsidP="00E649AD">
      <w:pPr>
        <w:shd w:val="clear" w:color="auto" w:fill="E3B174" w:themeFill="accent4"/>
        <w:jc w:val="both"/>
        <w:rPr>
          <w:rFonts w:ascii="Source Sans Pro" w:hAnsi="Source Sans Pro"/>
          <w:b/>
          <w:sz w:val="20"/>
          <w:lang w:val="fr-FR"/>
        </w:rPr>
      </w:pPr>
      <w:r w:rsidRPr="00E649AD">
        <w:rPr>
          <w:rFonts w:ascii="Source Sans Pro" w:hAnsi="Source Sans Pro"/>
          <w:b/>
          <w:sz w:val="20"/>
          <w:lang w:val="fr-FR"/>
        </w:rPr>
        <w:t>Focus sur un actif immobilier sur l’année 2025 : ELEMENTS</w:t>
      </w:r>
    </w:p>
    <w:p w14:paraId="1F1B5D2A" w14:textId="42A70D3E" w:rsidR="00E649AD" w:rsidRPr="00E649AD" w:rsidRDefault="00E649AD" w:rsidP="00E649AD">
      <w:pPr>
        <w:ind w:right="1558"/>
        <w:jc w:val="both"/>
        <w:rPr>
          <w:rFonts w:ascii="Source Sans Pro" w:hAnsi="Source Sans Pro"/>
          <w:sz w:val="20"/>
          <w:lang w:val="fr-FR"/>
        </w:rPr>
      </w:pPr>
      <w:r w:rsidRPr="00E649AD">
        <w:rPr>
          <w:noProof/>
        </w:rPr>
        <w:drawing>
          <wp:anchor distT="0" distB="0" distL="114300" distR="114300" simplePos="0" relativeHeight="251981824" behindDoc="0" locked="0" layoutInCell="1" allowOverlap="1" wp14:anchorId="1809C2A8" wp14:editId="1DB3E455">
            <wp:simplePos x="0" y="0"/>
            <wp:positionH relativeFrom="margin">
              <wp:posOffset>5483225</wp:posOffset>
            </wp:positionH>
            <wp:positionV relativeFrom="paragraph">
              <wp:posOffset>66040</wp:posOffset>
            </wp:positionV>
            <wp:extent cx="875665" cy="1123950"/>
            <wp:effectExtent l="133350" t="57150" r="76835" b="133350"/>
            <wp:wrapSquare wrapText="bothSides"/>
            <wp:docPr id="11532920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29209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875665" cy="1123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E649AD">
        <w:rPr>
          <w:rFonts w:ascii="Source Sans Pro" w:hAnsi="Source Sans Pro"/>
          <w:sz w:val="20"/>
          <w:lang w:val="fr-FR"/>
        </w:rPr>
        <w:t>ELEMENTS est un bâtiment du portefeuille d’Abeille Assurances sous mandat de gestion Ofi Invest Real Estate, livré en 2017. Situé avenue Pierre Mendès-France Paris 13</w:t>
      </w:r>
      <w:r w:rsidRPr="00E649AD">
        <w:rPr>
          <w:rFonts w:ascii="Source Sans Pro" w:hAnsi="Source Sans Pro"/>
          <w:sz w:val="20"/>
          <w:vertAlign w:val="superscript"/>
          <w:lang w:val="fr-FR"/>
        </w:rPr>
        <w:t>ème</w:t>
      </w:r>
      <w:r w:rsidRPr="00E649AD">
        <w:rPr>
          <w:rFonts w:ascii="Source Sans Pro" w:hAnsi="Source Sans Pro"/>
          <w:sz w:val="20"/>
          <w:lang w:val="fr-FR"/>
        </w:rPr>
        <w:t>, à proximité de la Gare d’Austerlitz, l’immeuble ELEMENTS s’inscrit dans une démarche durable, ayant obtenu les certifications HQE niveau Excellent, BREEAM niveau Very Good, et le label Effinergie. Pourtant, la consommation de l’immeuble sur les dernières années se situait aux alentour</w:t>
      </w:r>
      <w:r>
        <w:rPr>
          <w:rFonts w:ascii="Source Sans Pro" w:hAnsi="Source Sans Pro"/>
          <w:sz w:val="20"/>
          <w:lang w:val="fr-FR"/>
        </w:rPr>
        <w:t>s</w:t>
      </w:r>
      <w:r w:rsidRPr="00E649AD">
        <w:rPr>
          <w:rFonts w:ascii="Source Sans Pro" w:hAnsi="Source Sans Pro"/>
          <w:sz w:val="20"/>
          <w:lang w:val="fr-FR"/>
        </w:rPr>
        <w:t xml:space="preserve"> de 140 à 160 kWh/m².an, et pour une surface particulièrement importante de 17045 m² SU. L’actif a donc été sélectionné parmi les actifs prioritaires à la mise en place de solution d’Energy Management dynamique. La solution Dnergy a ainsi été implémentée, système de pilotage prédictif</w:t>
      </w:r>
      <w:r>
        <w:rPr>
          <w:rFonts w:ascii="Source Sans Pro" w:hAnsi="Source Sans Pro"/>
          <w:sz w:val="20"/>
          <w:lang w:val="fr-FR"/>
        </w:rPr>
        <w:t xml:space="preserve"> </w:t>
      </w:r>
      <w:r w:rsidRPr="00E649AD">
        <w:rPr>
          <w:rFonts w:ascii="Source Sans Pro" w:hAnsi="Source Sans Pro"/>
          <w:sz w:val="20"/>
          <w:lang w:val="fr-FR"/>
        </w:rPr>
        <w:t>permettant d’anticiper les dérives de consommation et d’identifier des leviers d’optimisation en temps réel.</w:t>
      </w:r>
    </w:p>
    <w:p w14:paraId="09422BCD" w14:textId="77777777" w:rsidR="008D4C00" w:rsidRDefault="008D4C00" w:rsidP="009D6EE5">
      <w:pPr>
        <w:spacing w:line="22" w:lineRule="atLeast"/>
        <w:jc w:val="both"/>
        <w:rPr>
          <w:rFonts w:asciiTheme="minorHAnsi" w:eastAsiaTheme="minorHAnsi" w:hAnsiTheme="minorHAnsi"/>
          <w:b/>
          <w:bCs/>
          <w:sz w:val="20"/>
          <w:szCs w:val="20"/>
          <w:lang w:val="fr-FR"/>
        </w:rPr>
      </w:pPr>
    </w:p>
    <w:p w14:paraId="46DD605F" w14:textId="27EEA524" w:rsidR="00910799" w:rsidRPr="00A74D23" w:rsidRDefault="0057408C" w:rsidP="009D6EE5">
      <w:pPr>
        <w:spacing w:line="22" w:lineRule="atLeast"/>
        <w:jc w:val="both"/>
        <w:rPr>
          <w:rFonts w:asciiTheme="minorHAnsi" w:eastAsiaTheme="minorHAnsi" w:hAnsiTheme="minorHAnsi"/>
          <w:b/>
          <w:sz w:val="20"/>
          <w:szCs w:val="20"/>
          <w:lang w:val="fr-FR"/>
        </w:rPr>
      </w:pPr>
      <w:r w:rsidRPr="00A74D23">
        <w:rPr>
          <w:rFonts w:asciiTheme="minorHAnsi" w:eastAsiaTheme="minorHAnsi" w:hAnsiTheme="minorHAnsi"/>
          <w:b/>
          <w:bCs/>
          <w:sz w:val="20"/>
          <w:szCs w:val="20"/>
          <w:lang w:val="fr-FR"/>
        </w:rPr>
        <w:t>La gouvernance climat d’Abeille Assurances s’inscrit dans le cadre plus large de la gouvernance ESG d’Aéma Groupe, présentée de manière détaillée en partie D.</w:t>
      </w:r>
      <w:r w:rsidR="00E15C2B" w:rsidRPr="00A74D23">
        <w:rPr>
          <w:rFonts w:asciiTheme="minorHAnsi" w:eastAsiaTheme="minorHAnsi" w:hAnsiTheme="minorHAnsi"/>
          <w:b/>
          <w:sz w:val="20"/>
          <w:szCs w:val="20"/>
          <w:lang w:val="fr-FR"/>
        </w:rPr>
        <w:t xml:space="preserve"> </w:t>
      </w:r>
    </w:p>
    <w:p w14:paraId="5EC42A26" w14:textId="77777777" w:rsidR="00D77257" w:rsidRPr="00A74D23" w:rsidRDefault="00D77257" w:rsidP="009D6EE5">
      <w:pPr>
        <w:spacing w:line="22" w:lineRule="atLeast"/>
        <w:jc w:val="both"/>
        <w:rPr>
          <w:rFonts w:asciiTheme="minorHAnsi" w:eastAsiaTheme="minorHAnsi" w:hAnsiTheme="minorHAnsi"/>
          <w:b/>
          <w:sz w:val="20"/>
          <w:szCs w:val="20"/>
          <w:lang w:val="fr-FR"/>
        </w:rPr>
      </w:pPr>
    </w:p>
    <w:p w14:paraId="4573831E" w14:textId="77777777" w:rsidR="00D77257" w:rsidRDefault="00D77257" w:rsidP="009D6EE5">
      <w:pPr>
        <w:spacing w:line="22" w:lineRule="atLeast"/>
        <w:jc w:val="both"/>
        <w:rPr>
          <w:rFonts w:asciiTheme="minorHAnsi" w:eastAsiaTheme="minorHAnsi" w:hAnsiTheme="minorHAnsi"/>
          <w:b/>
          <w:sz w:val="20"/>
          <w:szCs w:val="20"/>
          <w:lang w:val="fr-FR"/>
        </w:rPr>
      </w:pPr>
    </w:p>
    <w:p w14:paraId="7A9F78AF" w14:textId="77777777" w:rsidR="00D77257" w:rsidRPr="00A74D23" w:rsidRDefault="00D77257" w:rsidP="009D6EE5">
      <w:pPr>
        <w:spacing w:line="22" w:lineRule="atLeast"/>
        <w:jc w:val="both"/>
        <w:rPr>
          <w:rFonts w:asciiTheme="minorHAnsi" w:hAnsiTheme="minorHAnsi" w:cs="Open Sans"/>
          <w:sz w:val="20"/>
          <w:szCs w:val="20"/>
          <w:lang w:val="fr-FR"/>
        </w:rPr>
      </w:pPr>
    </w:p>
    <w:p w14:paraId="6CB4EA8F" w14:textId="3C1E985F" w:rsidR="000E4B89" w:rsidRPr="00A74D23" w:rsidRDefault="000E4B89" w:rsidP="00590DD1">
      <w:pPr>
        <w:pStyle w:val="Style2"/>
        <w:numPr>
          <w:ilvl w:val="0"/>
          <w:numId w:val="68"/>
        </w:numPr>
        <w:spacing w:line="22" w:lineRule="atLeast"/>
        <w:jc w:val="both"/>
        <w:rPr>
          <w:rFonts w:asciiTheme="minorHAnsi" w:hAnsiTheme="minorHAnsi" w:cs="Open Sans"/>
          <w:sz w:val="36"/>
          <w:szCs w:val="36"/>
        </w:rPr>
      </w:pPr>
      <w:bookmarkStart w:id="84" w:name="_Toc231337019"/>
      <w:r w:rsidRPr="00A74D23">
        <w:rPr>
          <w:rFonts w:asciiTheme="minorHAnsi" w:hAnsiTheme="minorHAnsi" w:cs="Open Sans"/>
          <w:sz w:val="36"/>
          <w:szCs w:val="36"/>
        </w:rPr>
        <w:t>Mesure et pilotage de nos engagements</w:t>
      </w:r>
      <w:bookmarkEnd w:id="84"/>
    </w:p>
    <w:p w14:paraId="13A0F5FE" w14:textId="77777777" w:rsidR="0006081D" w:rsidRPr="00A74D23" w:rsidRDefault="0006081D" w:rsidP="009D6EE5">
      <w:pPr>
        <w:spacing w:line="22" w:lineRule="atLeast"/>
        <w:jc w:val="both"/>
        <w:rPr>
          <w:rFonts w:asciiTheme="minorHAnsi" w:hAnsiTheme="minorHAnsi" w:cs="Open Sans"/>
          <w:b/>
          <w:bCs/>
          <w:color w:val="000000" w:themeColor="text1"/>
          <w:sz w:val="20"/>
          <w:lang w:val="fr-FR"/>
        </w:rPr>
      </w:pPr>
    </w:p>
    <w:p w14:paraId="5FAF333A" w14:textId="77777777" w:rsidR="00583C3A" w:rsidRPr="00A74D23" w:rsidRDefault="00583C3A" w:rsidP="009D6EE5">
      <w:pPr>
        <w:spacing w:line="22" w:lineRule="atLeast"/>
        <w:jc w:val="both"/>
        <w:rPr>
          <w:rFonts w:asciiTheme="minorHAnsi" w:hAnsiTheme="minorHAnsi" w:cs="Open Sans"/>
          <w:lang w:val="fr-FR"/>
        </w:rPr>
      </w:pPr>
    </w:p>
    <w:p w14:paraId="009E2F88" w14:textId="61D116B9" w:rsidR="005918A2" w:rsidRPr="00A74D23" w:rsidRDefault="00EC2017" w:rsidP="00590DD1">
      <w:pPr>
        <w:pStyle w:val="Style3"/>
        <w:numPr>
          <w:ilvl w:val="1"/>
          <w:numId w:val="90"/>
        </w:numPr>
        <w:tabs>
          <w:tab w:val="left" w:pos="1418"/>
        </w:tabs>
        <w:spacing w:after="0" w:line="22" w:lineRule="atLeast"/>
        <w:ind w:left="567" w:hanging="546"/>
        <w:jc w:val="both"/>
        <w:rPr>
          <w:rFonts w:asciiTheme="minorHAnsi" w:hAnsiTheme="minorHAnsi" w:cs="Open Sans"/>
          <w:sz w:val="32"/>
          <w:szCs w:val="32"/>
        </w:rPr>
      </w:pPr>
      <w:r w:rsidRPr="00A74D23">
        <w:rPr>
          <w:rFonts w:asciiTheme="minorHAnsi" w:hAnsiTheme="minorHAnsi" w:cs="Open Sans"/>
          <w:sz w:val="32"/>
          <w:szCs w:val="32"/>
        </w:rPr>
        <w:t xml:space="preserve"> </w:t>
      </w:r>
      <w:r w:rsidR="004C5E63" w:rsidRPr="00A74D23">
        <w:rPr>
          <w:rFonts w:asciiTheme="minorHAnsi" w:hAnsiTheme="minorHAnsi" w:cs="Open Sans"/>
          <w:sz w:val="32"/>
          <w:szCs w:val="32"/>
        </w:rPr>
        <w:t>Réduire les émissions </w:t>
      </w:r>
      <w:r w:rsidR="00901DC0" w:rsidRPr="00A74D23">
        <w:rPr>
          <w:rFonts w:asciiTheme="minorHAnsi" w:hAnsiTheme="minorHAnsi" w:cs="Open Sans"/>
          <w:sz w:val="32"/>
          <w:szCs w:val="32"/>
        </w:rPr>
        <w:t xml:space="preserve">sur le </w:t>
      </w:r>
      <w:r w:rsidR="00BD6126" w:rsidRPr="00A74D23">
        <w:rPr>
          <w:rFonts w:asciiTheme="minorHAnsi" w:hAnsiTheme="minorHAnsi" w:cs="Open Sans"/>
          <w:sz w:val="32"/>
          <w:szCs w:val="32"/>
        </w:rPr>
        <w:t>portefeuille d’investissements corporate</w:t>
      </w:r>
      <w:r w:rsidR="006C463F" w:rsidRPr="00A74D23">
        <w:rPr>
          <w:rFonts w:asciiTheme="minorHAnsi" w:hAnsiTheme="minorHAnsi" w:cs="Open Sans"/>
          <w:sz w:val="32"/>
          <w:szCs w:val="32"/>
        </w:rPr>
        <w:t xml:space="preserve"> </w:t>
      </w:r>
    </w:p>
    <w:p w14:paraId="3CE5FC4F" w14:textId="77777777" w:rsidR="005918A2" w:rsidRPr="00A74D23" w:rsidRDefault="005918A2" w:rsidP="009D6EE5">
      <w:pPr>
        <w:pStyle w:val="Style3"/>
        <w:spacing w:after="0" w:line="22" w:lineRule="atLeast"/>
        <w:jc w:val="both"/>
        <w:rPr>
          <w:rFonts w:asciiTheme="minorHAnsi" w:hAnsiTheme="minorHAnsi" w:cs="Open Sans"/>
        </w:rPr>
      </w:pPr>
    </w:p>
    <w:p w14:paraId="38E11A62" w14:textId="40FFE236" w:rsidR="00622FCF" w:rsidRPr="002B3742" w:rsidRDefault="00872E03" w:rsidP="00590DD1">
      <w:pPr>
        <w:pStyle w:val="Style4"/>
        <w:numPr>
          <w:ilvl w:val="2"/>
          <w:numId w:val="90"/>
        </w:numPr>
        <w:spacing w:line="22" w:lineRule="atLeast"/>
        <w:ind w:left="709"/>
        <w:jc w:val="both"/>
        <w:rPr>
          <w:rFonts w:asciiTheme="minorHAnsi" w:hAnsiTheme="minorHAnsi" w:cs="Open Sans"/>
          <w:sz w:val="28"/>
          <w:szCs w:val="28"/>
        </w:rPr>
      </w:pPr>
      <w:r w:rsidRPr="002B3742">
        <w:rPr>
          <w:rFonts w:asciiTheme="minorHAnsi" w:hAnsiTheme="minorHAnsi" w:cs="Open Sans"/>
          <w:sz w:val="28"/>
          <w:szCs w:val="28"/>
        </w:rPr>
        <w:t xml:space="preserve"> Empreinte carbone 2025 </w:t>
      </w:r>
      <w:r w:rsidR="003511DB" w:rsidRPr="002B3742">
        <w:rPr>
          <w:rFonts w:asciiTheme="minorHAnsi" w:hAnsiTheme="minorHAnsi" w:cs="Open Sans"/>
          <w:sz w:val="28"/>
          <w:szCs w:val="28"/>
        </w:rPr>
        <w:t>du portefeuille d’investissements corporates</w:t>
      </w:r>
    </w:p>
    <w:p w14:paraId="4F51738C" w14:textId="57EB3F6F" w:rsidR="00B80377" w:rsidRPr="00A74D23" w:rsidRDefault="00B80377" w:rsidP="009D6EE5">
      <w:pPr>
        <w:spacing w:line="22" w:lineRule="atLeast"/>
        <w:jc w:val="both"/>
        <w:rPr>
          <w:rFonts w:asciiTheme="minorHAnsi" w:hAnsiTheme="minorHAnsi" w:cs="Open Sans"/>
          <w:lang w:val="fr-FR"/>
        </w:rPr>
      </w:pPr>
      <w:r w:rsidRPr="00A74D23">
        <w:rPr>
          <w:rFonts w:asciiTheme="minorHAnsi" w:hAnsiTheme="minorHAnsi" w:cs="Open Sans"/>
          <w:noProof/>
        </w:rPr>
        <mc:AlternateContent>
          <mc:Choice Requires="wps">
            <w:drawing>
              <wp:anchor distT="0" distB="0" distL="114300" distR="114300" simplePos="0" relativeHeight="251366400" behindDoc="0" locked="0" layoutInCell="1" allowOverlap="1" wp14:anchorId="76ED6B13" wp14:editId="74E168F0">
                <wp:simplePos x="0" y="0"/>
                <wp:positionH relativeFrom="column">
                  <wp:posOffset>16426</wp:posOffset>
                </wp:positionH>
                <wp:positionV relativeFrom="paragraph">
                  <wp:posOffset>163793</wp:posOffset>
                </wp:positionV>
                <wp:extent cx="5993296" cy="508959"/>
                <wp:effectExtent l="0" t="0" r="7620" b="5715"/>
                <wp:wrapNone/>
                <wp:docPr id="1299822524" name="Rectangle 3"/>
                <wp:cNvGraphicFramePr/>
                <a:graphic xmlns:a="http://schemas.openxmlformats.org/drawingml/2006/main">
                  <a:graphicData uri="http://schemas.microsoft.com/office/word/2010/wordprocessingShape">
                    <wps:wsp>
                      <wps:cNvSpPr/>
                      <wps:spPr>
                        <a:xfrm>
                          <a:off x="0" y="0"/>
                          <a:ext cx="5993296" cy="508959"/>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F0BDE6" w14:textId="719D05E6" w:rsidR="00B80377" w:rsidRPr="009270B2" w:rsidRDefault="00B80377" w:rsidP="00B80377">
                            <w:pPr>
                              <w:ind w:right="-142"/>
                              <w:jc w:val="both"/>
                              <w:rPr>
                                <w:rFonts w:asciiTheme="minorHAnsi" w:hAnsiTheme="minorHAnsi"/>
                                <w:b/>
                                <w:bCs/>
                                <w:color w:val="26324C" w:themeColor="accent6" w:themeShade="40"/>
                                <w:sz w:val="20"/>
                                <w:szCs w:val="20"/>
                                <w:lang w:val="fr-FR"/>
                              </w:rPr>
                            </w:pPr>
                            <w:r w:rsidRPr="009270B2">
                              <w:rPr>
                                <w:rFonts w:asciiTheme="minorHAnsi" w:hAnsiTheme="minorHAnsi"/>
                                <w:b/>
                                <w:bCs/>
                                <w:color w:val="26324C" w:themeColor="accent6" w:themeShade="40"/>
                                <w:lang w:val="fr-FR"/>
                              </w:rPr>
                              <w:t xml:space="preserve">Rappel de l’objectif 2030 : </w:t>
                            </w:r>
                            <w:r w:rsidRPr="009270B2">
                              <w:rPr>
                                <w:rFonts w:asciiTheme="minorHAnsi" w:hAnsiTheme="minorHAnsi"/>
                                <w:color w:val="26324C" w:themeColor="accent6" w:themeShade="40"/>
                                <w:kern w:val="24"/>
                                <w:sz w:val="20"/>
                                <w:szCs w:val="20"/>
                                <w:lang w:val="fr-FR"/>
                              </w:rPr>
                              <w:t xml:space="preserve">réduction de -40% par rapport à 2019 </w:t>
                            </w:r>
                            <w:r w:rsidR="006B186D" w:rsidRPr="009270B2">
                              <w:rPr>
                                <w:rFonts w:asciiTheme="minorHAnsi" w:hAnsiTheme="minorHAnsi"/>
                                <w:color w:val="26324C" w:themeColor="accent6" w:themeShade="40"/>
                                <w:kern w:val="24"/>
                                <w:sz w:val="20"/>
                                <w:szCs w:val="20"/>
                                <w:lang w:val="fr-FR"/>
                              </w:rPr>
                              <w:t>de l’empreinte carbone</w:t>
                            </w:r>
                            <w:r w:rsidRPr="009270B2">
                              <w:rPr>
                                <w:rFonts w:asciiTheme="minorHAnsi" w:hAnsiTheme="minorHAnsi"/>
                                <w:color w:val="26324C" w:themeColor="accent6" w:themeShade="40"/>
                                <w:kern w:val="24"/>
                                <w:sz w:val="20"/>
                                <w:szCs w:val="20"/>
                                <w:lang w:val="fr-FR"/>
                              </w:rPr>
                              <w:t xml:space="preserve"> scope 1, 2 et 3</w:t>
                            </w:r>
                            <w:r w:rsidR="006B186D" w:rsidRPr="009270B2">
                              <w:rPr>
                                <w:rFonts w:asciiTheme="minorHAnsi" w:hAnsiTheme="minorHAnsi"/>
                                <w:color w:val="26324C" w:themeColor="accent6" w:themeShade="40"/>
                                <w:kern w:val="24"/>
                                <w:sz w:val="20"/>
                                <w:szCs w:val="20"/>
                                <w:lang w:val="fr-FR"/>
                              </w:rPr>
                              <w:t xml:space="preserve"> (tCO2e</w:t>
                            </w:r>
                            <w:r w:rsidR="009E7781" w:rsidRPr="009270B2">
                              <w:rPr>
                                <w:rFonts w:asciiTheme="minorHAnsi" w:hAnsiTheme="minorHAnsi"/>
                                <w:color w:val="26324C" w:themeColor="accent6" w:themeShade="40"/>
                                <w:kern w:val="24"/>
                                <w:sz w:val="20"/>
                                <w:szCs w:val="20"/>
                                <w:lang w:val="fr-FR"/>
                              </w:rPr>
                              <w:t>/M€ investi)</w:t>
                            </w:r>
                            <w:r w:rsidRPr="009270B2">
                              <w:rPr>
                                <w:rFonts w:asciiTheme="minorHAnsi" w:hAnsiTheme="minorHAnsi"/>
                                <w:color w:val="26324C" w:themeColor="accent6" w:themeShade="40"/>
                                <w:kern w:val="24"/>
                                <w:sz w:val="20"/>
                                <w:szCs w:val="20"/>
                                <w:lang w:val="fr-FR"/>
                              </w:rPr>
                              <w:t xml:space="preserve"> sur le portefeuille d’investissement corporate (mandat et fonds dédié)</w:t>
                            </w:r>
                          </w:p>
                          <w:p w14:paraId="4B059E4D" w14:textId="77777777" w:rsidR="00B80377" w:rsidRPr="009270B2" w:rsidRDefault="00B80377" w:rsidP="00B80377">
                            <w:pPr>
                              <w:jc w:val="center"/>
                              <w:rPr>
                                <w:rFonts w:asciiTheme="minorHAnsi" w:hAnsiTheme="minorHAnsi"/>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ED6B13" id="_x0000_s1121" style="position:absolute;left:0;text-align:left;margin-left:1.3pt;margin-top:12.9pt;width:471.9pt;height:40.1pt;z-index:251366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" fillcolor="#ffd400 [3204]" stroked="f" strokeweight="1pt">
                <v:textbox>
                  <w:txbxContent>
                    <w:p w14:paraId="03F0BDE6" w14:textId="719D05E6" w:rsidR="00B80377" w:rsidRPr="009270B2" w:rsidRDefault="00B80377" w:rsidP="00B80377">
                      <w:pPr>
                        <w:ind w:right="-142"/>
                        <w:jc w:val="both"/>
                        <w:rPr>
                          <w:rFonts w:asciiTheme="minorHAnsi" w:hAnsiTheme="minorHAnsi"/>
                          <w:b/>
                          <w:bCs/>
                          <w:color w:val="26324C" w:themeColor="accent6" w:themeShade="40"/>
                          <w:sz w:val="20"/>
                          <w:szCs w:val="20"/>
                          <w:lang w:val="fr-FR"/>
                        </w:rPr>
                      </w:pPr>
                      <w:r w:rsidRPr="009270B2">
                        <w:rPr>
                          <w:rFonts w:asciiTheme="minorHAnsi" w:hAnsiTheme="minorHAnsi"/>
                          <w:b/>
                          <w:bCs/>
                          <w:color w:val="26324C" w:themeColor="accent6" w:themeShade="40"/>
                          <w:lang w:val="fr-FR"/>
                        </w:rPr>
                        <w:t xml:space="preserve">Rappel de l’objectif 2030 : </w:t>
                      </w:r>
                      <w:r w:rsidRPr="009270B2">
                        <w:rPr>
                          <w:rFonts w:asciiTheme="minorHAnsi" w:hAnsiTheme="minorHAnsi"/>
                          <w:color w:val="26324C" w:themeColor="accent6" w:themeShade="40"/>
                          <w:kern w:val="24"/>
                          <w:sz w:val="20"/>
                          <w:szCs w:val="20"/>
                          <w:lang w:val="fr-FR"/>
                        </w:rPr>
                        <w:t xml:space="preserve">réduction de -40% par rapport à 2019 </w:t>
                      </w:r>
                      <w:r w:rsidR="006B186D" w:rsidRPr="009270B2">
                        <w:rPr>
                          <w:rFonts w:asciiTheme="minorHAnsi" w:hAnsiTheme="minorHAnsi"/>
                          <w:color w:val="26324C" w:themeColor="accent6" w:themeShade="40"/>
                          <w:kern w:val="24"/>
                          <w:sz w:val="20"/>
                          <w:szCs w:val="20"/>
                          <w:lang w:val="fr-FR"/>
                        </w:rPr>
                        <w:t>de l’empreinte carbone</w:t>
                      </w:r>
                      <w:r w:rsidRPr="009270B2">
                        <w:rPr>
                          <w:rFonts w:asciiTheme="minorHAnsi" w:hAnsiTheme="minorHAnsi"/>
                          <w:color w:val="26324C" w:themeColor="accent6" w:themeShade="40"/>
                          <w:kern w:val="24"/>
                          <w:sz w:val="20"/>
                          <w:szCs w:val="20"/>
                          <w:lang w:val="fr-FR"/>
                        </w:rPr>
                        <w:t xml:space="preserve"> scope 1, 2 et 3</w:t>
                      </w:r>
                      <w:r w:rsidR="006B186D" w:rsidRPr="009270B2">
                        <w:rPr>
                          <w:rFonts w:asciiTheme="minorHAnsi" w:hAnsiTheme="minorHAnsi"/>
                          <w:color w:val="26324C" w:themeColor="accent6" w:themeShade="40"/>
                          <w:kern w:val="24"/>
                          <w:sz w:val="20"/>
                          <w:szCs w:val="20"/>
                          <w:lang w:val="fr-FR"/>
                        </w:rPr>
                        <w:t xml:space="preserve"> (tCO2e</w:t>
                      </w:r>
                      <w:r w:rsidR="009E7781" w:rsidRPr="009270B2">
                        <w:rPr>
                          <w:rFonts w:asciiTheme="minorHAnsi" w:hAnsiTheme="minorHAnsi"/>
                          <w:color w:val="26324C" w:themeColor="accent6" w:themeShade="40"/>
                          <w:kern w:val="24"/>
                          <w:sz w:val="20"/>
                          <w:szCs w:val="20"/>
                          <w:lang w:val="fr-FR"/>
                        </w:rPr>
                        <w:t>/M€ investi)</w:t>
                      </w:r>
                      <w:r w:rsidRPr="009270B2">
                        <w:rPr>
                          <w:rFonts w:asciiTheme="minorHAnsi" w:hAnsiTheme="minorHAnsi"/>
                          <w:color w:val="26324C" w:themeColor="accent6" w:themeShade="40"/>
                          <w:kern w:val="24"/>
                          <w:sz w:val="20"/>
                          <w:szCs w:val="20"/>
                          <w:lang w:val="fr-FR"/>
                        </w:rPr>
                        <w:t xml:space="preserve"> sur le portefeuille d’investissement corporate (mandat et fonds dédié)</w:t>
                      </w:r>
                    </w:p>
                    <w:p w14:paraId="4B059E4D" w14:textId="77777777" w:rsidR="00B80377" w:rsidRPr="009270B2" w:rsidRDefault="00B80377" w:rsidP="00B80377">
                      <w:pPr>
                        <w:jc w:val="center"/>
                        <w:rPr>
                          <w:rFonts w:asciiTheme="minorHAnsi" w:hAnsiTheme="minorHAnsi"/>
                          <w:lang w:val="fr-FR"/>
                        </w:rPr>
                      </w:pPr>
                    </w:p>
                  </w:txbxContent>
                </v:textbox>
              </v:rect>
            </w:pict>
          </mc:Fallback>
        </mc:AlternateContent>
      </w:r>
    </w:p>
    <w:p w14:paraId="789AD9B2" w14:textId="69C3149B" w:rsidR="00485C47" w:rsidRPr="00A74D23" w:rsidRDefault="00485C47" w:rsidP="009D6EE5">
      <w:pPr>
        <w:spacing w:line="22" w:lineRule="atLeast"/>
        <w:jc w:val="both"/>
        <w:rPr>
          <w:rFonts w:asciiTheme="minorHAnsi" w:hAnsiTheme="minorHAnsi" w:cs="Open Sans"/>
          <w:sz w:val="20"/>
          <w:lang w:val="fr-FR"/>
        </w:rPr>
      </w:pPr>
    </w:p>
    <w:p w14:paraId="77A3164D" w14:textId="77777777" w:rsidR="00901DC0" w:rsidRPr="00A74D23" w:rsidRDefault="00901DC0" w:rsidP="009D6EE5">
      <w:pPr>
        <w:spacing w:line="22" w:lineRule="atLeast"/>
        <w:jc w:val="both"/>
        <w:rPr>
          <w:rFonts w:asciiTheme="minorHAnsi" w:hAnsiTheme="minorHAnsi" w:cs="Open Sans"/>
          <w:sz w:val="20"/>
          <w:lang w:val="fr-FR"/>
        </w:rPr>
      </w:pPr>
    </w:p>
    <w:p w14:paraId="57C9B7D6" w14:textId="77777777" w:rsidR="00901DC0" w:rsidRPr="00A74D23" w:rsidRDefault="00901DC0" w:rsidP="009D6EE5">
      <w:pPr>
        <w:spacing w:line="22" w:lineRule="atLeast"/>
        <w:jc w:val="both"/>
        <w:rPr>
          <w:rFonts w:asciiTheme="minorHAnsi" w:hAnsiTheme="minorHAnsi" w:cs="Open Sans"/>
          <w:sz w:val="20"/>
          <w:lang w:val="fr-FR"/>
        </w:rPr>
      </w:pPr>
    </w:p>
    <w:p w14:paraId="07A9A347" w14:textId="77777777" w:rsidR="00B80377" w:rsidRPr="00A74D23" w:rsidRDefault="00B80377" w:rsidP="009D6EE5">
      <w:pPr>
        <w:spacing w:line="22" w:lineRule="atLeast"/>
        <w:jc w:val="both"/>
        <w:rPr>
          <w:rFonts w:asciiTheme="minorHAnsi" w:hAnsiTheme="minorHAnsi" w:cs="Open Sans"/>
          <w:b/>
          <w:bCs/>
          <w:sz w:val="20"/>
          <w:lang w:val="fr-FR"/>
        </w:rPr>
      </w:pPr>
    </w:p>
    <w:p w14:paraId="7A1CCB07" w14:textId="70931DC6" w:rsidR="005A23E1" w:rsidRPr="00A74D23" w:rsidRDefault="0093168C"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En tant qu’investisseur institutionnel, Abeille Assurances mesure les émissions financées afin de mieux appréhender l’impact climatique réel de ses investissements. Cette mesure permet d’identifier les principaux contributeurs aux émissions, de piloter les risques de transition et de fixer des objectifs de décarbonation alignés avec les trajectoires de la NZAOA. Elle constitue ainsi un outil central de suivi, de pilotage et de transparence de la stratégie climat.</w:t>
      </w:r>
    </w:p>
    <w:p w14:paraId="34BCF1A1" w14:textId="77777777" w:rsidR="001146EB" w:rsidRPr="00A74D23" w:rsidRDefault="001146EB" w:rsidP="009D6EE5">
      <w:pPr>
        <w:spacing w:line="22" w:lineRule="atLeast"/>
        <w:jc w:val="both"/>
        <w:rPr>
          <w:rFonts w:asciiTheme="minorHAnsi" w:hAnsiTheme="minorHAnsi" w:cs="Open Sans"/>
          <w:sz w:val="20"/>
          <w:szCs w:val="20"/>
          <w:lang w:val="fr-FR"/>
        </w:rPr>
      </w:pPr>
    </w:p>
    <w:p w14:paraId="0D88FF02" w14:textId="77777777" w:rsidR="001146EB" w:rsidRPr="00A74D23" w:rsidRDefault="001146EB" w:rsidP="009D6EE5">
      <w:pPr>
        <w:spacing w:line="22" w:lineRule="atLeast"/>
        <w:jc w:val="both"/>
        <w:rPr>
          <w:rFonts w:asciiTheme="minorHAnsi" w:hAnsiTheme="minorHAnsi" w:cs="Open Sans"/>
          <w:b/>
          <w:bCs/>
          <w:sz w:val="22"/>
          <w:szCs w:val="22"/>
          <w:lang w:val="fr-FR"/>
        </w:rPr>
      </w:pPr>
      <w:r w:rsidRPr="00A74D23">
        <w:rPr>
          <w:rFonts w:asciiTheme="minorHAnsi" w:hAnsiTheme="minorHAnsi" w:cs="Open Sans"/>
          <w:b/>
          <w:bCs/>
          <w:sz w:val="22"/>
          <w:szCs w:val="22"/>
          <w:lang w:val="fr-FR"/>
        </w:rPr>
        <w:t xml:space="preserve">Empreinte carbone des entreprises en portefeuille : </w:t>
      </w:r>
    </w:p>
    <w:p w14:paraId="5BABAB98" w14:textId="0CABD7A9" w:rsidR="001146EB" w:rsidRPr="00A74D23" w:rsidRDefault="001146EB" w:rsidP="009D6EE5">
      <w:pPr>
        <w:spacing w:line="22" w:lineRule="atLeast"/>
        <w:jc w:val="both"/>
        <w:rPr>
          <w:rFonts w:asciiTheme="minorHAnsi" w:hAnsiTheme="minorHAnsi" w:cs="Open Sans"/>
          <w:sz w:val="20"/>
          <w:szCs w:val="20"/>
        </w:rPr>
      </w:pPr>
      <w:r w:rsidRPr="00A74D23">
        <w:rPr>
          <w:rFonts w:asciiTheme="minorHAnsi" w:hAnsiTheme="minorHAnsi" w:cs="Open Sans"/>
          <w:sz w:val="20"/>
          <w:szCs w:val="20"/>
          <w:lang w:val="fr-FR"/>
        </w:rPr>
        <w:t xml:space="preserve">L’empreinte carbone est une mesure des émissions financées par l’assureur : elle mesure la part des émissions attribuables aux titres financiers détenus par l’assureur. </w:t>
      </w:r>
      <w:r w:rsidRPr="00A74D23">
        <w:rPr>
          <w:rFonts w:asciiTheme="minorHAnsi" w:hAnsiTheme="minorHAnsi" w:cs="Open Sans"/>
          <w:sz w:val="20"/>
          <w:szCs w:val="20"/>
        </w:rPr>
        <w:t xml:space="preserve">Sa formule de calcul est la suivante : </w:t>
      </w:r>
    </w:p>
    <w:p w14:paraId="57890E2C" w14:textId="77777777" w:rsidR="009E7781" w:rsidRPr="00A74D23" w:rsidRDefault="009E7781" w:rsidP="009D6EE5">
      <w:pPr>
        <w:spacing w:line="22" w:lineRule="atLeast"/>
        <w:jc w:val="both"/>
        <w:rPr>
          <w:rFonts w:asciiTheme="minorHAnsi" w:hAnsiTheme="minorHAnsi" w:cs="Open Sans"/>
          <w:sz w:val="20"/>
          <w:szCs w:val="20"/>
        </w:rPr>
      </w:pPr>
    </w:p>
    <w:p w14:paraId="63E2C513" w14:textId="77777777" w:rsidR="001146EB" w:rsidRPr="00A74D23" w:rsidRDefault="001146EB" w:rsidP="009D6EE5">
      <w:pPr>
        <w:spacing w:line="22" w:lineRule="atLeast"/>
        <w:jc w:val="both"/>
        <w:rPr>
          <w:rFonts w:asciiTheme="minorHAnsi" w:hAnsiTheme="minorHAnsi" w:cs="Open Sans"/>
          <w:sz w:val="18"/>
          <w:szCs w:val="18"/>
        </w:rPr>
      </w:pPr>
      <m:oMathPara>
        <m:oMath>
          <m:r>
            <w:rPr>
              <w:rFonts w:ascii="Cambria Math" w:eastAsia="Cambria Math" w:hAnsi="Cambria Math" w:cs="Open Sans"/>
              <w:sz w:val="18"/>
              <w:szCs w:val="18"/>
            </w:rPr>
            <m:t xml:space="preserve">Empreinte carbone du portefeuille </m:t>
          </m:r>
          <m:sSup>
            <m:sSupPr>
              <m:ctrlPr>
                <w:rPr>
                  <w:rFonts w:ascii="Cambria Math" w:eastAsia="Cambria Math" w:hAnsi="Cambria Math" w:cs="Open Sans"/>
                  <w:i/>
                  <w:sz w:val="18"/>
                  <w:szCs w:val="18"/>
                </w:rPr>
              </m:ctrlPr>
            </m:sSupPr>
            <m:e>
              <m:r>
                <w:rPr>
                  <w:rFonts w:ascii="Cambria Math" w:eastAsia="Cambria Math" w:hAnsi="Cambria Math" w:cs="Open Sans"/>
                  <w:sz w:val="18"/>
                  <w:szCs w:val="18"/>
                </w:rPr>
                <m:t>d</m:t>
              </m:r>
            </m:e>
            <m:sup>
              <m:r>
                <w:rPr>
                  <w:rFonts w:ascii="Cambria Math" w:eastAsia="Cambria Math" w:hAnsi="Cambria Math" w:cs="Open Sans"/>
                  <w:sz w:val="18"/>
                  <w:szCs w:val="18"/>
                </w:rPr>
                <m:t>'</m:t>
              </m:r>
            </m:sup>
          </m:sSup>
          <m:r>
            <w:rPr>
              <w:rFonts w:ascii="Cambria Math" w:eastAsia="Cambria Math" w:hAnsi="Cambria Math" w:cs="Open Sans"/>
              <w:sz w:val="18"/>
              <w:szCs w:val="18"/>
            </w:rPr>
            <m:t>investissement=</m:t>
          </m:r>
          <m:nary>
            <m:naryPr>
              <m:chr m:val="∑"/>
              <m:grow m:val="1"/>
              <m:ctrlPr>
                <w:rPr>
                  <w:rFonts w:ascii="Cambria Math" w:hAnsi="Cambria Math" w:cs="Open Sans"/>
                  <w:sz w:val="18"/>
                  <w:szCs w:val="18"/>
                </w:rPr>
              </m:ctrlPr>
            </m:naryPr>
            <m:sub>
              <m:r>
                <w:rPr>
                  <w:rFonts w:ascii="Cambria Math" w:eastAsia="Cambria Math" w:hAnsi="Cambria Math" w:cs="Open Sans"/>
                  <w:sz w:val="18"/>
                  <w:szCs w:val="18"/>
                </w:rPr>
                <m:t>i=1</m:t>
              </m:r>
            </m:sub>
            <m:sup>
              <m:r>
                <w:rPr>
                  <w:rFonts w:ascii="Cambria Math" w:eastAsia="Cambria Math" w:hAnsi="Cambria Math" w:cs="Open Sans"/>
                  <w:sz w:val="18"/>
                  <w:szCs w:val="18"/>
                </w:rPr>
                <m:t>n</m:t>
              </m:r>
            </m:sup>
            <m:e>
              <m:f>
                <m:fPr>
                  <m:ctrlPr>
                    <w:rPr>
                      <w:rFonts w:ascii="Cambria Math" w:hAnsi="Cambria Math" w:cs="Open Sans"/>
                      <w:i/>
                      <w:sz w:val="18"/>
                      <w:szCs w:val="18"/>
                    </w:rPr>
                  </m:ctrlPr>
                </m:fPr>
                <m:num>
                  <m:f>
                    <m:fPr>
                      <m:ctrlPr>
                        <w:rPr>
                          <w:rFonts w:ascii="Cambria Math" w:hAnsi="Cambria Math" w:cs="Open Sans"/>
                          <w:i/>
                          <w:sz w:val="18"/>
                          <w:szCs w:val="18"/>
                        </w:rPr>
                      </m:ctrlPr>
                    </m:fPr>
                    <m:num>
                      <m:r>
                        <m:rPr>
                          <m:sty m:val="p"/>
                        </m:rPr>
                        <w:rPr>
                          <w:rFonts w:ascii="Cambria Math" w:hAnsi="Cambria Math" w:cs="Open Sans"/>
                          <w:sz w:val="18"/>
                          <w:szCs w:val="18"/>
                        </w:rPr>
                        <m:t>Emissions Scope 1, 2,</m:t>
                      </m:r>
                      <m:r>
                        <w:rPr>
                          <w:rFonts w:ascii="Cambria Math" w:hAnsi="Cambria Math" w:cs="Open Sans"/>
                          <w:sz w:val="18"/>
                          <w:szCs w:val="18"/>
                        </w:rPr>
                        <m:t xml:space="preserve">3 de </m:t>
                      </m:r>
                      <m:sSup>
                        <m:sSupPr>
                          <m:ctrlPr>
                            <w:rPr>
                              <w:rFonts w:ascii="Cambria Math" w:hAnsi="Cambria Math" w:cs="Open Sans"/>
                              <w:i/>
                              <w:sz w:val="18"/>
                              <w:szCs w:val="18"/>
                            </w:rPr>
                          </m:ctrlPr>
                        </m:sSupPr>
                        <m:e>
                          <m:r>
                            <w:rPr>
                              <w:rFonts w:ascii="Cambria Math" w:hAnsi="Cambria Math" w:cs="Open Sans"/>
                              <w:sz w:val="18"/>
                              <w:szCs w:val="18"/>
                            </w:rPr>
                            <m:t>l</m:t>
                          </m:r>
                        </m:e>
                        <m:sup>
                          <m:r>
                            <w:rPr>
                              <w:rFonts w:ascii="Cambria Math" w:hAnsi="Cambria Math" w:cs="Open Sans"/>
                              <w:sz w:val="18"/>
                              <w:szCs w:val="18"/>
                            </w:rPr>
                            <m:t>'</m:t>
                          </m:r>
                        </m:sup>
                      </m:sSup>
                      <m:r>
                        <w:rPr>
                          <w:rFonts w:ascii="Cambria Math" w:hAnsi="Cambria Math" w:cs="Open Sans"/>
                          <w:sz w:val="18"/>
                          <w:szCs w:val="18"/>
                        </w:rPr>
                        <m:t>entreprise i</m:t>
                      </m:r>
                      <m:ctrlPr>
                        <w:rPr>
                          <w:rFonts w:ascii="Cambria Math" w:hAnsi="Cambria Math" w:cs="Open Sans"/>
                          <w:sz w:val="18"/>
                          <w:szCs w:val="18"/>
                        </w:rPr>
                      </m:ctrlPr>
                    </m:num>
                    <m:den>
                      <m:r>
                        <w:rPr>
                          <w:rFonts w:ascii="Cambria Math" w:hAnsi="Cambria Math" w:cs="Open Sans"/>
                          <w:sz w:val="18"/>
                          <w:szCs w:val="18"/>
                        </w:rPr>
                        <m:t xml:space="preserve">EVIC de </m:t>
                      </m:r>
                      <m:sSup>
                        <m:sSupPr>
                          <m:ctrlPr>
                            <w:rPr>
                              <w:rFonts w:ascii="Cambria Math" w:hAnsi="Cambria Math" w:cs="Open Sans"/>
                              <w:i/>
                              <w:sz w:val="18"/>
                              <w:szCs w:val="18"/>
                            </w:rPr>
                          </m:ctrlPr>
                        </m:sSupPr>
                        <m:e>
                          <m:r>
                            <w:rPr>
                              <w:rFonts w:ascii="Cambria Math" w:hAnsi="Cambria Math" w:cs="Open Sans"/>
                              <w:sz w:val="18"/>
                              <w:szCs w:val="18"/>
                            </w:rPr>
                            <m:t>l</m:t>
                          </m:r>
                        </m:e>
                        <m:sup>
                          <m:r>
                            <w:rPr>
                              <w:rFonts w:ascii="Cambria Math" w:hAnsi="Cambria Math" w:cs="Open Sans"/>
                              <w:sz w:val="18"/>
                              <w:szCs w:val="18"/>
                            </w:rPr>
                            <m:t>'</m:t>
                          </m:r>
                        </m:sup>
                      </m:sSup>
                      <m:r>
                        <w:rPr>
                          <w:rFonts w:ascii="Cambria Math" w:hAnsi="Cambria Math" w:cs="Open Sans"/>
                          <w:sz w:val="18"/>
                          <w:szCs w:val="18"/>
                        </w:rPr>
                        <m:t>entreprise i</m:t>
                      </m:r>
                    </m:den>
                  </m:f>
                  <m:r>
                    <w:rPr>
                      <w:rFonts w:ascii="Cambria Math" w:hAnsi="Cambria Math" w:cs="Open Sans"/>
                      <w:sz w:val="18"/>
                      <w:szCs w:val="18"/>
                    </w:rPr>
                    <m:t xml:space="preserve">*valeur de </m:t>
                  </m:r>
                  <m:sSup>
                    <m:sSupPr>
                      <m:ctrlPr>
                        <w:rPr>
                          <w:rFonts w:ascii="Cambria Math" w:hAnsi="Cambria Math" w:cs="Open Sans"/>
                          <w:i/>
                          <w:sz w:val="18"/>
                          <w:szCs w:val="18"/>
                        </w:rPr>
                      </m:ctrlPr>
                    </m:sSupPr>
                    <m:e>
                      <m:r>
                        <w:rPr>
                          <w:rFonts w:ascii="Cambria Math" w:hAnsi="Cambria Math" w:cs="Open Sans"/>
                          <w:sz w:val="18"/>
                          <w:szCs w:val="18"/>
                        </w:rPr>
                        <m:t>l</m:t>
                      </m:r>
                    </m:e>
                    <m:sup>
                      <m:r>
                        <w:rPr>
                          <w:rFonts w:ascii="Cambria Math" w:hAnsi="Cambria Math" w:cs="Open Sans"/>
                          <w:sz w:val="18"/>
                          <w:szCs w:val="18"/>
                        </w:rPr>
                        <m:t>'</m:t>
                      </m:r>
                    </m:sup>
                  </m:sSup>
                  <m:r>
                    <w:rPr>
                      <w:rFonts w:ascii="Cambria Math" w:hAnsi="Cambria Math" w:cs="Open Sans"/>
                      <w:sz w:val="18"/>
                      <w:szCs w:val="18"/>
                    </w:rPr>
                    <m:t xml:space="preserve">investissement dans </m:t>
                  </m:r>
                  <m:sSup>
                    <m:sSupPr>
                      <m:ctrlPr>
                        <w:rPr>
                          <w:rFonts w:ascii="Cambria Math" w:hAnsi="Cambria Math" w:cs="Open Sans"/>
                          <w:i/>
                          <w:sz w:val="18"/>
                          <w:szCs w:val="18"/>
                        </w:rPr>
                      </m:ctrlPr>
                    </m:sSupPr>
                    <m:e>
                      <m:r>
                        <w:rPr>
                          <w:rFonts w:ascii="Cambria Math" w:hAnsi="Cambria Math" w:cs="Open Sans"/>
                          <w:sz w:val="18"/>
                          <w:szCs w:val="18"/>
                        </w:rPr>
                        <m:t>l</m:t>
                      </m:r>
                    </m:e>
                    <m:sup>
                      <m:r>
                        <w:rPr>
                          <w:rFonts w:ascii="Cambria Math" w:hAnsi="Cambria Math" w:cs="Open Sans"/>
                          <w:sz w:val="18"/>
                          <w:szCs w:val="18"/>
                        </w:rPr>
                        <m:t>'</m:t>
                      </m:r>
                    </m:sup>
                  </m:sSup>
                  <m:r>
                    <w:rPr>
                      <w:rFonts w:ascii="Cambria Math" w:hAnsi="Cambria Math" w:cs="Open Sans"/>
                      <w:sz w:val="18"/>
                      <w:szCs w:val="18"/>
                    </w:rPr>
                    <m:t xml:space="preserve">entreprise i </m:t>
                  </m:r>
                </m:num>
                <m:den>
                  <m:r>
                    <w:rPr>
                      <w:rFonts w:ascii="Cambria Math" w:hAnsi="Cambria Math" w:cs="Open Sans"/>
                      <w:sz w:val="18"/>
                      <w:szCs w:val="18"/>
                    </w:rPr>
                    <m:t>valeur totale du portefeuille d'investissement</m:t>
                  </m:r>
                </m:den>
              </m:f>
            </m:e>
          </m:nary>
        </m:oMath>
      </m:oMathPara>
    </w:p>
    <w:p w14:paraId="0DAF6876" w14:textId="77777777" w:rsidR="001146EB" w:rsidRPr="00A74D23" w:rsidRDefault="001146EB" w:rsidP="009D6EE5">
      <w:pPr>
        <w:spacing w:line="22" w:lineRule="atLeast"/>
        <w:jc w:val="both"/>
        <w:rPr>
          <w:rFonts w:asciiTheme="minorHAnsi" w:hAnsiTheme="minorHAnsi" w:cs="Open Sans"/>
          <w:sz w:val="20"/>
          <w:szCs w:val="20"/>
        </w:rPr>
      </w:pPr>
    </w:p>
    <w:p w14:paraId="7F1866AF" w14:textId="558F8AC7" w:rsidR="001534C3" w:rsidRPr="00A74D23" w:rsidRDefault="001146EB"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Sur ce périmètre, nous considérons les émissions directes (Scope 1 et 2), et les émissions indirectes (Scope 3).</w:t>
      </w:r>
    </w:p>
    <w:p w14:paraId="56114B03" w14:textId="7D505D0F" w:rsidR="008C6F5F" w:rsidRPr="00A605BB" w:rsidRDefault="008C6F5F" w:rsidP="009D6EE5">
      <w:pPr>
        <w:spacing w:line="22" w:lineRule="atLeast"/>
        <w:jc w:val="both"/>
        <w:rPr>
          <w:rFonts w:asciiTheme="minorHAnsi" w:hAnsiTheme="minorHAnsi" w:cs="Open Sans"/>
          <w:noProof/>
          <w:lang w:val="fr-FR"/>
        </w:rPr>
      </w:pPr>
    </w:p>
    <w:p w14:paraId="55004227" w14:textId="501091BA" w:rsidR="00D616E1" w:rsidRDefault="00D616E1" w:rsidP="009D6EE5">
      <w:pPr>
        <w:spacing w:line="22" w:lineRule="atLeast"/>
        <w:jc w:val="both"/>
        <w:rPr>
          <w:rFonts w:asciiTheme="minorHAnsi" w:hAnsiTheme="minorHAnsi" w:cs="Open Sans"/>
          <w:noProof/>
        </w:rPr>
      </w:pPr>
      <w:r>
        <w:rPr>
          <w:noProof/>
        </w:rPr>
        <w:drawing>
          <wp:inline distT="0" distB="0" distL="0" distR="0" wp14:anchorId="6964129F" wp14:editId="754BB64E">
            <wp:extent cx="6300470" cy="1611536"/>
            <wp:effectExtent l="0" t="0" r="5080" b="8255"/>
            <wp:docPr id="1543885424" name="Graphique 1">
              <a:extLst xmlns:a="http://schemas.openxmlformats.org/drawingml/2006/main">
                <a:ext uri="{FF2B5EF4-FFF2-40B4-BE49-F238E27FC236}">
                  <a16:creationId xmlns:a16="http://schemas.microsoft.com/office/drawing/2014/main" id="{E4827DBD-4385-4599-9A7B-F6CA65E0DD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B3A9D20" w14:textId="105F40D6" w:rsidR="006719E3" w:rsidRPr="00A74D23" w:rsidRDefault="006719E3" w:rsidP="009D6EE5">
      <w:pPr>
        <w:spacing w:line="22" w:lineRule="atLeast"/>
        <w:jc w:val="both"/>
        <w:rPr>
          <w:rFonts w:asciiTheme="minorHAnsi" w:hAnsiTheme="minorHAnsi" w:cs="Open Sans"/>
          <w:i/>
          <w:iCs/>
          <w:sz w:val="18"/>
          <w:szCs w:val="18"/>
          <w:lang w:val="fr-FR"/>
        </w:rPr>
      </w:pPr>
      <w:r w:rsidRPr="00A74D23">
        <w:rPr>
          <w:rFonts w:asciiTheme="minorHAnsi" w:hAnsiTheme="minorHAnsi" w:cs="Open Sans"/>
          <w:i/>
          <w:iCs/>
          <w:sz w:val="18"/>
          <w:szCs w:val="18"/>
          <w:lang w:val="fr-FR"/>
        </w:rPr>
        <w:t xml:space="preserve">Périmètre : </w:t>
      </w:r>
      <w:r w:rsidR="009270B2" w:rsidRPr="00A74D23">
        <w:rPr>
          <w:rFonts w:asciiTheme="minorHAnsi" w:hAnsiTheme="minorHAnsi" w:cs="Open Sans"/>
          <w:i/>
          <w:iCs/>
          <w:sz w:val="18"/>
          <w:szCs w:val="18"/>
          <w:lang w:val="fr-FR"/>
        </w:rPr>
        <w:t xml:space="preserve">Fonds général </w:t>
      </w:r>
      <w:r w:rsidR="00D616E1">
        <w:rPr>
          <w:rFonts w:asciiTheme="minorHAnsi" w:hAnsiTheme="minorHAnsi" w:cs="Open Sans"/>
          <w:i/>
          <w:iCs/>
          <w:sz w:val="18"/>
          <w:szCs w:val="18"/>
          <w:lang w:val="fr-FR"/>
        </w:rPr>
        <w:t>Abeille Retraite Professionnelle</w:t>
      </w:r>
      <w:r w:rsidR="009270B2" w:rsidRPr="00A74D23">
        <w:rPr>
          <w:rFonts w:asciiTheme="minorHAnsi" w:hAnsiTheme="minorHAnsi" w:cs="Open Sans"/>
          <w:i/>
          <w:iCs/>
          <w:sz w:val="18"/>
          <w:szCs w:val="18"/>
          <w:lang w:val="fr-FR"/>
        </w:rPr>
        <w:t>– Actifs corporate</w:t>
      </w:r>
      <w:r w:rsidR="003511DB" w:rsidRPr="00A74D23">
        <w:rPr>
          <w:rFonts w:asciiTheme="minorHAnsi" w:hAnsiTheme="minorHAnsi" w:cs="Open Sans"/>
          <w:i/>
          <w:iCs/>
          <w:sz w:val="18"/>
          <w:szCs w:val="18"/>
          <w:lang w:val="fr-FR"/>
        </w:rPr>
        <w:t>s</w:t>
      </w:r>
    </w:p>
    <w:p w14:paraId="02AA92AB" w14:textId="622C2B7C" w:rsidR="006719E3" w:rsidRPr="00A74D23" w:rsidRDefault="006719E3" w:rsidP="009D6EE5">
      <w:pPr>
        <w:spacing w:line="22" w:lineRule="atLeast"/>
        <w:jc w:val="both"/>
        <w:rPr>
          <w:rFonts w:asciiTheme="minorHAnsi" w:hAnsiTheme="minorHAnsi" w:cs="Open Sans"/>
          <w:i/>
          <w:iCs/>
          <w:sz w:val="18"/>
          <w:szCs w:val="18"/>
          <w:lang w:val="fr-FR"/>
        </w:rPr>
      </w:pPr>
      <w:r w:rsidRPr="00A74D23">
        <w:rPr>
          <w:rFonts w:asciiTheme="minorHAnsi" w:hAnsiTheme="minorHAnsi" w:cs="Open Sans"/>
          <w:i/>
          <w:iCs/>
          <w:sz w:val="18"/>
          <w:szCs w:val="18"/>
          <w:lang w:val="fr-FR"/>
        </w:rPr>
        <w:t xml:space="preserve">Source : </w:t>
      </w:r>
      <w:r w:rsidR="00495330" w:rsidRPr="00A74D23">
        <w:rPr>
          <w:rFonts w:asciiTheme="minorHAnsi" w:hAnsiTheme="minorHAnsi" w:cs="Open Sans"/>
          <w:i/>
          <w:iCs/>
          <w:sz w:val="18"/>
          <w:szCs w:val="18"/>
          <w:lang w:val="fr-FR"/>
        </w:rPr>
        <w:t>Ofi</w:t>
      </w:r>
      <w:r w:rsidRPr="00A74D23">
        <w:rPr>
          <w:rFonts w:asciiTheme="minorHAnsi" w:hAnsiTheme="minorHAnsi" w:cs="Open Sans"/>
          <w:i/>
          <w:iCs/>
          <w:sz w:val="18"/>
          <w:szCs w:val="18"/>
          <w:lang w:val="fr-FR"/>
        </w:rPr>
        <w:t xml:space="preserve"> Invest AM avec la donnée MSCI</w:t>
      </w:r>
    </w:p>
    <w:p w14:paraId="4D9870C9" w14:textId="3F6B77F8" w:rsidR="00FD0C2F" w:rsidRPr="00A74D23" w:rsidRDefault="00FD0C2F" w:rsidP="009D6EE5">
      <w:pPr>
        <w:spacing w:line="22" w:lineRule="atLeast"/>
        <w:jc w:val="both"/>
        <w:rPr>
          <w:rFonts w:asciiTheme="minorHAnsi" w:hAnsiTheme="minorHAnsi" w:cs="Open Sans"/>
          <w:i/>
          <w:iCs/>
          <w:sz w:val="18"/>
          <w:szCs w:val="18"/>
          <w:lang w:val="fr-FR"/>
        </w:rPr>
      </w:pPr>
      <w:r w:rsidRPr="00A74D23">
        <w:rPr>
          <w:rFonts w:asciiTheme="minorHAnsi" w:hAnsiTheme="minorHAnsi" w:cs="Open Sans"/>
          <w:i/>
          <w:iCs/>
          <w:sz w:val="18"/>
          <w:szCs w:val="18"/>
          <w:lang w:val="fr-FR"/>
        </w:rPr>
        <w:t>Taux de couverture 2025 =82% (vs 80% l’an passé)</w:t>
      </w:r>
    </w:p>
    <w:p w14:paraId="2E1D21E3" w14:textId="77777777" w:rsidR="009270B2" w:rsidRPr="00A74D23" w:rsidRDefault="009270B2" w:rsidP="009D6EE5">
      <w:pPr>
        <w:spacing w:line="22" w:lineRule="atLeast"/>
        <w:jc w:val="both"/>
        <w:rPr>
          <w:rFonts w:asciiTheme="minorHAnsi" w:hAnsiTheme="minorHAnsi" w:cs="Open Sans"/>
          <w:i/>
          <w:iCs/>
          <w:sz w:val="20"/>
          <w:szCs w:val="20"/>
          <w:lang w:val="fr-FR"/>
        </w:rPr>
      </w:pPr>
    </w:p>
    <w:p w14:paraId="267E7F7B" w14:textId="2C9349C1" w:rsidR="006719E3" w:rsidRPr="00A74D23" w:rsidRDefault="006719E3" w:rsidP="009D6EE5">
      <w:pPr>
        <w:spacing w:line="22" w:lineRule="atLeast"/>
        <w:jc w:val="both"/>
        <w:rPr>
          <w:rFonts w:asciiTheme="minorHAnsi" w:eastAsiaTheme="minorHAnsi" w:hAnsiTheme="minorHAnsi" w:cs="Open Sans"/>
          <w:sz w:val="20"/>
          <w:szCs w:val="20"/>
          <w:lang w:val="fr-FR"/>
        </w:rPr>
      </w:pPr>
      <w:r w:rsidRPr="00A74D23">
        <w:rPr>
          <w:rFonts w:asciiTheme="minorHAnsi" w:eastAsiaTheme="minorHAnsi" w:hAnsiTheme="minorHAnsi" w:cs="Open Sans"/>
          <w:sz w:val="20"/>
          <w:szCs w:val="20"/>
          <w:lang w:val="fr-FR"/>
        </w:rPr>
        <w:t>Entre 202</w:t>
      </w:r>
      <w:r w:rsidR="00A60B2E" w:rsidRPr="00A74D23">
        <w:rPr>
          <w:rFonts w:asciiTheme="minorHAnsi" w:eastAsiaTheme="minorHAnsi" w:hAnsiTheme="minorHAnsi" w:cs="Open Sans"/>
          <w:sz w:val="20"/>
          <w:szCs w:val="20"/>
          <w:lang w:val="fr-FR"/>
        </w:rPr>
        <w:t>4</w:t>
      </w:r>
      <w:r w:rsidRPr="00A74D23">
        <w:rPr>
          <w:rFonts w:asciiTheme="minorHAnsi" w:eastAsiaTheme="minorHAnsi" w:hAnsiTheme="minorHAnsi" w:cs="Open Sans"/>
          <w:sz w:val="20"/>
          <w:szCs w:val="20"/>
          <w:lang w:val="fr-FR"/>
        </w:rPr>
        <w:t xml:space="preserve"> et 202</w:t>
      </w:r>
      <w:r w:rsidR="00A60B2E" w:rsidRPr="00A74D23">
        <w:rPr>
          <w:rFonts w:asciiTheme="minorHAnsi" w:eastAsiaTheme="minorHAnsi" w:hAnsiTheme="minorHAnsi" w:cs="Open Sans"/>
          <w:sz w:val="20"/>
          <w:szCs w:val="20"/>
          <w:lang w:val="fr-FR"/>
        </w:rPr>
        <w:t>5</w:t>
      </w:r>
      <w:r w:rsidRPr="00A74D23">
        <w:rPr>
          <w:rFonts w:asciiTheme="minorHAnsi" w:eastAsiaTheme="minorHAnsi" w:hAnsiTheme="minorHAnsi" w:cs="Open Sans"/>
          <w:sz w:val="20"/>
          <w:szCs w:val="20"/>
          <w:lang w:val="fr-FR"/>
        </w:rPr>
        <w:t xml:space="preserve">, Abeille </w:t>
      </w:r>
      <w:r w:rsidR="00D616E1">
        <w:rPr>
          <w:rFonts w:asciiTheme="minorHAnsi" w:eastAsiaTheme="minorHAnsi" w:hAnsiTheme="minorHAnsi" w:cs="Open Sans"/>
          <w:sz w:val="20"/>
          <w:szCs w:val="20"/>
          <w:lang w:val="fr-FR"/>
        </w:rPr>
        <w:t>Retraite Professionnelle</w:t>
      </w:r>
      <w:r w:rsidRPr="00A74D23">
        <w:rPr>
          <w:rFonts w:asciiTheme="minorHAnsi" w:eastAsiaTheme="minorHAnsi" w:hAnsiTheme="minorHAnsi" w:cs="Open Sans"/>
          <w:sz w:val="20"/>
          <w:szCs w:val="20"/>
          <w:lang w:val="fr-FR"/>
        </w:rPr>
        <w:t xml:space="preserve"> a réduit son </w:t>
      </w:r>
      <w:r w:rsidR="00A60B2E" w:rsidRPr="00A74D23">
        <w:rPr>
          <w:rFonts w:asciiTheme="minorHAnsi" w:eastAsiaTheme="minorHAnsi" w:hAnsiTheme="minorHAnsi" w:cs="Open Sans"/>
          <w:sz w:val="20"/>
          <w:szCs w:val="20"/>
          <w:lang w:val="fr-FR"/>
        </w:rPr>
        <w:t>empreinte</w:t>
      </w:r>
      <w:r w:rsidRPr="00A74D23">
        <w:rPr>
          <w:rFonts w:asciiTheme="minorHAnsi" w:eastAsiaTheme="minorHAnsi" w:hAnsiTheme="minorHAnsi" w:cs="Open Sans"/>
          <w:sz w:val="20"/>
          <w:szCs w:val="20"/>
          <w:lang w:val="fr-FR"/>
        </w:rPr>
        <w:t xml:space="preserve"> carbone de -</w:t>
      </w:r>
      <w:r w:rsidR="00D616E1">
        <w:rPr>
          <w:rFonts w:asciiTheme="minorHAnsi" w:eastAsiaTheme="minorHAnsi" w:hAnsiTheme="minorHAnsi" w:cs="Open Sans"/>
          <w:sz w:val="20"/>
          <w:szCs w:val="20"/>
          <w:lang w:val="fr-FR"/>
        </w:rPr>
        <w:t>1</w:t>
      </w:r>
      <w:r w:rsidRPr="00A74D23">
        <w:rPr>
          <w:rFonts w:asciiTheme="minorHAnsi" w:eastAsiaTheme="minorHAnsi" w:hAnsiTheme="minorHAnsi" w:cs="Open Sans"/>
          <w:sz w:val="20"/>
          <w:szCs w:val="20"/>
          <w:lang w:val="fr-FR"/>
        </w:rPr>
        <w:t>%, contribuant à l’objectif de réduction de l’</w:t>
      </w:r>
      <w:r w:rsidR="00D616E1">
        <w:rPr>
          <w:rFonts w:asciiTheme="minorHAnsi" w:eastAsiaTheme="minorHAnsi" w:hAnsiTheme="minorHAnsi" w:cs="Open Sans"/>
          <w:sz w:val="20"/>
          <w:szCs w:val="20"/>
          <w:lang w:val="fr-FR"/>
        </w:rPr>
        <w:t xml:space="preserve">empreinte carbone </w:t>
      </w:r>
      <w:r w:rsidRPr="00A74D23">
        <w:rPr>
          <w:rFonts w:asciiTheme="minorHAnsi" w:eastAsiaTheme="minorHAnsi" w:hAnsiTheme="minorHAnsi" w:cs="Open Sans"/>
          <w:sz w:val="20"/>
          <w:szCs w:val="20"/>
          <w:lang w:val="fr-FR"/>
        </w:rPr>
        <w:t xml:space="preserve">de </w:t>
      </w:r>
      <w:r w:rsidR="00A60B2E" w:rsidRPr="00A74D23">
        <w:rPr>
          <w:rFonts w:asciiTheme="minorHAnsi" w:eastAsiaTheme="minorHAnsi" w:hAnsiTheme="minorHAnsi" w:cs="Open Sans"/>
          <w:sz w:val="20"/>
          <w:szCs w:val="20"/>
          <w:lang w:val="fr-FR"/>
        </w:rPr>
        <w:t>40</w:t>
      </w:r>
      <w:r w:rsidRPr="00A74D23">
        <w:rPr>
          <w:rFonts w:asciiTheme="minorHAnsi" w:eastAsiaTheme="minorHAnsi" w:hAnsiTheme="minorHAnsi" w:cs="Open Sans"/>
          <w:sz w:val="20"/>
          <w:szCs w:val="20"/>
          <w:lang w:val="fr-FR"/>
        </w:rPr>
        <w:t>% entre 2019 et 202</w:t>
      </w:r>
      <w:r w:rsidR="00A60B2E" w:rsidRPr="00A74D23">
        <w:rPr>
          <w:rFonts w:asciiTheme="minorHAnsi" w:eastAsiaTheme="minorHAnsi" w:hAnsiTheme="minorHAnsi" w:cs="Open Sans"/>
          <w:sz w:val="20"/>
          <w:szCs w:val="20"/>
          <w:lang w:val="fr-FR"/>
        </w:rPr>
        <w:t>9</w:t>
      </w:r>
      <w:r w:rsidRPr="00A74D23">
        <w:rPr>
          <w:rFonts w:asciiTheme="minorHAnsi" w:eastAsiaTheme="minorHAnsi" w:hAnsiTheme="minorHAnsi" w:cs="Open Sans"/>
          <w:sz w:val="20"/>
          <w:szCs w:val="20"/>
          <w:lang w:val="fr-FR"/>
        </w:rPr>
        <w:t xml:space="preserve">, pris dans le cadre de notre adhésion à la </w:t>
      </w:r>
      <w:r w:rsidRPr="00A74D23">
        <w:rPr>
          <w:rFonts w:asciiTheme="minorHAnsi" w:eastAsiaTheme="minorHAnsi" w:hAnsiTheme="minorHAnsi" w:cs="Open Sans"/>
          <w:i/>
          <w:iCs/>
          <w:sz w:val="20"/>
          <w:szCs w:val="20"/>
          <w:lang w:val="fr-FR"/>
        </w:rPr>
        <w:t>Net Zero Asset Owner Alliance</w:t>
      </w:r>
      <w:r w:rsidRPr="00A74D23">
        <w:rPr>
          <w:rFonts w:asciiTheme="minorHAnsi" w:eastAsiaTheme="minorHAnsi" w:hAnsiTheme="minorHAnsi" w:cs="Open Sans"/>
          <w:sz w:val="20"/>
          <w:szCs w:val="20"/>
          <w:lang w:val="fr-FR"/>
        </w:rPr>
        <w:t xml:space="preserve">. </w:t>
      </w:r>
    </w:p>
    <w:p w14:paraId="52F79954" w14:textId="77777777" w:rsidR="00AB42C5" w:rsidRPr="00A74D23" w:rsidRDefault="00AB42C5" w:rsidP="009D6EE5">
      <w:pPr>
        <w:spacing w:line="22" w:lineRule="atLeast"/>
        <w:jc w:val="both"/>
        <w:rPr>
          <w:rFonts w:asciiTheme="minorHAnsi" w:hAnsiTheme="minorHAnsi" w:cs="Open Sans"/>
          <w:sz w:val="20"/>
          <w:szCs w:val="20"/>
          <w:lang w:val="fr-FR"/>
        </w:rPr>
      </w:pPr>
    </w:p>
    <w:p w14:paraId="5256FA17" w14:textId="71388E0F" w:rsidR="00AB42C5" w:rsidRPr="00A74D23" w:rsidRDefault="004D6E4D" w:rsidP="009D6EE5">
      <w:pPr>
        <w:spacing w:line="22" w:lineRule="atLeast"/>
        <w:jc w:val="both"/>
        <w:rPr>
          <w:rFonts w:asciiTheme="minorHAnsi" w:hAnsiTheme="minorHAnsi" w:cs="Open Sans"/>
          <w:sz w:val="20"/>
          <w:szCs w:val="20"/>
          <w:lang w:val="fr-FR"/>
        </w:rPr>
      </w:pPr>
      <w:r w:rsidRPr="00A74D23">
        <w:rPr>
          <w:rFonts w:asciiTheme="minorHAnsi" w:hAnsiTheme="minorHAnsi" w:cs="Open Sans"/>
          <w:noProof/>
          <w:sz w:val="20"/>
          <w:szCs w:val="20"/>
          <w:lang w:val="fr-FR"/>
        </w:rPr>
        <mc:AlternateContent>
          <mc:Choice Requires="wps">
            <w:drawing>
              <wp:anchor distT="0" distB="0" distL="114300" distR="114300" simplePos="0" relativeHeight="251723776" behindDoc="0" locked="0" layoutInCell="1" allowOverlap="1" wp14:anchorId="21AEBA72" wp14:editId="7A7824F8">
                <wp:simplePos x="0" y="0"/>
                <wp:positionH relativeFrom="column">
                  <wp:posOffset>1855470</wp:posOffset>
                </wp:positionH>
                <wp:positionV relativeFrom="paragraph">
                  <wp:posOffset>41275</wp:posOffset>
                </wp:positionV>
                <wp:extent cx="2390775" cy="285750"/>
                <wp:effectExtent l="0" t="0" r="9525" b="0"/>
                <wp:wrapNone/>
                <wp:docPr id="192045254" name="Rectangle 6"/>
                <wp:cNvGraphicFramePr/>
                <a:graphic xmlns:a="http://schemas.openxmlformats.org/drawingml/2006/main">
                  <a:graphicData uri="http://schemas.microsoft.com/office/word/2010/wordprocessingShape">
                    <wps:wsp>
                      <wps:cNvSpPr/>
                      <wps:spPr>
                        <a:xfrm>
                          <a:off x="0" y="0"/>
                          <a:ext cx="2390775" cy="28575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877B8D" w14:textId="242DDCDD" w:rsidR="004D6E4D" w:rsidRPr="004D6E4D" w:rsidRDefault="004D6E4D" w:rsidP="004D6E4D">
                            <w:pPr>
                              <w:jc w:val="center"/>
                              <w:rPr>
                                <w:rFonts w:asciiTheme="minorHAnsi" w:hAnsiTheme="minorHAnsi"/>
                                <w:b/>
                                <w:bCs/>
                                <w:color w:val="000000" w:themeColor="text1"/>
                                <w:lang w:val="fr-FR"/>
                              </w:rPr>
                            </w:pPr>
                            <w:r w:rsidRPr="004D6E4D">
                              <w:rPr>
                                <w:rFonts w:asciiTheme="minorHAnsi" w:hAnsiTheme="minorHAnsi"/>
                                <w:b/>
                                <w:bCs/>
                                <w:color w:val="000000" w:themeColor="text1"/>
                                <w:lang w:val="fr-FR"/>
                              </w:rPr>
                              <w:t>Et sur les Unités de Compte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AEBA72" id="_x0000_s1122" style="position:absolute;left:0;text-align:left;margin-left:146.1pt;margin-top:3.25pt;width:188.25pt;height:22.5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" fillcolor="#4ca79f [3214]" stroked="f" strokeweight="1pt">
                <v:textbox>
                  <w:txbxContent>
                    <w:p w14:paraId="31877B8D" w14:textId="242DDCDD" w:rsidR="004D6E4D" w:rsidRPr="004D6E4D" w:rsidRDefault="004D6E4D" w:rsidP="004D6E4D">
                      <w:pPr>
                        <w:jc w:val="center"/>
                        <w:rPr>
                          <w:rFonts w:asciiTheme="minorHAnsi" w:hAnsiTheme="minorHAnsi"/>
                          <w:b/>
                          <w:bCs/>
                          <w:color w:val="000000" w:themeColor="text1"/>
                          <w:lang w:val="fr-FR"/>
                        </w:rPr>
                      </w:pPr>
                      <w:r w:rsidRPr="004D6E4D">
                        <w:rPr>
                          <w:rFonts w:asciiTheme="minorHAnsi" w:hAnsiTheme="minorHAnsi"/>
                          <w:b/>
                          <w:bCs/>
                          <w:color w:val="000000" w:themeColor="text1"/>
                          <w:lang w:val="fr-FR"/>
                        </w:rPr>
                        <w:t>Et sur les Unités de Compte ?</w:t>
                      </w:r>
                    </w:p>
                  </w:txbxContent>
                </v:textbox>
              </v:rect>
            </w:pict>
          </mc:Fallback>
        </mc:AlternateContent>
      </w:r>
    </w:p>
    <w:p w14:paraId="3FFBA0A0" w14:textId="117BCB7A" w:rsidR="00AB42C5" w:rsidRPr="00A74D23" w:rsidRDefault="00AB42C5" w:rsidP="009D6EE5">
      <w:pPr>
        <w:spacing w:line="22" w:lineRule="atLeast"/>
        <w:jc w:val="both"/>
        <w:rPr>
          <w:rFonts w:asciiTheme="minorHAnsi" w:hAnsiTheme="minorHAnsi" w:cs="Open Sans"/>
          <w:sz w:val="20"/>
          <w:szCs w:val="20"/>
          <w:lang w:val="fr-FR"/>
        </w:rPr>
      </w:pPr>
      <w:r w:rsidRPr="00A74D23">
        <w:rPr>
          <w:rFonts w:asciiTheme="minorHAnsi" w:hAnsiTheme="minorHAnsi" w:cs="Open Sans"/>
          <w:noProof/>
          <w:sz w:val="20"/>
          <w:lang w:val="fr-FR"/>
        </w:rPr>
        <mc:AlternateContent>
          <mc:Choice Requires="wps">
            <w:drawing>
              <wp:anchor distT="0" distB="0" distL="114300" distR="114300" simplePos="0" relativeHeight="251721728" behindDoc="0" locked="0" layoutInCell="1" allowOverlap="1" wp14:anchorId="678BA92C" wp14:editId="119ACB5B">
                <wp:simplePos x="0" y="0"/>
                <wp:positionH relativeFrom="margin">
                  <wp:align>left</wp:align>
                </wp:positionH>
                <wp:positionV relativeFrom="paragraph">
                  <wp:posOffset>10160</wp:posOffset>
                </wp:positionV>
                <wp:extent cx="6061075" cy="676275"/>
                <wp:effectExtent l="0" t="0" r="0" b="9525"/>
                <wp:wrapNone/>
                <wp:docPr id="1881690140" name="Rectangle 5"/>
                <wp:cNvGraphicFramePr/>
                <a:graphic xmlns:a="http://schemas.openxmlformats.org/drawingml/2006/main">
                  <a:graphicData uri="http://schemas.microsoft.com/office/word/2010/wordprocessingShape">
                    <wps:wsp>
                      <wps:cNvSpPr/>
                      <wps:spPr>
                        <a:xfrm>
                          <a:off x="0" y="0"/>
                          <a:ext cx="6061075" cy="676275"/>
                        </a:xfrm>
                        <a:prstGeom prst="rect">
                          <a:avLst/>
                        </a:prstGeom>
                        <a:solidFill>
                          <a:schemeClr val="bg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BEEE95" w14:textId="77777777" w:rsidR="004D6E4D" w:rsidRDefault="004D6E4D" w:rsidP="00AB42C5">
                            <w:pPr>
                              <w:spacing w:line="276" w:lineRule="auto"/>
                              <w:jc w:val="both"/>
                              <w:rPr>
                                <w:rFonts w:asciiTheme="minorHAnsi" w:hAnsiTheme="minorHAnsi" w:cs="Open Sans"/>
                                <w:color w:val="000000" w:themeColor="text1"/>
                                <w:sz w:val="20"/>
                                <w:lang w:val="fr-FR"/>
                              </w:rPr>
                            </w:pPr>
                          </w:p>
                          <w:p w14:paraId="7B226332" w14:textId="654FD370" w:rsidR="00AB42C5" w:rsidRPr="00BB2CA5" w:rsidRDefault="00AB42C5" w:rsidP="00AB42C5">
                            <w:pPr>
                              <w:spacing w:line="276" w:lineRule="auto"/>
                              <w:jc w:val="both"/>
                              <w:rPr>
                                <w:rFonts w:asciiTheme="minorHAnsi" w:hAnsiTheme="minorHAnsi" w:cs="Open Sans"/>
                                <w:color w:val="000000" w:themeColor="text1"/>
                                <w:sz w:val="20"/>
                                <w:lang w:val="fr-FR"/>
                              </w:rPr>
                            </w:pPr>
                            <w:r w:rsidRPr="004D6E4D">
                              <w:rPr>
                                <w:rFonts w:asciiTheme="minorHAnsi" w:hAnsiTheme="minorHAnsi" w:cs="Open Sans"/>
                                <w:color w:val="000000" w:themeColor="text1"/>
                                <w:sz w:val="20"/>
                                <w:lang w:val="fr-FR"/>
                              </w:rPr>
                              <w:t>A titre</w:t>
                            </w:r>
                            <w:r w:rsidR="004D6E4D" w:rsidRPr="004D6E4D">
                              <w:rPr>
                                <w:rFonts w:asciiTheme="minorHAnsi" w:hAnsiTheme="minorHAnsi" w:cs="Open Sans"/>
                                <w:color w:val="000000" w:themeColor="text1"/>
                                <w:sz w:val="20"/>
                                <w:lang w:val="fr-FR"/>
                              </w:rPr>
                              <w:t xml:space="preserve"> de comparaison, l’empreinte carbone (Scope 1,2,3/M€ EVIC) du portefeuille d'investissements corporate en</w:t>
                            </w:r>
                            <w:r w:rsidR="004D6E4D">
                              <w:rPr>
                                <w:rFonts w:asciiTheme="minorHAnsi" w:hAnsiTheme="minorHAnsi" w:cs="Open Sans"/>
                                <w:b/>
                                <w:bCs/>
                                <w:color w:val="000000" w:themeColor="text1"/>
                                <w:sz w:val="20"/>
                                <w:lang w:val="fr-FR"/>
                              </w:rPr>
                              <w:t xml:space="preserve"> Unités de Compte </w:t>
                            </w:r>
                            <w:r w:rsidR="004D6E4D" w:rsidRPr="004D6E4D">
                              <w:rPr>
                                <w:rFonts w:asciiTheme="minorHAnsi" w:hAnsiTheme="minorHAnsi" w:cs="Open Sans"/>
                                <w:color w:val="000000" w:themeColor="text1"/>
                                <w:sz w:val="20"/>
                                <w:lang w:val="fr-FR"/>
                              </w:rPr>
                              <w:t xml:space="preserve">Abeille </w:t>
                            </w:r>
                            <w:r w:rsidR="00965CB2">
                              <w:rPr>
                                <w:rFonts w:asciiTheme="minorHAnsi" w:hAnsiTheme="minorHAnsi" w:cs="Open Sans"/>
                                <w:color w:val="000000" w:themeColor="text1"/>
                                <w:sz w:val="20"/>
                                <w:lang w:val="fr-FR"/>
                              </w:rPr>
                              <w:t>Retraite Professionnelle</w:t>
                            </w:r>
                            <w:r w:rsidR="004D6E4D" w:rsidRPr="004D6E4D">
                              <w:rPr>
                                <w:rFonts w:asciiTheme="minorHAnsi" w:hAnsiTheme="minorHAnsi" w:cs="Open Sans"/>
                                <w:color w:val="000000" w:themeColor="text1"/>
                                <w:sz w:val="20"/>
                                <w:lang w:val="fr-FR"/>
                              </w:rPr>
                              <w:t xml:space="preserve"> est de</w:t>
                            </w:r>
                            <w:r w:rsidR="004D6E4D">
                              <w:rPr>
                                <w:rFonts w:asciiTheme="minorHAnsi" w:hAnsiTheme="minorHAnsi" w:cs="Open Sans"/>
                                <w:b/>
                                <w:bCs/>
                                <w:color w:val="000000" w:themeColor="text1"/>
                                <w:sz w:val="20"/>
                                <w:lang w:val="fr-FR"/>
                              </w:rPr>
                              <w:t xml:space="preserve"> </w:t>
                            </w:r>
                            <w:r w:rsidR="00E17B62">
                              <w:rPr>
                                <w:rFonts w:asciiTheme="minorHAnsi" w:hAnsiTheme="minorHAnsi" w:cs="Open Sans"/>
                                <w:b/>
                                <w:bCs/>
                                <w:color w:val="000000" w:themeColor="text1"/>
                                <w:sz w:val="20"/>
                                <w:lang w:val="fr-FR"/>
                              </w:rPr>
                              <w:t xml:space="preserve">356 </w:t>
                            </w:r>
                            <w:r w:rsidR="001940AD">
                              <w:rPr>
                                <w:rFonts w:asciiTheme="minorHAnsi" w:hAnsiTheme="minorHAnsi" w:cs="Open Sans"/>
                                <w:b/>
                                <w:bCs/>
                                <w:color w:val="000000" w:themeColor="text1"/>
                                <w:sz w:val="20"/>
                                <w:lang w:val="fr-FR"/>
                              </w:rPr>
                              <w:t xml:space="preserve">tCO2e/M€ </w:t>
                            </w:r>
                            <w:r w:rsidR="001940AD" w:rsidRPr="001940AD">
                              <w:rPr>
                                <w:rFonts w:asciiTheme="minorHAnsi" w:hAnsiTheme="minorHAnsi" w:cs="Open Sans"/>
                                <w:color w:val="000000" w:themeColor="text1"/>
                                <w:sz w:val="20"/>
                                <w:lang w:val="fr-FR"/>
                              </w:rPr>
                              <w:t>en 2025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8BA92C" id="Rectangle 5" o:spid="_x0000_s1123" style="position:absolute;left:0;text-align:left;margin-left:0;margin-top:.8pt;width:477.25pt;height:53.25pt;z-index:251721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" fillcolor="#daeeec [670]" stroked="f" strokeweight="1pt">
                <v:textbox>
                  <w:txbxContent>
                    <w:p w14:paraId="00BEEE95" w14:textId="77777777" w:rsidR="004D6E4D" w:rsidRDefault="004D6E4D" w:rsidP="00AB42C5">
                      <w:pPr>
                        <w:spacing w:line="276" w:lineRule="auto"/>
                        <w:jc w:val="both"/>
                        <w:rPr>
                          <w:rFonts w:asciiTheme="minorHAnsi" w:hAnsiTheme="minorHAnsi" w:cs="Open Sans"/>
                          <w:color w:val="000000" w:themeColor="text1"/>
                          <w:sz w:val="20"/>
                          <w:lang w:val="fr-FR"/>
                        </w:rPr>
                      </w:pPr>
                    </w:p>
                    <w:p w14:paraId="7B226332" w14:textId="654FD370" w:rsidR="00AB42C5" w:rsidRPr="00BB2CA5" w:rsidRDefault="00AB42C5" w:rsidP="00AB42C5">
                      <w:pPr>
                        <w:spacing w:line="276" w:lineRule="auto"/>
                        <w:jc w:val="both"/>
                        <w:rPr>
                          <w:rFonts w:asciiTheme="minorHAnsi" w:hAnsiTheme="minorHAnsi" w:cs="Open Sans"/>
                          <w:color w:val="000000" w:themeColor="text1"/>
                          <w:sz w:val="20"/>
                          <w:lang w:val="fr-FR"/>
                        </w:rPr>
                      </w:pPr>
                      <w:r w:rsidRPr="004D6E4D">
                        <w:rPr>
                          <w:rFonts w:asciiTheme="minorHAnsi" w:hAnsiTheme="minorHAnsi" w:cs="Open Sans"/>
                          <w:color w:val="000000" w:themeColor="text1"/>
                          <w:sz w:val="20"/>
                          <w:lang w:val="fr-FR"/>
                        </w:rPr>
                        <w:t>A titre</w:t>
                      </w:r>
                      <w:r w:rsidR="004D6E4D" w:rsidRPr="004D6E4D">
                        <w:rPr>
                          <w:rFonts w:asciiTheme="minorHAnsi" w:hAnsiTheme="minorHAnsi" w:cs="Open Sans"/>
                          <w:color w:val="000000" w:themeColor="text1"/>
                          <w:sz w:val="20"/>
                          <w:lang w:val="fr-FR"/>
                        </w:rPr>
                        <w:t xml:space="preserve"> de comparaison, l’empreinte carbone (Scope 1,2,3/M€ EVIC) du portefeuille d'investissements corporate en</w:t>
                      </w:r>
                      <w:r w:rsidR="004D6E4D">
                        <w:rPr>
                          <w:rFonts w:asciiTheme="minorHAnsi" w:hAnsiTheme="minorHAnsi" w:cs="Open Sans"/>
                          <w:b/>
                          <w:bCs/>
                          <w:color w:val="000000" w:themeColor="text1"/>
                          <w:sz w:val="20"/>
                          <w:lang w:val="fr-FR"/>
                        </w:rPr>
                        <w:t xml:space="preserve"> Unités de Compte </w:t>
                      </w:r>
                      <w:r w:rsidR="004D6E4D" w:rsidRPr="004D6E4D">
                        <w:rPr>
                          <w:rFonts w:asciiTheme="minorHAnsi" w:hAnsiTheme="minorHAnsi" w:cs="Open Sans"/>
                          <w:color w:val="000000" w:themeColor="text1"/>
                          <w:sz w:val="20"/>
                          <w:lang w:val="fr-FR"/>
                        </w:rPr>
                        <w:t xml:space="preserve">Abeille </w:t>
                      </w:r>
                      <w:r w:rsidR="00965CB2">
                        <w:rPr>
                          <w:rFonts w:asciiTheme="minorHAnsi" w:hAnsiTheme="minorHAnsi" w:cs="Open Sans"/>
                          <w:color w:val="000000" w:themeColor="text1"/>
                          <w:sz w:val="20"/>
                          <w:lang w:val="fr-FR"/>
                        </w:rPr>
                        <w:t>Retraite Professionnelle</w:t>
                      </w:r>
                      <w:r w:rsidR="004D6E4D" w:rsidRPr="004D6E4D">
                        <w:rPr>
                          <w:rFonts w:asciiTheme="minorHAnsi" w:hAnsiTheme="minorHAnsi" w:cs="Open Sans"/>
                          <w:color w:val="000000" w:themeColor="text1"/>
                          <w:sz w:val="20"/>
                          <w:lang w:val="fr-FR"/>
                        </w:rPr>
                        <w:t xml:space="preserve"> est de</w:t>
                      </w:r>
                      <w:r w:rsidR="004D6E4D">
                        <w:rPr>
                          <w:rFonts w:asciiTheme="minorHAnsi" w:hAnsiTheme="minorHAnsi" w:cs="Open Sans"/>
                          <w:b/>
                          <w:bCs/>
                          <w:color w:val="000000" w:themeColor="text1"/>
                          <w:sz w:val="20"/>
                          <w:lang w:val="fr-FR"/>
                        </w:rPr>
                        <w:t xml:space="preserve"> </w:t>
                      </w:r>
                      <w:r w:rsidR="00E17B62">
                        <w:rPr>
                          <w:rFonts w:asciiTheme="minorHAnsi" w:hAnsiTheme="minorHAnsi" w:cs="Open Sans"/>
                          <w:b/>
                          <w:bCs/>
                          <w:color w:val="000000" w:themeColor="text1"/>
                          <w:sz w:val="20"/>
                          <w:lang w:val="fr-FR"/>
                        </w:rPr>
                        <w:t xml:space="preserve">356 </w:t>
                      </w:r>
                      <w:r w:rsidR="001940AD">
                        <w:rPr>
                          <w:rFonts w:asciiTheme="minorHAnsi" w:hAnsiTheme="minorHAnsi" w:cs="Open Sans"/>
                          <w:b/>
                          <w:bCs/>
                          <w:color w:val="000000" w:themeColor="text1"/>
                          <w:sz w:val="20"/>
                          <w:lang w:val="fr-FR"/>
                        </w:rPr>
                        <w:t xml:space="preserve">tCO2e/M€ </w:t>
                      </w:r>
                      <w:r w:rsidR="001940AD" w:rsidRPr="001940AD">
                        <w:rPr>
                          <w:rFonts w:asciiTheme="minorHAnsi" w:hAnsiTheme="minorHAnsi" w:cs="Open Sans"/>
                          <w:color w:val="000000" w:themeColor="text1"/>
                          <w:sz w:val="20"/>
                          <w:lang w:val="fr-FR"/>
                        </w:rPr>
                        <w:t>en 2025</w:t>
                      </w:r>
                    </w:p>
                  </w:txbxContent>
                </v:textbox>
                <w10:wrap anchorx="margin"/>
              </v:rect>
            </w:pict>
          </mc:Fallback>
        </mc:AlternateContent>
      </w:r>
    </w:p>
    <w:p w14:paraId="52BD0392" w14:textId="2A080A31" w:rsidR="00AB42C5" w:rsidRPr="00A74D23" w:rsidRDefault="00AB42C5" w:rsidP="009D6EE5">
      <w:pPr>
        <w:spacing w:line="22" w:lineRule="atLeast"/>
        <w:jc w:val="both"/>
        <w:rPr>
          <w:rFonts w:asciiTheme="minorHAnsi" w:hAnsiTheme="minorHAnsi" w:cs="Open Sans"/>
          <w:sz w:val="20"/>
          <w:szCs w:val="20"/>
          <w:lang w:val="fr-FR"/>
        </w:rPr>
      </w:pPr>
    </w:p>
    <w:p w14:paraId="6F96151B" w14:textId="77777777" w:rsidR="00FF11A8" w:rsidRPr="00A74D23" w:rsidRDefault="00FF11A8" w:rsidP="009D6EE5">
      <w:pPr>
        <w:spacing w:line="22" w:lineRule="atLeast"/>
        <w:jc w:val="both"/>
        <w:rPr>
          <w:rFonts w:asciiTheme="minorHAnsi" w:hAnsiTheme="minorHAnsi" w:cs="Open Sans"/>
          <w:sz w:val="20"/>
          <w:szCs w:val="20"/>
          <w:lang w:val="fr-FR"/>
        </w:rPr>
      </w:pPr>
    </w:p>
    <w:p w14:paraId="357ED4FD" w14:textId="77777777" w:rsidR="0056274C" w:rsidRPr="00A74D23" w:rsidRDefault="0056274C" w:rsidP="009D6EE5">
      <w:pPr>
        <w:spacing w:line="22" w:lineRule="atLeast"/>
        <w:jc w:val="both"/>
        <w:rPr>
          <w:rFonts w:asciiTheme="minorHAnsi" w:hAnsiTheme="minorHAnsi" w:cs="Open Sans"/>
          <w:sz w:val="20"/>
          <w:szCs w:val="20"/>
          <w:lang w:val="fr-FR"/>
        </w:rPr>
      </w:pPr>
    </w:p>
    <w:p w14:paraId="40A06E9D" w14:textId="77777777" w:rsidR="004D6E4D" w:rsidRPr="00A74D23" w:rsidRDefault="004D6E4D" w:rsidP="009D6EE5">
      <w:pPr>
        <w:spacing w:line="22" w:lineRule="atLeast"/>
        <w:jc w:val="both"/>
        <w:rPr>
          <w:rFonts w:asciiTheme="minorHAnsi" w:hAnsiTheme="minorHAnsi" w:cs="Open Sans"/>
          <w:sz w:val="20"/>
          <w:szCs w:val="20"/>
          <w:lang w:val="fr-FR"/>
        </w:rPr>
      </w:pPr>
    </w:p>
    <w:p w14:paraId="0C5A7983" w14:textId="77777777" w:rsidR="001A2618" w:rsidRPr="00A74D23" w:rsidRDefault="001A2618" w:rsidP="009D6EE5">
      <w:pPr>
        <w:spacing w:line="22" w:lineRule="atLeast"/>
        <w:jc w:val="both"/>
        <w:rPr>
          <w:rFonts w:asciiTheme="minorHAnsi" w:hAnsiTheme="minorHAnsi" w:cs="Open Sans"/>
          <w:sz w:val="20"/>
          <w:szCs w:val="20"/>
          <w:lang w:val="fr-FR"/>
        </w:rPr>
      </w:pPr>
    </w:p>
    <w:p w14:paraId="4627B573" w14:textId="77777777" w:rsidR="00495963" w:rsidRPr="00A74D23" w:rsidRDefault="00495963" w:rsidP="009D6EE5">
      <w:pPr>
        <w:spacing w:line="22" w:lineRule="atLeast"/>
        <w:jc w:val="both"/>
        <w:rPr>
          <w:rFonts w:asciiTheme="minorHAnsi" w:hAnsiTheme="minorHAnsi" w:cs="Open Sans"/>
          <w:sz w:val="20"/>
          <w:szCs w:val="20"/>
          <w:lang w:val="fr-FR"/>
        </w:rPr>
      </w:pPr>
    </w:p>
    <w:p w14:paraId="5A88DCB1" w14:textId="0BC48F83" w:rsidR="001A2618" w:rsidRPr="002B3742" w:rsidRDefault="009065AA" w:rsidP="001A2618">
      <w:pPr>
        <w:pStyle w:val="Style4"/>
        <w:spacing w:line="22" w:lineRule="atLeast"/>
        <w:ind w:left="709" w:hanging="711"/>
        <w:jc w:val="both"/>
        <w:rPr>
          <w:rFonts w:asciiTheme="minorHAnsi" w:hAnsiTheme="minorHAnsi" w:cs="Open Sans"/>
          <w:color w:val="8A2C24" w:themeColor="accent2"/>
          <w:sz w:val="28"/>
          <w:szCs w:val="28"/>
        </w:rPr>
      </w:pPr>
      <w:r w:rsidRPr="002B3742">
        <w:rPr>
          <w:rFonts w:asciiTheme="minorHAnsi" w:hAnsiTheme="minorHAnsi" w:cs="Open Sans"/>
          <w:color w:val="8A2C24" w:themeColor="accent2"/>
          <w:sz w:val="28"/>
          <w:szCs w:val="28"/>
        </w:rPr>
        <w:t>4.</w:t>
      </w:r>
      <w:r w:rsidR="00DC799F" w:rsidRPr="002B3742">
        <w:rPr>
          <w:rFonts w:asciiTheme="minorHAnsi" w:hAnsiTheme="minorHAnsi" w:cs="Open Sans"/>
          <w:color w:val="8A2C24" w:themeColor="accent2"/>
          <w:sz w:val="28"/>
          <w:szCs w:val="28"/>
        </w:rPr>
        <w:t>1</w:t>
      </w:r>
      <w:r w:rsidRPr="002B3742">
        <w:rPr>
          <w:rFonts w:asciiTheme="minorHAnsi" w:hAnsiTheme="minorHAnsi" w:cs="Open Sans"/>
          <w:color w:val="8A2C24" w:themeColor="accent2"/>
          <w:sz w:val="28"/>
          <w:szCs w:val="28"/>
        </w:rPr>
        <w:t>.</w:t>
      </w:r>
      <w:r w:rsidR="00DC799F" w:rsidRPr="002B3742">
        <w:rPr>
          <w:rFonts w:asciiTheme="minorHAnsi" w:hAnsiTheme="minorHAnsi" w:cs="Open Sans"/>
          <w:color w:val="8A2C24" w:themeColor="accent2"/>
          <w:sz w:val="28"/>
          <w:szCs w:val="28"/>
        </w:rPr>
        <w:t>2</w:t>
      </w:r>
      <w:r w:rsidR="00482DB1" w:rsidRPr="002B3742">
        <w:rPr>
          <w:rFonts w:asciiTheme="minorHAnsi" w:hAnsiTheme="minorHAnsi" w:cs="Open Sans"/>
          <w:color w:val="8A2C24" w:themeColor="accent2"/>
          <w:sz w:val="28"/>
          <w:szCs w:val="28"/>
        </w:rPr>
        <w:t>.</w:t>
      </w:r>
      <w:r w:rsidRPr="002B3742">
        <w:rPr>
          <w:rFonts w:asciiTheme="minorHAnsi" w:hAnsiTheme="minorHAnsi" w:cs="Open Sans"/>
          <w:color w:val="8A2C24" w:themeColor="accent2"/>
          <w:sz w:val="28"/>
          <w:szCs w:val="28"/>
        </w:rPr>
        <w:t xml:space="preserve">  Performance carbone projetée du portefeuille </w:t>
      </w:r>
      <w:r w:rsidR="003511DB" w:rsidRPr="002B3742">
        <w:rPr>
          <w:rFonts w:asciiTheme="minorHAnsi" w:hAnsiTheme="minorHAnsi" w:cs="Open Sans"/>
          <w:color w:val="8A2C24" w:themeColor="accent2"/>
          <w:sz w:val="28"/>
          <w:szCs w:val="28"/>
        </w:rPr>
        <w:t>d’investissement corporates</w:t>
      </w:r>
    </w:p>
    <w:p w14:paraId="1A0B558E" w14:textId="242C8220" w:rsidR="00FE48EB" w:rsidRPr="00A74D23" w:rsidRDefault="009065AA" w:rsidP="001A2618">
      <w:pPr>
        <w:pStyle w:val="Style4"/>
        <w:spacing w:line="22" w:lineRule="atLeast"/>
        <w:ind w:left="709" w:hanging="711"/>
        <w:jc w:val="both"/>
        <w:rPr>
          <w:rFonts w:asciiTheme="minorHAnsi" w:hAnsiTheme="minorHAnsi" w:cs="Open Sans"/>
        </w:rPr>
      </w:pPr>
      <w:r w:rsidRPr="00A74D23">
        <w:rPr>
          <w:rFonts w:asciiTheme="minorHAnsi" w:hAnsiTheme="minorHAnsi" w:cs="Open Sans"/>
        </w:rPr>
        <w:t xml:space="preserve"> </w:t>
      </w:r>
    </w:p>
    <w:p w14:paraId="595C3BFD" w14:textId="677D9750" w:rsidR="00677210" w:rsidRPr="00A74D23" w:rsidRDefault="009065AA" w:rsidP="009D6EE5">
      <w:pPr>
        <w:pStyle w:val="pf0"/>
        <w:spacing w:before="120" w:beforeAutospacing="0" w:line="22" w:lineRule="atLeast"/>
        <w:jc w:val="both"/>
        <w:rPr>
          <w:rFonts w:asciiTheme="minorHAnsi" w:hAnsiTheme="minorHAnsi" w:cs="Open Sans"/>
          <w:sz w:val="20"/>
          <w:szCs w:val="20"/>
        </w:rPr>
      </w:pPr>
      <w:r w:rsidRPr="00A74D23">
        <w:rPr>
          <w:rFonts w:asciiTheme="minorHAnsi" w:hAnsiTheme="minorHAnsi" w:cs="Open Sans"/>
          <w:sz w:val="20"/>
          <w:szCs w:val="20"/>
        </w:rPr>
        <w:t xml:space="preserve">Plusieurs indicateurs </w:t>
      </w:r>
      <w:r w:rsidR="002662D7" w:rsidRPr="00A74D23">
        <w:rPr>
          <w:rFonts w:asciiTheme="minorHAnsi" w:hAnsiTheme="minorHAnsi" w:cs="Open Sans"/>
          <w:sz w:val="20"/>
          <w:szCs w:val="20"/>
        </w:rPr>
        <w:t xml:space="preserve">pertinents </w:t>
      </w:r>
      <w:r w:rsidR="005E16BC" w:rsidRPr="00A74D23">
        <w:rPr>
          <w:rFonts w:asciiTheme="minorHAnsi" w:hAnsiTheme="minorHAnsi" w:cs="Open Sans"/>
          <w:sz w:val="20"/>
          <w:szCs w:val="20"/>
        </w:rPr>
        <w:t>permettent d’estimer la performance carbone d</w:t>
      </w:r>
      <w:r w:rsidR="00FE48EB" w:rsidRPr="00A74D23">
        <w:rPr>
          <w:rFonts w:asciiTheme="minorHAnsi" w:hAnsiTheme="minorHAnsi" w:cs="Open Sans"/>
          <w:sz w:val="20"/>
          <w:szCs w:val="20"/>
        </w:rPr>
        <w:t>es investissements entreprises</w:t>
      </w:r>
      <w:r w:rsidR="00677210" w:rsidRPr="00A74D23">
        <w:rPr>
          <w:rFonts w:asciiTheme="minorHAnsi" w:hAnsiTheme="minorHAnsi" w:cs="Open Sans"/>
          <w:sz w:val="20"/>
          <w:szCs w:val="20"/>
        </w:rPr>
        <w:t xml:space="preserve">. </w:t>
      </w:r>
    </w:p>
    <w:p w14:paraId="13FFC3A4" w14:textId="77777777" w:rsidR="00704C29" w:rsidRPr="00A74D23" w:rsidRDefault="002662D7" w:rsidP="009D6EE5">
      <w:pPr>
        <w:pStyle w:val="pf0"/>
        <w:spacing w:before="0" w:beforeAutospacing="0" w:after="0" w:afterAutospacing="0" w:line="22" w:lineRule="atLeast"/>
        <w:jc w:val="both"/>
        <w:rPr>
          <w:rFonts w:asciiTheme="minorHAnsi" w:hAnsiTheme="minorHAnsi" w:cs="Open Sans"/>
          <w:b/>
          <w:bCs/>
        </w:rPr>
      </w:pPr>
      <w:r w:rsidRPr="00A74D23">
        <w:rPr>
          <w:rFonts w:asciiTheme="minorHAnsi" w:hAnsiTheme="minorHAnsi" w:cs="Open Sans"/>
          <w:b/>
          <w:bCs/>
        </w:rPr>
        <w:t xml:space="preserve">Le </w:t>
      </w:r>
      <w:r w:rsidR="00CA4D18" w:rsidRPr="00A74D23">
        <w:rPr>
          <w:rFonts w:asciiTheme="minorHAnsi" w:hAnsiTheme="minorHAnsi" w:cs="Open Sans"/>
          <w:b/>
          <w:bCs/>
        </w:rPr>
        <w:t>Net Zero Investment Framework</w:t>
      </w:r>
    </w:p>
    <w:p w14:paraId="5F49A456" w14:textId="118770D1" w:rsidR="00F65E9D" w:rsidRPr="00A74D23" w:rsidRDefault="00CA4D18" w:rsidP="009D6EE5">
      <w:pPr>
        <w:pStyle w:val="pf0"/>
        <w:spacing w:before="0" w:beforeAutospacing="0" w:after="0" w:afterAutospacing="0" w:line="22" w:lineRule="atLeast"/>
        <w:jc w:val="both"/>
        <w:rPr>
          <w:rFonts w:asciiTheme="minorHAnsi" w:hAnsiTheme="minorHAnsi" w:cs="Open Sans"/>
          <w:b/>
          <w:bCs/>
        </w:rPr>
      </w:pPr>
      <w:r w:rsidRPr="00A74D23">
        <w:rPr>
          <w:rFonts w:asciiTheme="minorHAnsi" w:hAnsiTheme="minorHAnsi" w:cs="Open Sans"/>
          <w:sz w:val="20"/>
          <w:szCs w:val="20"/>
        </w:rPr>
        <w:t>Le NZIF constitue pour Abeille Assurances un outil structurant de lecture et de pilotage de la décarbonation des portefeuilles. La classification des émetteurs selon leur degré d’alignement ou de transition permet d’adopter une approche dynamique de la trajectoire climat, au</w:t>
      </w:r>
      <w:r w:rsidRPr="00A74D23">
        <w:rPr>
          <w:rFonts w:ascii="Cambria Math" w:hAnsi="Cambria Math" w:cs="Cambria Math"/>
          <w:sz w:val="20"/>
          <w:szCs w:val="20"/>
        </w:rPr>
        <w:t>‑</w:t>
      </w:r>
      <w:r w:rsidRPr="00A74D23">
        <w:rPr>
          <w:rFonts w:asciiTheme="minorHAnsi" w:hAnsiTheme="minorHAnsi" w:cs="Open Sans"/>
          <w:sz w:val="20"/>
          <w:szCs w:val="20"/>
        </w:rPr>
        <w:t>delà d’une lecture statique des émissions</w:t>
      </w:r>
      <w:r w:rsidR="00F65E9D" w:rsidRPr="00A74D23">
        <w:rPr>
          <w:rFonts w:asciiTheme="minorHAnsi" w:hAnsiTheme="minorHAnsi" w:cs="Open Sans"/>
          <w:sz w:val="20"/>
          <w:szCs w:val="20"/>
        </w:rPr>
        <w:t> :</w:t>
      </w:r>
    </w:p>
    <w:p w14:paraId="73C9989B" w14:textId="0A6EB44D" w:rsidR="002133CA" w:rsidRPr="00A74D23" w:rsidRDefault="006410C6" w:rsidP="00590DD1">
      <w:pPr>
        <w:pStyle w:val="pf0"/>
        <w:numPr>
          <w:ilvl w:val="0"/>
          <w:numId w:val="55"/>
        </w:numPr>
        <w:spacing w:before="120" w:line="22" w:lineRule="atLeast"/>
        <w:jc w:val="both"/>
        <w:rPr>
          <w:rFonts w:asciiTheme="minorHAnsi" w:hAnsiTheme="minorHAnsi" w:cs="Open Sans"/>
          <w:sz w:val="20"/>
          <w:szCs w:val="20"/>
        </w:rPr>
      </w:pPr>
      <w:r w:rsidRPr="00A74D23">
        <w:rPr>
          <w:rFonts w:asciiTheme="minorHAnsi" w:hAnsiTheme="minorHAnsi" w:cs="Open Sans"/>
          <w:b/>
          <w:bCs/>
          <w:sz w:val="20"/>
          <w:szCs w:val="20"/>
        </w:rPr>
        <w:t>Net Zero</w:t>
      </w:r>
      <w:r w:rsidRPr="00A74D23">
        <w:rPr>
          <w:rFonts w:asciiTheme="minorHAnsi" w:hAnsiTheme="minorHAnsi" w:cs="Open Sans"/>
          <w:sz w:val="20"/>
          <w:szCs w:val="20"/>
        </w:rPr>
        <w:t xml:space="preserve"> : </w:t>
      </w:r>
      <w:r w:rsidR="009B3371" w:rsidRPr="00A74D23">
        <w:rPr>
          <w:rFonts w:asciiTheme="minorHAnsi" w:hAnsiTheme="minorHAnsi" w:cs="Open Sans"/>
          <w:sz w:val="20"/>
          <w:szCs w:val="20"/>
        </w:rPr>
        <w:t>émetteurs ayant atteint un niveau d’émissions compatible avec une trajectoire net zero, et disposant d’un modèle opérationnel et d’allocation du capital permettant de maintenir cette performance dans le temps.</w:t>
      </w:r>
    </w:p>
    <w:p w14:paraId="399359EC" w14:textId="4B4366BF" w:rsidR="000D720C" w:rsidRPr="00A74D23" w:rsidRDefault="000D720C" w:rsidP="00590DD1">
      <w:pPr>
        <w:pStyle w:val="pf0"/>
        <w:numPr>
          <w:ilvl w:val="0"/>
          <w:numId w:val="55"/>
        </w:numPr>
        <w:spacing w:before="120" w:line="22" w:lineRule="atLeast"/>
        <w:jc w:val="both"/>
        <w:rPr>
          <w:rFonts w:asciiTheme="minorHAnsi" w:hAnsiTheme="minorHAnsi" w:cs="Open Sans"/>
          <w:sz w:val="20"/>
          <w:szCs w:val="20"/>
        </w:rPr>
      </w:pPr>
      <w:r w:rsidRPr="00A74D23">
        <w:rPr>
          <w:rFonts w:asciiTheme="minorHAnsi" w:hAnsiTheme="minorHAnsi" w:cs="Open Sans"/>
          <w:b/>
          <w:bCs/>
          <w:sz w:val="20"/>
          <w:szCs w:val="20"/>
        </w:rPr>
        <w:t>Aligned</w:t>
      </w:r>
      <w:r w:rsidRPr="00A74D23">
        <w:rPr>
          <w:rFonts w:asciiTheme="minorHAnsi" w:hAnsiTheme="minorHAnsi" w:cs="Open Sans"/>
          <w:sz w:val="20"/>
          <w:szCs w:val="20"/>
        </w:rPr>
        <w:t xml:space="preserve"> : émetteurs dont la stratégie, les objectifs et la performance d’émissions sont déjà cohérents avec une trajectoire de neutralité carbone.</w:t>
      </w:r>
    </w:p>
    <w:p w14:paraId="6B720C8B" w14:textId="77777777" w:rsidR="002133CA" w:rsidRPr="00A74D23" w:rsidRDefault="002133CA" w:rsidP="00590DD1">
      <w:pPr>
        <w:pStyle w:val="Paragraphedeliste"/>
        <w:numPr>
          <w:ilvl w:val="0"/>
          <w:numId w:val="55"/>
        </w:numPr>
        <w:spacing w:after="0" w:line="22" w:lineRule="atLeast"/>
        <w:jc w:val="both"/>
        <w:rPr>
          <w:rFonts w:eastAsia="Times New Roman" w:cs="Open Sans"/>
          <w:sz w:val="20"/>
          <w:szCs w:val="20"/>
        </w:rPr>
      </w:pPr>
      <w:r w:rsidRPr="00A74D23">
        <w:rPr>
          <w:rFonts w:eastAsia="Times New Roman" w:cs="Open Sans"/>
          <w:b/>
          <w:bCs/>
          <w:sz w:val="20"/>
          <w:szCs w:val="20"/>
        </w:rPr>
        <w:t>Aligning</w:t>
      </w:r>
      <w:r w:rsidRPr="00A74D23">
        <w:rPr>
          <w:rFonts w:eastAsia="Times New Roman" w:cs="Open Sans"/>
          <w:sz w:val="20"/>
          <w:szCs w:val="20"/>
        </w:rPr>
        <w:t xml:space="preserve"> : émetteurs engagés dans une trajectoire crédible d’alignement, avec des objectifs et des plans en place mais une performance encore en convergence.</w:t>
      </w:r>
    </w:p>
    <w:p w14:paraId="07E27AC4" w14:textId="73E0AFFE" w:rsidR="002133CA" w:rsidRPr="00A74D23" w:rsidRDefault="002133CA" w:rsidP="00590DD1">
      <w:pPr>
        <w:pStyle w:val="Paragraphedeliste"/>
        <w:numPr>
          <w:ilvl w:val="0"/>
          <w:numId w:val="55"/>
        </w:numPr>
        <w:spacing w:after="0" w:line="22" w:lineRule="atLeast"/>
        <w:jc w:val="both"/>
        <w:rPr>
          <w:rFonts w:eastAsia="Times New Roman" w:cs="Open Sans"/>
          <w:sz w:val="20"/>
          <w:szCs w:val="20"/>
        </w:rPr>
      </w:pPr>
      <w:r w:rsidRPr="00A74D23">
        <w:rPr>
          <w:rFonts w:eastAsia="Times New Roman" w:cs="Open Sans"/>
          <w:b/>
          <w:bCs/>
          <w:sz w:val="20"/>
          <w:szCs w:val="20"/>
        </w:rPr>
        <w:t>Committed</w:t>
      </w:r>
      <w:r w:rsidRPr="00A74D23">
        <w:rPr>
          <w:rFonts w:eastAsia="Times New Roman" w:cs="Open Sans"/>
          <w:sz w:val="20"/>
          <w:szCs w:val="20"/>
        </w:rPr>
        <w:t xml:space="preserve"> : émetteurs ayant formalisé une ambition climatique et des engagements de transition, sans que ceux</w:t>
      </w:r>
      <w:r w:rsidRPr="00A74D23">
        <w:rPr>
          <w:rFonts w:eastAsia="Times New Roman" w:cs="Open Sans"/>
          <w:sz w:val="20"/>
          <w:szCs w:val="20"/>
        </w:rPr>
        <w:noBreakHyphen/>
        <w:t>ci soient traduits en résultats mesurables.</w:t>
      </w:r>
    </w:p>
    <w:p w14:paraId="1C442F77" w14:textId="03561845" w:rsidR="000D720C" w:rsidRPr="00A74D23" w:rsidRDefault="002133CA" w:rsidP="00590DD1">
      <w:pPr>
        <w:pStyle w:val="Paragraphedeliste"/>
        <w:numPr>
          <w:ilvl w:val="0"/>
          <w:numId w:val="55"/>
        </w:numPr>
        <w:spacing w:after="0" w:line="22" w:lineRule="atLeast"/>
        <w:jc w:val="both"/>
        <w:rPr>
          <w:rFonts w:eastAsia="Times New Roman" w:cs="Open Sans"/>
          <w:sz w:val="20"/>
          <w:szCs w:val="20"/>
        </w:rPr>
      </w:pPr>
      <w:r w:rsidRPr="00A74D23">
        <w:rPr>
          <w:rFonts w:eastAsia="Times New Roman" w:cs="Open Sans"/>
          <w:b/>
          <w:bCs/>
          <w:sz w:val="20"/>
          <w:szCs w:val="20"/>
        </w:rPr>
        <w:t>Not Aligned</w:t>
      </w:r>
      <w:r w:rsidRPr="00A74D23">
        <w:rPr>
          <w:rFonts w:eastAsia="Times New Roman" w:cs="Open Sans"/>
          <w:sz w:val="20"/>
          <w:szCs w:val="20"/>
        </w:rPr>
        <w:t xml:space="preserve"> : émetteurs ne disposant pas d’objectifs, de stratégie ou de trajectoire compatibles avec une transition vers la neutralité carbone.</w:t>
      </w:r>
    </w:p>
    <w:p w14:paraId="71FFDAAD" w14:textId="77777777" w:rsidR="002133CA" w:rsidRPr="00A74D23" w:rsidRDefault="002133CA" w:rsidP="009D6EE5">
      <w:pPr>
        <w:pStyle w:val="Paragraphedeliste"/>
        <w:spacing w:after="0" w:line="22" w:lineRule="atLeast"/>
        <w:jc w:val="both"/>
        <w:rPr>
          <w:rFonts w:eastAsia="Times New Roman" w:cs="Open Sans"/>
          <w:sz w:val="20"/>
          <w:szCs w:val="20"/>
        </w:rPr>
      </w:pPr>
    </w:p>
    <w:p w14:paraId="096674BC" w14:textId="15116306" w:rsidR="008A7FA6" w:rsidRPr="00A74D23" w:rsidRDefault="00CA4D18" w:rsidP="009D6EE5">
      <w:pPr>
        <w:pStyle w:val="pf0"/>
        <w:spacing w:before="120" w:beforeAutospacing="0" w:line="22" w:lineRule="atLeast"/>
        <w:jc w:val="both"/>
        <w:rPr>
          <w:rFonts w:asciiTheme="minorHAnsi" w:hAnsiTheme="minorHAnsi" w:cs="Open Sans"/>
          <w:sz w:val="20"/>
          <w:szCs w:val="20"/>
        </w:rPr>
      </w:pPr>
      <w:r w:rsidRPr="00A74D23">
        <w:rPr>
          <w:rFonts w:asciiTheme="minorHAnsi" w:hAnsiTheme="minorHAnsi" w:cs="Open Sans"/>
          <w:sz w:val="20"/>
          <w:szCs w:val="20"/>
        </w:rPr>
        <w:t>Elle facilite la priorisation des actions d’engagement, l’orientation des décisions d’investissement et le suivi de l’évolution des portefeuilles dans le temps. Ce cadre contribue ainsi à renforcer le pilotage du risque de transition et la cohérence de la stratégie climat, en lien avec les exigences du protocole de la NZAOA</w:t>
      </w:r>
      <w:r w:rsidR="00495963" w:rsidRPr="00A74D23">
        <w:rPr>
          <w:rFonts w:asciiTheme="minorHAnsi" w:hAnsiTheme="minorHAnsi" w:cs="Open Sans"/>
          <w:sz w:val="20"/>
          <w:szCs w:val="20"/>
        </w:rPr>
        <w:t>.</w:t>
      </w:r>
    </w:p>
    <w:p w14:paraId="157C8160" w14:textId="77777777" w:rsidR="00633C6E" w:rsidRPr="00A74D23" w:rsidRDefault="00633C6E" w:rsidP="009D6EE5">
      <w:pPr>
        <w:pStyle w:val="pf0"/>
        <w:spacing w:before="120" w:beforeAutospacing="0" w:line="22" w:lineRule="atLeast"/>
        <w:jc w:val="both"/>
        <w:rPr>
          <w:rFonts w:asciiTheme="minorHAnsi" w:hAnsiTheme="minorHAnsi" w:cs="Open Sans"/>
          <w:sz w:val="20"/>
          <w:szCs w:val="20"/>
        </w:rPr>
      </w:pPr>
      <w:r w:rsidRPr="00A74D23">
        <w:rPr>
          <w:rFonts w:asciiTheme="minorHAnsi" w:hAnsiTheme="minorHAnsi" w:cs="Open Sans"/>
          <w:b/>
          <w:bCs/>
          <w:sz w:val="20"/>
          <w:szCs w:val="20"/>
        </w:rPr>
        <w:t>Il s’agit de la première année d’analyse de l’exposition du portefeuille d’investissements d’entreprise aux catégories du Net Zero Investment Framework. Les résultats montrent que 37</w:t>
      </w:r>
      <w:r w:rsidRPr="00A74D23">
        <w:rPr>
          <w:rFonts w:asciiTheme="minorHAnsi" w:hAnsiTheme="minorHAnsi" w:cs="Arial"/>
          <w:b/>
          <w:bCs/>
          <w:sz w:val="20"/>
          <w:szCs w:val="20"/>
        </w:rPr>
        <w:t> </w:t>
      </w:r>
      <w:r w:rsidRPr="00A74D23">
        <w:rPr>
          <w:rFonts w:asciiTheme="minorHAnsi" w:hAnsiTheme="minorHAnsi" w:cs="Open Sans"/>
          <w:b/>
          <w:bCs/>
          <w:sz w:val="20"/>
          <w:szCs w:val="20"/>
        </w:rPr>
        <w:t>% des encours sont classés «</w:t>
      </w:r>
      <w:r w:rsidRPr="00A74D23">
        <w:rPr>
          <w:rFonts w:asciiTheme="minorHAnsi" w:hAnsiTheme="minorHAnsi" w:cs="Arial"/>
          <w:b/>
          <w:bCs/>
          <w:sz w:val="20"/>
          <w:szCs w:val="20"/>
        </w:rPr>
        <w:t> </w:t>
      </w:r>
      <w:r w:rsidRPr="00A74D23">
        <w:rPr>
          <w:rFonts w:asciiTheme="minorHAnsi" w:hAnsiTheme="minorHAnsi" w:cs="Open Sans"/>
          <w:b/>
          <w:bCs/>
          <w:sz w:val="20"/>
          <w:szCs w:val="20"/>
        </w:rPr>
        <w:t>Not Aligned</w:t>
      </w:r>
      <w:r w:rsidRPr="00A74D23">
        <w:rPr>
          <w:rFonts w:asciiTheme="minorHAnsi" w:hAnsiTheme="minorHAnsi" w:cs="Arial"/>
          <w:b/>
          <w:bCs/>
          <w:sz w:val="20"/>
          <w:szCs w:val="20"/>
        </w:rPr>
        <w:t> </w:t>
      </w:r>
      <w:r w:rsidRPr="00A74D23">
        <w:rPr>
          <w:rFonts w:asciiTheme="minorHAnsi" w:hAnsiTheme="minorHAnsi" w:cs="Open Sans"/>
          <w:b/>
          <w:bCs/>
          <w:sz w:val="20"/>
          <w:szCs w:val="20"/>
        </w:rPr>
        <w:t>», identifiant ainsi un périmètre prioritaire d’engagement en matière de transition climatique</w:t>
      </w:r>
      <w:r w:rsidRPr="00A74D23">
        <w:rPr>
          <w:rFonts w:asciiTheme="minorHAnsi" w:hAnsiTheme="minorHAnsi" w:cs="Open Sans"/>
          <w:sz w:val="20"/>
          <w:szCs w:val="20"/>
        </w:rPr>
        <w:t>. Cette analyse constitue une base de référence et sera reconduite les années suivantes afin de suivre l’évolution du niveau d’alignement du portefeuille et d’apprécier les progrès réalisés dans le temps.</w:t>
      </w:r>
    </w:p>
    <w:p w14:paraId="590BC983" w14:textId="008511A1" w:rsidR="00503680" w:rsidRPr="00A74D23" w:rsidRDefault="007B4F2D" w:rsidP="009D6EE5">
      <w:pPr>
        <w:pStyle w:val="pf0"/>
        <w:spacing w:before="120" w:beforeAutospacing="0" w:line="22" w:lineRule="atLeast"/>
        <w:jc w:val="both"/>
        <w:rPr>
          <w:rFonts w:asciiTheme="minorHAnsi" w:hAnsiTheme="minorHAnsi" w:cs="Open Sans"/>
          <w:i/>
          <w:iCs/>
          <w:sz w:val="20"/>
          <w:szCs w:val="20"/>
        </w:rPr>
      </w:pPr>
      <w:r>
        <w:rPr>
          <w:noProof/>
        </w:rPr>
        <w:drawing>
          <wp:inline distT="0" distB="0" distL="0" distR="0" wp14:anchorId="0C01FD99" wp14:editId="0F62EB30">
            <wp:extent cx="5895975" cy="2681968"/>
            <wp:effectExtent l="0" t="0" r="9525" b="4445"/>
            <wp:docPr id="1675561069" name="Graphique 1">
              <a:extLst xmlns:a="http://schemas.openxmlformats.org/drawingml/2006/main">
                <a:ext uri="{FF2B5EF4-FFF2-40B4-BE49-F238E27FC236}">
                  <a16:creationId xmlns:a16="http://schemas.microsoft.com/office/drawing/2014/main" id="{5BAFAF99-BCE0-4563-8BA8-7D6B1EFE85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415CA386" w14:textId="22DF403E" w:rsidR="00CB46EC" w:rsidRPr="00A74D23" w:rsidRDefault="00CB46EC" w:rsidP="009D6EE5">
      <w:pPr>
        <w:pStyle w:val="pf0"/>
        <w:spacing w:before="0" w:beforeAutospacing="0" w:after="0" w:afterAutospacing="0" w:line="22" w:lineRule="atLeast"/>
        <w:jc w:val="both"/>
        <w:rPr>
          <w:rFonts w:asciiTheme="minorHAnsi" w:hAnsiTheme="minorHAnsi" w:cs="Open Sans"/>
          <w:i/>
          <w:iCs/>
          <w:sz w:val="18"/>
          <w:szCs w:val="18"/>
        </w:rPr>
      </w:pPr>
      <w:r w:rsidRPr="00A74D23">
        <w:rPr>
          <w:rFonts w:asciiTheme="minorHAnsi" w:hAnsiTheme="minorHAnsi" w:cs="Open Sans"/>
          <w:i/>
          <w:iCs/>
          <w:sz w:val="18"/>
          <w:szCs w:val="18"/>
        </w:rPr>
        <w:t xml:space="preserve">Périmètre : </w:t>
      </w:r>
      <w:r w:rsidR="007B4F2D">
        <w:rPr>
          <w:rFonts w:asciiTheme="minorHAnsi" w:hAnsiTheme="minorHAnsi" w:cs="Open Sans"/>
          <w:i/>
          <w:iCs/>
          <w:sz w:val="18"/>
          <w:szCs w:val="18"/>
        </w:rPr>
        <w:t xml:space="preserve">Abeille Retraite Professionnelle - </w:t>
      </w:r>
      <w:r w:rsidR="00503680" w:rsidRPr="00A74D23">
        <w:rPr>
          <w:rFonts w:asciiTheme="minorHAnsi" w:hAnsiTheme="minorHAnsi" w:cs="Open Sans"/>
          <w:i/>
          <w:iCs/>
          <w:sz w:val="18"/>
          <w:szCs w:val="18"/>
        </w:rPr>
        <w:t>Fonds général – Actifs corporates, 31/12/2025</w:t>
      </w:r>
    </w:p>
    <w:p w14:paraId="48C1467D" w14:textId="77777777" w:rsidR="00CB46EC" w:rsidRPr="00A74D23" w:rsidRDefault="00CB46EC" w:rsidP="009D6EE5">
      <w:pPr>
        <w:pStyle w:val="pf0"/>
        <w:spacing w:before="0" w:beforeAutospacing="0" w:after="0" w:afterAutospacing="0" w:line="22" w:lineRule="atLeast"/>
        <w:jc w:val="both"/>
        <w:rPr>
          <w:rFonts w:asciiTheme="minorHAnsi" w:hAnsiTheme="minorHAnsi" w:cs="Open Sans"/>
          <w:i/>
          <w:iCs/>
          <w:sz w:val="18"/>
          <w:szCs w:val="18"/>
        </w:rPr>
      </w:pPr>
      <w:r w:rsidRPr="00A74D23">
        <w:rPr>
          <w:rFonts w:asciiTheme="minorHAnsi" w:hAnsiTheme="minorHAnsi" w:cs="Open Sans"/>
          <w:i/>
          <w:iCs/>
          <w:sz w:val="18"/>
          <w:szCs w:val="18"/>
        </w:rPr>
        <w:t>Source : MSCI</w:t>
      </w:r>
    </w:p>
    <w:p w14:paraId="4D0D8EEE" w14:textId="1341B6CB" w:rsidR="00C13A74" w:rsidRPr="00A74D23" w:rsidRDefault="00CB46EC" w:rsidP="002B11FC">
      <w:pPr>
        <w:pStyle w:val="pf0"/>
        <w:spacing w:before="0" w:beforeAutospacing="0" w:after="0" w:afterAutospacing="0" w:line="22" w:lineRule="atLeast"/>
        <w:jc w:val="both"/>
        <w:rPr>
          <w:rFonts w:asciiTheme="minorHAnsi" w:hAnsiTheme="minorHAnsi" w:cs="Open Sans"/>
          <w:i/>
          <w:iCs/>
          <w:sz w:val="18"/>
          <w:szCs w:val="18"/>
        </w:rPr>
      </w:pPr>
      <w:r w:rsidRPr="00A74D23">
        <w:rPr>
          <w:rFonts w:asciiTheme="minorHAnsi" w:hAnsiTheme="minorHAnsi" w:cs="Open Sans"/>
          <w:i/>
          <w:iCs/>
          <w:sz w:val="18"/>
          <w:szCs w:val="18"/>
        </w:rPr>
        <w:t>Taux de couverture 2025</w:t>
      </w:r>
      <w:r w:rsidR="00561860" w:rsidRPr="00A74D23">
        <w:rPr>
          <w:rFonts w:asciiTheme="minorHAnsi" w:hAnsiTheme="minorHAnsi" w:cs="Open Sans"/>
          <w:i/>
          <w:iCs/>
          <w:sz w:val="18"/>
          <w:szCs w:val="18"/>
        </w:rPr>
        <w:t xml:space="preserve"> : </w:t>
      </w:r>
      <w:r w:rsidRPr="00A74D23">
        <w:rPr>
          <w:rFonts w:asciiTheme="minorHAnsi" w:hAnsiTheme="minorHAnsi" w:cs="Open Sans"/>
          <w:i/>
          <w:iCs/>
          <w:sz w:val="18"/>
          <w:szCs w:val="18"/>
        </w:rPr>
        <w:t xml:space="preserve">98% </w:t>
      </w:r>
    </w:p>
    <w:p w14:paraId="08E5F8CE" w14:textId="77777777" w:rsidR="001A2618" w:rsidRPr="00A74D23" w:rsidRDefault="001A2618" w:rsidP="009D6EE5">
      <w:pPr>
        <w:pStyle w:val="pf0"/>
        <w:spacing w:before="120" w:beforeAutospacing="0" w:line="22" w:lineRule="atLeast"/>
        <w:jc w:val="both"/>
        <w:rPr>
          <w:rFonts w:asciiTheme="minorHAnsi" w:hAnsiTheme="minorHAnsi" w:cs="Open Sans"/>
          <w:b/>
          <w:bCs/>
        </w:rPr>
      </w:pPr>
    </w:p>
    <w:p w14:paraId="69B5D49E" w14:textId="77777777" w:rsidR="001A2618" w:rsidRPr="00A74D23" w:rsidRDefault="000C2A36" w:rsidP="009D6EE5">
      <w:pPr>
        <w:pStyle w:val="pf0"/>
        <w:spacing w:before="120" w:beforeAutospacing="0" w:line="22" w:lineRule="atLeast"/>
        <w:jc w:val="both"/>
        <w:rPr>
          <w:rFonts w:asciiTheme="minorHAnsi" w:hAnsiTheme="minorHAnsi" w:cs="Open Sans"/>
          <w:b/>
          <w:bCs/>
        </w:rPr>
      </w:pPr>
      <w:r w:rsidRPr="00A74D23">
        <w:rPr>
          <w:rFonts w:asciiTheme="minorHAnsi" w:hAnsiTheme="minorHAnsi" w:cs="Open Sans"/>
          <w:b/>
          <w:bCs/>
        </w:rPr>
        <w:t>La projection des émissions</w:t>
      </w:r>
    </w:p>
    <w:p w14:paraId="6294A1D3" w14:textId="3D57BB36" w:rsidR="00D918D9" w:rsidRPr="00A74D23" w:rsidRDefault="007E1E2F" w:rsidP="009D6EE5">
      <w:pPr>
        <w:pStyle w:val="pf0"/>
        <w:spacing w:before="120" w:beforeAutospacing="0" w:line="22" w:lineRule="atLeast"/>
        <w:jc w:val="both"/>
        <w:rPr>
          <w:rFonts w:asciiTheme="minorHAnsi" w:hAnsiTheme="minorHAnsi" w:cs="Open Sans"/>
          <w:b/>
          <w:bCs/>
        </w:rPr>
      </w:pPr>
      <w:r w:rsidRPr="00A74D23">
        <w:rPr>
          <w:rFonts w:asciiTheme="minorHAnsi" w:hAnsiTheme="minorHAnsi" w:cs="Open Sans"/>
          <w:sz w:val="20"/>
          <w:szCs w:val="20"/>
        </w:rPr>
        <w:t xml:space="preserve">Afin de piloter sa stratégie de réduction des émissions de gaz à effet de serre, Abeille Assurances a construit, avec </w:t>
      </w:r>
      <w:r w:rsidR="00495330" w:rsidRPr="00A74D23">
        <w:rPr>
          <w:rFonts w:asciiTheme="minorHAnsi" w:hAnsiTheme="minorHAnsi" w:cs="Open Sans"/>
          <w:sz w:val="20"/>
          <w:szCs w:val="20"/>
        </w:rPr>
        <w:t>OFI</w:t>
      </w:r>
      <w:r w:rsidRPr="00A74D23">
        <w:rPr>
          <w:rFonts w:asciiTheme="minorHAnsi" w:hAnsiTheme="minorHAnsi" w:cs="Open Sans"/>
          <w:sz w:val="20"/>
          <w:szCs w:val="20"/>
        </w:rPr>
        <w:t xml:space="preserve"> Invest AM, plusieurs trajectoires prospectives de décarbonation du portefeuille, reposant sur des hypothèses distinctes.</w:t>
      </w:r>
    </w:p>
    <w:p w14:paraId="381DBB7C" w14:textId="441821CA" w:rsidR="00D918D9" w:rsidRPr="00A74D23" w:rsidRDefault="00D918D9" w:rsidP="00590DD1">
      <w:pPr>
        <w:pStyle w:val="pf0"/>
        <w:numPr>
          <w:ilvl w:val="0"/>
          <w:numId w:val="55"/>
        </w:numPr>
        <w:spacing w:before="0" w:beforeAutospacing="0" w:after="0" w:afterAutospacing="0" w:line="22" w:lineRule="atLeast"/>
        <w:ind w:left="714" w:hanging="357"/>
        <w:jc w:val="both"/>
        <w:rPr>
          <w:rFonts w:asciiTheme="minorHAnsi" w:hAnsiTheme="minorHAnsi" w:cs="Open Sans"/>
          <w:b/>
          <w:bCs/>
          <w:sz w:val="20"/>
          <w:szCs w:val="20"/>
        </w:rPr>
      </w:pPr>
      <w:r w:rsidRPr="00A74D23">
        <w:rPr>
          <w:rFonts w:asciiTheme="minorHAnsi" w:hAnsiTheme="minorHAnsi" w:cs="Open Sans"/>
          <w:b/>
          <w:bCs/>
          <w:sz w:val="20"/>
          <w:szCs w:val="20"/>
        </w:rPr>
        <w:t>Trajectoire «</w:t>
      </w:r>
      <w:r w:rsidRPr="00A74D23">
        <w:rPr>
          <w:rFonts w:asciiTheme="minorHAnsi" w:hAnsiTheme="minorHAnsi" w:cs="Arial"/>
          <w:b/>
          <w:bCs/>
          <w:sz w:val="20"/>
          <w:szCs w:val="20"/>
        </w:rPr>
        <w:t> </w:t>
      </w:r>
      <w:r w:rsidRPr="00A74D23">
        <w:rPr>
          <w:rFonts w:asciiTheme="minorHAnsi" w:hAnsiTheme="minorHAnsi" w:cs="Open Sans"/>
          <w:b/>
          <w:bCs/>
          <w:sz w:val="20"/>
          <w:szCs w:val="20"/>
        </w:rPr>
        <w:t>Portefeuille</w:t>
      </w:r>
      <w:r w:rsidRPr="00A74D23">
        <w:rPr>
          <w:rFonts w:asciiTheme="minorHAnsi" w:hAnsiTheme="minorHAnsi" w:cs="Arial"/>
          <w:b/>
          <w:bCs/>
          <w:sz w:val="20"/>
          <w:szCs w:val="20"/>
        </w:rPr>
        <w:t> </w:t>
      </w:r>
      <w:r w:rsidRPr="00A74D23">
        <w:rPr>
          <w:rFonts w:asciiTheme="minorHAnsi" w:hAnsiTheme="minorHAnsi" w:cs="Open Sans"/>
          <w:b/>
          <w:bCs/>
          <w:sz w:val="20"/>
          <w:szCs w:val="20"/>
        </w:rPr>
        <w:t xml:space="preserve">» : </w:t>
      </w:r>
      <w:r w:rsidRPr="00A74D23">
        <w:rPr>
          <w:rFonts w:asciiTheme="minorHAnsi" w:hAnsiTheme="minorHAnsi" w:cs="Open Sans"/>
          <w:sz w:val="20"/>
          <w:szCs w:val="20"/>
        </w:rPr>
        <w:t xml:space="preserve">Cette trajectoire projette l’évolution des émissions sur la base des objectifs climatiques déclarés par les émetteurs, en retenant une composition de portefeuille figée à fin </w:t>
      </w:r>
      <w:r w:rsidR="00B86F40" w:rsidRPr="00A74D23">
        <w:rPr>
          <w:rFonts w:asciiTheme="minorHAnsi" w:hAnsiTheme="minorHAnsi" w:cs="Open Sans"/>
          <w:sz w:val="20"/>
          <w:szCs w:val="20"/>
        </w:rPr>
        <w:t>2025</w:t>
      </w:r>
      <w:r w:rsidRPr="00A74D23">
        <w:rPr>
          <w:rFonts w:asciiTheme="minorHAnsi" w:hAnsiTheme="minorHAnsi" w:cs="Open Sans"/>
          <w:sz w:val="20"/>
          <w:szCs w:val="20"/>
        </w:rPr>
        <w:t xml:space="preserve"> (décarbonation intrinsèque). En l’absence d’objectif déclaré, une croissance prudente des émissions est retenue</w:t>
      </w:r>
      <w:r w:rsidR="00B86F40" w:rsidRPr="00A74D23">
        <w:rPr>
          <w:rFonts w:asciiTheme="minorHAnsi" w:hAnsiTheme="minorHAnsi" w:cs="Open Sans"/>
          <w:sz w:val="20"/>
          <w:szCs w:val="20"/>
        </w:rPr>
        <w:t xml:space="preserve"> (+1%)</w:t>
      </w:r>
    </w:p>
    <w:p w14:paraId="12E506AE" w14:textId="2CFBA351" w:rsidR="00D918D9" w:rsidRPr="00A74D23" w:rsidRDefault="00D918D9" w:rsidP="00590DD1">
      <w:pPr>
        <w:pStyle w:val="Paragraphedeliste"/>
        <w:numPr>
          <w:ilvl w:val="0"/>
          <w:numId w:val="55"/>
        </w:numPr>
        <w:spacing w:after="0" w:line="22" w:lineRule="atLeast"/>
        <w:ind w:left="714" w:hanging="357"/>
        <w:jc w:val="both"/>
        <w:rPr>
          <w:rFonts w:eastAsia="Times New Roman" w:cs="Open Sans"/>
          <w:sz w:val="20"/>
          <w:szCs w:val="20"/>
          <w:lang w:eastAsia="fr-FR"/>
        </w:rPr>
      </w:pPr>
      <w:r w:rsidRPr="00A74D23">
        <w:rPr>
          <w:rFonts w:eastAsia="Times New Roman" w:cs="Open Sans"/>
          <w:b/>
          <w:bCs/>
          <w:sz w:val="20"/>
          <w:szCs w:val="20"/>
          <w:lang w:eastAsia="fr-FR"/>
        </w:rPr>
        <w:t>Trajectoire «</w:t>
      </w:r>
      <w:r w:rsidRPr="00A74D23">
        <w:rPr>
          <w:rFonts w:eastAsia="Times New Roman" w:cs="Arial"/>
          <w:b/>
          <w:bCs/>
          <w:sz w:val="20"/>
          <w:szCs w:val="20"/>
          <w:lang w:eastAsia="fr-FR"/>
        </w:rPr>
        <w:t> </w:t>
      </w:r>
      <w:r w:rsidRPr="00A74D23">
        <w:rPr>
          <w:rFonts w:eastAsia="Times New Roman" w:cs="Open Sans"/>
          <w:b/>
          <w:bCs/>
          <w:sz w:val="20"/>
          <w:szCs w:val="20"/>
          <w:lang w:eastAsia="fr-FR"/>
        </w:rPr>
        <w:t>Portefeuille corrigé de la crédibilité</w:t>
      </w:r>
      <w:r w:rsidRPr="00A74D23">
        <w:rPr>
          <w:rFonts w:eastAsia="Times New Roman" w:cs="Arial"/>
          <w:b/>
          <w:bCs/>
          <w:sz w:val="20"/>
          <w:szCs w:val="20"/>
          <w:lang w:eastAsia="fr-FR"/>
        </w:rPr>
        <w:t> </w:t>
      </w:r>
      <w:r w:rsidRPr="00A74D23">
        <w:rPr>
          <w:rFonts w:eastAsia="Times New Roman" w:cs="Open Sans"/>
          <w:b/>
          <w:bCs/>
          <w:sz w:val="20"/>
          <w:szCs w:val="20"/>
          <w:lang w:eastAsia="fr-FR"/>
        </w:rPr>
        <w:t xml:space="preserve">» : </w:t>
      </w:r>
      <w:r w:rsidRPr="00A74D23">
        <w:rPr>
          <w:rFonts w:eastAsia="Times New Roman" w:cs="Open Sans"/>
          <w:sz w:val="20"/>
          <w:szCs w:val="20"/>
          <w:lang w:eastAsia="fr-FR"/>
        </w:rPr>
        <w:t>Cette trajectoire ajuste la précédente en intégrant une évaluation de la crédibilité des objectifs climatiques, combinant une analyse de faisabilité sectorielle et</w:t>
      </w:r>
      <w:r w:rsidR="001F4EE2" w:rsidRPr="00A74D23">
        <w:rPr>
          <w:rFonts w:eastAsia="Times New Roman" w:cs="Open Sans"/>
          <w:sz w:val="20"/>
          <w:szCs w:val="20"/>
          <w:lang w:eastAsia="fr-FR"/>
        </w:rPr>
        <w:t xml:space="preserve"> la capacité de l’émetteur à effectivement atteindre ses objectifs</w:t>
      </w:r>
      <w:r w:rsidRPr="00A74D23">
        <w:rPr>
          <w:rFonts w:eastAsia="Times New Roman" w:cs="Open Sans"/>
          <w:sz w:val="20"/>
          <w:szCs w:val="20"/>
          <w:lang w:eastAsia="fr-FR"/>
        </w:rPr>
        <w:t xml:space="preserve"> </w:t>
      </w:r>
      <w:r w:rsidR="001F4EE2" w:rsidRPr="00A74D23">
        <w:rPr>
          <w:rFonts w:eastAsia="Times New Roman" w:cs="Open Sans"/>
          <w:sz w:val="20"/>
          <w:szCs w:val="20"/>
          <w:lang w:eastAsia="fr-FR"/>
        </w:rPr>
        <w:t>(</w:t>
      </w:r>
      <w:r w:rsidR="0093486D" w:rsidRPr="00A74D23">
        <w:rPr>
          <w:rFonts w:eastAsia="Times New Roman" w:cs="Open Sans"/>
          <w:sz w:val="20"/>
          <w:szCs w:val="20"/>
          <w:lang w:eastAsia="fr-FR"/>
        </w:rPr>
        <w:t>tendance historique, gouvernance, investissements…)</w:t>
      </w:r>
    </w:p>
    <w:p w14:paraId="60A8F24F" w14:textId="0B7A42AB" w:rsidR="006603FC" w:rsidRPr="00A74D23" w:rsidRDefault="0093486D" w:rsidP="00F36AB2">
      <w:pPr>
        <w:pStyle w:val="Paragraphedeliste"/>
        <w:spacing w:after="0" w:line="22" w:lineRule="atLeast"/>
        <w:ind w:left="714"/>
        <w:jc w:val="both"/>
        <w:rPr>
          <w:rFonts w:eastAsia="Times New Roman" w:cs="Open Sans"/>
          <w:b/>
          <w:bCs/>
          <w:sz w:val="20"/>
          <w:szCs w:val="20"/>
        </w:rPr>
      </w:pPr>
      <w:r w:rsidRPr="00A74D23">
        <w:rPr>
          <w:rFonts w:eastAsia="Times New Roman" w:cs="Open Sans"/>
          <w:b/>
          <w:bCs/>
          <w:sz w:val="20"/>
          <w:szCs w:val="20"/>
        </w:rPr>
        <w:t>Trajectoire «</w:t>
      </w:r>
      <w:r w:rsidRPr="00A74D23">
        <w:rPr>
          <w:rFonts w:eastAsia="Times New Roman" w:cs="Arial"/>
          <w:b/>
          <w:bCs/>
          <w:sz w:val="20"/>
          <w:szCs w:val="20"/>
        </w:rPr>
        <w:t> </w:t>
      </w:r>
      <w:r w:rsidRPr="00A74D23">
        <w:rPr>
          <w:rFonts w:eastAsia="Times New Roman" w:cs="Open Sans"/>
          <w:b/>
          <w:bCs/>
          <w:sz w:val="20"/>
          <w:szCs w:val="20"/>
        </w:rPr>
        <w:t>Tendances actuelles</w:t>
      </w:r>
      <w:r w:rsidRPr="00A74D23">
        <w:rPr>
          <w:rFonts w:eastAsia="Times New Roman" w:cs="Arial"/>
          <w:b/>
          <w:bCs/>
          <w:sz w:val="20"/>
          <w:szCs w:val="20"/>
        </w:rPr>
        <w:t> </w:t>
      </w:r>
      <w:r w:rsidRPr="00A74D23">
        <w:rPr>
          <w:rFonts w:eastAsia="Times New Roman" w:cs="Open Sans"/>
          <w:b/>
          <w:bCs/>
          <w:sz w:val="20"/>
          <w:szCs w:val="20"/>
        </w:rPr>
        <w:t xml:space="preserve">» : </w:t>
      </w:r>
      <w:r w:rsidRPr="00A74D23">
        <w:rPr>
          <w:rFonts w:eastAsia="Times New Roman" w:cs="Open Sans"/>
          <w:sz w:val="20"/>
          <w:szCs w:val="20"/>
        </w:rPr>
        <w:t>Ce scénario reflète une évolution des émissions fondée sur les politiques actuellement en vigueur, correspondant à un scénario de statu quo («</w:t>
      </w:r>
      <w:r w:rsidRPr="00A74D23">
        <w:rPr>
          <w:rFonts w:eastAsia="Times New Roman" w:cs="Arial"/>
          <w:sz w:val="20"/>
          <w:szCs w:val="20"/>
        </w:rPr>
        <w:t> </w:t>
      </w:r>
      <w:r w:rsidRPr="00A74D23">
        <w:rPr>
          <w:rFonts w:eastAsia="Times New Roman" w:cs="Open Sans"/>
          <w:sz w:val="20"/>
          <w:szCs w:val="20"/>
        </w:rPr>
        <w:t>business-as-usual</w:t>
      </w:r>
      <w:r w:rsidRPr="00A74D23">
        <w:rPr>
          <w:rFonts w:eastAsia="Times New Roman" w:cs="Arial"/>
          <w:sz w:val="20"/>
          <w:szCs w:val="20"/>
        </w:rPr>
        <w:t> </w:t>
      </w:r>
      <w:r w:rsidRPr="00A74D23">
        <w:rPr>
          <w:rFonts w:eastAsia="Times New Roman" w:cs="Open Sans"/>
          <w:sz w:val="20"/>
          <w:szCs w:val="20"/>
        </w:rPr>
        <w:t>»).</w:t>
      </w:r>
    </w:p>
    <w:p w14:paraId="23AF9606" w14:textId="340452EC" w:rsidR="006C0B2A" w:rsidRPr="00A74D23" w:rsidRDefault="006C0B2A" w:rsidP="00590DD1">
      <w:pPr>
        <w:pStyle w:val="Paragraphedeliste"/>
        <w:numPr>
          <w:ilvl w:val="0"/>
          <w:numId w:val="55"/>
        </w:numPr>
        <w:spacing w:after="0" w:line="22" w:lineRule="atLeast"/>
        <w:ind w:left="714" w:hanging="357"/>
        <w:jc w:val="both"/>
        <w:rPr>
          <w:rFonts w:eastAsia="Times New Roman" w:cs="Open Sans"/>
          <w:b/>
          <w:bCs/>
          <w:sz w:val="20"/>
          <w:szCs w:val="20"/>
        </w:rPr>
      </w:pPr>
      <w:r w:rsidRPr="00A74D23">
        <w:rPr>
          <w:rFonts w:cs="Open Sans"/>
          <w:b/>
          <w:bCs/>
          <w:sz w:val="20"/>
          <w:szCs w:val="20"/>
        </w:rPr>
        <w:t>Trajectoire «</w:t>
      </w:r>
      <w:r w:rsidRPr="00A74D23">
        <w:rPr>
          <w:rFonts w:cs="Arial"/>
          <w:b/>
          <w:bCs/>
          <w:sz w:val="20"/>
          <w:szCs w:val="20"/>
        </w:rPr>
        <w:t> </w:t>
      </w:r>
      <w:r w:rsidRPr="00A74D23">
        <w:rPr>
          <w:rFonts w:cs="Open Sans"/>
          <w:b/>
          <w:bCs/>
          <w:sz w:val="20"/>
          <w:szCs w:val="20"/>
        </w:rPr>
        <w:t>Politiques déclarées</w:t>
      </w:r>
      <w:r w:rsidRPr="00A74D23">
        <w:rPr>
          <w:rFonts w:cs="Arial"/>
          <w:b/>
          <w:bCs/>
          <w:sz w:val="20"/>
          <w:szCs w:val="20"/>
        </w:rPr>
        <w:t> </w:t>
      </w:r>
      <w:r w:rsidRPr="00A74D23">
        <w:rPr>
          <w:rFonts w:cs="Open Sans"/>
          <w:b/>
          <w:bCs/>
          <w:sz w:val="20"/>
          <w:szCs w:val="20"/>
        </w:rPr>
        <w:t>»</w:t>
      </w:r>
      <w:r w:rsidR="006603FC" w:rsidRPr="00A74D23">
        <w:rPr>
          <w:rFonts w:cs="Open Sans"/>
          <w:b/>
          <w:bCs/>
          <w:sz w:val="20"/>
          <w:szCs w:val="20"/>
        </w:rPr>
        <w:t xml:space="preserve"> </w:t>
      </w:r>
      <w:r w:rsidRPr="00A74D23">
        <w:rPr>
          <w:rFonts w:cs="Open Sans"/>
          <w:sz w:val="20"/>
          <w:szCs w:val="20"/>
        </w:rPr>
        <w:t>: Ce scénario intègre les engagements climatiques annoncés par les États, même lorsqu’ils ne sont pas encore pleinement mis en œuvre, et correspond à une trajectoire proche de 2°C.</w:t>
      </w:r>
    </w:p>
    <w:p w14:paraId="43C20317" w14:textId="689EF0A0" w:rsidR="006C0B2A" w:rsidRPr="00A74D23" w:rsidRDefault="006C0B2A" w:rsidP="00590DD1">
      <w:pPr>
        <w:pStyle w:val="Paragraphedeliste"/>
        <w:numPr>
          <w:ilvl w:val="0"/>
          <w:numId w:val="55"/>
        </w:numPr>
        <w:spacing w:after="0" w:line="22" w:lineRule="atLeast"/>
        <w:ind w:left="714" w:hanging="357"/>
        <w:jc w:val="both"/>
        <w:rPr>
          <w:rFonts w:eastAsia="Times New Roman" w:cs="Open Sans"/>
          <w:b/>
          <w:bCs/>
          <w:sz w:val="20"/>
          <w:szCs w:val="20"/>
        </w:rPr>
      </w:pPr>
      <w:r w:rsidRPr="00A74D23">
        <w:rPr>
          <w:rFonts w:cs="Open Sans"/>
          <w:b/>
          <w:bCs/>
          <w:sz w:val="20"/>
          <w:szCs w:val="20"/>
        </w:rPr>
        <w:t>Trajectoire «</w:t>
      </w:r>
      <w:r w:rsidRPr="00A74D23">
        <w:rPr>
          <w:rFonts w:cs="Arial"/>
          <w:b/>
          <w:bCs/>
          <w:sz w:val="20"/>
          <w:szCs w:val="20"/>
        </w:rPr>
        <w:t> </w:t>
      </w:r>
      <w:r w:rsidRPr="00A74D23">
        <w:rPr>
          <w:rFonts w:cs="Open Sans"/>
          <w:b/>
          <w:bCs/>
          <w:sz w:val="20"/>
          <w:szCs w:val="20"/>
        </w:rPr>
        <w:t>Politiques ambitieuses</w:t>
      </w:r>
      <w:r w:rsidRPr="00A74D23">
        <w:rPr>
          <w:rFonts w:cs="Arial"/>
          <w:b/>
          <w:bCs/>
          <w:sz w:val="20"/>
          <w:szCs w:val="20"/>
        </w:rPr>
        <w:t> </w:t>
      </w:r>
      <w:r w:rsidRPr="00A74D23">
        <w:rPr>
          <w:rFonts w:cs="Open Sans"/>
          <w:b/>
          <w:bCs/>
          <w:sz w:val="20"/>
          <w:szCs w:val="20"/>
        </w:rPr>
        <w:t xml:space="preserve">» </w:t>
      </w:r>
      <w:r w:rsidRPr="00A74D23">
        <w:rPr>
          <w:rFonts w:cs="Open Sans"/>
          <w:sz w:val="20"/>
          <w:szCs w:val="20"/>
        </w:rPr>
        <w:t>: Ce scénario repose sur une mise en œuvre complète et effective des engagements nationaux et est compatible avec une trajectoire 1,5°C.</w:t>
      </w:r>
    </w:p>
    <w:p w14:paraId="35B5C8CC" w14:textId="77777777" w:rsidR="002F0A3F" w:rsidRPr="00A74D23" w:rsidRDefault="002F0A3F" w:rsidP="009D6EE5">
      <w:pPr>
        <w:pStyle w:val="Style3"/>
        <w:spacing w:after="0" w:line="22" w:lineRule="atLeast"/>
        <w:ind w:left="0" w:firstLine="0"/>
        <w:contextualSpacing w:val="0"/>
        <w:jc w:val="both"/>
        <w:rPr>
          <w:rFonts w:asciiTheme="minorHAnsi" w:hAnsiTheme="minorHAnsi" w:cs="Open Sans"/>
          <w:b w:val="0"/>
          <w:bCs/>
          <w:sz w:val="20"/>
          <w:szCs w:val="20"/>
        </w:rPr>
      </w:pPr>
    </w:p>
    <w:p w14:paraId="1D31ECE2" w14:textId="5E52F6EE" w:rsidR="0017675C" w:rsidRPr="00A74D23" w:rsidRDefault="0017675C" w:rsidP="009D6EE5">
      <w:pPr>
        <w:pStyle w:val="Style3"/>
        <w:spacing w:after="0" w:line="22" w:lineRule="atLeast"/>
        <w:ind w:left="0" w:firstLine="0"/>
        <w:contextualSpacing w:val="0"/>
        <w:jc w:val="both"/>
        <w:rPr>
          <w:rFonts w:asciiTheme="minorHAnsi" w:hAnsiTheme="minorHAnsi" w:cs="Open Sans"/>
          <w:b w:val="0"/>
          <w:bCs/>
          <w:sz w:val="20"/>
          <w:szCs w:val="20"/>
        </w:rPr>
      </w:pPr>
      <w:r w:rsidRPr="00A74D23">
        <w:rPr>
          <w:rFonts w:asciiTheme="minorHAnsi" w:hAnsiTheme="minorHAnsi" w:cs="Open Sans"/>
          <w:b w:val="0"/>
          <w:bCs/>
          <w:sz w:val="20"/>
          <w:szCs w:val="20"/>
        </w:rPr>
        <w:t>Les graphiques ci-dessous présentent des résultats pour une prise en compte des émissions Scope 1, 2 et 3.</w:t>
      </w:r>
    </w:p>
    <w:p w14:paraId="1F59493C" w14:textId="77777777" w:rsidR="0017675C" w:rsidRPr="00A74D23" w:rsidRDefault="0017675C" w:rsidP="009D6EE5">
      <w:pPr>
        <w:pStyle w:val="Style3"/>
        <w:spacing w:after="0" w:line="22" w:lineRule="atLeast"/>
        <w:ind w:left="0" w:firstLine="0"/>
        <w:contextualSpacing w:val="0"/>
        <w:jc w:val="both"/>
        <w:rPr>
          <w:rFonts w:asciiTheme="minorHAnsi" w:hAnsiTheme="minorHAnsi" w:cs="Open Sans"/>
          <w:b w:val="0"/>
          <w:bCs/>
          <w:sz w:val="20"/>
          <w:szCs w:val="20"/>
        </w:rPr>
      </w:pPr>
    </w:p>
    <w:p w14:paraId="3F5B3FF0" w14:textId="2C1A40FF" w:rsidR="0017675C" w:rsidRDefault="0017675C" w:rsidP="009D6EE5">
      <w:pPr>
        <w:pStyle w:val="Style3"/>
        <w:spacing w:after="0" w:line="22" w:lineRule="atLeast"/>
        <w:ind w:left="0" w:firstLine="0"/>
        <w:jc w:val="both"/>
        <w:rPr>
          <w:rFonts w:asciiTheme="minorHAnsi" w:hAnsiTheme="minorHAnsi" w:cs="Open Sans"/>
          <w:b w:val="0"/>
          <w:bCs/>
          <w:sz w:val="20"/>
          <w:szCs w:val="20"/>
        </w:rPr>
      </w:pPr>
    </w:p>
    <w:p w14:paraId="57AD2B32" w14:textId="77777777" w:rsidR="004E7E8F" w:rsidRDefault="004E7E8F" w:rsidP="009D6EE5">
      <w:pPr>
        <w:pStyle w:val="Style3"/>
        <w:spacing w:after="0" w:line="22" w:lineRule="atLeast"/>
        <w:ind w:left="0" w:firstLine="0"/>
        <w:jc w:val="both"/>
        <w:rPr>
          <w:rFonts w:asciiTheme="minorHAnsi" w:hAnsiTheme="minorHAnsi" w:cs="Open Sans"/>
          <w:b w:val="0"/>
          <w:bCs/>
          <w:sz w:val="20"/>
          <w:szCs w:val="20"/>
        </w:rPr>
      </w:pPr>
    </w:p>
    <w:p w14:paraId="3AF775E2" w14:textId="2DFAAB06" w:rsidR="004E7E8F" w:rsidRDefault="004E7E8F" w:rsidP="009D6EE5">
      <w:pPr>
        <w:pStyle w:val="Style3"/>
        <w:spacing w:after="0" w:line="22" w:lineRule="atLeast"/>
        <w:ind w:left="0" w:firstLine="0"/>
        <w:jc w:val="both"/>
        <w:rPr>
          <w:rFonts w:asciiTheme="minorHAnsi" w:hAnsiTheme="minorHAnsi" w:cs="Open Sans"/>
          <w:b w:val="0"/>
          <w:bCs/>
          <w:sz w:val="20"/>
          <w:szCs w:val="20"/>
        </w:rPr>
      </w:pPr>
      <w:r>
        <w:rPr>
          <w:noProof/>
        </w:rPr>
        <w:drawing>
          <wp:inline distT="0" distB="0" distL="0" distR="0" wp14:anchorId="047FC0D4" wp14:editId="266B348E">
            <wp:extent cx="6300470" cy="3771900"/>
            <wp:effectExtent l="0" t="0" r="5080" b="0"/>
            <wp:docPr id="716353387" name="Graphique 1">
              <a:extLst xmlns:a="http://schemas.openxmlformats.org/drawingml/2006/main">
                <a:ext uri="{FF2B5EF4-FFF2-40B4-BE49-F238E27FC236}">
                  <a16:creationId xmlns:a16="http://schemas.microsoft.com/office/drawing/2014/main" id="{C71487EA-21B9-4E75-A7F9-257BC0B7FF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4D01DF1B" w14:textId="66F808F5" w:rsidR="0066676D" w:rsidRPr="00A74D23" w:rsidRDefault="0066676D" w:rsidP="009D6EE5">
      <w:pPr>
        <w:pStyle w:val="pf0"/>
        <w:spacing w:before="0" w:beforeAutospacing="0" w:after="0" w:afterAutospacing="0" w:line="22" w:lineRule="atLeast"/>
        <w:jc w:val="both"/>
        <w:rPr>
          <w:rFonts w:asciiTheme="minorHAnsi" w:hAnsiTheme="minorHAnsi" w:cs="Open Sans"/>
          <w:i/>
          <w:iCs/>
          <w:sz w:val="18"/>
          <w:szCs w:val="18"/>
        </w:rPr>
      </w:pPr>
      <w:r w:rsidRPr="00A74D23">
        <w:rPr>
          <w:rFonts w:asciiTheme="minorHAnsi" w:hAnsiTheme="minorHAnsi" w:cs="Open Sans"/>
          <w:i/>
          <w:iCs/>
          <w:sz w:val="18"/>
          <w:szCs w:val="18"/>
        </w:rPr>
        <w:t xml:space="preserve">Périmètre : </w:t>
      </w:r>
      <w:r w:rsidR="004E7E8F">
        <w:rPr>
          <w:rFonts w:asciiTheme="minorHAnsi" w:hAnsiTheme="minorHAnsi" w:cs="Open Sans"/>
          <w:i/>
          <w:iCs/>
          <w:sz w:val="18"/>
          <w:szCs w:val="18"/>
        </w:rPr>
        <w:t xml:space="preserve">Abeille Retraite Professionnelle - </w:t>
      </w:r>
      <w:r w:rsidRPr="00A74D23">
        <w:rPr>
          <w:rFonts w:asciiTheme="minorHAnsi" w:hAnsiTheme="minorHAnsi" w:cs="Open Sans"/>
          <w:i/>
          <w:iCs/>
          <w:sz w:val="18"/>
          <w:szCs w:val="18"/>
        </w:rPr>
        <w:t>Fonds général – Actifs corporates, 31/12/2025</w:t>
      </w:r>
    </w:p>
    <w:p w14:paraId="5BD8F5E9" w14:textId="26505697" w:rsidR="0066676D" w:rsidRPr="00A74D23" w:rsidRDefault="0066676D" w:rsidP="009D6EE5">
      <w:pPr>
        <w:pStyle w:val="pf0"/>
        <w:spacing w:before="0" w:beforeAutospacing="0" w:after="0" w:afterAutospacing="0" w:line="22" w:lineRule="atLeast"/>
        <w:jc w:val="both"/>
        <w:rPr>
          <w:rFonts w:asciiTheme="minorHAnsi" w:hAnsiTheme="minorHAnsi" w:cs="Open Sans"/>
          <w:i/>
          <w:iCs/>
          <w:sz w:val="18"/>
          <w:szCs w:val="18"/>
        </w:rPr>
      </w:pPr>
      <w:r w:rsidRPr="00A74D23">
        <w:rPr>
          <w:rFonts w:asciiTheme="minorHAnsi" w:hAnsiTheme="minorHAnsi" w:cs="Open Sans"/>
          <w:i/>
          <w:iCs/>
          <w:sz w:val="18"/>
          <w:szCs w:val="18"/>
        </w:rPr>
        <w:t xml:space="preserve">Source : </w:t>
      </w:r>
      <w:r w:rsidR="001C0722" w:rsidRPr="00A74D23">
        <w:rPr>
          <w:rFonts w:asciiTheme="minorHAnsi" w:hAnsiTheme="minorHAnsi" w:cs="Open Sans"/>
          <w:i/>
          <w:iCs/>
          <w:sz w:val="18"/>
          <w:szCs w:val="18"/>
        </w:rPr>
        <w:t>Ofi Invest AM</w:t>
      </w:r>
    </w:p>
    <w:p w14:paraId="3C469218" w14:textId="77777777" w:rsidR="00DE7F41" w:rsidRPr="00A74D23" w:rsidRDefault="00DE7F41" w:rsidP="009D6EE5">
      <w:pPr>
        <w:pStyle w:val="Style3"/>
        <w:spacing w:after="120" w:line="22" w:lineRule="atLeast"/>
        <w:ind w:left="0" w:firstLine="0"/>
        <w:contextualSpacing w:val="0"/>
        <w:jc w:val="both"/>
        <w:rPr>
          <w:rFonts w:asciiTheme="minorHAnsi" w:hAnsiTheme="minorHAnsi" w:cs="Open Sans"/>
          <w:b w:val="0"/>
          <w:bCs/>
          <w:sz w:val="20"/>
          <w:szCs w:val="20"/>
        </w:rPr>
      </w:pPr>
    </w:p>
    <w:p w14:paraId="02826521" w14:textId="18F7EB8F" w:rsidR="0017675C" w:rsidRPr="00A74D23" w:rsidRDefault="002F0A3F" w:rsidP="009D6EE5">
      <w:pPr>
        <w:pStyle w:val="Style3"/>
        <w:spacing w:after="120" w:line="22" w:lineRule="atLeast"/>
        <w:ind w:left="0" w:firstLine="0"/>
        <w:contextualSpacing w:val="0"/>
        <w:jc w:val="both"/>
        <w:rPr>
          <w:rFonts w:asciiTheme="minorHAnsi" w:hAnsiTheme="minorHAnsi" w:cs="Open Sans"/>
          <w:b w:val="0"/>
          <w:bCs/>
          <w:sz w:val="20"/>
          <w:szCs w:val="20"/>
        </w:rPr>
      </w:pPr>
      <w:r w:rsidRPr="00A74D23">
        <w:rPr>
          <w:rFonts w:asciiTheme="minorHAnsi" w:hAnsiTheme="minorHAnsi" w:cs="Open Sans"/>
          <w:b w:val="0"/>
          <w:bCs/>
          <w:sz w:val="20"/>
          <w:szCs w:val="20"/>
        </w:rPr>
        <w:t xml:space="preserve">Nous observons que </w:t>
      </w:r>
      <w:r w:rsidR="00BA18E5" w:rsidRPr="00A74D23">
        <w:rPr>
          <w:rFonts w:asciiTheme="minorHAnsi" w:hAnsiTheme="minorHAnsi" w:cs="Open Sans"/>
          <w:b w:val="0"/>
          <w:bCs/>
          <w:sz w:val="20"/>
          <w:szCs w:val="20"/>
        </w:rPr>
        <w:t>le po</w:t>
      </w:r>
      <w:r w:rsidR="00C04A48" w:rsidRPr="00A74D23">
        <w:rPr>
          <w:rFonts w:asciiTheme="minorHAnsi" w:hAnsiTheme="minorHAnsi" w:cs="Open Sans"/>
          <w:b w:val="0"/>
          <w:bCs/>
          <w:sz w:val="20"/>
          <w:szCs w:val="20"/>
        </w:rPr>
        <w:t xml:space="preserve">rtefeuille décarbone jusqu’en 2050 mais </w:t>
      </w:r>
      <w:r w:rsidR="000D25AC" w:rsidRPr="00A74D23">
        <w:rPr>
          <w:rFonts w:asciiTheme="minorHAnsi" w:hAnsiTheme="minorHAnsi" w:cs="Open Sans"/>
          <w:b w:val="0"/>
          <w:bCs/>
          <w:sz w:val="20"/>
          <w:szCs w:val="20"/>
        </w:rPr>
        <w:t xml:space="preserve">en deçà des trajectoires Politiques déclarées et </w:t>
      </w:r>
      <w:r w:rsidR="002C41DC" w:rsidRPr="00A74D23">
        <w:rPr>
          <w:rFonts w:asciiTheme="minorHAnsi" w:hAnsiTheme="minorHAnsi" w:cs="Open Sans"/>
          <w:b w:val="0"/>
          <w:bCs/>
          <w:sz w:val="20"/>
          <w:szCs w:val="20"/>
        </w:rPr>
        <w:t>1.5°C.</w:t>
      </w:r>
      <w:r w:rsidR="000D25AC" w:rsidRPr="00A74D23">
        <w:rPr>
          <w:rFonts w:asciiTheme="minorHAnsi" w:hAnsiTheme="minorHAnsi" w:cs="Open Sans"/>
          <w:b w:val="0"/>
          <w:bCs/>
          <w:sz w:val="20"/>
          <w:szCs w:val="20"/>
        </w:rPr>
        <w:t xml:space="preserve"> </w:t>
      </w:r>
      <w:r w:rsidR="003A7ED1" w:rsidRPr="00A74D23">
        <w:rPr>
          <w:rFonts w:asciiTheme="minorHAnsi" w:hAnsiTheme="minorHAnsi" w:cs="Open Sans"/>
          <w:b w:val="0"/>
          <w:bCs/>
          <w:sz w:val="20"/>
          <w:szCs w:val="20"/>
        </w:rPr>
        <w:t>Un signal qu’il faut</w:t>
      </w:r>
      <w:r w:rsidR="000D25AC" w:rsidRPr="00A74D23">
        <w:rPr>
          <w:rFonts w:asciiTheme="minorHAnsi" w:hAnsiTheme="minorHAnsi" w:cs="Open Sans"/>
          <w:b w:val="0"/>
          <w:bCs/>
          <w:sz w:val="20"/>
          <w:szCs w:val="20"/>
        </w:rPr>
        <w:t xml:space="preserve"> </w:t>
      </w:r>
      <w:r w:rsidR="005828D5" w:rsidRPr="00A74D23">
        <w:rPr>
          <w:rFonts w:asciiTheme="minorHAnsi" w:hAnsiTheme="minorHAnsi" w:cs="Open Sans"/>
          <w:b w:val="0"/>
          <w:bCs/>
          <w:sz w:val="20"/>
          <w:szCs w:val="20"/>
        </w:rPr>
        <w:t xml:space="preserve">continuer à engager les entreprises pour qu’elles </w:t>
      </w:r>
      <w:r w:rsidR="00F143F9" w:rsidRPr="00A74D23">
        <w:rPr>
          <w:rFonts w:asciiTheme="minorHAnsi" w:hAnsiTheme="minorHAnsi" w:cs="Open Sans"/>
          <w:b w:val="0"/>
          <w:bCs/>
          <w:sz w:val="20"/>
          <w:szCs w:val="20"/>
        </w:rPr>
        <w:t xml:space="preserve">réduisent </w:t>
      </w:r>
      <w:r w:rsidR="005828D5" w:rsidRPr="00A74D23">
        <w:rPr>
          <w:rFonts w:asciiTheme="minorHAnsi" w:hAnsiTheme="minorHAnsi" w:cs="Open Sans"/>
          <w:b w:val="0"/>
          <w:bCs/>
          <w:sz w:val="20"/>
          <w:szCs w:val="20"/>
        </w:rPr>
        <w:t>leurs émissions</w:t>
      </w:r>
      <w:r w:rsidR="00F143F9" w:rsidRPr="00A74D23">
        <w:rPr>
          <w:rFonts w:asciiTheme="minorHAnsi" w:hAnsiTheme="minorHAnsi" w:cs="Open Sans"/>
          <w:b w:val="0"/>
          <w:bCs/>
          <w:sz w:val="20"/>
          <w:szCs w:val="20"/>
        </w:rPr>
        <w:t xml:space="preserve"> grâce à </w:t>
      </w:r>
      <w:r w:rsidR="005828D5" w:rsidRPr="00A74D23">
        <w:rPr>
          <w:rFonts w:asciiTheme="minorHAnsi" w:hAnsiTheme="minorHAnsi" w:cs="Open Sans"/>
          <w:b w:val="0"/>
          <w:bCs/>
          <w:sz w:val="20"/>
          <w:szCs w:val="20"/>
        </w:rPr>
        <w:t>des plans de transition concrets.</w:t>
      </w:r>
    </w:p>
    <w:p w14:paraId="28FF82E2" w14:textId="77777777" w:rsidR="006F021F" w:rsidRPr="00A74D23" w:rsidRDefault="006F021F" w:rsidP="009D6EE5">
      <w:pPr>
        <w:pStyle w:val="pf0"/>
        <w:spacing w:before="120" w:beforeAutospacing="0" w:line="22" w:lineRule="atLeast"/>
        <w:jc w:val="both"/>
        <w:rPr>
          <w:rFonts w:asciiTheme="minorHAnsi" w:hAnsiTheme="minorHAnsi" w:cs="Open Sans"/>
          <w:b/>
          <w:bCs/>
        </w:rPr>
      </w:pPr>
    </w:p>
    <w:p w14:paraId="424AC15D" w14:textId="2D8B0722" w:rsidR="006F021F" w:rsidRPr="00A74D23" w:rsidRDefault="00F91D21" w:rsidP="009D6EE5">
      <w:pPr>
        <w:pStyle w:val="pf0"/>
        <w:spacing w:before="120" w:beforeAutospacing="0" w:line="22" w:lineRule="atLeast"/>
        <w:jc w:val="both"/>
        <w:rPr>
          <w:rFonts w:asciiTheme="minorHAnsi" w:hAnsiTheme="minorHAnsi" w:cs="Open Sans"/>
          <w:b/>
          <w:bCs/>
        </w:rPr>
      </w:pPr>
      <w:r w:rsidRPr="00A74D23">
        <w:rPr>
          <w:rFonts w:asciiTheme="minorHAnsi" w:hAnsiTheme="minorHAnsi" w:cs="Open Sans"/>
          <w:b/>
          <w:bCs/>
        </w:rPr>
        <w:t>L’analyse de la température – potentiel de réchauffement du portefeuille</w:t>
      </w:r>
    </w:p>
    <w:p w14:paraId="4FC6CD64" w14:textId="77777777" w:rsidR="00ED7BBD" w:rsidRPr="00A74D23" w:rsidRDefault="00ED7BBD" w:rsidP="009D6EE5">
      <w:pPr>
        <w:pStyle w:val="Style1"/>
        <w:numPr>
          <w:ilvl w:val="0"/>
          <w:numId w:val="0"/>
        </w:numPr>
        <w:tabs>
          <w:tab w:val="left" w:pos="426"/>
        </w:tabs>
        <w:spacing w:after="120" w:line="22" w:lineRule="atLeast"/>
        <w:contextualSpacing w:val="0"/>
        <w:jc w:val="both"/>
        <w:rPr>
          <w:rFonts w:cs="Open Sans"/>
          <w:i w:val="0"/>
          <w:color w:val="auto"/>
          <w:sz w:val="20"/>
          <w:szCs w:val="20"/>
        </w:rPr>
      </w:pPr>
      <w:r w:rsidRPr="00A74D23">
        <w:rPr>
          <w:rFonts w:cs="Open Sans"/>
          <w:i w:val="0"/>
          <w:color w:val="auto"/>
          <w:sz w:val="20"/>
          <w:szCs w:val="20"/>
        </w:rPr>
        <w:t xml:space="preserve">Nous utilisons l’indicateur ITR (pour </w:t>
      </w:r>
      <w:r w:rsidRPr="00A74D23">
        <w:rPr>
          <w:rFonts w:cs="Open Sans"/>
          <w:iCs w:val="0"/>
          <w:color w:val="auto"/>
          <w:sz w:val="20"/>
          <w:szCs w:val="20"/>
        </w:rPr>
        <w:t>Implied Temperature Rise</w:t>
      </w:r>
      <w:r w:rsidRPr="00A74D23">
        <w:rPr>
          <w:rFonts w:cs="Open Sans"/>
          <w:i w:val="0"/>
          <w:color w:val="auto"/>
          <w:sz w:val="20"/>
          <w:szCs w:val="20"/>
        </w:rPr>
        <w:t xml:space="preserve">) développé pour MSCI afin de mesurer la température du portefeuille d’investissement de manière prospective. </w:t>
      </w:r>
    </w:p>
    <w:p w14:paraId="18C251A4" w14:textId="77777777" w:rsidR="00ED7BBD" w:rsidRPr="00A74D23" w:rsidRDefault="00ED7BBD" w:rsidP="009D6EE5">
      <w:pPr>
        <w:pStyle w:val="Style1"/>
        <w:numPr>
          <w:ilvl w:val="0"/>
          <w:numId w:val="0"/>
        </w:numPr>
        <w:tabs>
          <w:tab w:val="left" w:pos="426"/>
        </w:tabs>
        <w:spacing w:after="0" w:line="22" w:lineRule="atLeast"/>
        <w:jc w:val="both"/>
        <w:rPr>
          <w:rFonts w:cs="Open Sans"/>
          <w:i w:val="0"/>
          <w:color w:val="auto"/>
          <w:sz w:val="20"/>
          <w:szCs w:val="20"/>
        </w:rPr>
      </w:pPr>
      <w:r w:rsidRPr="00A74D23">
        <w:rPr>
          <w:rFonts w:cs="Open Sans"/>
          <w:i w:val="0"/>
          <w:color w:val="auto"/>
          <w:sz w:val="20"/>
          <w:szCs w:val="20"/>
        </w:rPr>
        <w:t>L’ITR par MSCI est une métrique implicite qui traduit la façon dont les entreprises/les portefeuilles s’alignent vis-à-vis d’un scénario de limitation du réchauffement climatique à 2°C à horizon 2100. Elle se base sur une approche cumulative au travers des 3 scopes d’émissions GES, qui considère une neutralité carbone atteinte en 2070.  L’ITR capture sur toute cette période à la fois le budget carbone en ligne avec le scénario de limitation à 2°C et les émissions de CO2 en projection des émetteurs (avec la prise en compte de leurs objectifs de réductions communiqués/estimés). Cela permet de définir un ratio d’</w:t>
      </w:r>
      <w:r w:rsidRPr="00A74D23">
        <w:rPr>
          <w:rFonts w:cs="Open Sans"/>
          <w:iCs w:val="0"/>
          <w:color w:val="auto"/>
          <w:sz w:val="20"/>
          <w:szCs w:val="20"/>
        </w:rPr>
        <w:t>Overshoot/d’Undershoot</w:t>
      </w:r>
      <w:r w:rsidRPr="00A74D23">
        <w:rPr>
          <w:rFonts w:cs="Open Sans"/>
          <w:i w:val="0"/>
          <w:color w:val="auto"/>
          <w:sz w:val="20"/>
          <w:szCs w:val="20"/>
        </w:rPr>
        <w:t xml:space="preserve"> nécessaire à la modélisation du réchauffement (ou refroidissement) additionnel greffé aux 2°C de base du scénario. L’agrégation de la métrique au niveau portefeuille se base sur une approche par la détention en valeur d’entreprise (EVIC, ou </w:t>
      </w:r>
      <w:r w:rsidRPr="00A74D23">
        <w:rPr>
          <w:rFonts w:cs="Open Sans"/>
          <w:iCs w:val="0"/>
          <w:color w:val="auto"/>
          <w:sz w:val="20"/>
          <w:szCs w:val="20"/>
        </w:rPr>
        <w:t>Enterprise Value Including Cash</w:t>
      </w:r>
      <w:r w:rsidRPr="00A74D23">
        <w:rPr>
          <w:rFonts w:cs="Open Sans"/>
          <w:i w:val="0"/>
          <w:color w:val="auto"/>
          <w:sz w:val="20"/>
          <w:szCs w:val="20"/>
        </w:rPr>
        <w:t>).</w:t>
      </w:r>
    </w:p>
    <w:p w14:paraId="3C5C5877" w14:textId="77777777" w:rsidR="003E51D0" w:rsidRPr="00A74D23" w:rsidRDefault="003E51D0" w:rsidP="009D6EE5">
      <w:pPr>
        <w:pStyle w:val="Style1"/>
        <w:numPr>
          <w:ilvl w:val="0"/>
          <w:numId w:val="0"/>
        </w:numPr>
        <w:tabs>
          <w:tab w:val="left" w:pos="426"/>
        </w:tabs>
        <w:spacing w:after="0" w:line="22" w:lineRule="atLeast"/>
        <w:jc w:val="both"/>
        <w:rPr>
          <w:rFonts w:cs="Open Sans"/>
          <w:i w:val="0"/>
          <w:color w:val="auto"/>
          <w:sz w:val="20"/>
          <w:szCs w:val="20"/>
        </w:rPr>
      </w:pPr>
    </w:p>
    <w:p w14:paraId="71C2D206" w14:textId="77777777" w:rsidR="00ED7BBD" w:rsidRPr="00A74D23" w:rsidRDefault="00ED7BBD" w:rsidP="009D6EE5">
      <w:pPr>
        <w:spacing w:line="22" w:lineRule="atLeast"/>
        <w:jc w:val="both"/>
        <w:rPr>
          <w:rFonts w:asciiTheme="minorHAnsi" w:hAnsiTheme="minorHAnsi" w:cs="Open Sans"/>
          <w:lang w:val="fr-FR"/>
        </w:rPr>
      </w:pPr>
      <w:r w:rsidRPr="00A74D23">
        <w:rPr>
          <w:rFonts w:asciiTheme="minorHAnsi" w:hAnsiTheme="minorHAnsi" w:cs="Open Sans"/>
          <w:noProof/>
          <w14:ligatures w14:val="standardContextual"/>
        </w:rPr>
        <w:drawing>
          <wp:anchor distT="0" distB="0" distL="114300" distR="114300" simplePos="0" relativeHeight="251704320" behindDoc="0" locked="0" layoutInCell="1" allowOverlap="1" wp14:anchorId="27357927" wp14:editId="01C23BF8">
            <wp:simplePos x="0" y="0"/>
            <wp:positionH relativeFrom="margin">
              <wp:align>left</wp:align>
            </wp:positionH>
            <wp:positionV relativeFrom="paragraph">
              <wp:posOffset>0</wp:posOffset>
            </wp:positionV>
            <wp:extent cx="4014470" cy="1733550"/>
            <wp:effectExtent l="0" t="0" r="5080" b="0"/>
            <wp:wrapSquare wrapText="bothSides"/>
            <wp:docPr id="2054797046" name="Image 1" descr="Une image contenant texte, diagramm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7" descr="Une image contenant texte, diagramme, capture d’écran, Police&#10;&#10;Description générée automatiquemen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014470" cy="1733550"/>
                    </a:xfrm>
                    <a:prstGeom prst="rect">
                      <a:avLst/>
                    </a:prstGeom>
                    <a:noFill/>
                  </pic:spPr>
                </pic:pic>
              </a:graphicData>
            </a:graphic>
            <wp14:sizeRelH relativeFrom="margin">
              <wp14:pctWidth>0</wp14:pctWidth>
            </wp14:sizeRelH>
            <wp14:sizeRelV relativeFrom="margin">
              <wp14:pctHeight>0</wp14:pctHeight>
            </wp14:sizeRelV>
          </wp:anchor>
        </w:drawing>
      </w:r>
    </w:p>
    <w:p w14:paraId="5A001B07" w14:textId="77777777" w:rsidR="00ED7BBD" w:rsidRPr="00A74D23" w:rsidRDefault="00ED7BBD" w:rsidP="009D6EE5">
      <w:pPr>
        <w:spacing w:line="22" w:lineRule="atLeast"/>
        <w:jc w:val="both"/>
        <w:rPr>
          <w:rFonts w:asciiTheme="minorHAnsi" w:hAnsiTheme="minorHAnsi" w:cs="Open Sans"/>
          <w:lang w:val="fr-FR"/>
        </w:rPr>
      </w:pPr>
    </w:p>
    <w:p w14:paraId="5119B648" w14:textId="77777777" w:rsidR="00ED7BBD" w:rsidRPr="00A74D23" w:rsidRDefault="00ED7BBD" w:rsidP="009D6EE5">
      <w:pPr>
        <w:spacing w:line="22" w:lineRule="atLeast"/>
        <w:jc w:val="both"/>
        <w:rPr>
          <w:rFonts w:asciiTheme="minorHAnsi" w:hAnsiTheme="minorHAnsi" w:cs="Open Sans"/>
          <w:color w:val="806A00" w:themeColor="accent1" w:themeShade="80"/>
          <w:lang w:val="fr-FR"/>
        </w:rPr>
      </w:pPr>
    </w:p>
    <w:p w14:paraId="6272C0B8" w14:textId="2FA8011D" w:rsidR="00ED7BBD" w:rsidRPr="00A74D23" w:rsidRDefault="00ED7BBD" w:rsidP="009D6EE5">
      <w:pPr>
        <w:spacing w:line="22" w:lineRule="atLeast"/>
        <w:jc w:val="both"/>
        <w:rPr>
          <w:rFonts w:asciiTheme="minorHAnsi" w:hAnsiTheme="minorHAnsi" w:cs="Open Sans"/>
          <w:color w:val="806A00" w:themeColor="accent1" w:themeShade="80"/>
          <w:lang w:val="fr-FR"/>
        </w:rPr>
      </w:pPr>
    </w:p>
    <w:p w14:paraId="67584781" w14:textId="5EF72748" w:rsidR="00ED7BBD" w:rsidRPr="00A74D23" w:rsidRDefault="00ED7BBD" w:rsidP="009D6EE5">
      <w:pPr>
        <w:spacing w:line="22" w:lineRule="atLeast"/>
        <w:jc w:val="both"/>
        <w:rPr>
          <w:rFonts w:asciiTheme="minorHAnsi" w:hAnsiTheme="minorHAnsi" w:cs="Open Sans"/>
          <w:color w:val="806A00" w:themeColor="accent1" w:themeShade="80"/>
          <w:lang w:val="fr-FR"/>
        </w:rPr>
      </w:pPr>
    </w:p>
    <w:p w14:paraId="40BC18F3" w14:textId="2A6C3D3F" w:rsidR="00ED7BBD" w:rsidRPr="00A74D23" w:rsidRDefault="00ED7BBD" w:rsidP="009D6EE5">
      <w:pPr>
        <w:spacing w:line="22" w:lineRule="atLeast"/>
        <w:jc w:val="both"/>
        <w:rPr>
          <w:rFonts w:asciiTheme="minorHAnsi" w:hAnsiTheme="minorHAnsi" w:cs="Open Sans"/>
          <w:color w:val="806A00" w:themeColor="accent1" w:themeShade="80"/>
          <w:lang w:val="fr-FR"/>
        </w:rPr>
      </w:pPr>
    </w:p>
    <w:p w14:paraId="2DC5D0EA" w14:textId="6D0F0C16" w:rsidR="00F143F9" w:rsidRPr="00A74D23" w:rsidRDefault="00F143F9" w:rsidP="009D6EE5">
      <w:pPr>
        <w:spacing w:line="22" w:lineRule="atLeast"/>
        <w:jc w:val="both"/>
        <w:rPr>
          <w:rFonts w:asciiTheme="minorHAnsi" w:hAnsiTheme="minorHAnsi" w:cs="Open Sans"/>
          <w:color w:val="806A00" w:themeColor="accent1" w:themeShade="80"/>
          <w:lang w:val="fr-FR"/>
        </w:rPr>
      </w:pPr>
    </w:p>
    <w:p w14:paraId="0BBC3380" w14:textId="2F2A3608" w:rsidR="00F143F9" w:rsidRPr="00A74D23" w:rsidRDefault="00F143F9" w:rsidP="009D6EE5">
      <w:pPr>
        <w:spacing w:line="22" w:lineRule="atLeast"/>
        <w:jc w:val="both"/>
        <w:rPr>
          <w:rFonts w:asciiTheme="minorHAnsi" w:hAnsiTheme="minorHAnsi" w:cs="Open Sans"/>
          <w:color w:val="806A00" w:themeColor="accent1" w:themeShade="80"/>
          <w:lang w:val="fr-FR"/>
        </w:rPr>
      </w:pPr>
    </w:p>
    <w:p w14:paraId="0B15EA23" w14:textId="77777777" w:rsidR="00ED7BBD" w:rsidRPr="00A74D23" w:rsidRDefault="00ED7BBD" w:rsidP="009D6EE5">
      <w:pPr>
        <w:spacing w:line="22" w:lineRule="atLeast"/>
        <w:jc w:val="both"/>
        <w:rPr>
          <w:rFonts w:asciiTheme="minorHAnsi" w:hAnsiTheme="minorHAnsi" w:cs="Open Sans"/>
          <w:color w:val="806A00" w:themeColor="accent1" w:themeShade="80"/>
          <w:lang w:val="fr-FR"/>
        </w:rPr>
      </w:pPr>
    </w:p>
    <w:p w14:paraId="39B1515B" w14:textId="77777777" w:rsidR="003E51D0" w:rsidRPr="00A74D23" w:rsidRDefault="003E51D0" w:rsidP="009D6EE5">
      <w:pPr>
        <w:spacing w:line="22" w:lineRule="atLeast"/>
        <w:jc w:val="both"/>
        <w:rPr>
          <w:rFonts w:asciiTheme="minorHAnsi" w:hAnsiTheme="minorHAnsi" w:cs="Open Sans"/>
          <w:color w:val="806A00" w:themeColor="accent1" w:themeShade="80"/>
          <w:lang w:val="fr-FR"/>
        </w:rPr>
      </w:pPr>
    </w:p>
    <w:p w14:paraId="62C3FB9B" w14:textId="77777777" w:rsidR="00ED7BBD" w:rsidRPr="00A74D23" w:rsidRDefault="00ED7BBD" w:rsidP="009D6EE5">
      <w:pPr>
        <w:spacing w:line="22" w:lineRule="atLeast"/>
        <w:jc w:val="both"/>
        <w:rPr>
          <w:rFonts w:asciiTheme="minorHAnsi" w:hAnsiTheme="minorHAnsi" w:cs="Open Sans"/>
          <w:i/>
          <w:iCs/>
          <w:sz w:val="20"/>
          <w:szCs w:val="20"/>
          <w:u w:val="single"/>
          <w:lang w:val="fr-FR"/>
        </w:rPr>
      </w:pPr>
      <w:r w:rsidRPr="00A74D23">
        <w:rPr>
          <w:rFonts w:asciiTheme="minorHAnsi" w:hAnsiTheme="minorHAnsi" w:cs="Open Sans"/>
          <w:i/>
          <w:iCs/>
          <w:sz w:val="20"/>
          <w:szCs w:val="20"/>
          <w:u w:val="single"/>
          <w:lang w:val="fr-FR"/>
        </w:rPr>
        <w:t>Légende</w:t>
      </w:r>
    </w:p>
    <w:p w14:paraId="139860AC" w14:textId="77777777" w:rsidR="00ED7BBD" w:rsidRPr="00A74D23" w:rsidRDefault="00ED7BBD"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1 : Budgets carbone alignés avec une trajectoire 2°C</w:t>
      </w:r>
    </w:p>
    <w:p w14:paraId="57C16785" w14:textId="77777777" w:rsidR="00ED7BBD" w:rsidRPr="00A74D23" w:rsidRDefault="00ED7BBD"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2 : Emissions futures jusqu’en 2070 selon le secteur</w:t>
      </w:r>
    </w:p>
    <w:p w14:paraId="31AD4CA2" w14:textId="77777777" w:rsidR="00ED7BBD" w:rsidRPr="00A74D23" w:rsidRDefault="00ED7BBD"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3 : Budgets Over/Undershoot en absolu, converti en relatif</w:t>
      </w:r>
    </w:p>
    <w:p w14:paraId="6061AB3B" w14:textId="77777777" w:rsidR="00ED7BBD" w:rsidRPr="00A74D23" w:rsidRDefault="00ED7BBD"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4 : Conversion des ratios relatifs en degrés :</w:t>
      </w:r>
    </w:p>
    <w:p w14:paraId="1DF2E21C" w14:textId="77777777" w:rsidR="00ED7BBD" w:rsidRPr="00A74D23" w:rsidRDefault="00ED7BBD" w:rsidP="009D6EE5">
      <w:pPr>
        <w:spacing w:line="22" w:lineRule="atLeast"/>
        <w:jc w:val="both"/>
        <w:rPr>
          <w:rFonts w:asciiTheme="minorHAnsi" w:hAnsiTheme="minorHAnsi" w:cs="Open Sans"/>
          <w:sz w:val="20"/>
          <w:szCs w:val="20"/>
          <w:lang w:val="fr-FR"/>
        </w:rPr>
      </w:pPr>
    </w:p>
    <w:p w14:paraId="09D90053" w14:textId="77777777" w:rsidR="00ED7BBD" w:rsidRPr="00A74D23" w:rsidRDefault="00ED7BBD" w:rsidP="009D6EE5">
      <w:pPr>
        <w:spacing w:line="22" w:lineRule="atLeast"/>
        <w:jc w:val="both"/>
        <w:rPr>
          <w:rFonts w:asciiTheme="minorHAnsi" w:eastAsiaTheme="minorEastAsia" w:hAnsiTheme="minorHAnsi" w:cs="Open Sans"/>
          <w:kern w:val="2"/>
          <w:lang w:eastAsia="zh-CN"/>
          <w14:ligatures w14:val="standardContextual"/>
        </w:rPr>
      </w:pPr>
      <m:oMathPara>
        <m:oMath>
          <m:r>
            <w:rPr>
              <w:rFonts w:ascii="Cambria Math" w:hAnsi="Cambria Math" w:cs="Open Sans"/>
            </w:rPr>
            <m:t>ITR=2°+Relative CB Overshoot *2°Global Budget *TCRE</m:t>
          </m:r>
        </m:oMath>
      </m:oMathPara>
    </w:p>
    <w:p w14:paraId="64EE33D0" w14:textId="77777777" w:rsidR="00ED7BBD" w:rsidRPr="00A74D23" w:rsidRDefault="00ED7BBD" w:rsidP="009D6EE5">
      <w:pPr>
        <w:spacing w:line="22" w:lineRule="atLeast"/>
        <w:jc w:val="both"/>
        <w:rPr>
          <w:rFonts w:asciiTheme="minorHAnsi" w:hAnsiTheme="minorHAnsi" w:cs="Open Sans"/>
          <w:iCs/>
          <w:sz w:val="20"/>
          <w:szCs w:val="20"/>
          <w:u w:val="single"/>
          <w:lang w:val="fr-FR"/>
        </w:rPr>
      </w:pPr>
      <w:r w:rsidRPr="00A74D23">
        <w:rPr>
          <w:rFonts w:asciiTheme="minorHAnsi" w:hAnsiTheme="minorHAnsi" w:cs="Open Sans"/>
          <w:iCs/>
          <w:sz w:val="20"/>
          <w:szCs w:val="20"/>
          <w:lang w:val="fr-FR"/>
        </w:rPr>
        <w:t xml:space="preserve">Cette méthode revêt plusieurs avantages : </w:t>
      </w:r>
    </w:p>
    <w:p w14:paraId="21468D3A" w14:textId="04308856" w:rsidR="00ED7BBD" w:rsidRPr="00A74D23" w:rsidRDefault="002B33B4" w:rsidP="00590DD1">
      <w:pPr>
        <w:pStyle w:val="Paragraphedeliste"/>
        <w:numPr>
          <w:ilvl w:val="0"/>
          <w:numId w:val="40"/>
        </w:numPr>
        <w:spacing w:line="22" w:lineRule="atLeast"/>
        <w:jc w:val="both"/>
        <w:rPr>
          <w:rFonts w:cs="Open Sans"/>
          <w:sz w:val="20"/>
          <w:szCs w:val="20"/>
        </w:rPr>
      </w:pPr>
      <w:r w:rsidRPr="00A74D23">
        <w:rPr>
          <w:rFonts w:cs="Open Sans"/>
          <w:sz w:val="20"/>
          <w:szCs w:val="20"/>
        </w:rPr>
        <w:t>Une</w:t>
      </w:r>
      <w:r w:rsidR="00ED7BBD" w:rsidRPr="00A74D23">
        <w:rPr>
          <w:rFonts w:cs="Open Sans"/>
          <w:sz w:val="20"/>
          <w:szCs w:val="20"/>
        </w:rPr>
        <w:t xml:space="preserve"> métrique en projection permettant d’analyser le comportement d’un émetteur ou d’un portefeuille vis-à-vis d’un scénario de limitation du réchauffement climatique et de répondre à une problématique d’alignement.</w:t>
      </w:r>
    </w:p>
    <w:p w14:paraId="2AA4BBAB" w14:textId="77777777" w:rsidR="00ED7BBD" w:rsidRPr="00A74D23" w:rsidRDefault="00ED7BBD" w:rsidP="00590DD1">
      <w:pPr>
        <w:pStyle w:val="Paragraphedeliste"/>
        <w:numPr>
          <w:ilvl w:val="0"/>
          <w:numId w:val="40"/>
        </w:numPr>
        <w:spacing w:line="22" w:lineRule="atLeast"/>
        <w:jc w:val="both"/>
        <w:rPr>
          <w:rFonts w:cs="Open Sans"/>
          <w:sz w:val="20"/>
          <w:szCs w:val="20"/>
        </w:rPr>
      </w:pPr>
      <w:r w:rsidRPr="00A74D23">
        <w:rPr>
          <w:rFonts w:cs="Open Sans"/>
          <w:sz w:val="20"/>
          <w:szCs w:val="20"/>
        </w:rPr>
        <w:t>La mesure de température permet d’identifier les émetteurs/portefeuilles sur lesquels des risques climatiques existent.</w:t>
      </w:r>
    </w:p>
    <w:p w14:paraId="0CC0618C" w14:textId="77777777" w:rsidR="00ED7BBD" w:rsidRPr="00A74D23" w:rsidRDefault="00ED7BBD" w:rsidP="00590DD1">
      <w:pPr>
        <w:pStyle w:val="Paragraphedeliste"/>
        <w:numPr>
          <w:ilvl w:val="0"/>
          <w:numId w:val="40"/>
        </w:numPr>
        <w:spacing w:line="22" w:lineRule="atLeast"/>
        <w:jc w:val="both"/>
        <w:rPr>
          <w:rFonts w:cs="Open Sans"/>
          <w:sz w:val="20"/>
          <w:szCs w:val="20"/>
        </w:rPr>
      </w:pPr>
      <w:r w:rsidRPr="00A74D23">
        <w:rPr>
          <w:rFonts w:cs="Open Sans"/>
          <w:sz w:val="20"/>
          <w:szCs w:val="20"/>
        </w:rPr>
        <w:t>Le double comptage est lissé : La recherche ESG de MSCI n’a pas trouvé de solution pour le supprimer totalement, mais la modélisation de l’ITR tend à minimiser son impact en considérant le dépassement de GES en relatif (% du budget carbone global) car cela veut dire que nous retrouvons cet effet au numérateur et au dénominateur.</w:t>
      </w:r>
    </w:p>
    <w:p w14:paraId="4B6AE3D8" w14:textId="77777777" w:rsidR="00ED7BBD" w:rsidRPr="00A74D23" w:rsidRDefault="00ED7BBD" w:rsidP="00590DD1">
      <w:pPr>
        <w:pStyle w:val="Paragraphedeliste"/>
        <w:numPr>
          <w:ilvl w:val="0"/>
          <w:numId w:val="40"/>
        </w:numPr>
        <w:spacing w:line="22" w:lineRule="atLeast"/>
        <w:jc w:val="both"/>
        <w:rPr>
          <w:rFonts w:cs="Open Sans"/>
          <w:sz w:val="20"/>
          <w:szCs w:val="20"/>
        </w:rPr>
      </w:pPr>
      <w:r w:rsidRPr="00A74D23">
        <w:rPr>
          <w:rFonts w:cs="Open Sans"/>
          <w:sz w:val="20"/>
          <w:szCs w:val="20"/>
        </w:rPr>
        <w:t xml:space="preserve">La température est une métrique relativement parlante pour des besoins de sensibilisation et communication. </w:t>
      </w:r>
    </w:p>
    <w:p w14:paraId="5EB3A0D8" w14:textId="77777777" w:rsidR="00ED7BBD" w:rsidRPr="00A74D23" w:rsidRDefault="00ED7BBD" w:rsidP="009D6EE5">
      <w:pPr>
        <w:spacing w:line="22" w:lineRule="atLeast"/>
        <w:jc w:val="both"/>
        <w:rPr>
          <w:rFonts w:asciiTheme="minorHAnsi" w:hAnsiTheme="minorHAnsi" w:cs="Open Sans"/>
          <w:iCs/>
          <w:sz w:val="20"/>
          <w:szCs w:val="20"/>
          <w:u w:val="single"/>
          <w:lang w:val="fr-FR"/>
        </w:rPr>
      </w:pPr>
      <w:r w:rsidRPr="00A74D23">
        <w:rPr>
          <w:rFonts w:asciiTheme="minorHAnsi" w:hAnsiTheme="minorHAnsi" w:cs="Open Sans"/>
          <w:iCs/>
          <w:sz w:val="20"/>
          <w:szCs w:val="20"/>
          <w:lang w:val="fr-FR"/>
        </w:rPr>
        <w:t xml:space="preserve">Cette méthodologie contient cependant plusieurs inconvénients :  </w:t>
      </w:r>
    </w:p>
    <w:p w14:paraId="2C2E7455" w14:textId="77777777" w:rsidR="00ED7BBD" w:rsidRPr="00A74D23" w:rsidRDefault="00ED7BBD" w:rsidP="00590DD1">
      <w:pPr>
        <w:pStyle w:val="Paragraphedeliste"/>
        <w:numPr>
          <w:ilvl w:val="0"/>
          <w:numId w:val="41"/>
        </w:numPr>
        <w:spacing w:line="22" w:lineRule="atLeast"/>
        <w:jc w:val="both"/>
        <w:rPr>
          <w:rFonts w:cs="Open Sans"/>
          <w:sz w:val="20"/>
          <w:szCs w:val="20"/>
        </w:rPr>
      </w:pPr>
      <w:r w:rsidRPr="00A74D23">
        <w:rPr>
          <w:rFonts w:cs="Open Sans"/>
          <w:sz w:val="20"/>
          <w:szCs w:val="20"/>
        </w:rPr>
        <w:t>Elle nécessite d’avoir un suivi qualitatif dans le temps des objectifs de réduction sur lesquels la métrique repose sensiblement.</w:t>
      </w:r>
    </w:p>
    <w:p w14:paraId="0D31B002" w14:textId="77777777" w:rsidR="00ED7BBD" w:rsidRPr="00A74D23" w:rsidRDefault="00ED7BBD" w:rsidP="00590DD1">
      <w:pPr>
        <w:pStyle w:val="Paragraphedeliste"/>
        <w:numPr>
          <w:ilvl w:val="0"/>
          <w:numId w:val="41"/>
        </w:numPr>
        <w:spacing w:line="22" w:lineRule="atLeast"/>
        <w:jc w:val="both"/>
        <w:rPr>
          <w:rFonts w:cs="Open Sans"/>
          <w:sz w:val="20"/>
          <w:szCs w:val="20"/>
        </w:rPr>
      </w:pPr>
      <w:r w:rsidRPr="00A74D23">
        <w:rPr>
          <w:rFonts w:cs="Open Sans"/>
          <w:sz w:val="20"/>
          <w:szCs w:val="20"/>
        </w:rPr>
        <w:t>Elle est en attente d’un cadrage réglementaire qui vient standardiser les inputs requis par le modèle afin de s’assurer que la température soit adéquate.</w:t>
      </w:r>
    </w:p>
    <w:p w14:paraId="4639E902" w14:textId="77777777" w:rsidR="00ED7BBD" w:rsidRPr="00A74D23" w:rsidRDefault="00ED7BBD" w:rsidP="00590DD1">
      <w:pPr>
        <w:pStyle w:val="Paragraphedeliste"/>
        <w:numPr>
          <w:ilvl w:val="0"/>
          <w:numId w:val="41"/>
        </w:numPr>
        <w:spacing w:line="22" w:lineRule="atLeast"/>
        <w:jc w:val="both"/>
        <w:rPr>
          <w:rFonts w:cs="Open Sans"/>
          <w:sz w:val="20"/>
          <w:szCs w:val="20"/>
        </w:rPr>
      </w:pPr>
      <w:r w:rsidRPr="00A74D23">
        <w:rPr>
          <w:rFonts w:cs="Open Sans"/>
          <w:sz w:val="20"/>
          <w:szCs w:val="20"/>
        </w:rPr>
        <w:t>Un « flou » persiste sur l’objectif d’alignement avec les Accords de Paris qui stipulent un scénario bien en dessous de 2°C et qui devrait tendre vers les 1.5°C avec un Net Zero à horizon 2050.</w:t>
      </w:r>
    </w:p>
    <w:p w14:paraId="200CD433" w14:textId="583B9587" w:rsidR="00ED7BBD" w:rsidRPr="00A74D23" w:rsidRDefault="00ED7BBD" w:rsidP="009D6EE5">
      <w:pPr>
        <w:spacing w:line="22" w:lineRule="atLeast"/>
        <w:jc w:val="both"/>
        <w:rPr>
          <w:rFonts w:asciiTheme="minorHAnsi" w:hAnsiTheme="minorHAnsi" w:cs="Open Sans"/>
          <w:i/>
          <w:iCs/>
          <w:sz w:val="20"/>
          <w:szCs w:val="20"/>
          <w:lang w:val="fr-FR"/>
        </w:rPr>
      </w:pPr>
    </w:p>
    <w:p w14:paraId="6E2A7103" w14:textId="19EDBE29" w:rsidR="00FE48EB" w:rsidRPr="00A74D23" w:rsidRDefault="002B33B4" w:rsidP="009D6EE5">
      <w:pPr>
        <w:pStyle w:val="pf0"/>
        <w:spacing w:before="120" w:beforeAutospacing="0" w:line="22" w:lineRule="atLeast"/>
        <w:jc w:val="both"/>
        <w:rPr>
          <w:rFonts w:asciiTheme="minorHAnsi" w:hAnsiTheme="minorHAnsi" w:cs="Open Sans"/>
          <w:b/>
          <w:bCs/>
        </w:rPr>
      </w:pPr>
      <w:r w:rsidRPr="00A74D23">
        <w:rPr>
          <w:rFonts w:asciiTheme="minorHAnsi" w:hAnsiTheme="minorHAnsi" w:cs="Open Sans"/>
          <w:noProof/>
        </w:rPr>
        <w:drawing>
          <wp:anchor distT="0" distB="0" distL="114300" distR="114300" simplePos="0" relativeHeight="251706368" behindDoc="0" locked="0" layoutInCell="1" allowOverlap="1" wp14:anchorId="46F22F3A" wp14:editId="49C906F8">
            <wp:simplePos x="0" y="0"/>
            <wp:positionH relativeFrom="column">
              <wp:posOffset>2690276</wp:posOffset>
            </wp:positionH>
            <wp:positionV relativeFrom="paragraph">
              <wp:posOffset>258852</wp:posOffset>
            </wp:positionV>
            <wp:extent cx="2447290" cy="3027380"/>
            <wp:effectExtent l="0" t="0" r="10160" b="1905"/>
            <wp:wrapSquare wrapText="bothSides"/>
            <wp:docPr id="554641756" name="Graphique 1">
              <a:extLst xmlns:a="http://schemas.openxmlformats.org/drawingml/2006/main">
                <a:ext uri="{FF2B5EF4-FFF2-40B4-BE49-F238E27FC236}">
                  <a16:creationId xmlns:a16="http://schemas.microsoft.com/office/drawing/2014/main" id="{158A5A0E-6208-611F-7893-84070EE082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V relativeFrom="margin">
              <wp14:pctHeight>0</wp14:pctHeight>
            </wp14:sizeRelV>
          </wp:anchor>
        </w:drawing>
      </w:r>
      <w:r w:rsidRPr="00A74D23">
        <w:rPr>
          <w:rFonts w:asciiTheme="minorHAnsi" w:hAnsiTheme="minorHAnsi" w:cs="Open Sans"/>
          <w:b/>
          <w:bCs/>
          <w:noProof/>
          <w:sz w:val="20"/>
          <w:szCs w:val="20"/>
        </w:rPr>
        <mc:AlternateContent>
          <mc:Choice Requires="wps">
            <w:drawing>
              <wp:anchor distT="45720" distB="45720" distL="114300" distR="114300" simplePos="0" relativeHeight="251370496" behindDoc="0" locked="0" layoutInCell="1" allowOverlap="1" wp14:anchorId="79D6D06C" wp14:editId="26D2C3AC">
                <wp:simplePos x="0" y="0"/>
                <wp:positionH relativeFrom="column">
                  <wp:posOffset>-139065</wp:posOffset>
                </wp:positionH>
                <wp:positionV relativeFrom="paragraph">
                  <wp:posOffset>267970</wp:posOffset>
                </wp:positionV>
                <wp:extent cx="2719070" cy="2991485"/>
                <wp:effectExtent l="0" t="0" r="24130" b="18415"/>
                <wp:wrapSquare wrapText="bothSides"/>
                <wp:docPr id="8930940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9070" cy="2991485"/>
                        </a:xfrm>
                        <a:prstGeom prst="rect">
                          <a:avLst/>
                        </a:prstGeom>
                        <a:solidFill>
                          <a:srgbClr val="FFFFFF"/>
                        </a:solidFill>
                        <a:ln w="9525">
                          <a:solidFill>
                            <a:schemeClr val="bg1">
                              <a:lumMod val="85000"/>
                            </a:schemeClr>
                          </a:solidFill>
                          <a:miter lim="800000"/>
                          <a:headEnd/>
                          <a:tailEnd/>
                        </a:ln>
                      </wps:spPr>
                      <wps:txbx>
                        <w:txbxContent>
                          <w:p w14:paraId="15866FF4" w14:textId="77777777" w:rsidR="00ED7BBD" w:rsidRPr="002B33B4" w:rsidRDefault="00ED7BBD" w:rsidP="00B77A59">
                            <w:pPr>
                              <w:jc w:val="center"/>
                              <w:rPr>
                                <w:rFonts w:asciiTheme="minorHAnsi" w:hAnsiTheme="minorHAnsi"/>
                                <w:b/>
                                <w:bCs/>
                                <w:sz w:val="23"/>
                                <w:szCs w:val="23"/>
                              </w:rPr>
                            </w:pPr>
                            <w:r w:rsidRPr="002B33B4">
                              <w:rPr>
                                <w:rFonts w:asciiTheme="minorHAnsi" w:hAnsiTheme="minorHAnsi"/>
                                <w:b/>
                                <w:bCs/>
                                <w:sz w:val="23"/>
                                <w:szCs w:val="23"/>
                              </w:rPr>
                              <w:t>Température du portefeuille au 31/12/24</w:t>
                            </w:r>
                          </w:p>
                          <w:p w14:paraId="6181AA72" w14:textId="77777777" w:rsidR="00ED7BBD" w:rsidRPr="00831745" w:rsidRDefault="00ED7BBD" w:rsidP="00ED7BBD">
                            <w:pPr>
                              <w:jc w:val="center"/>
                              <w:rPr>
                                <w:sz w:val="20"/>
                                <w:szCs w:val="20"/>
                              </w:rPr>
                            </w:pPr>
                            <w:r>
                              <w:rPr>
                                <w:noProof/>
                              </w:rPr>
                              <w:drawing>
                                <wp:inline distT="0" distB="0" distL="0" distR="0" wp14:anchorId="097E1139" wp14:editId="4212311C">
                                  <wp:extent cx="1616710" cy="2466795"/>
                                  <wp:effectExtent l="0" t="0" r="0" b="0"/>
                                  <wp:docPr id="889743624" name="Graphique 1">
                                    <a:extLst xmlns:a="http://schemas.openxmlformats.org/drawingml/2006/main">
                                      <a:ext uri="{FF2B5EF4-FFF2-40B4-BE49-F238E27FC236}">
                                        <a16:creationId xmlns:a16="http://schemas.microsoft.com/office/drawing/2014/main" id="{158A5A0E-6208-611F-7893-84070EE082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D6D06C" id="_x0000_s1124" type="#_x0000_t202" style="position:absolute;left:0;text-align:left;margin-left:-10.95pt;margin-top:21.1pt;width:214.1pt;height:235.55pt;z-index:25137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" strokecolor="#d8d8d8 [2732]">
                <v:textbox>
                  <w:txbxContent>
                    <w:p w14:paraId="15866FF4" w14:textId="77777777" w:rsidR="00ED7BBD" w:rsidRPr="002B33B4" w:rsidRDefault="00ED7BBD" w:rsidP="00B77A59">
                      <w:pPr>
                        <w:jc w:val="center"/>
                        <w:rPr>
                          <w:rFonts w:asciiTheme="minorHAnsi" w:hAnsiTheme="minorHAnsi"/>
                          <w:b/>
                          <w:bCs/>
                          <w:sz w:val="23"/>
                          <w:szCs w:val="23"/>
                        </w:rPr>
                      </w:pPr>
                      <w:r w:rsidRPr="002B33B4">
                        <w:rPr>
                          <w:rFonts w:asciiTheme="minorHAnsi" w:hAnsiTheme="minorHAnsi"/>
                          <w:b/>
                          <w:bCs/>
                          <w:sz w:val="23"/>
                          <w:szCs w:val="23"/>
                        </w:rPr>
                        <w:t>Température du portefeuille au 31/12/24</w:t>
                      </w:r>
                    </w:p>
                    <w:p w14:paraId="6181AA72" w14:textId="77777777" w:rsidR="00ED7BBD" w:rsidRPr="00831745" w:rsidRDefault="00ED7BBD" w:rsidP="00ED7BBD">
                      <w:pPr>
                        <w:jc w:val="center"/>
                        <w:rPr>
                          <w:sz w:val="20"/>
                          <w:szCs w:val="20"/>
                        </w:rPr>
                      </w:pPr>
                      <w:r>
                        <w:rPr>
                          <w:noProof/>
                        </w:rPr>
                        <w:drawing>
                          <wp:inline distT="0" distB="0" distL="0" distR="0" wp14:anchorId="097E1139" wp14:editId="4212311C">
                            <wp:extent cx="1616710" cy="2466795"/>
                            <wp:effectExtent l="0" t="0" r="0" b="0"/>
                            <wp:docPr id="889743624" name="Graphique 1">
                              <a:extLst xmlns:a="http://schemas.openxmlformats.org/drawingml/2006/main">
                                <a:ext uri="{FF2B5EF4-FFF2-40B4-BE49-F238E27FC236}">
                                  <a16:creationId xmlns:a16="http://schemas.microsoft.com/office/drawing/2014/main" id="{158A5A0E-6208-611F-7893-84070EE082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xbxContent>
                </v:textbox>
                <w10:wrap type="square"/>
              </v:shape>
            </w:pict>
          </mc:Fallback>
        </mc:AlternateContent>
      </w:r>
    </w:p>
    <w:p w14:paraId="330F12A2" w14:textId="70E19A6A" w:rsidR="002B33B4" w:rsidRPr="00A74D23" w:rsidRDefault="002B33B4" w:rsidP="009D6EE5">
      <w:pPr>
        <w:pStyle w:val="pf0"/>
        <w:spacing w:before="120" w:beforeAutospacing="0" w:line="22" w:lineRule="atLeast"/>
        <w:jc w:val="both"/>
        <w:rPr>
          <w:rFonts w:asciiTheme="minorHAnsi" w:hAnsiTheme="minorHAnsi" w:cs="Open Sans"/>
          <w:b/>
          <w:bCs/>
        </w:rPr>
      </w:pPr>
    </w:p>
    <w:p w14:paraId="4727A20A" w14:textId="77777777" w:rsidR="002B33B4" w:rsidRPr="00A74D23" w:rsidRDefault="002B33B4" w:rsidP="009D6EE5">
      <w:pPr>
        <w:pStyle w:val="pf0"/>
        <w:spacing w:before="120" w:beforeAutospacing="0" w:line="22" w:lineRule="atLeast"/>
        <w:jc w:val="both"/>
        <w:rPr>
          <w:rFonts w:asciiTheme="minorHAnsi" w:hAnsiTheme="minorHAnsi" w:cs="Open Sans"/>
          <w:b/>
          <w:bCs/>
        </w:rPr>
      </w:pPr>
    </w:p>
    <w:p w14:paraId="65276A3A" w14:textId="77777777" w:rsidR="002B33B4" w:rsidRPr="00A74D23" w:rsidRDefault="002B33B4" w:rsidP="009D6EE5">
      <w:pPr>
        <w:pStyle w:val="pf0"/>
        <w:spacing w:before="120" w:beforeAutospacing="0" w:line="22" w:lineRule="atLeast"/>
        <w:jc w:val="both"/>
        <w:rPr>
          <w:rFonts w:asciiTheme="minorHAnsi" w:hAnsiTheme="minorHAnsi" w:cs="Open Sans"/>
          <w:b/>
          <w:bCs/>
        </w:rPr>
      </w:pPr>
    </w:p>
    <w:p w14:paraId="4300324B" w14:textId="77777777" w:rsidR="002B33B4" w:rsidRPr="00A74D23" w:rsidRDefault="002B33B4" w:rsidP="009D6EE5">
      <w:pPr>
        <w:pStyle w:val="pf0"/>
        <w:spacing w:before="120" w:beforeAutospacing="0" w:line="22" w:lineRule="atLeast"/>
        <w:jc w:val="both"/>
        <w:rPr>
          <w:rFonts w:asciiTheme="minorHAnsi" w:hAnsiTheme="minorHAnsi" w:cs="Open Sans"/>
          <w:b/>
          <w:bCs/>
        </w:rPr>
      </w:pPr>
    </w:p>
    <w:p w14:paraId="16A19FC4" w14:textId="77777777" w:rsidR="002B33B4" w:rsidRPr="00A74D23" w:rsidRDefault="002B33B4" w:rsidP="009D6EE5">
      <w:pPr>
        <w:pStyle w:val="pf0"/>
        <w:spacing w:before="120" w:beforeAutospacing="0" w:line="22" w:lineRule="atLeast"/>
        <w:jc w:val="both"/>
        <w:rPr>
          <w:rFonts w:asciiTheme="minorHAnsi" w:hAnsiTheme="minorHAnsi" w:cs="Open Sans"/>
          <w:b/>
          <w:bCs/>
        </w:rPr>
      </w:pPr>
    </w:p>
    <w:p w14:paraId="741E9AF2" w14:textId="77777777" w:rsidR="002B33B4" w:rsidRPr="00A74D23" w:rsidRDefault="002B33B4" w:rsidP="009D6EE5">
      <w:pPr>
        <w:pStyle w:val="pf0"/>
        <w:spacing w:before="120" w:beforeAutospacing="0" w:line="22" w:lineRule="atLeast"/>
        <w:jc w:val="both"/>
        <w:rPr>
          <w:rFonts w:asciiTheme="minorHAnsi" w:hAnsiTheme="minorHAnsi" w:cs="Open Sans"/>
          <w:b/>
          <w:bCs/>
        </w:rPr>
      </w:pPr>
    </w:p>
    <w:p w14:paraId="58819DB3" w14:textId="77777777" w:rsidR="0066676D" w:rsidRPr="00A74D23" w:rsidRDefault="0066676D" w:rsidP="009D6EE5">
      <w:pPr>
        <w:spacing w:line="22" w:lineRule="atLeast"/>
        <w:jc w:val="both"/>
        <w:rPr>
          <w:rFonts w:asciiTheme="minorHAnsi" w:hAnsiTheme="minorHAnsi" w:cs="Open Sans"/>
          <w:i/>
          <w:iCs/>
          <w:sz w:val="20"/>
          <w:szCs w:val="20"/>
          <w:lang w:val="fr-FR"/>
        </w:rPr>
      </w:pPr>
    </w:p>
    <w:p w14:paraId="027BD96D" w14:textId="77777777" w:rsidR="003E51D0" w:rsidRPr="00A74D23" w:rsidRDefault="003E51D0" w:rsidP="009D6EE5">
      <w:pPr>
        <w:spacing w:line="22" w:lineRule="atLeast"/>
        <w:jc w:val="both"/>
        <w:rPr>
          <w:rFonts w:asciiTheme="minorHAnsi" w:hAnsiTheme="minorHAnsi" w:cs="Open Sans"/>
          <w:i/>
          <w:iCs/>
          <w:sz w:val="20"/>
          <w:szCs w:val="20"/>
          <w:lang w:val="fr-FR"/>
        </w:rPr>
      </w:pPr>
    </w:p>
    <w:p w14:paraId="0CA0D960" w14:textId="77777777" w:rsidR="003E51D0" w:rsidRPr="00A74D23" w:rsidRDefault="003E51D0" w:rsidP="009D6EE5">
      <w:pPr>
        <w:spacing w:line="22" w:lineRule="atLeast"/>
        <w:jc w:val="both"/>
        <w:rPr>
          <w:rFonts w:asciiTheme="minorHAnsi" w:hAnsiTheme="minorHAnsi" w:cs="Open Sans"/>
          <w:i/>
          <w:iCs/>
          <w:sz w:val="20"/>
          <w:szCs w:val="20"/>
          <w:lang w:val="fr-FR"/>
        </w:rPr>
      </w:pPr>
    </w:p>
    <w:p w14:paraId="30EED33D" w14:textId="77777777" w:rsidR="0066676D" w:rsidRPr="00A74D23" w:rsidRDefault="0066676D" w:rsidP="009D6EE5">
      <w:pPr>
        <w:spacing w:line="22" w:lineRule="atLeast"/>
        <w:jc w:val="both"/>
        <w:rPr>
          <w:rFonts w:asciiTheme="minorHAnsi" w:hAnsiTheme="minorHAnsi" w:cs="Open Sans"/>
          <w:i/>
          <w:iCs/>
          <w:sz w:val="20"/>
          <w:szCs w:val="20"/>
          <w:lang w:val="fr-FR"/>
        </w:rPr>
      </w:pPr>
    </w:p>
    <w:p w14:paraId="60258160" w14:textId="77777777" w:rsidR="0066676D" w:rsidRPr="00A74D23" w:rsidRDefault="0066676D" w:rsidP="009D6EE5">
      <w:pPr>
        <w:spacing w:line="22" w:lineRule="atLeast"/>
        <w:jc w:val="both"/>
        <w:rPr>
          <w:rFonts w:asciiTheme="minorHAnsi" w:hAnsiTheme="minorHAnsi" w:cs="Open Sans"/>
          <w:i/>
          <w:iCs/>
          <w:sz w:val="20"/>
          <w:szCs w:val="20"/>
          <w:lang w:val="fr-FR"/>
        </w:rPr>
      </w:pPr>
    </w:p>
    <w:p w14:paraId="2500EC64" w14:textId="433055D7" w:rsidR="001C0722" w:rsidRPr="00A74D23" w:rsidRDefault="001C0722" w:rsidP="009D6EE5">
      <w:pPr>
        <w:pStyle w:val="pf0"/>
        <w:spacing w:before="0" w:beforeAutospacing="0" w:after="0" w:afterAutospacing="0" w:line="22" w:lineRule="atLeast"/>
        <w:jc w:val="both"/>
        <w:rPr>
          <w:rFonts w:asciiTheme="minorHAnsi" w:hAnsiTheme="minorHAnsi" w:cs="Open Sans"/>
          <w:i/>
          <w:iCs/>
          <w:sz w:val="18"/>
          <w:szCs w:val="18"/>
        </w:rPr>
      </w:pPr>
      <w:r w:rsidRPr="00A74D23">
        <w:rPr>
          <w:rFonts w:asciiTheme="minorHAnsi" w:hAnsiTheme="minorHAnsi" w:cs="Open Sans"/>
          <w:i/>
          <w:iCs/>
          <w:sz w:val="18"/>
          <w:szCs w:val="18"/>
        </w:rPr>
        <w:t xml:space="preserve">Périmètre : </w:t>
      </w:r>
      <w:r w:rsidR="00574A52">
        <w:rPr>
          <w:rFonts w:asciiTheme="minorHAnsi" w:hAnsiTheme="minorHAnsi" w:cs="Open Sans"/>
          <w:i/>
          <w:iCs/>
          <w:sz w:val="18"/>
          <w:szCs w:val="18"/>
        </w:rPr>
        <w:t xml:space="preserve">Abeille Retraite Professionnelle - </w:t>
      </w:r>
      <w:r w:rsidRPr="00A74D23">
        <w:rPr>
          <w:rFonts w:asciiTheme="minorHAnsi" w:hAnsiTheme="minorHAnsi" w:cs="Open Sans"/>
          <w:i/>
          <w:iCs/>
          <w:sz w:val="18"/>
          <w:szCs w:val="18"/>
        </w:rPr>
        <w:t>Fonds général – Actifs corporates, 31/12/2025</w:t>
      </w:r>
    </w:p>
    <w:p w14:paraId="5F0B1C81" w14:textId="33FCAE1D" w:rsidR="00F143F9" w:rsidRPr="00A74D23" w:rsidRDefault="001C0722" w:rsidP="009D6EE5">
      <w:pPr>
        <w:pStyle w:val="pf0"/>
        <w:spacing w:before="0" w:beforeAutospacing="0" w:after="0" w:afterAutospacing="0" w:line="22" w:lineRule="atLeast"/>
        <w:jc w:val="both"/>
        <w:rPr>
          <w:rFonts w:asciiTheme="minorHAnsi" w:hAnsiTheme="minorHAnsi" w:cs="Open Sans"/>
          <w:i/>
          <w:iCs/>
          <w:sz w:val="18"/>
          <w:szCs w:val="18"/>
        </w:rPr>
      </w:pPr>
      <w:r w:rsidRPr="00A74D23">
        <w:rPr>
          <w:rFonts w:asciiTheme="minorHAnsi" w:hAnsiTheme="minorHAnsi" w:cs="Open Sans"/>
          <w:i/>
          <w:iCs/>
          <w:sz w:val="18"/>
          <w:szCs w:val="18"/>
        </w:rPr>
        <w:t>Source : Ofi Invest AM</w:t>
      </w:r>
    </w:p>
    <w:p w14:paraId="0C801BDB" w14:textId="77777777" w:rsidR="001C0722" w:rsidRPr="00A74D23" w:rsidRDefault="001C0722" w:rsidP="009D6EE5">
      <w:pPr>
        <w:pStyle w:val="pf0"/>
        <w:spacing w:before="0" w:beforeAutospacing="0" w:after="0" w:afterAutospacing="0" w:line="22" w:lineRule="atLeast"/>
        <w:jc w:val="both"/>
        <w:rPr>
          <w:rFonts w:asciiTheme="minorHAnsi" w:hAnsiTheme="minorHAnsi" w:cs="Open Sans"/>
          <w:i/>
          <w:iCs/>
          <w:sz w:val="18"/>
          <w:szCs w:val="18"/>
        </w:rPr>
      </w:pPr>
    </w:p>
    <w:p w14:paraId="3BB21007" w14:textId="28593D7D" w:rsidR="00662190" w:rsidRPr="00A74D23" w:rsidRDefault="00662190" w:rsidP="009D6EE5">
      <w:pPr>
        <w:spacing w:line="22" w:lineRule="atLeast"/>
        <w:jc w:val="both"/>
        <w:rPr>
          <w:rFonts w:asciiTheme="minorHAnsi" w:hAnsiTheme="minorHAnsi" w:cs="Open Sans"/>
          <w:sz w:val="20"/>
          <w:szCs w:val="20"/>
          <w:lang w:val="fr-FR"/>
        </w:rPr>
      </w:pPr>
      <w:r w:rsidRPr="00A74D23">
        <w:rPr>
          <w:rFonts w:asciiTheme="minorHAnsi" w:hAnsiTheme="minorHAnsi" w:cs="Open Sans"/>
          <w:noProof/>
          <w:sz w:val="20"/>
          <w:szCs w:val="20"/>
          <w:lang w:val="fr-FR"/>
        </w:rPr>
        <mc:AlternateContent>
          <mc:Choice Requires="wps">
            <w:drawing>
              <wp:anchor distT="0" distB="0" distL="114300" distR="114300" simplePos="0" relativeHeight="251708416" behindDoc="0" locked="0" layoutInCell="1" allowOverlap="1" wp14:anchorId="0298A9F3" wp14:editId="2F98E927">
                <wp:simplePos x="0" y="0"/>
                <wp:positionH relativeFrom="column">
                  <wp:posOffset>179801</wp:posOffset>
                </wp:positionH>
                <wp:positionV relativeFrom="paragraph">
                  <wp:posOffset>4445</wp:posOffset>
                </wp:positionV>
                <wp:extent cx="5689490" cy="448166"/>
                <wp:effectExtent l="0" t="0" r="6985" b="9525"/>
                <wp:wrapNone/>
                <wp:docPr id="883411596" name="Rectangle 3"/>
                <wp:cNvGraphicFramePr/>
                <a:graphic xmlns:a="http://schemas.openxmlformats.org/drawingml/2006/main">
                  <a:graphicData uri="http://schemas.microsoft.com/office/word/2010/wordprocessingShape">
                    <wps:wsp>
                      <wps:cNvSpPr/>
                      <wps:spPr>
                        <a:xfrm>
                          <a:off x="0" y="0"/>
                          <a:ext cx="5689490" cy="44816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2B63BD" w14:textId="623411A9" w:rsidR="00662190" w:rsidRPr="00662190" w:rsidRDefault="00662190" w:rsidP="00662190">
                            <w:pPr>
                              <w:spacing w:line="276" w:lineRule="auto"/>
                              <w:jc w:val="both"/>
                              <w:rPr>
                                <w:rFonts w:asciiTheme="minorHAnsi" w:hAnsiTheme="minorHAnsi" w:cs="Open Sans"/>
                                <w:b/>
                                <w:bCs/>
                                <w:color w:val="000000" w:themeColor="text1"/>
                                <w:sz w:val="20"/>
                                <w:szCs w:val="20"/>
                                <w:lang w:val="fr-FR"/>
                              </w:rPr>
                            </w:pPr>
                            <w:r w:rsidRPr="00662190">
                              <w:rPr>
                                <w:rFonts w:asciiTheme="minorHAnsi" w:hAnsiTheme="minorHAnsi" w:cs="Open Sans"/>
                                <w:color w:val="000000" w:themeColor="text1"/>
                                <w:sz w:val="20"/>
                                <w:szCs w:val="20"/>
                                <w:lang w:val="fr-FR"/>
                              </w:rPr>
                              <w:t>A fin 2024, la température du portefeuille</w:t>
                            </w:r>
                            <w:r w:rsidR="00CE7CDE">
                              <w:rPr>
                                <w:rFonts w:asciiTheme="minorHAnsi" w:hAnsiTheme="minorHAnsi" w:cs="Open Sans"/>
                                <w:color w:val="000000" w:themeColor="text1"/>
                                <w:sz w:val="20"/>
                                <w:szCs w:val="20"/>
                                <w:lang w:val="fr-FR"/>
                              </w:rPr>
                              <w:t xml:space="preserve"> </w:t>
                            </w:r>
                            <w:r w:rsidR="00343FD7">
                              <w:rPr>
                                <w:rFonts w:asciiTheme="minorHAnsi" w:hAnsiTheme="minorHAnsi" w:cs="Open Sans"/>
                                <w:color w:val="000000" w:themeColor="text1"/>
                                <w:sz w:val="20"/>
                                <w:szCs w:val="20"/>
                                <w:lang w:val="fr-FR"/>
                              </w:rPr>
                              <w:t xml:space="preserve">mandats corporate Abeille Retraite Professionnelle </w:t>
                            </w:r>
                            <w:r w:rsidRPr="00662190">
                              <w:rPr>
                                <w:rFonts w:asciiTheme="minorHAnsi" w:hAnsiTheme="minorHAnsi" w:cs="Open Sans"/>
                                <w:color w:val="000000" w:themeColor="text1"/>
                                <w:sz w:val="20"/>
                                <w:szCs w:val="20"/>
                                <w:lang w:val="fr-FR"/>
                              </w:rPr>
                              <w:t>était de 2,0</w:t>
                            </w:r>
                            <w:r w:rsidR="00A2161E">
                              <w:rPr>
                                <w:rFonts w:asciiTheme="minorHAnsi" w:hAnsiTheme="minorHAnsi" w:cs="Open Sans"/>
                                <w:color w:val="000000" w:themeColor="text1"/>
                                <w:sz w:val="20"/>
                                <w:szCs w:val="20"/>
                                <w:lang w:val="fr-FR"/>
                              </w:rPr>
                              <w:t>2</w:t>
                            </w:r>
                            <w:r w:rsidRPr="00662190">
                              <w:rPr>
                                <w:rFonts w:asciiTheme="minorHAnsi" w:hAnsiTheme="minorHAnsi" w:cs="Open Sans"/>
                                <w:color w:val="000000" w:themeColor="text1"/>
                                <w:sz w:val="20"/>
                                <w:szCs w:val="20"/>
                                <w:lang w:val="fr-FR"/>
                              </w:rPr>
                              <w:t xml:space="preserve"> °C. </w:t>
                            </w:r>
                            <w:r w:rsidRPr="00662190">
                              <w:rPr>
                                <w:rFonts w:asciiTheme="minorHAnsi" w:hAnsiTheme="minorHAnsi" w:cs="Open Sans"/>
                                <w:b/>
                                <w:bCs/>
                                <w:color w:val="000000" w:themeColor="text1"/>
                                <w:sz w:val="20"/>
                                <w:szCs w:val="20"/>
                                <w:lang w:val="fr-FR"/>
                              </w:rPr>
                              <w:t xml:space="preserve">A fin 2025, la température du portefeuille est en légère baisse, à </w:t>
                            </w:r>
                            <w:r w:rsidR="00A2161E">
                              <w:rPr>
                                <w:rFonts w:asciiTheme="minorHAnsi" w:hAnsiTheme="minorHAnsi" w:cs="Open Sans"/>
                                <w:b/>
                                <w:bCs/>
                                <w:color w:val="000000" w:themeColor="text1"/>
                                <w:sz w:val="20"/>
                                <w:szCs w:val="20"/>
                                <w:lang w:val="fr-FR"/>
                              </w:rPr>
                              <w:t>2,01</w:t>
                            </w:r>
                            <w:r w:rsidRPr="00662190">
                              <w:rPr>
                                <w:rFonts w:asciiTheme="minorHAnsi" w:hAnsiTheme="minorHAnsi" w:cs="Open Sans"/>
                                <w:b/>
                                <w:bCs/>
                                <w:color w:val="000000" w:themeColor="text1"/>
                                <w:sz w:val="20"/>
                                <w:szCs w:val="20"/>
                                <w:lang w:val="fr-FR"/>
                              </w:rPr>
                              <w:t xml:space="preserve"> °C.</w:t>
                            </w:r>
                          </w:p>
                          <w:p w14:paraId="081E60E4" w14:textId="77777777" w:rsidR="00662190" w:rsidRPr="00662190" w:rsidRDefault="00662190" w:rsidP="00662190">
                            <w:pPr>
                              <w:jc w:val="center"/>
                              <w:rPr>
                                <w:b/>
                                <w:bCs/>
                                <w:color w:val="000000" w:themeColor="text1"/>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98A9F3" id="_x0000_s1125" style="position:absolute;left:0;text-align:left;margin-left:14.15pt;margin-top:.35pt;width:448pt;height:35.3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" fillcolor="#ffd400 [3204]" stroked="f" strokeweight="1pt">
                <v:textbox>
                  <w:txbxContent>
                    <w:p w14:paraId="5D2B63BD" w14:textId="623411A9" w:rsidR="00662190" w:rsidRPr="00662190" w:rsidRDefault="00662190" w:rsidP="00662190">
                      <w:pPr>
                        <w:spacing w:line="276" w:lineRule="auto"/>
                        <w:jc w:val="both"/>
                        <w:rPr>
                          <w:rFonts w:asciiTheme="minorHAnsi" w:hAnsiTheme="minorHAnsi" w:cs="Open Sans"/>
                          <w:b/>
                          <w:bCs/>
                          <w:color w:val="000000" w:themeColor="text1"/>
                          <w:sz w:val="20"/>
                          <w:szCs w:val="20"/>
                          <w:lang w:val="fr-FR"/>
                        </w:rPr>
                      </w:pPr>
                      <w:r w:rsidRPr="00662190">
                        <w:rPr>
                          <w:rFonts w:asciiTheme="minorHAnsi" w:hAnsiTheme="minorHAnsi" w:cs="Open Sans"/>
                          <w:color w:val="000000" w:themeColor="text1"/>
                          <w:sz w:val="20"/>
                          <w:szCs w:val="20"/>
                          <w:lang w:val="fr-FR"/>
                        </w:rPr>
                        <w:t>A fin 2024, la température du portefeuille</w:t>
                      </w:r>
                      <w:r w:rsidR="00CE7CDE">
                        <w:rPr>
                          <w:rFonts w:asciiTheme="minorHAnsi" w:hAnsiTheme="minorHAnsi" w:cs="Open Sans"/>
                          <w:color w:val="000000" w:themeColor="text1"/>
                          <w:sz w:val="20"/>
                          <w:szCs w:val="20"/>
                          <w:lang w:val="fr-FR"/>
                        </w:rPr>
                        <w:t xml:space="preserve"> </w:t>
                      </w:r>
                      <w:r w:rsidR="00343FD7">
                        <w:rPr>
                          <w:rFonts w:asciiTheme="minorHAnsi" w:hAnsiTheme="minorHAnsi" w:cs="Open Sans"/>
                          <w:color w:val="000000" w:themeColor="text1"/>
                          <w:sz w:val="20"/>
                          <w:szCs w:val="20"/>
                          <w:lang w:val="fr-FR"/>
                        </w:rPr>
                        <w:t xml:space="preserve">mandats corporate Abeille Retraite Professionnelle </w:t>
                      </w:r>
                      <w:r w:rsidRPr="00662190">
                        <w:rPr>
                          <w:rFonts w:asciiTheme="minorHAnsi" w:hAnsiTheme="minorHAnsi" w:cs="Open Sans"/>
                          <w:color w:val="000000" w:themeColor="text1"/>
                          <w:sz w:val="20"/>
                          <w:szCs w:val="20"/>
                          <w:lang w:val="fr-FR"/>
                        </w:rPr>
                        <w:t>était de 2,0</w:t>
                      </w:r>
                      <w:r w:rsidR="00A2161E">
                        <w:rPr>
                          <w:rFonts w:asciiTheme="minorHAnsi" w:hAnsiTheme="minorHAnsi" w:cs="Open Sans"/>
                          <w:color w:val="000000" w:themeColor="text1"/>
                          <w:sz w:val="20"/>
                          <w:szCs w:val="20"/>
                          <w:lang w:val="fr-FR"/>
                        </w:rPr>
                        <w:t>2</w:t>
                      </w:r>
                      <w:r w:rsidRPr="00662190">
                        <w:rPr>
                          <w:rFonts w:asciiTheme="minorHAnsi" w:hAnsiTheme="minorHAnsi" w:cs="Open Sans"/>
                          <w:color w:val="000000" w:themeColor="text1"/>
                          <w:sz w:val="20"/>
                          <w:szCs w:val="20"/>
                          <w:lang w:val="fr-FR"/>
                        </w:rPr>
                        <w:t xml:space="preserve"> °C. </w:t>
                      </w:r>
                      <w:r w:rsidRPr="00662190">
                        <w:rPr>
                          <w:rFonts w:asciiTheme="minorHAnsi" w:hAnsiTheme="minorHAnsi" w:cs="Open Sans"/>
                          <w:b/>
                          <w:bCs/>
                          <w:color w:val="000000" w:themeColor="text1"/>
                          <w:sz w:val="20"/>
                          <w:szCs w:val="20"/>
                          <w:lang w:val="fr-FR"/>
                        </w:rPr>
                        <w:t xml:space="preserve">A fin 2025, la température du portefeuille est en légère baisse, à </w:t>
                      </w:r>
                      <w:r w:rsidR="00A2161E">
                        <w:rPr>
                          <w:rFonts w:asciiTheme="minorHAnsi" w:hAnsiTheme="minorHAnsi" w:cs="Open Sans"/>
                          <w:b/>
                          <w:bCs/>
                          <w:color w:val="000000" w:themeColor="text1"/>
                          <w:sz w:val="20"/>
                          <w:szCs w:val="20"/>
                          <w:lang w:val="fr-FR"/>
                        </w:rPr>
                        <w:t>2,01</w:t>
                      </w:r>
                      <w:r w:rsidRPr="00662190">
                        <w:rPr>
                          <w:rFonts w:asciiTheme="minorHAnsi" w:hAnsiTheme="minorHAnsi" w:cs="Open Sans"/>
                          <w:b/>
                          <w:bCs/>
                          <w:color w:val="000000" w:themeColor="text1"/>
                          <w:sz w:val="20"/>
                          <w:szCs w:val="20"/>
                          <w:lang w:val="fr-FR"/>
                        </w:rPr>
                        <w:t xml:space="preserve"> °C.</w:t>
                      </w:r>
                    </w:p>
                    <w:p w14:paraId="081E60E4" w14:textId="77777777" w:rsidR="00662190" w:rsidRPr="00662190" w:rsidRDefault="00662190" w:rsidP="00662190">
                      <w:pPr>
                        <w:jc w:val="center"/>
                        <w:rPr>
                          <w:b/>
                          <w:bCs/>
                          <w:color w:val="000000" w:themeColor="text1"/>
                          <w:lang w:val="fr-FR"/>
                        </w:rPr>
                      </w:pPr>
                    </w:p>
                  </w:txbxContent>
                </v:textbox>
              </v:rect>
            </w:pict>
          </mc:Fallback>
        </mc:AlternateContent>
      </w:r>
    </w:p>
    <w:p w14:paraId="415E1CA1" w14:textId="77777777" w:rsidR="00662190" w:rsidRPr="00A74D23" w:rsidRDefault="00662190" w:rsidP="009D6EE5">
      <w:pPr>
        <w:spacing w:line="22" w:lineRule="atLeast"/>
        <w:jc w:val="both"/>
        <w:rPr>
          <w:rFonts w:asciiTheme="minorHAnsi" w:hAnsiTheme="minorHAnsi" w:cs="Open Sans"/>
          <w:sz w:val="20"/>
          <w:szCs w:val="20"/>
          <w:lang w:val="fr-FR"/>
        </w:rPr>
      </w:pPr>
    </w:p>
    <w:p w14:paraId="637E82FE" w14:textId="2C8C7C87" w:rsidR="001C0722" w:rsidRPr="00A74D23" w:rsidRDefault="001C0722" w:rsidP="009D6EE5">
      <w:pPr>
        <w:spacing w:line="22" w:lineRule="atLeast"/>
        <w:jc w:val="both"/>
        <w:rPr>
          <w:rFonts w:asciiTheme="minorHAnsi" w:hAnsiTheme="minorHAnsi" w:cs="Open Sans"/>
          <w:sz w:val="20"/>
          <w:szCs w:val="20"/>
          <w:lang w:val="fr-FR"/>
        </w:rPr>
      </w:pPr>
    </w:p>
    <w:p w14:paraId="1C93E935" w14:textId="77777777" w:rsidR="003E51D0" w:rsidRPr="00A74D23" w:rsidRDefault="003E51D0" w:rsidP="009D6EE5">
      <w:pPr>
        <w:spacing w:line="22" w:lineRule="atLeast"/>
        <w:jc w:val="both"/>
        <w:rPr>
          <w:rFonts w:asciiTheme="minorHAnsi" w:hAnsiTheme="minorHAnsi" w:cs="Open Sans"/>
          <w:sz w:val="20"/>
          <w:szCs w:val="20"/>
          <w:lang w:val="fr-FR"/>
        </w:rPr>
      </w:pPr>
    </w:p>
    <w:p w14:paraId="312D84C9" w14:textId="231B310D" w:rsidR="00662190" w:rsidRPr="00A74D23" w:rsidRDefault="00662190" w:rsidP="009D6EE5">
      <w:pPr>
        <w:spacing w:line="22" w:lineRule="atLeast"/>
        <w:jc w:val="both"/>
        <w:rPr>
          <w:rFonts w:asciiTheme="minorHAnsi" w:hAnsiTheme="minorHAnsi" w:cs="Open Sans"/>
          <w:sz w:val="20"/>
          <w:szCs w:val="20"/>
          <w:lang w:val="fr-FR"/>
        </w:rPr>
      </w:pPr>
    </w:p>
    <w:p w14:paraId="47207EAF" w14:textId="23B20324" w:rsidR="00606E22" w:rsidRPr="00A74D23" w:rsidRDefault="00CE7CDE" w:rsidP="009D6EE5">
      <w:pPr>
        <w:spacing w:line="22" w:lineRule="atLeast"/>
        <w:jc w:val="both"/>
        <w:rPr>
          <w:rFonts w:asciiTheme="minorHAnsi" w:hAnsiTheme="minorHAnsi" w:cs="Open Sans"/>
          <w:sz w:val="20"/>
          <w:szCs w:val="20"/>
          <w:lang w:val="fr-FR"/>
        </w:rPr>
      </w:pPr>
      <w:r w:rsidRPr="00A74D23">
        <w:rPr>
          <w:rFonts w:asciiTheme="minorHAnsi" w:hAnsiTheme="minorHAnsi" w:cs="Open Sans"/>
          <w:noProof/>
          <w:sz w:val="20"/>
          <w:lang w:val="fr-FR"/>
        </w:rPr>
        <mc:AlternateContent>
          <mc:Choice Requires="wps">
            <w:drawing>
              <wp:anchor distT="0" distB="0" distL="114300" distR="114300" simplePos="0" relativeHeight="251725824" behindDoc="0" locked="0" layoutInCell="1" allowOverlap="1" wp14:anchorId="7F2F4295" wp14:editId="6E2F2B4D">
                <wp:simplePos x="0" y="0"/>
                <wp:positionH relativeFrom="margin">
                  <wp:posOffset>0</wp:posOffset>
                </wp:positionH>
                <wp:positionV relativeFrom="paragraph">
                  <wp:posOffset>170815</wp:posOffset>
                </wp:positionV>
                <wp:extent cx="6061075" cy="676275"/>
                <wp:effectExtent l="0" t="0" r="0" b="9525"/>
                <wp:wrapNone/>
                <wp:docPr id="16511333" name="Rectangle 5"/>
                <wp:cNvGraphicFramePr/>
                <a:graphic xmlns:a="http://schemas.openxmlformats.org/drawingml/2006/main">
                  <a:graphicData uri="http://schemas.microsoft.com/office/word/2010/wordprocessingShape">
                    <wps:wsp>
                      <wps:cNvSpPr/>
                      <wps:spPr>
                        <a:xfrm>
                          <a:off x="0" y="0"/>
                          <a:ext cx="6061075" cy="676275"/>
                        </a:xfrm>
                        <a:prstGeom prst="rect">
                          <a:avLst/>
                        </a:prstGeom>
                        <a:solidFill>
                          <a:schemeClr val="bg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06739B" w14:textId="77777777" w:rsidR="00CE7CDE" w:rsidRDefault="00CE7CDE" w:rsidP="00CE7CDE">
                            <w:pPr>
                              <w:spacing w:line="276" w:lineRule="auto"/>
                              <w:jc w:val="both"/>
                              <w:rPr>
                                <w:rFonts w:asciiTheme="minorHAnsi" w:hAnsiTheme="minorHAnsi" w:cs="Open Sans"/>
                                <w:color w:val="000000" w:themeColor="text1"/>
                                <w:sz w:val="20"/>
                                <w:lang w:val="fr-FR"/>
                              </w:rPr>
                            </w:pPr>
                          </w:p>
                          <w:p w14:paraId="058DAB92" w14:textId="26E8E942" w:rsidR="00CE7CDE" w:rsidRPr="00BB2CA5" w:rsidRDefault="00CE7CDE" w:rsidP="00CE7CDE">
                            <w:pPr>
                              <w:spacing w:line="276" w:lineRule="auto"/>
                              <w:jc w:val="both"/>
                              <w:rPr>
                                <w:rFonts w:asciiTheme="minorHAnsi" w:hAnsiTheme="minorHAnsi" w:cs="Open Sans"/>
                                <w:color w:val="000000" w:themeColor="text1"/>
                                <w:sz w:val="20"/>
                                <w:lang w:val="fr-FR"/>
                              </w:rPr>
                            </w:pPr>
                            <w:r w:rsidRPr="004D6E4D">
                              <w:rPr>
                                <w:rFonts w:asciiTheme="minorHAnsi" w:hAnsiTheme="minorHAnsi" w:cs="Open Sans"/>
                                <w:color w:val="000000" w:themeColor="text1"/>
                                <w:sz w:val="20"/>
                                <w:lang w:val="fr-FR"/>
                              </w:rPr>
                              <w:t xml:space="preserve">A titre de comparaison, </w:t>
                            </w:r>
                            <w:r>
                              <w:rPr>
                                <w:rFonts w:asciiTheme="minorHAnsi" w:hAnsiTheme="minorHAnsi" w:cs="Open Sans"/>
                                <w:color w:val="000000" w:themeColor="text1"/>
                                <w:sz w:val="20"/>
                                <w:lang w:val="fr-FR"/>
                              </w:rPr>
                              <w:t>la température du</w:t>
                            </w:r>
                            <w:r w:rsidRPr="004D6E4D">
                              <w:rPr>
                                <w:rFonts w:asciiTheme="minorHAnsi" w:hAnsiTheme="minorHAnsi" w:cs="Open Sans"/>
                                <w:color w:val="000000" w:themeColor="text1"/>
                                <w:sz w:val="20"/>
                                <w:lang w:val="fr-FR"/>
                              </w:rPr>
                              <w:t xml:space="preserve"> portefeuille d'investissements corporate en</w:t>
                            </w:r>
                            <w:r>
                              <w:rPr>
                                <w:rFonts w:asciiTheme="minorHAnsi" w:hAnsiTheme="minorHAnsi" w:cs="Open Sans"/>
                                <w:b/>
                                <w:bCs/>
                                <w:color w:val="000000" w:themeColor="text1"/>
                                <w:sz w:val="20"/>
                                <w:lang w:val="fr-FR"/>
                              </w:rPr>
                              <w:t xml:space="preserve"> Unités de Compte </w:t>
                            </w:r>
                            <w:r w:rsidRPr="004D6E4D">
                              <w:rPr>
                                <w:rFonts w:asciiTheme="minorHAnsi" w:hAnsiTheme="minorHAnsi" w:cs="Open Sans"/>
                                <w:color w:val="000000" w:themeColor="text1"/>
                                <w:sz w:val="20"/>
                                <w:lang w:val="fr-FR"/>
                              </w:rPr>
                              <w:t>Abeille Assurances est de</w:t>
                            </w:r>
                            <w:r>
                              <w:rPr>
                                <w:rFonts w:asciiTheme="minorHAnsi" w:hAnsiTheme="minorHAnsi" w:cs="Open Sans"/>
                                <w:b/>
                                <w:bCs/>
                                <w:color w:val="000000" w:themeColor="text1"/>
                                <w:sz w:val="20"/>
                                <w:lang w:val="fr-FR"/>
                              </w:rPr>
                              <w:t xml:space="preserve"> </w:t>
                            </w:r>
                            <w:r w:rsidR="005F26B2">
                              <w:rPr>
                                <w:rFonts w:asciiTheme="minorHAnsi" w:hAnsiTheme="minorHAnsi" w:cs="Open Sans"/>
                                <w:b/>
                                <w:bCs/>
                                <w:color w:val="000000" w:themeColor="text1"/>
                                <w:sz w:val="20"/>
                                <w:lang w:val="fr-FR"/>
                              </w:rPr>
                              <w:t>2,</w:t>
                            </w:r>
                            <w:r w:rsidR="006C760F">
                              <w:rPr>
                                <w:rFonts w:asciiTheme="minorHAnsi" w:hAnsiTheme="minorHAnsi" w:cs="Open Sans"/>
                                <w:b/>
                                <w:bCs/>
                                <w:color w:val="000000" w:themeColor="text1"/>
                                <w:sz w:val="20"/>
                                <w:lang w:val="fr-FR"/>
                              </w:rPr>
                              <w:t>09</w:t>
                            </w:r>
                            <w:r w:rsidR="005F26B2">
                              <w:rPr>
                                <w:rFonts w:asciiTheme="minorHAnsi" w:hAnsiTheme="minorHAnsi" w:cs="Open Sans"/>
                                <w:b/>
                                <w:bCs/>
                                <w:color w:val="000000" w:themeColor="text1"/>
                                <w:sz w:val="20"/>
                                <w:lang w:val="fr-FR"/>
                              </w:rPr>
                              <w:t>°C en 2025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2F4295" id="_x0000_s1126" style="position:absolute;left:0;text-align:left;margin-left:0;margin-top:13.45pt;width:477.25pt;height:53.2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" fillcolor="#daeeec [670]" stroked="f" strokeweight="1pt">
                <v:textbox>
                  <w:txbxContent>
                    <w:p w14:paraId="0F06739B" w14:textId="77777777" w:rsidR="00CE7CDE" w:rsidRDefault="00CE7CDE" w:rsidP="00CE7CDE">
                      <w:pPr>
                        <w:spacing w:line="276" w:lineRule="auto"/>
                        <w:jc w:val="both"/>
                        <w:rPr>
                          <w:rFonts w:asciiTheme="minorHAnsi" w:hAnsiTheme="minorHAnsi" w:cs="Open Sans"/>
                          <w:color w:val="000000" w:themeColor="text1"/>
                          <w:sz w:val="20"/>
                          <w:lang w:val="fr-FR"/>
                        </w:rPr>
                      </w:pPr>
                    </w:p>
                    <w:p w14:paraId="058DAB92" w14:textId="26E8E942" w:rsidR="00CE7CDE" w:rsidRPr="00BB2CA5" w:rsidRDefault="00CE7CDE" w:rsidP="00CE7CDE">
                      <w:pPr>
                        <w:spacing w:line="276" w:lineRule="auto"/>
                        <w:jc w:val="both"/>
                        <w:rPr>
                          <w:rFonts w:asciiTheme="minorHAnsi" w:hAnsiTheme="minorHAnsi" w:cs="Open Sans"/>
                          <w:color w:val="000000" w:themeColor="text1"/>
                          <w:sz w:val="20"/>
                          <w:lang w:val="fr-FR"/>
                        </w:rPr>
                      </w:pPr>
                      <w:r w:rsidRPr="004D6E4D">
                        <w:rPr>
                          <w:rFonts w:asciiTheme="minorHAnsi" w:hAnsiTheme="minorHAnsi" w:cs="Open Sans"/>
                          <w:color w:val="000000" w:themeColor="text1"/>
                          <w:sz w:val="20"/>
                          <w:lang w:val="fr-FR"/>
                        </w:rPr>
                        <w:t xml:space="preserve">A titre de comparaison, </w:t>
                      </w:r>
                      <w:r>
                        <w:rPr>
                          <w:rFonts w:asciiTheme="minorHAnsi" w:hAnsiTheme="minorHAnsi" w:cs="Open Sans"/>
                          <w:color w:val="000000" w:themeColor="text1"/>
                          <w:sz w:val="20"/>
                          <w:lang w:val="fr-FR"/>
                        </w:rPr>
                        <w:t>la température du</w:t>
                      </w:r>
                      <w:r w:rsidRPr="004D6E4D">
                        <w:rPr>
                          <w:rFonts w:asciiTheme="minorHAnsi" w:hAnsiTheme="minorHAnsi" w:cs="Open Sans"/>
                          <w:color w:val="000000" w:themeColor="text1"/>
                          <w:sz w:val="20"/>
                          <w:lang w:val="fr-FR"/>
                        </w:rPr>
                        <w:t xml:space="preserve"> portefeuille d'investissements corporate en</w:t>
                      </w:r>
                      <w:r>
                        <w:rPr>
                          <w:rFonts w:asciiTheme="minorHAnsi" w:hAnsiTheme="minorHAnsi" w:cs="Open Sans"/>
                          <w:b/>
                          <w:bCs/>
                          <w:color w:val="000000" w:themeColor="text1"/>
                          <w:sz w:val="20"/>
                          <w:lang w:val="fr-FR"/>
                        </w:rPr>
                        <w:t xml:space="preserve"> Unités de Compte </w:t>
                      </w:r>
                      <w:r w:rsidRPr="004D6E4D">
                        <w:rPr>
                          <w:rFonts w:asciiTheme="minorHAnsi" w:hAnsiTheme="minorHAnsi" w:cs="Open Sans"/>
                          <w:color w:val="000000" w:themeColor="text1"/>
                          <w:sz w:val="20"/>
                          <w:lang w:val="fr-FR"/>
                        </w:rPr>
                        <w:t>Abeille Assurances est de</w:t>
                      </w:r>
                      <w:r>
                        <w:rPr>
                          <w:rFonts w:asciiTheme="minorHAnsi" w:hAnsiTheme="minorHAnsi" w:cs="Open Sans"/>
                          <w:b/>
                          <w:bCs/>
                          <w:color w:val="000000" w:themeColor="text1"/>
                          <w:sz w:val="20"/>
                          <w:lang w:val="fr-FR"/>
                        </w:rPr>
                        <w:t xml:space="preserve"> </w:t>
                      </w:r>
                      <w:r w:rsidR="005F26B2">
                        <w:rPr>
                          <w:rFonts w:asciiTheme="minorHAnsi" w:hAnsiTheme="minorHAnsi" w:cs="Open Sans"/>
                          <w:b/>
                          <w:bCs/>
                          <w:color w:val="000000" w:themeColor="text1"/>
                          <w:sz w:val="20"/>
                          <w:lang w:val="fr-FR"/>
                        </w:rPr>
                        <w:t>2,</w:t>
                      </w:r>
                      <w:r w:rsidR="006C760F">
                        <w:rPr>
                          <w:rFonts w:asciiTheme="minorHAnsi" w:hAnsiTheme="minorHAnsi" w:cs="Open Sans"/>
                          <w:b/>
                          <w:bCs/>
                          <w:color w:val="000000" w:themeColor="text1"/>
                          <w:sz w:val="20"/>
                          <w:lang w:val="fr-FR"/>
                        </w:rPr>
                        <w:t>09</w:t>
                      </w:r>
                      <w:r w:rsidR="005F26B2">
                        <w:rPr>
                          <w:rFonts w:asciiTheme="minorHAnsi" w:hAnsiTheme="minorHAnsi" w:cs="Open Sans"/>
                          <w:b/>
                          <w:bCs/>
                          <w:color w:val="000000" w:themeColor="text1"/>
                          <w:sz w:val="20"/>
                          <w:lang w:val="fr-FR"/>
                        </w:rPr>
                        <w:t>°C en 2025</w:t>
                      </w:r>
                    </w:p>
                  </w:txbxContent>
                </v:textbox>
                <w10:wrap anchorx="margin"/>
              </v:rect>
            </w:pict>
          </mc:Fallback>
        </mc:AlternateContent>
      </w:r>
      <w:r w:rsidRPr="00A74D23">
        <w:rPr>
          <w:rFonts w:asciiTheme="minorHAnsi" w:hAnsiTheme="minorHAnsi" w:cs="Open Sans"/>
          <w:noProof/>
          <w:sz w:val="20"/>
          <w:szCs w:val="20"/>
          <w:lang w:val="fr-FR"/>
        </w:rPr>
        <mc:AlternateContent>
          <mc:Choice Requires="wps">
            <w:drawing>
              <wp:anchor distT="0" distB="0" distL="114300" distR="114300" simplePos="0" relativeHeight="251727872" behindDoc="0" locked="0" layoutInCell="1" allowOverlap="1" wp14:anchorId="32CBC998" wp14:editId="229D0C1B">
                <wp:simplePos x="0" y="0"/>
                <wp:positionH relativeFrom="column">
                  <wp:posOffset>1733550</wp:posOffset>
                </wp:positionH>
                <wp:positionV relativeFrom="paragraph">
                  <wp:posOffset>-635</wp:posOffset>
                </wp:positionV>
                <wp:extent cx="2390775" cy="285750"/>
                <wp:effectExtent l="0" t="0" r="9525" b="0"/>
                <wp:wrapNone/>
                <wp:docPr id="14283003" name="Rectangle 6"/>
                <wp:cNvGraphicFramePr/>
                <a:graphic xmlns:a="http://schemas.openxmlformats.org/drawingml/2006/main">
                  <a:graphicData uri="http://schemas.microsoft.com/office/word/2010/wordprocessingShape">
                    <wps:wsp>
                      <wps:cNvSpPr/>
                      <wps:spPr>
                        <a:xfrm>
                          <a:off x="0" y="0"/>
                          <a:ext cx="2390775" cy="28575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FBC49A" w14:textId="77777777" w:rsidR="00CE7CDE" w:rsidRPr="004D6E4D" w:rsidRDefault="00CE7CDE" w:rsidP="00CE7CDE">
                            <w:pPr>
                              <w:jc w:val="center"/>
                              <w:rPr>
                                <w:rFonts w:asciiTheme="minorHAnsi" w:hAnsiTheme="minorHAnsi"/>
                                <w:b/>
                                <w:bCs/>
                                <w:color w:val="000000" w:themeColor="text1"/>
                                <w:lang w:val="fr-FR"/>
                              </w:rPr>
                            </w:pPr>
                            <w:r w:rsidRPr="004D6E4D">
                              <w:rPr>
                                <w:rFonts w:asciiTheme="minorHAnsi" w:hAnsiTheme="minorHAnsi"/>
                                <w:b/>
                                <w:bCs/>
                                <w:color w:val="000000" w:themeColor="text1"/>
                                <w:lang w:val="fr-FR"/>
                              </w:rPr>
                              <w:t>Et sur les Unités de Compte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CBC998" id="_x0000_s1127" style="position:absolute;left:0;text-align:left;margin-left:136.5pt;margin-top:-.05pt;width:188.25pt;height:22.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" fillcolor="#4ca79f [3214]" stroked="f" strokeweight="1pt">
                <v:textbox>
                  <w:txbxContent>
                    <w:p w14:paraId="26FBC49A" w14:textId="77777777" w:rsidR="00CE7CDE" w:rsidRPr="004D6E4D" w:rsidRDefault="00CE7CDE" w:rsidP="00CE7CDE">
                      <w:pPr>
                        <w:jc w:val="center"/>
                        <w:rPr>
                          <w:rFonts w:asciiTheme="minorHAnsi" w:hAnsiTheme="minorHAnsi"/>
                          <w:b/>
                          <w:bCs/>
                          <w:color w:val="000000" w:themeColor="text1"/>
                          <w:lang w:val="fr-FR"/>
                        </w:rPr>
                      </w:pPr>
                      <w:r w:rsidRPr="004D6E4D">
                        <w:rPr>
                          <w:rFonts w:asciiTheme="minorHAnsi" w:hAnsiTheme="minorHAnsi"/>
                          <w:b/>
                          <w:bCs/>
                          <w:color w:val="000000" w:themeColor="text1"/>
                          <w:lang w:val="fr-FR"/>
                        </w:rPr>
                        <w:t>Et sur les Unités de Compte ?</w:t>
                      </w:r>
                    </w:p>
                  </w:txbxContent>
                </v:textbox>
              </v:rect>
            </w:pict>
          </mc:Fallback>
        </mc:AlternateContent>
      </w:r>
    </w:p>
    <w:p w14:paraId="44A8EC4C" w14:textId="60F1D744" w:rsidR="00606E22" w:rsidRPr="00A74D23" w:rsidRDefault="00606E22" w:rsidP="009D6EE5">
      <w:pPr>
        <w:spacing w:line="22" w:lineRule="atLeast"/>
        <w:jc w:val="both"/>
        <w:rPr>
          <w:rFonts w:asciiTheme="minorHAnsi" w:hAnsiTheme="minorHAnsi" w:cs="Open Sans"/>
          <w:sz w:val="20"/>
          <w:szCs w:val="20"/>
          <w:lang w:val="fr-FR"/>
        </w:rPr>
      </w:pPr>
    </w:p>
    <w:p w14:paraId="1F7DE898" w14:textId="26B4DCF0" w:rsidR="00606E22" w:rsidRPr="00A74D23" w:rsidRDefault="00606E22" w:rsidP="009D6EE5">
      <w:pPr>
        <w:spacing w:line="22" w:lineRule="atLeast"/>
        <w:jc w:val="both"/>
        <w:rPr>
          <w:rFonts w:asciiTheme="minorHAnsi" w:hAnsiTheme="minorHAnsi" w:cs="Open Sans"/>
          <w:sz w:val="20"/>
          <w:szCs w:val="20"/>
          <w:lang w:val="fr-FR"/>
        </w:rPr>
      </w:pPr>
    </w:p>
    <w:p w14:paraId="3C50BF8C" w14:textId="77777777" w:rsidR="00606E22" w:rsidRPr="00A74D23" w:rsidRDefault="00606E22" w:rsidP="009D6EE5">
      <w:pPr>
        <w:spacing w:line="22" w:lineRule="atLeast"/>
        <w:jc w:val="both"/>
        <w:rPr>
          <w:rFonts w:asciiTheme="minorHAnsi" w:hAnsiTheme="minorHAnsi" w:cs="Open Sans"/>
          <w:sz w:val="20"/>
          <w:szCs w:val="20"/>
          <w:lang w:val="fr-FR"/>
        </w:rPr>
      </w:pPr>
    </w:p>
    <w:p w14:paraId="00D13DC6" w14:textId="77777777" w:rsidR="00606E22" w:rsidRPr="00A74D23" w:rsidRDefault="00606E22" w:rsidP="009D6EE5">
      <w:pPr>
        <w:spacing w:line="22" w:lineRule="atLeast"/>
        <w:jc w:val="both"/>
        <w:rPr>
          <w:rFonts w:asciiTheme="minorHAnsi" w:hAnsiTheme="minorHAnsi" w:cs="Open Sans"/>
          <w:sz w:val="20"/>
          <w:szCs w:val="20"/>
          <w:lang w:val="fr-FR"/>
        </w:rPr>
      </w:pPr>
    </w:p>
    <w:p w14:paraId="655AA6D3" w14:textId="66093C83" w:rsidR="00FE48EB" w:rsidRPr="00A74D23" w:rsidRDefault="00FE48EB" w:rsidP="009D6EE5">
      <w:pPr>
        <w:spacing w:line="22" w:lineRule="atLeast"/>
        <w:jc w:val="both"/>
        <w:rPr>
          <w:rFonts w:asciiTheme="minorHAnsi" w:hAnsiTheme="minorHAnsi" w:cs="Open Sans"/>
          <w:sz w:val="20"/>
          <w:szCs w:val="20"/>
          <w:lang w:val="fr-FR"/>
        </w:rPr>
      </w:pPr>
    </w:p>
    <w:p w14:paraId="21F30370" w14:textId="77777777" w:rsidR="00606E22" w:rsidRPr="00A74D23" w:rsidRDefault="00606E22" w:rsidP="009D6EE5">
      <w:pPr>
        <w:spacing w:line="22" w:lineRule="atLeast"/>
        <w:jc w:val="both"/>
        <w:rPr>
          <w:rFonts w:asciiTheme="minorHAnsi" w:hAnsiTheme="minorHAnsi" w:cs="Open Sans"/>
          <w:sz w:val="20"/>
          <w:szCs w:val="20"/>
          <w:lang w:val="fr-FR"/>
        </w:rPr>
      </w:pPr>
    </w:p>
    <w:p w14:paraId="65BCD7CC" w14:textId="77777777" w:rsidR="00051444" w:rsidRPr="00A74D23" w:rsidRDefault="00051444" w:rsidP="009D6EE5">
      <w:pPr>
        <w:spacing w:line="22" w:lineRule="atLeast"/>
        <w:jc w:val="both"/>
        <w:rPr>
          <w:rFonts w:asciiTheme="minorHAnsi" w:hAnsiTheme="minorHAnsi" w:cs="Open Sans"/>
          <w:sz w:val="20"/>
          <w:szCs w:val="20"/>
          <w:lang w:val="fr-FR"/>
        </w:rPr>
      </w:pPr>
    </w:p>
    <w:p w14:paraId="1ABC88EC" w14:textId="249207DC" w:rsidR="001534C3" w:rsidRPr="00A74D23" w:rsidRDefault="001C0722" w:rsidP="009D6EE5">
      <w:pPr>
        <w:pStyle w:val="pf0"/>
        <w:spacing w:before="0" w:beforeAutospacing="0" w:after="0" w:afterAutospacing="0" w:line="22" w:lineRule="atLeast"/>
        <w:jc w:val="both"/>
        <w:rPr>
          <w:rFonts w:asciiTheme="minorHAnsi" w:hAnsiTheme="minorHAnsi" w:cs="Open Sans"/>
          <w:sz w:val="20"/>
          <w:szCs w:val="20"/>
        </w:rPr>
      </w:pPr>
      <w:r w:rsidRPr="00A74D23">
        <w:rPr>
          <w:rFonts w:asciiTheme="minorHAnsi" w:hAnsiTheme="minorHAnsi" w:cs="Open Sans"/>
          <w:b/>
          <w:bCs/>
          <w:noProof/>
        </w:rPr>
        <mc:AlternateContent>
          <mc:Choice Requires="wps">
            <w:drawing>
              <wp:anchor distT="0" distB="0" distL="114300" distR="114300" simplePos="0" relativeHeight="251384832" behindDoc="0" locked="0" layoutInCell="1" allowOverlap="1" wp14:anchorId="73F0271C" wp14:editId="7AA846D3">
                <wp:simplePos x="0" y="0"/>
                <wp:positionH relativeFrom="column">
                  <wp:posOffset>1655182</wp:posOffset>
                </wp:positionH>
                <wp:positionV relativeFrom="paragraph">
                  <wp:posOffset>12221</wp:posOffset>
                </wp:positionV>
                <wp:extent cx="2703830" cy="378519"/>
                <wp:effectExtent l="0" t="0" r="1270" b="2540"/>
                <wp:wrapNone/>
                <wp:docPr id="2117237004" name="Rectangle : coins arrondis 1"/>
                <wp:cNvGraphicFramePr/>
                <a:graphic xmlns:a="http://schemas.openxmlformats.org/drawingml/2006/main">
                  <a:graphicData uri="http://schemas.microsoft.com/office/word/2010/wordprocessingShape">
                    <wps:wsp>
                      <wps:cNvSpPr/>
                      <wps:spPr>
                        <a:xfrm>
                          <a:off x="0" y="0"/>
                          <a:ext cx="2703830" cy="378519"/>
                        </a:xfrm>
                        <a:prstGeom prst="round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21AC94" w14:textId="4E1E6F09" w:rsidR="003045B1" w:rsidRPr="001C0722" w:rsidRDefault="003045B1" w:rsidP="003045B1">
                            <w:pPr>
                              <w:jc w:val="center"/>
                              <w:rPr>
                                <w:rFonts w:asciiTheme="minorHAnsi" w:hAnsiTheme="minorHAnsi"/>
                                <w:b/>
                                <w:bCs/>
                                <w:color w:val="000000" w:themeColor="text1"/>
                                <w:sz w:val="32"/>
                                <w:szCs w:val="32"/>
                              </w:rPr>
                            </w:pPr>
                            <w:r w:rsidRPr="001C0722">
                              <w:rPr>
                                <w:rFonts w:asciiTheme="minorHAnsi" w:hAnsiTheme="minorHAnsi"/>
                                <w:b/>
                                <w:bCs/>
                                <w:color w:val="000000" w:themeColor="text1"/>
                                <w:sz w:val="32"/>
                                <w:szCs w:val="32"/>
                              </w:rPr>
                              <w:t>En conclusion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F0271C" id="_x0000_s1128" style="position:absolute;left:0;text-align:left;margin-left:130.35pt;margin-top:.95pt;width:212.9pt;height:29.8pt;z-index:25138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" fillcolor="#ffd400 [3204]" stroked="f" strokeweight="1pt">
                <v:stroke joinstyle="miter"/>
                <v:textbox>
                  <w:txbxContent>
                    <w:p w14:paraId="1D21AC94" w14:textId="4E1E6F09" w:rsidR="003045B1" w:rsidRPr="001C0722" w:rsidRDefault="003045B1" w:rsidP="003045B1">
                      <w:pPr>
                        <w:jc w:val="center"/>
                        <w:rPr>
                          <w:rFonts w:asciiTheme="minorHAnsi" w:hAnsiTheme="minorHAnsi"/>
                          <w:b/>
                          <w:bCs/>
                          <w:color w:val="000000" w:themeColor="text1"/>
                          <w:sz w:val="32"/>
                          <w:szCs w:val="32"/>
                        </w:rPr>
                      </w:pPr>
                      <w:r w:rsidRPr="001C0722">
                        <w:rPr>
                          <w:rFonts w:asciiTheme="minorHAnsi" w:hAnsiTheme="minorHAnsi"/>
                          <w:b/>
                          <w:bCs/>
                          <w:color w:val="000000" w:themeColor="text1"/>
                          <w:sz w:val="32"/>
                          <w:szCs w:val="32"/>
                        </w:rPr>
                        <w:t>En conclusion</w:t>
                      </w:r>
                    </w:p>
                  </w:txbxContent>
                </v:textbox>
              </v:roundrect>
            </w:pict>
          </mc:Fallback>
        </mc:AlternateContent>
      </w:r>
    </w:p>
    <w:p w14:paraId="6C89831E" w14:textId="706C1BA8" w:rsidR="00CC250D" w:rsidRPr="00A74D23" w:rsidRDefault="002A7323" w:rsidP="009D6EE5">
      <w:pPr>
        <w:pStyle w:val="Style1"/>
        <w:numPr>
          <w:ilvl w:val="0"/>
          <w:numId w:val="0"/>
        </w:numPr>
        <w:tabs>
          <w:tab w:val="clear" w:pos="2010"/>
          <w:tab w:val="left" w:pos="1134"/>
        </w:tabs>
        <w:spacing w:line="22" w:lineRule="atLeast"/>
        <w:ind w:firstLine="284"/>
        <w:jc w:val="both"/>
        <w:rPr>
          <w:rFonts w:cs="Open Sans"/>
          <w:i w:val="0"/>
          <w:color w:val="auto"/>
          <w:sz w:val="20"/>
        </w:rPr>
      </w:pPr>
      <w:r w:rsidRPr="00A74D23">
        <w:rPr>
          <w:rFonts w:eastAsia="Calibri" w:cs="Open Sans"/>
          <w:i w:val="0"/>
          <w:iCs w:val="0"/>
          <w:noProof/>
          <w:color w:val="auto"/>
          <w:sz w:val="20"/>
          <w:szCs w:val="20"/>
          <w:lang w:eastAsia="fr-FR"/>
        </w:rPr>
        <mc:AlternateContent>
          <mc:Choice Requires="wpg">
            <w:drawing>
              <wp:anchor distT="0" distB="0" distL="114300" distR="114300" simplePos="0" relativeHeight="251378688" behindDoc="0" locked="0" layoutInCell="1" allowOverlap="1" wp14:anchorId="1CA0E154" wp14:editId="33A44959">
                <wp:simplePos x="0" y="0"/>
                <wp:positionH relativeFrom="margin">
                  <wp:posOffset>5626965</wp:posOffset>
                </wp:positionH>
                <wp:positionV relativeFrom="paragraph">
                  <wp:posOffset>2389386</wp:posOffset>
                </wp:positionV>
                <wp:extent cx="389890" cy="281305"/>
                <wp:effectExtent l="0" t="0" r="10160" b="23495"/>
                <wp:wrapNone/>
                <wp:docPr id="487505806" name="Groupe 132"/>
                <wp:cNvGraphicFramePr/>
                <a:graphic xmlns:a="http://schemas.openxmlformats.org/drawingml/2006/main">
                  <a:graphicData uri="http://schemas.microsoft.com/office/word/2010/wordprocessingGroup">
                    <wpg:wgp>
                      <wpg:cNvGrpSpPr/>
                      <wpg:grpSpPr>
                        <a:xfrm flipH="1">
                          <a:off x="0" y="0"/>
                          <a:ext cx="389890" cy="281305"/>
                          <a:chOff x="0" y="0"/>
                          <a:chExt cx="480287" cy="346688"/>
                        </a:xfrm>
                      </wpg:grpSpPr>
                      <wps:wsp>
                        <wps:cNvPr id="374999860"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1233284791"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5BB13759" id="Groupe 132" o:spid="_x0000_s1026" style="position:absolute;margin-left:443.05pt;margin-top:188.15pt;width:30.7pt;height:22.15pt;flip:x;z-index:251378688;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r w:rsidR="003045B1" w:rsidRPr="00A74D23">
        <w:rPr>
          <w:rFonts w:cs="Open Sans"/>
          <w:noProof/>
        </w:rPr>
        <mc:AlternateContent>
          <mc:Choice Requires="wps">
            <w:drawing>
              <wp:anchor distT="0" distB="0" distL="114300" distR="114300" simplePos="0" relativeHeight="251374592" behindDoc="0" locked="0" layoutInCell="1" allowOverlap="1" wp14:anchorId="769B567C" wp14:editId="6DED4C27">
                <wp:simplePos x="0" y="0"/>
                <wp:positionH relativeFrom="column">
                  <wp:posOffset>504935</wp:posOffset>
                </wp:positionH>
                <wp:positionV relativeFrom="paragraph">
                  <wp:posOffset>8585</wp:posOffset>
                </wp:positionV>
                <wp:extent cx="5089975" cy="2802835"/>
                <wp:effectExtent l="0" t="0" r="0" b="0"/>
                <wp:wrapNone/>
                <wp:docPr id="1635609358" name="Zone de texte 1635609358"/>
                <wp:cNvGraphicFramePr/>
                <a:graphic xmlns:a="http://schemas.openxmlformats.org/drawingml/2006/main">
                  <a:graphicData uri="http://schemas.microsoft.com/office/word/2010/wordprocessingShape">
                    <wps:wsp>
                      <wps:cNvSpPr txBox="1"/>
                      <wps:spPr>
                        <a:xfrm>
                          <a:off x="0" y="0"/>
                          <a:ext cx="5089975" cy="2802835"/>
                        </a:xfrm>
                        <a:prstGeom prst="rect">
                          <a:avLst/>
                        </a:prstGeom>
                        <a:solidFill>
                          <a:schemeClr val="lt1"/>
                        </a:solidFill>
                        <a:ln w="6350">
                          <a:noFill/>
                        </a:ln>
                      </wps:spPr>
                      <wps:txbx>
                        <w:txbxContent>
                          <w:p w14:paraId="30462F06" w14:textId="17466DE1" w:rsidR="00CC250D" w:rsidRDefault="00E5553F" w:rsidP="00CC250D">
                            <w:pPr>
                              <w:pStyle w:val="Style1"/>
                              <w:numPr>
                                <w:ilvl w:val="0"/>
                                <w:numId w:val="0"/>
                              </w:numPr>
                              <w:tabs>
                                <w:tab w:val="left" w:pos="426"/>
                              </w:tabs>
                              <w:jc w:val="both"/>
                              <w:rPr>
                                <w:rFonts w:ascii="Source Sans Pro" w:hAnsi="Source Sans Pro"/>
                                <w:i w:val="0"/>
                                <w:iCs w:val="0"/>
                                <w:color w:val="000000" w:themeColor="text1"/>
                                <w:sz w:val="20"/>
                              </w:rPr>
                            </w:pPr>
                            <w:r>
                              <w:rPr>
                                <w:rFonts w:ascii="Source Sans Pro" w:hAnsi="Source Sans Pro"/>
                                <w:i w:val="0"/>
                                <w:iCs w:val="0"/>
                                <w:color w:val="000000" w:themeColor="text1"/>
                                <w:sz w:val="20"/>
                              </w:rPr>
                              <w:t xml:space="preserve">              </w:t>
                            </w:r>
                          </w:p>
                          <w:p w14:paraId="600757B7" w14:textId="674D81FF" w:rsidR="00E5553F" w:rsidRDefault="00EC2E0B" w:rsidP="00CC250D">
                            <w:pPr>
                              <w:pStyle w:val="Style1"/>
                              <w:numPr>
                                <w:ilvl w:val="0"/>
                                <w:numId w:val="0"/>
                              </w:numPr>
                              <w:tabs>
                                <w:tab w:val="left" w:pos="426"/>
                              </w:tabs>
                              <w:jc w:val="both"/>
                              <w:rPr>
                                <w:rFonts w:ascii="Source Sans Pro" w:hAnsi="Source Sans Pro"/>
                                <w:i w:val="0"/>
                                <w:iCs w:val="0"/>
                                <w:color w:val="000000" w:themeColor="text1"/>
                                <w:sz w:val="20"/>
                              </w:rPr>
                            </w:pPr>
                            <w:r w:rsidRPr="00EC2E0B">
                              <w:rPr>
                                <w:rFonts w:ascii="Source Sans Pro" w:hAnsi="Source Sans Pro"/>
                                <w:i w:val="0"/>
                                <w:iCs w:val="0"/>
                                <w:color w:val="000000" w:themeColor="text1"/>
                                <w:sz w:val="20"/>
                              </w:rPr>
                              <w:t xml:space="preserve">Abeille Assurances est </w:t>
                            </w:r>
                            <w:r w:rsidRPr="00583DCE">
                              <w:rPr>
                                <w:rFonts w:ascii="Source Sans Pro" w:hAnsi="Source Sans Pro"/>
                                <w:b/>
                                <w:bCs/>
                                <w:i w:val="0"/>
                                <w:iCs w:val="0"/>
                                <w:color w:val="000000" w:themeColor="text1"/>
                                <w:sz w:val="20"/>
                              </w:rPr>
                              <w:t>pleinement engagée pour atteindre son objectif</w:t>
                            </w:r>
                            <w:r w:rsidRPr="00EC2E0B">
                              <w:rPr>
                                <w:rFonts w:ascii="Source Sans Pro" w:hAnsi="Source Sans Pro"/>
                                <w:i w:val="0"/>
                                <w:iCs w:val="0"/>
                                <w:color w:val="000000" w:themeColor="text1"/>
                                <w:sz w:val="20"/>
                              </w:rPr>
                              <w:t xml:space="preserve"> de réduction de l’empreinte carbone </w:t>
                            </w:r>
                            <w:r w:rsidR="007D5F7E">
                              <w:rPr>
                                <w:rFonts w:ascii="Source Sans Pro" w:hAnsi="Source Sans Pro"/>
                                <w:i w:val="0"/>
                                <w:iCs w:val="0"/>
                                <w:color w:val="000000" w:themeColor="text1"/>
                                <w:sz w:val="20"/>
                              </w:rPr>
                              <w:t xml:space="preserve">(tCO2e/M€ EVIC) </w:t>
                            </w:r>
                            <w:r w:rsidRPr="00EC2E0B">
                              <w:rPr>
                                <w:rFonts w:ascii="Source Sans Pro" w:hAnsi="Source Sans Pro"/>
                                <w:i w:val="0"/>
                                <w:iCs w:val="0"/>
                                <w:color w:val="000000" w:themeColor="text1"/>
                                <w:sz w:val="20"/>
                              </w:rPr>
                              <w:t>à horizon 2030, même si des efforts supplémentaires restent nécessaires. Notre empreinte carbone initiale est déjà relativement basse</w:t>
                            </w:r>
                            <w:r w:rsidR="00FC1A62">
                              <w:rPr>
                                <w:rFonts w:ascii="Source Sans Pro" w:hAnsi="Source Sans Pro"/>
                                <w:i w:val="0"/>
                                <w:iCs w:val="0"/>
                                <w:color w:val="000000" w:themeColor="text1"/>
                                <w:sz w:val="20"/>
                              </w:rPr>
                              <w:t xml:space="preserve"> par rapport à nos pairs</w:t>
                            </w:r>
                            <w:r w:rsidRPr="00EC2E0B">
                              <w:rPr>
                                <w:rFonts w:ascii="Source Sans Pro" w:hAnsi="Source Sans Pro"/>
                                <w:i w:val="0"/>
                                <w:iCs w:val="0"/>
                                <w:color w:val="000000" w:themeColor="text1"/>
                                <w:sz w:val="20"/>
                              </w:rPr>
                              <w:t>, ce qui rend les gains marginaux plus exigeants à obtenir. Les différents indicateurs que nous suivons</w:t>
                            </w:r>
                            <w:r w:rsidR="001D7365">
                              <w:rPr>
                                <w:rFonts w:ascii="Source Sans Pro" w:hAnsi="Source Sans Pro"/>
                                <w:i w:val="0"/>
                                <w:iCs w:val="0"/>
                                <w:color w:val="000000" w:themeColor="text1"/>
                                <w:sz w:val="20"/>
                              </w:rPr>
                              <w:t> :</w:t>
                            </w:r>
                            <w:r w:rsidRPr="00EC2E0B">
                              <w:rPr>
                                <w:rFonts w:ascii="Source Sans Pro" w:hAnsi="Source Sans Pro"/>
                                <w:i w:val="0"/>
                                <w:iCs w:val="0"/>
                                <w:color w:val="000000" w:themeColor="text1"/>
                                <w:sz w:val="20"/>
                              </w:rPr>
                              <w:t xml:space="preserve"> trajectoires de projection, indicateurs de température et classification NZIF</w:t>
                            </w:r>
                            <w:r w:rsidR="00FC1A62">
                              <w:rPr>
                                <w:rFonts w:ascii="Source Sans Pro" w:hAnsi="Source Sans Pro"/>
                                <w:i w:val="0"/>
                                <w:iCs w:val="0"/>
                                <w:color w:val="000000" w:themeColor="text1"/>
                                <w:sz w:val="20"/>
                              </w:rPr>
                              <w:t xml:space="preserve">, </w:t>
                            </w:r>
                            <w:r w:rsidRPr="00EC2E0B">
                              <w:rPr>
                                <w:rFonts w:ascii="Source Sans Pro" w:hAnsi="Source Sans Pro"/>
                                <w:i w:val="0"/>
                                <w:iCs w:val="0"/>
                                <w:color w:val="000000" w:themeColor="text1"/>
                                <w:sz w:val="20"/>
                              </w:rPr>
                              <w:t xml:space="preserve">montrent une dynamique positive qu’il convient désormais de concrétiser. Cela passe par un engagement renforcé auprès des entreprises, afin qu’elles s’engagent davantage et déploient des plans de transition crédibles, </w:t>
                            </w:r>
                            <w:r w:rsidR="001D7365">
                              <w:rPr>
                                <w:rFonts w:ascii="Source Sans Pro" w:hAnsi="Source Sans Pro"/>
                                <w:i w:val="0"/>
                                <w:iCs w:val="0"/>
                                <w:color w:val="000000" w:themeColor="text1"/>
                                <w:sz w:val="20"/>
                              </w:rPr>
                              <w:t xml:space="preserve">nécessairement </w:t>
                            </w:r>
                            <w:r w:rsidRPr="00EC2E0B">
                              <w:rPr>
                                <w:rFonts w:ascii="Source Sans Pro" w:hAnsi="Source Sans Pro"/>
                                <w:i w:val="0"/>
                                <w:iCs w:val="0"/>
                                <w:color w:val="000000" w:themeColor="text1"/>
                                <w:sz w:val="20"/>
                              </w:rPr>
                              <w:t>soutenus par des politiques publiques ambitieuses.</w:t>
                            </w:r>
                          </w:p>
                          <w:p w14:paraId="31166AAE" w14:textId="77777777" w:rsidR="00E5553F" w:rsidRPr="00511F70" w:rsidRDefault="00E5553F" w:rsidP="00CC250D">
                            <w:pPr>
                              <w:pStyle w:val="Style1"/>
                              <w:numPr>
                                <w:ilvl w:val="0"/>
                                <w:numId w:val="0"/>
                              </w:numPr>
                              <w:tabs>
                                <w:tab w:val="left" w:pos="426"/>
                              </w:tabs>
                              <w:jc w:val="both"/>
                              <w:rPr>
                                <w:rFonts w:ascii="Source Sans Pro" w:hAnsi="Source Sans Pro"/>
                                <w:i w:val="0"/>
                                <w:iCs w:val="0"/>
                                <w:color w:val="000000" w:themeColor="text1"/>
                                <w:sz w:val="20"/>
                              </w:rPr>
                            </w:pPr>
                          </w:p>
                          <w:p w14:paraId="0F86BA98" w14:textId="0B5BC83C" w:rsidR="00CC250D" w:rsidRDefault="00E5553F" w:rsidP="00E5553F">
                            <w:pPr>
                              <w:pStyle w:val="Style1"/>
                              <w:numPr>
                                <w:ilvl w:val="0"/>
                                <w:numId w:val="0"/>
                              </w:numPr>
                              <w:ind w:left="26"/>
                            </w:pPr>
                            <w:r>
                              <w:rPr>
                                <w:noProof/>
                              </w:rPr>
                              <w:drawing>
                                <wp:inline distT="0" distB="0" distL="0" distR="0" wp14:anchorId="2467C827" wp14:editId="3C764B3F">
                                  <wp:extent cx="683866" cy="724421"/>
                                  <wp:effectExtent l="0" t="0" r="2540" b="0"/>
                                  <wp:docPr id="1191392812" name="Image 1" descr="Une image contenant Visage humain, Front, personne, Ment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687780" name="Image 1" descr="Une image contenant Visage humain, Front, personne, Menton&#10;&#10;Le contenu généré par l’IA peut être incorrect."/>
                                          <pic:cNvPicPr/>
                                        </pic:nvPicPr>
                                        <pic:blipFill>
                                          <a:blip r:embed="rId38"/>
                                          <a:stretch>
                                            <a:fillRect/>
                                          </a:stretch>
                                        </pic:blipFill>
                                        <pic:spPr>
                                          <a:xfrm>
                                            <a:off x="0" y="0"/>
                                            <a:ext cx="697139" cy="738481"/>
                                          </a:xfrm>
                                          <a:prstGeom prst="rect">
                                            <a:avLst/>
                                          </a:prstGeom>
                                        </pic:spPr>
                                      </pic:pic>
                                    </a:graphicData>
                                  </a:graphic>
                                </wp:inline>
                              </w:drawing>
                            </w:r>
                            <w:r w:rsidR="00CC250D" w:rsidRPr="00D4571A">
                              <w:rPr>
                                <w:rFonts w:ascii="Source Sans Pro" w:hAnsi="Source Sans Pro"/>
                                <w:b/>
                                <w:i w:val="0"/>
                                <w:color w:val="000000" w:themeColor="text1"/>
                                <w:sz w:val="20"/>
                              </w:rPr>
                              <w:t>Jean-François COPPENOLLE</w:t>
                            </w:r>
                            <w:r w:rsidR="00CC250D">
                              <w:rPr>
                                <w:rFonts w:ascii="Source Sans Pro" w:hAnsi="Source Sans Pro"/>
                                <w:b/>
                                <w:i w:val="0"/>
                                <w:color w:val="000000" w:themeColor="text1"/>
                                <w:sz w:val="20"/>
                              </w:rPr>
                              <w:t xml:space="preserve">, </w:t>
                            </w:r>
                            <w:r w:rsidR="00CC250D" w:rsidRPr="00D4571A">
                              <w:rPr>
                                <w:rFonts w:ascii="Source Sans Pro" w:hAnsi="Source Sans Pro"/>
                                <w:b/>
                                <w:i w:val="0"/>
                                <w:color w:val="000000" w:themeColor="text1"/>
                                <w:sz w:val="20"/>
                              </w:rPr>
                              <w:t xml:space="preserve">Directeur </w:t>
                            </w:r>
                            <w:r>
                              <w:rPr>
                                <w:rFonts w:ascii="Source Sans Pro" w:hAnsi="Source Sans Pro"/>
                                <w:b/>
                                <w:i w:val="0"/>
                                <w:color w:val="000000" w:themeColor="text1"/>
                                <w:sz w:val="20"/>
                              </w:rPr>
                              <w:t xml:space="preserve">d’investissement et du pôle </w:t>
                            </w:r>
                            <w:r w:rsidR="00CC250D" w:rsidRPr="00D4571A">
                              <w:rPr>
                                <w:rFonts w:ascii="Source Sans Pro" w:hAnsi="Source Sans Pro"/>
                                <w:b/>
                                <w:i w:val="0"/>
                                <w:color w:val="000000" w:themeColor="text1"/>
                                <w:sz w:val="20"/>
                              </w:rPr>
                              <w:t>ISR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B567C" id="Zone de texte 1635609358" o:spid="_x0000_s1129" type="#_x0000_t202" style="position:absolute;left:0;text-align:left;margin-left:39.75pt;margin-top:.7pt;width:400.8pt;height:220.7pt;z-index:2513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" fillcolor="white [3201]" stroked="f" strokeweight=".5pt">
                <v:textbox>
                  <w:txbxContent>
                    <w:p w14:paraId="30462F06" w14:textId="17466DE1" w:rsidR="00CC250D" w:rsidRDefault="00E5553F" w:rsidP="00CC250D">
                      <w:pPr>
                        <w:pStyle w:val="Style1"/>
                        <w:numPr>
                          <w:ilvl w:val="0"/>
                          <w:numId w:val="0"/>
                        </w:numPr>
                        <w:tabs>
                          <w:tab w:val="left" w:pos="426"/>
                        </w:tabs>
                        <w:jc w:val="both"/>
                        <w:rPr>
                          <w:rFonts w:ascii="Source Sans Pro" w:hAnsi="Source Sans Pro"/>
                          <w:i w:val="0"/>
                          <w:iCs w:val="0"/>
                          <w:color w:val="000000" w:themeColor="text1"/>
                          <w:sz w:val="20"/>
                        </w:rPr>
                      </w:pPr>
                      <w:r>
                        <w:rPr>
                          <w:rFonts w:ascii="Source Sans Pro" w:hAnsi="Source Sans Pro"/>
                          <w:i w:val="0"/>
                          <w:iCs w:val="0"/>
                          <w:color w:val="000000" w:themeColor="text1"/>
                          <w:sz w:val="20"/>
                        </w:rPr>
                        <w:t xml:space="preserve">              </w:t>
                      </w:r>
                    </w:p>
                    <w:p w14:paraId="600757B7" w14:textId="674D81FF" w:rsidR="00E5553F" w:rsidRDefault="00EC2E0B" w:rsidP="00CC250D">
                      <w:pPr>
                        <w:pStyle w:val="Style1"/>
                        <w:numPr>
                          <w:ilvl w:val="0"/>
                          <w:numId w:val="0"/>
                        </w:numPr>
                        <w:tabs>
                          <w:tab w:val="left" w:pos="426"/>
                        </w:tabs>
                        <w:jc w:val="both"/>
                        <w:rPr>
                          <w:rFonts w:ascii="Source Sans Pro" w:hAnsi="Source Sans Pro"/>
                          <w:i w:val="0"/>
                          <w:iCs w:val="0"/>
                          <w:color w:val="000000" w:themeColor="text1"/>
                          <w:sz w:val="20"/>
                        </w:rPr>
                      </w:pPr>
                      <w:r w:rsidRPr="00EC2E0B">
                        <w:rPr>
                          <w:rFonts w:ascii="Source Sans Pro" w:hAnsi="Source Sans Pro"/>
                          <w:i w:val="0"/>
                          <w:iCs w:val="0"/>
                          <w:color w:val="000000" w:themeColor="text1"/>
                          <w:sz w:val="20"/>
                        </w:rPr>
                        <w:t xml:space="preserve">Abeille Assurances est </w:t>
                      </w:r>
                      <w:r w:rsidRPr="00583DCE">
                        <w:rPr>
                          <w:rFonts w:ascii="Source Sans Pro" w:hAnsi="Source Sans Pro"/>
                          <w:b/>
                          <w:bCs/>
                          <w:i w:val="0"/>
                          <w:iCs w:val="0"/>
                          <w:color w:val="000000" w:themeColor="text1"/>
                          <w:sz w:val="20"/>
                        </w:rPr>
                        <w:t>pleinement engagée pour atteindre son objectif</w:t>
                      </w:r>
                      <w:r w:rsidRPr="00EC2E0B">
                        <w:rPr>
                          <w:rFonts w:ascii="Source Sans Pro" w:hAnsi="Source Sans Pro"/>
                          <w:i w:val="0"/>
                          <w:iCs w:val="0"/>
                          <w:color w:val="000000" w:themeColor="text1"/>
                          <w:sz w:val="20"/>
                        </w:rPr>
                        <w:t xml:space="preserve"> de réduction de l’empreinte carbone </w:t>
                      </w:r>
                      <w:r w:rsidR="007D5F7E">
                        <w:rPr>
                          <w:rFonts w:ascii="Source Sans Pro" w:hAnsi="Source Sans Pro"/>
                          <w:i w:val="0"/>
                          <w:iCs w:val="0"/>
                          <w:color w:val="000000" w:themeColor="text1"/>
                          <w:sz w:val="20"/>
                        </w:rPr>
                        <w:t xml:space="preserve">(tCO2e/M€ EVIC) </w:t>
                      </w:r>
                      <w:r w:rsidRPr="00EC2E0B">
                        <w:rPr>
                          <w:rFonts w:ascii="Source Sans Pro" w:hAnsi="Source Sans Pro"/>
                          <w:i w:val="0"/>
                          <w:iCs w:val="0"/>
                          <w:color w:val="000000" w:themeColor="text1"/>
                          <w:sz w:val="20"/>
                        </w:rPr>
                        <w:t>à horizon 2030, même si des efforts supplémentaires restent nécessaires. Notre empreinte carbone initiale est déjà relativement basse</w:t>
                      </w:r>
                      <w:r w:rsidR="00FC1A62">
                        <w:rPr>
                          <w:rFonts w:ascii="Source Sans Pro" w:hAnsi="Source Sans Pro"/>
                          <w:i w:val="0"/>
                          <w:iCs w:val="0"/>
                          <w:color w:val="000000" w:themeColor="text1"/>
                          <w:sz w:val="20"/>
                        </w:rPr>
                        <w:t xml:space="preserve"> par rapport à nos pairs</w:t>
                      </w:r>
                      <w:r w:rsidRPr="00EC2E0B">
                        <w:rPr>
                          <w:rFonts w:ascii="Source Sans Pro" w:hAnsi="Source Sans Pro"/>
                          <w:i w:val="0"/>
                          <w:iCs w:val="0"/>
                          <w:color w:val="000000" w:themeColor="text1"/>
                          <w:sz w:val="20"/>
                        </w:rPr>
                        <w:t>, ce qui rend les gains marginaux plus exigeants à obtenir. Les différents indicateurs que nous suivons</w:t>
                      </w:r>
                      <w:r w:rsidR="001D7365">
                        <w:rPr>
                          <w:rFonts w:ascii="Source Sans Pro" w:hAnsi="Source Sans Pro"/>
                          <w:i w:val="0"/>
                          <w:iCs w:val="0"/>
                          <w:color w:val="000000" w:themeColor="text1"/>
                          <w:sz w:val="20"/>
                        </w:rPr>
                        <w:t> :</w:t>
                      </w:r>
                      <w:r w:rsidRPr="00EC2E0B">
                        <w:rPr>
                          <w:rFonts w:ascii="Source Sans Pro" w:hAnsi="Source Sans Pro"/>
                          <w:i w:val="0"/>
                          <w:iCs w:val="0"/>
                          <w:color w:val="000000" w:themeColor="text1"/>
                          <w:sz w:val="20"/>
                        </w:rPr>
                        <w:t xml:space="preserve"> trajectoires de projection, indicateurs de température et classification NZIF</w:t>
                      </w:r>
                      <w:r w:rsidR="00FC1A62">
                        <w:rPr>
                          <w:rFonts w:ascii="Source Sans Pro" w:hAnsi="Source Sans Pro"/>
                          <w:i w:val="0"/>
                          <w:iCs w:val="0"/>
                          <w:color w:val="000000" w:themeColor="text1"/>
                          <w:sz w:val="20"/>
                        </w:rPr>
                        <w:t xml:space="preserve">, </w:t>
                      </w:r>
                      <w:r w:rsidRPr="00EC2E0B">
                        <w:rPr>
                          <w:rFonts w:ascii="Source Sans Pro" w:hAnsi="Source Sans Pro"/>
                          <w:i w:val="0"/>
                          <w:iCs w:val="0"/>
                          <w:color w:val="000000" w:themeColor="text1"/>
                          <w:sz w:val="20"/>
                        </w:rPr>
                        <w:t xml:space="preserve">montrent une dynamique positive qu’il convient désormais de concrétiser. Cela passe par un engagement renforcé auprès des entreprises, afin qu’elles s’engagent davantage et déploient des plans de transition crédibles, </w:t>
                      </w:r>
                      <w:r w:rsidR="001D7365">
                        <w:rPr>
                          <w:rFonts w:ascii="Source Sans Pro" w:hAnsi="Source Sans Pro"/>
                          <w:i w:val="0"/>
                          <w:iCs w:val="0"/>
                          <w:color w:val="000000" w:themeColor="text1"/>
                          <w:sz w:val="20"/>
                        </w:rPr>
                        <w:t xml:space="preserve">nécessairement </w:t>
                      </w:r>
                      <w:r w:rsidRPr="00EC2E0B">
                        <w:rPr>
                          <w:rFonts w:ascii="Source Sans Pro" w:hAnsi="Source Sans Pro"/>
                          <w:i w:val="0"/>
                          <w:iCs w:val="0"/>
                          <w:color w:val="000000" w:themeColor="text1"/>
                          <w:sz w:val="20"/>
                        </w:rPr>
                        <w:t>soutenus par des politiques publiques ambitieuses.</w:t>
                      </w:r>
                    </w:p>
                    <w:p w14:paraId="31166AAE" w14:textId="77777777" w:rsidR="00E5553F" w:rsidRPr="00511F70" w:rsidRDefault="00E5553F" w:rsidP="00CC250D">
                      <w:pPr>
                        <w:pStyle w:val="Style1"/>
                        <w:numPr>
                          <w:ilvl w:val="0"/>
                          <w:numId w:val="0"/>
                        </w:numPr>
                        <w:tabs>
                          <w:tab w:val="left" w:pos="426"/>
                        </w:tabs>
                        <w:jc w:val="both"/>
                        <w:rPr>
                          <w:rFonts w:ascii="Source Sans Pro" w:hAnsi="Source Sans Pro"/>
                          <w:i w:val="0"/>
                          <w:iCs w:val="0"/>
                          <w:color w:val="000000" w:themeColor="text1"/>
                          <w:sz w:val="20"/>
                        </w:rPr>
                      </w:pPr>
                    </w:p>
                    <w:p w14:paraId="0F86BA98" w14:textId="0B5BC83C" w:rsidR="00CC250D" w:rsidRDefault="00E5553F" w:rsidP="00E5553F">
                      <w:pPr>
                        <w:pStyle w:val="Style1"/>
                        <w:numPr>
                          <w:ilvl w:val="0"/>
                          <w:numId w:val="0"/>
                        </w:numPr>
                        <w:ind w:left="26"/>
                      </w:pPr>
                      <w:r>
                        <w:rPr>
                          <w:noProof/>
                        </w:rPr>
                        <w:drawing>
                          <wp:inline distT="0" distB="0" distL="0" distR="0" wp14:anchorId="2467C827" wp14:editId="3C764B3F">
                            <wp:extent cx="683866" cy="724421"/>
                            <wp:effectExtent l="0" t="0" r="2540" b="0"/>
                            <wp:docPr id="1191392812" name="Image 1" descr="Une image contenant Visage humain, Front, personne, Ment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687780" name="Image 1" descr="Une image contenant Visage humain, Front, personne, Menton&#10;&#10;Le contenu généré par l’IA peut être incorrect."/>
                                    <pic:cNvPicPr/>
                                  </pic:nvPicPr>
                                  <pic:blipFill>
                                    <a:blip r:embed="rId39"/>
                                    <a:stretch>
                                      <a:fillRect/>
                                    </a:stretch>
                                  </pic:blipFill>
                                  <pic:spPr>
                                    <a:xfrm>
                                      <a:off x="0" y="0"/>
                                      <a:ext cx="697139" cy="738481"/>
                                    </a:xfrm>
                                    <a:prstGeom prst="rect">
                                      <a:avLst/>
                                    </a:prstGeom>
                                  </pic:spPr>
                                </pic:pic>
                              </a:graphicData>
                            </a:graphic>
                          </wp:inline>
                        </w:drawing>
                      </w:r>
                      <w:r w:rsidR="00CC250D" w:rsidRPr="00D4571A">
                        <w:rPr>
                          <w:rFonts w:ascii="Source Sans Pro" w:hAnsi="Source Sans Pro"/>
                          <w:b/>
                          <w:i w:val="0"/>
                          <w:color w:val="000000" w:themeColor="text1"/>
                          <w:sz w:val="20"/>
                        </w:rPr>
                        <w:t>Jean-François COPPENOLLE</w:t>
                      </w:r>
                      <w:r w:rsidR="00CC250D">
                        <w:rPr>
                          <w:rFonts w:ascii="Source Sans Pro" w:hAnsi="Source Sans Pro"/>
                          <w:b/>
                          <w:i w:val="0"/>
                          <w:color w:val="000000" w:themeColor="text1"/>
                          <w:sz w:val="20"/>
                        </w:rPr>
                        <w:t xml:space="preserve">, </w:t>
                      </w:r>
                      <w:r w:rsidR="00CC250D" w:rsidRPr="00D4571A">
                        <w:rPr>
                          <w:rFonts w:ascii="Source Sans Pro" w:hAnsi="Source Sans Pro"/>
                          <w:b/>
                          <w:i w:val="0"/>
                          <w:color w:val="000000" w:themeColor="text1"/>
                          <w:sz w:val="20"/>
                        </w:rPr>
                        <w:t xml:space="preserve">Directeur </w:t>
                      </w:r>
                      <w:r>
                        <w:rPr>
                          <w:rFonts w:ascii="Source Sans Pro" w:hAnsi="Source Sans Pro"/>
                          <w:b/>
                          <w:i w:val="0"/>
                          <w:color w:val="000000" w:themeColor="text1"/>
                          <w:sz w:val="20"/>
                        </w:rPr>
                        <w:t xml:space="preserve">d’investissement et du pôle </w:t>
                      </w:r>
                      <w:r w:rsidR="00CC250D" w:rsidRPr="00D4571A">
                        <w:rPr>
                          <w:rFonts w:ascii="Source Sans Pro" w:hAnsi="Source Sans Pro"/>
                          <w:b/>
                          <w:i w:val="0"/>
                          <w:color w:val="000000" w:themeColor="text1"/>
                          <w:sz w:val="20"/>
                        </w:rPr>
                        <w:t>ISR</w:t>
                      </w:r>
                    </w:p>
                  </w:txbxContent>
                </v:textbox>
              </v:shape>
            </w:pict>
          </mc:Fallback>
        </mc:AlternateContent>
      </w:r>
      <w:r w:rsidR="003045B1" w:rsidRPr="00A74D23">
        <w:rPr>
          <w:rFonts w:eastAsia="Calibri" w:cs="Open Sans"/>
          <w:i w:val="0"/>
          <w:iCs w:val="0"/>
          <w:noProof/>
          <w:color w:val="auto"/>
          <w:sz w:val="20"/>
          <w:szCs w:val="20"/>
          <w:lang w:eastAsia="fr-FR"/>
        </w:rPr>
        <mc:AlternateContent>
          <mc:Choice Requires="wpg">
            <w:drawing>
              <wp:anchor distT="0" distB="0" distL="114300" distR="114300" simplePos="0" relativeHeight="251382784" behindDoc="0" locked="0" layoutInCell="1" allowOverlap="1" wp14:anchorId="56E4CA92" wp14:editId="01CCC44C">
                <wp:simplePos x="0" y="0"/>
                <wp:positionH relativeFrom="margin">
                  <wp:posOffset>42300</wp:posOffset>
                </wp:positionH>
                <wp:positionV relativeFrom="paragraph">
                  <wp:posOffset>154305</wp:posOffset>
                </wp:positionV>
                <wp:extent cx="390025" cy="281534"/>
                <wp:effectExtent l="0" t="0" r="10160" b="23495"/>
                <wp:wrapNone/>
                <wp:docPr id="1834557347" name="Groupe 132"/>
                <wp:cNvGraphicFramePr/>
                <a:graphic xmlns:a="http://schemas.openxmlformats.org/drawingml/2006/main">
                  <a:graphicData uri="http://schemas.microsoft.com/office/word/2010/wordprocessingGroup">
                    <wpg:wgp>
                      <wpg:cNvGrpSpPr/>
                      <wpg:grpSpPr>
                        <a:xfrm>
                          <a:off x="0" y="0"/>
                          <a:ext cx="390025" cy="281534"/>
                          <a:chOff x="0" y="0"/>
                          <a:chExt cx="480287" cy="346688"/>
                        </a:xfrm>
                      </wpg:grpSpPr>
                      <wps:wsp>
                        <wps:cNvPr id="15585548"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1634592041"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1152304C" id="Groupe 132" o:spid="_x0000_s1026" style="position:absolute;margin-left:3.35pt;margin-top:12.15pt;width:30.7pt;height:22.15pt;z-index:251382784;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r w:rsidR="00CC250D" w:rsidRPr="00A74D23">
        <w:rPr>
          <w:rFonts w:cs="Open Sans"/>
          <w:noProof/>
        </w:rPr>
        <mc:AlternateContent>
          <mc:Choice Requires="wps">
            <w:drawing>
              <wp:inline distT="0" distB="0" distL="0" distR="0" wp14:anchorId="72780C0F" wp14:editId="25785AF8">
                <wp:extent cx="5646039" cy="2849218"/>
                <wp:effectExtent l="0" t="0" r="12065" b="27940"/>
                <wp:docPr id="1692163358" name="Rectangle : coins arrondis 1692163358"/>
                <wp:cNvGraphicFramePr/>
                <a:graphic xmlns:a="http://schemas.openxmlformats.org/drawingml/2006/main">
                  <a:graphicData uri="http://schemas.microsoft.com/office/word/2010/wordprocessingShape">
                    <wps:wsp>
                      <wps:cNvSpPr/>
                      <wps:spPr>
                        <a:xfrm>
                          <a:off x="0" y="0"/>
                          <a:ext cx="5646039" cy="2849218"/>
                        </a:xfrm>
                        <a:prstGeom prst="roundRect">
                          <a:avLst>
                            <a:gd name="adj" fmla="val 889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A0A291" w14:textId="77777777" w:rsidR="00CC250D" w:rsidRPr="006209BA" w:rsidRDefault="00CC250D" w:rsidP="00CC250D">
                            <w:pPr>
                              <w:pStyle w:val="Citation0"/>
                              <w:rPr>
                                <w:color w:val="auto"/>
                              </w:rPr>
                            </w:pPr>
                          </w:p>
                        </w:txbxContent>
                      </wps:txbx>
                      <wps:bodyPr rot="0" spcFirstLastPara="0" vertOverflow="overflow" horzOverflow="overflow" vert="horz" wrap="square" lIns="180000" tIns="108000" rIns="180000" bIns="108000" numCol="1" spcCol="0" rtlCol="0" fromWordArt="0" anchor="ctr" anchorCtr="0" forceAA="0" compatLnSpc="1">
                        <a:prstTxWarp prst="textNoShape">
                          <a:avLst/>
                        </a:prstTxWarp>
                        <a:noAutofit/>
                      </wps:bodyPr>
                    </wps:wsp>
                  </a:graphicData>
                </a:graphic>
              </wp:inline>
            </w:drawing>
          </mc:Choice>
          <mc:Fallback>
            <w:pict>
              <v:roundrect w14:anchorId="72780C0F" id="Rectangle : coins arrondis 1692163358" o:spid="_x0000_s1130" style="width:444.55pt;height:224.35pt;visibility:visible;mso-wrap-style:square;mso-left-percent:-10001;mso-top-percent:-10001;mso-position-horizontal:absolute;mso-position-horizontal-relative:char;mso-position-vertical:absolute;mso-position-vertical-relative:line;mso-left-percent:-10001;mso-top-percent:-10001;v-text-anchor:middle" arcsize="58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" fillcolor="white [3212]" strokecolor="black [3213]" strokeweight="1pt">
                <v:stroke joinstyle="miter"/>
                <v:textbox inset="5mm,3mm,5mm,3mm">
                  <w:txbxContent>
                    <w:p w14:paraId="4BA0A291" w14:textId="77777777" w:rsidR="00CC250D" w:rsidRPr="006209BA" w:rsidRDefault="00CC250D" w:rsidP="00CC250D">
                      <w:pPr>
                        <w:pStyle w:val="Citation0"/>
                        <w:rPr>
                          <w:color w:val="auto"/>
                        </w:rPr>
                      </w:pPr>
                    </w:p>
                  </w:txbxContent>
                </v:textbox>
                <w10:anchorlock/>
              </v:roundrect>
            </w:pict>
          </mc:Fallback>
        </mc:AlternateContent>
      </w:r>
    </w:p>
    <w:p w14:paraId="2AF57622" w14:textId="77777777" w:rsidR="00A473C1" w:rsidRPr="00A74D23" w:rsidRDefault="00A473C1" w:rsidP="009D6EE5">
      <w:pPr>
        <w:pStyle w:val="pf0"/>
        <w:spacing w:before="0" w:beforeAutospacing="0" w:after="0" w:afterAutospacing="0" w:line="22" w:lineRule="atLeast"/>
        <w:jc w:val="both"/>
        <w:rPr>
          <w:rFonts w:asciiTheme="minorHAnsi" w:hAnsiTheme="minorHAnsi" w:cs="Open Sans"/>
          <w:sz w:val="20"/>
          <w:szCs w:val="20"/>
        </w:rPr>
      </w:pPr>
    </w:p>
    <w:p w14:paraId="0E6B7E5B" w14:textId="4F4FAA04" w:rsidR="00662190" w:rsidRPr="00A74D23" w:rsidRDefault="00662190" w:rsidP="00590DD1">
      <w:pPr>
        <w:pStyle w:val="Style3"/>
        <w:numPr>
          <w:ilvl w:val="1"/>
          <w:numId w:val="90"/>
        </w:numPr>
        <w:tabs>
          <w:tab w:val="left" w:pos="1418"/>
        </w:tabs>
        <w:spacing w:after="0" w:line="22" w:lineRule="atLeast"/>
        <w:ind w:left="567" w:hanging="546"/>
        <w:jc w:val="both"/>
        <w:rPr>
          <w:rFonts w:asciiTheme="minorHAnsi" w:hAnsiTheme="minorHAnsi" w:cs="Open Sans"/>
          <w:sz w:val="32"/>
          <w:szCs w:val="32"/>
        </w:rPr>
      </w:pPr>
      <w:r w:rsidRPr="00A74D23">
        <w:rPr>
          <w:rFonts w:asciiTheme="minorHAnsi" w:hAnsiTheme="minorHAnsi" w:cs="Open Sans"/>
          <w:sz w:val="32"/>
          <w:szCs w:val="32"/>
        </w:rPr>
        <w:t>Améliorer la dynamique sur les souverains</w:t>
      </w:r>
    </w:p>
    <w:p w14:paraId="11F47C1A" w14:textId="77777777" w:rsidR="00C463E9" w:rsidRPr="00A74D23" w:rsidRDefault="00C463E9" w:rsidP="009D6EE5">
      <w:pPr>
        <w:pStyle w:val="Style4"/>
        <w:spacing w:line="22" w:lineRule="atLeast"/>
        <w:jc w:val="both"/>
        <w:rPr>
          <w:rFonts w:asciiTheme="minorHAnsi" w:hAnsiTheme="minorHAnsi" w:cs="Open Sans"/>
        </w:rPr>
      </w:pPr>
    </w:p>
    <w:p w14:paraId="027D98D5" w14:textId="1F1E8A5F" w:rsidR="00C463E9" w:rsidRPr="005A53D8" w:rsidRDefault="00C463E9" w:rsidP="00590DD1">
      <w:pPr>
        <w:pStyle w:val="Style4"/>
        <w:numPr>
          <w:ilvl w:val="2"/>
          <w:numId w:val="90"/>
        </w:numPr>
        <w:spacing w:line="22" w:lineRule="atLeast"/>
        <w:ind w:left="709"/>
        <w:jc w:val="both"/>
        <w:rPr>
          <w:rFonts w:asciiTheme="minorHAnsi" w:hAnsiTheme="minorHAnsi" w:cs="Open Sans"/>
          <w:color w:val="8A2C24" w:themeColor="accent2"/>
          <w:sz w:val="28"/>
          <w:szCs w:val="28"/>
        </w:rPr>
      </w:pPr>
      <w:r w:rsidRPr="005A53D8">
        <w:rPr>
          <w:rFonts w:asciiTheme="minorHAnsi" w:hAnsiTheme="minorHAnsi" w:cs="Open Sans"/>
          <w:color w:val="8A2C24" w:themeColor="accent2"/>
          <w:sz w:val="28"/>
          <w:szCs w:val="28"/>
        </w:rPr>
        <w:t xml:space="preserve"> </w:t>
      </w:r>
      <w:r w:rsidR="00E70484" w:rsidRPr="005A53D8">
        <w:rPr>
          <w:rFonts w:asciiTheme="minorHAnsi" w:hAnsiTheme="minorHAnsi" w:cs="Open Sans"/>
          <w:color w:val="8A2C24" w:themeColor="accent2"/>
          <w:sz w:val="28"/>
          <w:szCs w:val="28"/>
        </w:rPr>
        <w:t>Intensité</w:t>
      </w:r>
      <w:r w:rsidRPr="005A53D8">
        <w:rPr>
          <w:rFonts w:asciiTheme="minorHAnsi" w:hAnsiTheme="minorHAnsi" w:cs="Open Sans"/>
          <w:color w:val="8A2C24" w:themeColor="accent2"/>
          <w:sz w:val="28"/>
          <w:szCs w:val="28"/>
        </w:rPr>
        <w:t xml:space="preserve"> carbone 2025 du portefeuille Souverains</w:t>
      </w:r>
    </w:p>
    <w:p w14:paraId="58E2AF0D" w14:textId="77777777" w:rsidR="00051444" w:rsidRPr="00A74D23" w:rsidRDefault="00051444" w:rsidP="00051444">
      <w:pPr>
        <w:pStyle w:val="Style4"/>
        <w:spacing w:line="22" w:lineRule="atLeast"/>
        <w:ind w:left="709"/>
        <w:jc w:val="both"/>
        <w:rPr>
          <w:rFonts w:asciiTheme="minorHAnsi" w:hAnsiTheme="minorHAnsi" w:cs="Open Sans"/>
        </w:rPr>
      </w:pPr>
    </w:p>
    <w:p w14:paraId="2D3E7D2B" w14:textId="17541CCA" w:rsidR="00C463E9" w:rsidRPr="00A74D23" w:rsidRDefault="000E5DED" w:rsidP="009D6EE5">
      <w:pPr>
        <w:pStyle w:val="pf0"/>
        <w:spacing w:before="120" w:beforeAutospacing="0" w:line="22" w:lineRule="atLeast"/>
        <w:jc w:val="both"/>
        <w:rPr>
          <w:rFonts w:asciiTheme="minorHAnsi" w:eastAsiaTheme="minorHAnsi" w:hAnsiTheme="minorHAnsi" w:cs="Open Sans"/>
          <w:sz w:val="20"/>
          <w:szCs w:val="20"/>
          <w:lang w:eastAsia="en-US"/>
        </w:rPr>
      </w:pPr>
      <w:r w:rsidRPr="00A74D23">
        <w:rPr>
          <w:rFonts w:asciiTheme="minorHAnsi" w:eastAsiaTheme="minorHAnsi" w:hAnsiTheme="minorHAnsi" w:cs="Open Sans"/>
          <w:sz w:val="20"/>
          <w:szCs w:val="20"/>
          <w:lang w:eastAsia="en-US"/>
        </w:rPr>
        <w:t xml:space="preserve">Nous présentons aussi l’intensité carbone de notre portefeuille d’obligations souveraines et assimilées. </w:t>
      </w:r>
      <w:r w:rsidRPr="00A74D23">
        <w:rPr>
          <w:rFonts w:asciiTheme="minorHAnsi" w:eastAsiaTheme="minorHAnsi" w:hAnsiTheme="minorHAnsi" w:cs="Open Sans"/>
          <w:b/>
          <w:bCs/>
          <w:sz w:val="20"/>
          <w:szCs w:val="20"/>
          <w:lang w:eastAsia="en-US"/>
        </w:rPr>
        <w:t xml:space="preserve">L’intensité carbone de notre portefeuille souverain a baissé de </w:t>
      </w:r>
      <w:r w:rsidR="00C02CA6" w:rsidRPr="00A74D23">
        <w:rPr>
          <w:rFonts w:asciiTheme="minorHAnsi" w:eastAsiaTheme="minorHAnsi" w:hAnsiTheme="minorHAnsi" w:cs="Open Sans"/>
          <w:b/>
          <w:bCs/>
          <w:sz w:val="20"/>
          <w:szCs w:val="20"/>
          <w:lang w:eastAsia="en-US"/>
        </w:rPr>
        <w:t>-</w:t>
      </w:r>
      <w:r w:rsidR="0006037A">
        <w:rPr>
          <w:rFonts w:asciiTheme="minorHAnsi" w:eastAsiaTheme="minorHAnsi" w:hAnsiTheme="minorHAnsi" w:cs="Open Sans"/>
          <w:b/>
          <w:bCs/>
          <w:sz w:val="20"/>
          <w:szCs w:val="20"/>
          <w:lang w:eastAsia="en-US"/>
        </w:rPr>
        <w:t>47</w:t>
      </w:r>
      <w:r w:rsidRPr="00A74D23">
        <w:rPr>
          <w:rFonts w:asciiTheme="minorHAnsi" w:eastAsiaTheme="minorHAnsi" w:hAnsiTheme="minorHAnsi" w:cs="Open Sans"/>
          <w:b/>
          <w:bCs/>
          <w:sz w:val="20"/>
          <w:szCs w:val="20"/>
          <w:lang w:eastAsia="en-US"/>
        </w:rPr>
        <w:t>% entre 202</w:t>
      </w:r>
      <w:r w:rsidR="00C02CA6" w:rsidRPr="00A74D23">
        <w:rPr>
          <w:rFonts w:asciiTheme="minorHAnsi" w:eastAsiaTheme="minorHAnsi" w:hAnsiTheme="minorHAnsi" w:cs="Open Sans"/>
          <w:b/>
          <w:bCs/>
          <w:sz w:val="20"/>
          <w:szCs w:val="20"/>
          <w:lang w:eastAsia="en-US"/>
        </w:rPr>
        <w:t>4</w:t>
      </w:r>
      <w:r w:rsidRPr="00A74D23">
        <w:rPr>
          <w:rFonts w:asciiTheme="minorHAnsi" w:eastAsiaTheme="minorHAnsi" w:hAnsiTheme="minorHAnsi" w:cs="Open Sans"/>
          <w:b/>
          <w:bCs/>
          <w:sz w:val="20"/>
          <w:szCs w:val="20"/>
          <w:lang w:eastAsia="en-US"/>
        </w:rPr>
        <w:t xml:space="preserve"> et 202</w:t>
      </w:r>
      <w:r w:rsidR="00C02CA6" w:rsidRPr="00A74D23">
        <w:rPr>
          <w:rFonts w:asciiTheme="minorHAnsi" w:eastAsiaTheme="minorHAnsi" w:hAnsiTheme="minorHAnsi" w:cs="Open Sans"/>
          <w:b/>
          <w:bCs/>
          <w:sz w:val="20"/>
          <w:szCs w:val="20"/>
          <w:lang w:eastAsia="en-US"/>
        </w:rPr>
        <w:t>5</w:t>
      </w:r>
      <w:r w:rsidRPr="00A74D23">
        <w:rPr>
          <w:rFonts w:asciiTheme="minorHAnsi" w:eastAsiaTheme="minorHAnsi" w:hAnsiTheme="minorHAnsi" w:cs="Open Sans"/>
          <w:sz w:val="20"/>
          <w:szCs w:val="20"/>
          <w:lang w:eastAsia="en-US"/>
        </w:rPr>
        <w:t xml:space="preserve"> (en tonnes de CO2 émises rapportées au PIB des pays dont nous détenons des émissions souveraines dans l’actif général)</w:t>
      </w:r>
      <w:r w:rsidR="00C02CA6" w:rsidRPr="00A74D23">
        <w:rPr>
          <w:rFonts w:asciiTheme="minorHAnsi" w:eastAsiaTheme="minorHAnsi" w:hAnsiTheme="minorHAnsi" w:cs="Open Sans"/>
          <w:sz w:val="20"/>
          <w:szCs w:val="20"/>
          <w:lang w:eastAsia="en-US"/>
        </w:rPr>
        <w:t>. Cette évolution est en grande partie due à l</w:t>
      </w:r>
      <w:r w:rsidR="00122AF7" w:rsidRPr="00A74D23">
        <w:rPr>
          <w:rFonts w:asciiTheme="minorHAnsi" w:eastAsiaTheme="minorHAnsi" w:hAnsiTheme="minorHAnsi" w:cs="Open Sans"/>
          <w:sz w:val="20"/>
          <w:szCs w:val="20"/>
          <w:lang w:eastAsia="en-US"/>
        </w:rPr>
        <w:t xml:space="preserve">a forte augmentation de couverture des données. </w:t>
      </w:r>
    </w:p>
    <w:p w14:paraId="338C3D07" w14:textId="2748DC98" w:rsidR="002945D5" w:rsidRPr="00A74D23" w:rsidRDefault="00C96448" w:rsidP="009D6EE5">
      <w:pPr>
        <w:pStyle w:val="pf0"/>
        <w:spacing w:before="120" w:beforeAutospacing="0" w:line="22" w:lineRule="atLeast"/>
        <w:jc w:val="both"/>
        <w:rPr>
          <w:rFonts w:asciiTheme="minorHAnsi" w:eastAsiaTheme="minorEastAsia" w:hAnsiTheme="minorHAnsi" w:cs="Open Sans"/>
          <w:sz w:val="20"/>
          <w:szCs w:val="20"/>
          <w:lang w:eastAsia="en-US"/>
        </w:rPr>
      </w:pPr>
      <w:r>
        <w:rPr>
          <w:noProof/>
        </w:rPr>
        <w:drawing>
          <wp:inline distT="0" distB="0" distL="0" distR="0" wp14:anchorId="31437AB4" wp14:editId="788388FB">
            <wp:extent cx="4582969" cy="2648943"/>
            <wp:effectExtent l="0" t="0" r="8255" b="18415"/>
            <wp:docPr id="1980830125" name="Graphique 1">
              <a:extLst xmlns:a="http://schemas.openxmlformats.org/drawingml/2006/main">
                <a:ext uri="{FF2B5EF4-FFF2-40B4-BE49-F238E27FC236}">
                  <a16:creationId xmlns:a16="http://schemas.microsoft.com/office/drawing/2014/main" id="{A76E5414-9E13-4753-A6CB-DE852E7D5D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4AB8161E" w14:textId="2D20C95B" w:rsidR="00D5002F" w:rsidRPr="008F771D" w:rsidRDefault="00D5002F" w:rsidP="009D6EE5">
      <w:pPr>
        <w:pStyle w:val="pf0"/>
        <w:spacing w:before="0" w:beforeAutospacing="0" w:after="0" w:afterAutospacing="0" w:line="22" w:lineRule="atLeast"/>
        <w:jc w:val="both"/>
        <w:rPr>
          <w:rFonts w:asciiTheme="minorHAnsi" w:hAnsiTheme="minorHAnsi" w:cs="Open Sans"/>
          <w:i/>
          <w:iCs/>
          <w:color w:val="000000" w:themeColor="text1"/>
          <w:sz w:val="18"/>
          <w:szCs w:val="18"/>
        </w:rPr>
      </w:pPr>
      <w:r w:rsidRPr="008F771D">
        <w:rPr>
          <w:rFonts w:asciiTheme="minorHAnsi" w:hAnsiTheme="minorHAnsi" w:cs="Open Sans"/>
          <w:i/>
          <w:iCs/>
          <w:color w:val="000000" w:themeColor="text1"/>
          <w:sz w:val="18"/>
          <w:szCs w:val="18"/>
        </w:rPr>
        <w:t xml:space="preserve">Périmètre : </w:t>
      </w:r>
      <w:r w:rsidR="00C96448">
        <w:rPr>
          <w:rFonts w:asciiTheme="minorHAnsi" w:hAnsiTheme="minorHAnsi" w:cs="Open Sans"/>
          <w:i/>
          <w:iCs/>
          <w:color w:val="000000" w:themeColor="text1"/>
          <w:sz w:val="18"/>
          <w:szCs w:val="18"/>
        </w:rPr>
        <w:t xml:space="preserve">Abeille Retraite Professionnelle - </w:t>
      </w:r>
      <w:r w:rsidRPr="008F771D">
        <w:rPr>
          <w:rFonts w:asciiTheme="minorHAnsi" w:hAnsiTheme="minorHAnsi" w:cs="Open Sans"/>
          <w:i/>
          <w:iCs/>
          <w:color w:val="000000" w:themeColor="text1"/>
          <w:sz w:val="18"/>
          <w:szCs w:val="18"/>
        </w:rPr>
        <w:t>Fonds général – Actifs souverains, 31/12/2025</w:t>
      </w:r>
    </w:p>
    <w:p w14:paraId="133554F1" w14:textId="77777777" w:rsidR="00D5002F" w:rsidRPr="008F771D" w:rsidRDefault="00D5002F" w:rsidP="009D6EE5">
      <w:pPr>
        <w:pStyle w:val="pf0"/>
        <w:spacing w:before="0" w:beforeAutospacing="0" w:after="0" w:afterAutospacing="0" w:line="22" w:lineRule="atLeast"/>
        <w:jc w:val="both"/>
        <w:rPr>
          <w:rFonts w:asciiTheme="minorHAnsi" w:hAnsiTheme="minorHAnsi" w:cs="Open Sans"/>
          <w:i/>
          <w:iCs/>
          <w:color w:val="000000" w:themeColor="text1"/>
          <w:sz w:val="18"/>
          <w:szCs w:val="18"/>
        </w:rPr>
      </w:pPr>
      <w:r w:rsidRPr="008F771D">
        <w:rPr>
          <w:rFonts w:asciiTheme="minorHAnsi" w:hAnsiTheme="minorHAnsi" w:cs="Open Sans"/>
          <w:i/>
          <w:iCs/>
          <w:color w:val="000000" w:themeColor="text1"/>
          <w:sz w:val="18"/>
          <w:szCs w:val="18"/>
        </w:rPr>
        <w:t>Source : Ofi Invest AM</w:t>
      </w:r>
    </w:p>
    <w:p w14:paraId="4A7A22AC" w14:textId="407DA3C0" w:rsidR="008267A2" w:rsidRPr="008F771D" w:rsidRDefault="008267A2" w:rsidP="00D102F5">
      <w:pPr>
        <w:spacing w:line="22" w:lineRule="atLeast"/>
        <w:jc w:val="both"/>
        <w:rPr>
          <w:rFonts w:asciiTheme="minorHAnsi" w:hAnsiTheme="minorHAnsi" w:cs="Open Sans"/>
          <w:i/>
          <w:iCs/>
          <w:color w:val="000000" w:themeColor="text1"/>
          <w:sz w:val="18"/>
          <w:szCs w:val="18"/>
          <w:lang w:val="fr-FR"/>
        </w:rPr>
      </w:pPr>
      <w:r w:rsidRPr="008F771D">
        <w:rPr>
          <w:rFonts w:asciiTheme="minorHAnsi" w:hAnsiTheme="minorHAnsi" w:cs="Open Sans"/>
          <w:i/>
          <w:iCs/>
          <w:color w:val="000000" w:themeColor="text1"/>
          <w:sz w:val="18"/>
          <w:szCs w:val="18"/>
          <w:lang w:val="fr-FR"/>
        </w:rPr>
        <w:t>Taux de couverture 2025</w:t>
      </w:r>
      <w:r w:rsidR="00D102F5" w:rsidRPr="008F771D">
        <w:rPr>
          <w:rFonts w:asciiTheme="minorHAnsi" w:hAnsiTheme="minorHAnsi" w:cs="Open Sans"/>
          <w:i/>
          <w:iCs/>
          <w:color w:val="000000" w:themeColor="text1"/>
          <w:sz w:val="18"/>
          <w:szCs w:val="18"/>
          <w:lang w:val="fr-FR"/>
        </w:rPr>
        <w:t xml:space="preserve"> : </w:t>
      </w:r>
      <w:r w:rsidR="00C02CA6" w:rsidRPr="008F771D">
        <w:rPr>
          <w:rFonts w:asciiTheme="minorHAnsi" w:hAnsiTheme="minorHAnsi" w:cs="Open Sans"/>
          <w:i/>
          <w:iCs/>
          <w:color w:val="000000" w:themeColor="text1"/>
          <w:sz w:val="18"/>
          <w:szCs w:val="18"/>
          <w:lang w:val="fr-FR"/>
        </w:rPr>
        <w:t>91</w:t>
      </w:r>
      <w:r w:rsidRPr="008F771D">
        <w:rPr>
          <w:rFonts w:asciiTheme="minorHAnsi" w:hAnsiTheme="minorHAnsi" w:cs="Open Sans"/>
          <w:i/>
          <w:iCs/>
          <w:color w:val="000000" w:themeColor="text1"/>
          <w:sz w:val="18"/>
          <w:szCs w:val="18"/>
          <w:lang w:val="fr-FR"/>
        </w:rPr>
        <w:t xml:space="preserve">% (vs </w:t>
      </w:r>
      <w:r w:rsidR="00C02CA6" w:rsidRPr="008F771D">
        <w:rPr>
          <w:rFonts w:asciiTheme="minorHAnsi" w:hAnsiTheme="minorHAnsi" w:cs="Open Sans"/>
          <w:i/>
          <w:iCs/>
          <w:color w:val="000000" w:themeColor="text1"/>
          <w:sz w:val="18"/>
          <w:szCs w:val="18"/>
          <w:lang w:val="fr-FR"/>
        </w:rPr>
        <w:t>44</w:t>
      </w:r>
      <w:r w:rsidRPr="008F771D">
        <w:rPr>
          <w:rFonts w:asciiTheme="minorHAnsi" w:hAnsiTheme="minorHAnsi" w:cs="Open Sans"/>
          <w:i/>
          <w:iCs/>
          <w:color w:val="000000" w:themeColor="text1"/>
          <w:sz w:val="18"/>
          <w:szCs w:val="18"/>
          <w:lang w:val="fr-FR"/>
        </w:rPr>
        <w:t>% l’an passé)</w:t>
      </w:r>
    </w:p>
    <w:p w14:paraId="0D5F2FC0" w14:textId="77777777" w:rsidR="00D102F5" w:rsidRPr="00A74D23" w:rsidRDefault="00D102F5" w:rsidP="00D102F5">
      <w:pPr>
        <w:spacing w:line="22" w:lineRule="atLeast"/>
        <w:jc w:val="both"/>
        <w:rPr>
          <w:rFonts w:asciiTheme="minorHAnsi" w:hAnsiTheme="minorHAnsi" w:cs="Open Sans"/>
          <w:i/>
          <w:iCs/>
          <w:sz w:val="18"/>
          <w:szCs w:val="18"/>
          <w:lang w:val="fr-FR"/>
        </w:rPr>
      </w:pPr>
    </w:p>
    <w:p w14:paraId="4BC7C990" w14:textId="77777777" w:rsidR="00035F03" w:rsidRPr="00A74D23" w:rsidRDefault="00035F03" w:rsidP="00D102F5">
      <w:pPr>
        <w:spacing w:line="22" w:lineRule="atLeast"/>
        <w:jc w:val="both"/>
        <w:rPr>
          <w:rFonts w:asciiTheme="minorHAnsi" w:hAnsiTheme="minorHAnsi" w:cs="Open Sans"/>
          <w:i/>
          <w:iCs/>
          <w:sz w:val="18"/>
          <w:szCs w:val="18"/>
          <w:lang w:val="fr-FR"/>
        </w:rPr>
      </w:pPr>
    </w:p>
    <w:p w14:paraId="7B19ADEB" w14:textId="707094F3" w:rsidR="00E70484" w:rsidRPr="005A53D8" w:rsidRDefault="00E70484" w:rsidP="00D102F5">
      <w:pPr>
        <w:pStyle w:val="Style4"/>
        <w:spacing w:line="22" w:lineRule="atLeast"/>
        <w:jc w:val="both"/>
        <w:rPr>
          <w:rFonts w:asciiTheme="minorHAnsi" w:hAnsiTheme="minorHAnsi" w:cs="Open Sans"/>
          <w:color w:val="8A2C24" w:themeColor="accent2"/>
        </w:rPr>
      </w:pPr>
      <w:r w:rsidRPr="005A53D8">
        <w:rPr>
          <w:rFonts w:asciiTheme="minorHAnsi" w:hAnsiTheme="minorHAnsi" w:cs="Open Sans"/>
          <w:color w:val="8A2C24" w:themeColor="accent2"/>
        </w:rPr>
        <w:t>4.</w:t>
      </w:r>
      <w:r w:rsidR="00614A10" w:rsidRPr="005A53D8">
        <w:rPr>
          <w:rFonts w:asciiTheme="minorHAnsi" w:hAnsiTheme="minorHAnsi" w:cs="Open Sans"/>
          <w:color w:val="8A2C24" w:themeColor="accent2"/>
        </w:rPr>
        <w:t>2</w:t>
      </w:r>
      <w:r w:rsidRPr="005A53D8">
        <w:rPr>
          <w:rFonts w:asciiTheme="minorHAnsi" w:hAnsiTheme="minorHAnsi" w:cs="Open Sans"/>
          <w:color w:val="8A2C24" w:themeColor="accent2"/>
        </w:rPr>
        <w:t>.2</w:t>
      </w:r>
      <w:r w:rsidR="00165BA7" w:rsidRPr="005A53D8">
        <w:rPr>
          <w:rFonts w:asciiTheme="minorHAnsi" w:hAnsiTheme="minorHAnsi" w:cs="Open Sans"/>
          <w:color w:val="8A2C24" w:themeColor="accent2"/>
        </w:rPr>
        <w:t>.</w:t>
      </w:r>
      <w:r w:rsidRPr="005A53D8">
        <w:rPr>
          <w:rFonts w:asciiTheme="minorHAnsi" w:hAnsiTheme="minorHAnsi" w:cs="Open Sans"/>
          <w:color w:val="8A2C24" w:themeColor="accent2"/>
        </w:rPr>
        <w:t xml:space="preserve"> Performance carbone du portefeuille souverains</w:t>
      </w:r>
    </w:p>
    <w:p w14:paraId="5152E856" w14:textId="77777777" w:rsidR="001C2014" w:rsidRPr="00A74D23" w:rsidRDefault="001C2014" w:rsidP="009D6EE5">
      <w:pPr>
        <w:spacing w:line="22" w:lineRule="atLeast"/>
        <w:jc w:val="both"/>
        <w:rPr>
          <w:rFonts w:asciiTheme="minorHAnsi" w:hAnsiTheme="minorHAnsi" w:cs="Open Sans"/>
          <w:sz w:val="20"/>
          <w:szCs w:val="20"/>
          <w:lang w:val="fr-FR"/>
        </w:rPr>
      </w:pPr>
    </w:p>
    <w:p w14:paraId="2DC2EF3D" w14:textId="77777777" w:rsidR="001C2014" w:rsidRPr="00A74D23" w:rsidRDefault="001C2014"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Pour la première année, Abeille Assurances a mené une analyse ASCOR (Assessing Sovereign Climate-related Opportunities and Risks) sur son portefeuille souverain en actifs généraux. Développé par l'Initiative Financière du Programme des Nations Unies pour l'Environnement (UNEP FI) et lancé en 2022, ASCOR constitue un cadre de référence permettant d'évaluer la crédibilité des trajectoires climatiques des États et leur alignement avec les objectifs de l'Accord de Paris. Cette démarche s'inscrit pleinement dans les exigences du protocole de la Net-Zero Asset Owner Alliance (NZAOA), qui recommande à ses signataires d'intégrer progressivement les émissions souveraines dans leurs objectifs de décarbonation et d'assurer un suivi rigoureux de l'alignement climatique des portefeuilles obligataires souverains.</w:t>
      </w:r>
    </w:p>
    <w:p w14:paraId="7E73F82E" w14:textId="77777777" w:rsidR="001D04BE" w:rsidRPr="00A74D23" w:rsidRDefault="001D04BE" w:rsidP="009D6EE5">
      <w:pPr>
        <w:spacing w:line="22" w:lineRule="atLeast"/>
        <w:jc w:val="both"/>
        <w:rPr>
          <w:rFonts w:asciiTheme="minorHAnsi" w:hAnsiTheme="minorHAnsi" w:cs="Open Sans"/>
          <w:sz w:val="20"/>
          <w:szCs w:val="20"/>
          <w:lang w:val="fr-FR"/>
        </w:rPr>
      </w:pPr>
    </w:p>
    <w:p w14:paraId="519BAF08" w14:textId="7BE07CA7" w:rsidR="001D04BE" w:rsidRPr="00A74D23" w:rsidRDefault="008F6D8C"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Afin de construire un score ASCOR par pays, nous avons utilisé la règle suivante, pour chaque critère de notation :</w:t>
      </w:r>
    </w:p>
    <w:p w14:paraId="1EE68FD0" w14:textId="69B438A2" w:rsidR="008F6D8C" w:rsidRPr="00A74D23" w:rsidRDefault="008F6D8C" w:rsidP="00590DD1">
      <w:pPr>
        <w:pStyle w:val="Paragraphedeliste"/>
        <w:numPr>
          <w:ilvl w:val="0"/>
          <w:numId w:val="39"/>
        </w:numPr>
        <w:spacing w:after="0" w:line="22" w:lineRule="atLeast"/>
        <w:jc w:val="both"/>
        <w:rPr>
          <w:rFonts w:cs="Open Sans"/>
          <w:sz w:val="20"/>
          <w:szCs w:val="20"/>
        </w:rPr>
      </w:pPr>
      <w:r w:rsidRPr="00A74D23">
        <w:rPr>
          <w:rFonts w:cs="Open Sans"/>
          <w:sz w:val="20"/>
          <w:szCs w:val="20"/>
        </w:rPr>
        <w:t>1</w:t>
      </w:r>
      <w:r w:rsidR="00FA54B2" w:rsidRPr="00A74D23">
        <w:rPr>
          <w:rFonts w:cs="Open Sans"/>
          <w:sz w:val="20"/>
          <w:szCs w:val="20"/>
        </w:rPr>
        <w:t xml:space="preserve"> </w:t>
      </w:r>
      <w:r w:rsidRPr="00A74D23">
        <w:rPr>
          <w:rFonts w:cs="Open Sans"/>
          <w:sz w:val="20"/>
          <w:szCs w:val="20"/>
        </w:rPr>
        <w:t>point si le pays répond positivement au critère</w:t>
      </w:r>
    </w:p>
    <w:p w14:paraId="6FF6CEA8" w14:textId="1C0685F1" w:rsidR="008F6D8C" w:rsidRPr="00A74D23" w:rsidRDefault="008F6D8C" w:rsidP="00590DD1">
      <w:pPr>
        <w:pStyle w:val="Paragraphedeliste"/>
        <w:numPr>
          <w:ilvl w:val="0"/>
          <w:numId w:val="39"/>
        </w:numPr>
        <w:spacing w:after="0" w:line="22" w:lineRule="atLeast"/>
        <w:jc w:val="both"/>
        <w:rPr>
          <w:rFonts w:cs="Open Sans"/>
          <w:sz w:val="20"/>
          <w:szCs w:val="20"/>
        </w:rPr>
      </w:pPr>
      <w:r w:rsidRPr="00A74D23">
        <w:rPr>
          <w:rFonts w:cs="Open Sans"/>
          <w:sz w:val="20"/>
          <w:szCs w:val="20"/>
        </w:rPr>
        <w:t>0,5 points s’il y répond partiellement</w:t>
      </w:r>
    </w:p>
    <w:p w14:paraId="193764F7" w14:textId="77777777" w:rsidR="00FA54B2" w:rsidRPr="00A74D23" w:rsidRDefault="008F6D8C" w:rsidP="00590DD1">
      <w:pPr>
        <w:pStyle w:val="Paragraphedeliste"/>
        <w:numPr>
          <w:ilvl w:val="0"/>
          <w:numId w:val="39"/>
        </w:numPr>
        <w:spacing w:after="0" w:line="22" w:lineRule="atLeast"/>
        <w:jc w:val="both"/>
        <w:rPr>
          <w:rFonts w:cs="Open Sans"/>
          <w:sz w:val="20"/>
          <w:szCs w:val="20"/>
        </w:rPr>
      </w:pPr>
      <w:r w:rsidRPr="00A74D23">
        <w:rPr>
          <w:rFonts w:cs="Open Sans"/>
          <w:sz w:val="20"/>
          <w:szCs w:val="20"/>
        </w:rPr>
        <w:t>0 point s’il n’y répond pas</w:t>
      </w:r>
    </w:p>
    <w:p w14:paraId="4BD681E6" w14:textId="2250F604" w:rsidR="008F6D8C" w:rsidRPr="00A74D23" w:rsidRDefault="00986525" w:rsidP="00590DD1">
      <w:pPr>
        <w:pStyle w:val="Paragraphedeliste"/>
        <w:numPr>
          <w:ilvl w:val="0"/>
          <w:numId w:val="39"/>
        </w:numPr>
        <w:spacing w:after="0" w:line="22" w:lineRule="atLeast"/>
        <w:jc w:val="both"/>
        <w:rPr>
          <w:rFonts w:cs="Open Sans"/>
          <w:sz w:val="20"/>
          <w:szCs w:val="20"/>
        </w:rPr>
      </w:pPr>
      <w:r w:rsidRPr="00A74D23">
        <w:rPr>
          <w:rFonts w:cs="Open Sans"/>
          <w:sz w:val="20"/>
          <w:szCs w:val="20"/>
        </w:rPr>
        <w:t>Puis l</w:t>
      </w:r>
      <w:r w:rsidR="00FA54B2" w:rsidRPr="00A74D23">
        <w:rPr>
          <w:rFonts w:cs="Open Sans"/>
          <w:sz w:val="20"/>
          <w:szCs w:val="20"/>
        </w:rPr>
        <w:t>a notation a été normalisée sur</w:t>
      </w:r>
      <w:r w:rsidR="006C216E" w:rsidRPr="00A74D23">
        <w:rPr>
          <w:rFonts w:cs="Open Sans"/>
          <w:sz w:val="20"/>
          <w:szCs w:val="20"/>
        </w:rPr>
        <w:t>/10</w:t>
      </w:r>
    </w:p>
    <w:p w14:paraId="6E53373A" w14:textId="77777777" w:rsidR="001C2014" w:rsidRPr="00A74D23" w:rsidRDefault="001C2014" w:rsidP="009D6EE5">
      <w:pPr>
        <w:spacing w:line="22" w:lineRule="atLeast"/>
        <w:jc w:val="both"/>
        <w:rPr>
          <w:rFonts w:asciiTheme="minorHAnsi" w:hAnsiTheme="minorHAnsi" w:cs="Open Sans"/>
          <w:sz w:val="20"/>
          <w:szCs w:val="20"/>
          <w:lang w:val="fr-FR"/>
        </w:rPr>
      </w:pPr>
    </w:p>
    <w:p w14:paraId="411BD798" w14:textId="77777777" w:rsidR="001C2014" w:rsidRPr="00A74D23" w:rsidRDefault="001C2014" w:rsidP="009D6EE5">
      <w:pPr>
        <w:spacing w:line="22" w:lineRule="atLeast"/>
        <w:jc w:val="both"/>
        <w:rPr>
          <w:rFonts w:asciiTheme="minorHAnsi" w:hAnsiTheme="minorHAnsi" w:cs="Open Sans"/>
          <w:sz w:val="20"/>
          <w:szCs w:val="20"/>
          <w:lang w:val="fr-FR"/>
        </w:rPr>
      </w:pPr>
    </w:p>
    <w:p w14:paraId="53839F64" w14:textId="77777777" w:rsidR="001C2014" w:rsidRPr="00A74D23" w:rsidRDefault="001C2014" w:rsidP="009D6EE5">
      <w:pPr>
        <w:spacing w:line="22" w:lineRule="atLeast"/>
        <w:jc w:val="both"/>
        <w:rPr>
          <w:rFonts w:asciiTheme="minorHAnsi" w:hAnsiTheme="minorHAnsi" w:cs="Open Sans"/>
          <w:sz w:val="20"/>
          <w:szCs w:val="20"/>
          <w:lang w:val="fr-FR"/>
        </w:rPr>
      </w:pPr>
    </w:p>
    <w:p w14:paraId="784C9A28" w14:textId="77777777" w:rsidR="001C2014" w:rsidRPr="00A74D23" w:rsidRDefault="001C2014" w:rsidP="009D6EE5">
      <w:pPr>
        <w:spacing w:line="22" w:lineRule="atLeast"/>
        <w:jc w:val="both"/>
        <w:rPr>
          <w:rFonts w:asciiTheme="minorHAnsi" w:hAnsiTheme="minorHAnsi" w:cs="Open Sans"/>
          <w:sz w:val="20"/>
          <w:szCs w:val="20"/>
          <w:lang w:val="fr-FR"/>
        </w:rPr>
      </w:pPr>
    </w:p>
    <w:p w14:paraId="0622F04D" w14:textId="0F8818DB" w:rsidR="000E5DED" w:rsidRPr="00A74D23" w:rsidRDefault="008B4EE6" w:rsidP="009D6EE5">
      <w:pPr>
        <w:spacing w:line="22" w:lineRule="atLeast"/>
        <w:jc w:val="both"/>
        <w:rPr>
          <w:rFonts w:asciiTheme="minorHAnsi" w:hAnsiTheme="minorHAnsi" w:cs="Open Sans"/>
          <w:sz w:val="20"/>
          <w:szCs w:val="20"/>
          <w:lang w:val="fr-FR"/>
        </w:rPr>
      </w:pPr>
      <w:r>
        <w:rPr>
          <w:noProof/>
        </w:rPr>
        <w:drawing>
          <wp:inline distT="0" distB="0" distL="0" distR="0" wp14:anchorId="732E4DE4" wp14:editId="7C60D4D1">
            <wp:extent cx="4429499" cy="3118866"/>
            <wp:effectExtent l="0" t="0" r="9525" b="5715"/>
            <wp:docPr id="2118452496" name="Graphique 1">
              <a:extLst xmlns:a="http://schemas.openxmlformats.org/drawingml/2006/main">
                <a:ext uri="{FF2B5EF4-FFF2-40B4-BE49-F238E27FC236}">
                  <a16:creationId xmlns:a16="http://schemas.microsoft.com/office/drawing/2014/main" id="{DFEAB1B8-6AEC-4577-8484-06A8125590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46ABBB21" w14:textId="1FB01C54" w:rsidR="00DE00E8" w:rsidRPr="00A74D23" w:rsidRDefault="00DE00E8" w:rsidP="009D6EE5">
      <w:pPr>
        <w:pStyle w:val="pf0"/>
        <w:spacing w:before="0" w:beforeAutospacing="0" w:after="0" w:afterAutospacing="0" w:line="22" w:lineRule="atLeast"/>
        <w:jc w:val="both"/>
        <w:rPr>
          <w:rFonts w:asciiTheme="minorHAnsi" w:hAnsiTheme="minorHAnsi" w:cs="Open Sans"/>
          <w:i/>
          <w:iCs/>
          <w:sz w:val="18"/>
          <w:szCs w:val="18"/>
        </w:rPr>
      </w:pPr>
      <w:r w:rsidRPr="00A74D23">
        <w:rPr>
          <w:rFonts w:asciiTheme="minorHAnsi" w:hAnsiTheme="minorHAnsi" w:cs="Open Sans"/>
          <w:i/>
          <w:iCs/>
          <w:sz w:val="18"/>
          <w:szCs w:val="18"/>
        </w:rPr>
        <w:t>Périmètre :</w:t>
      </w:r>
      <w:r w:rsidR="008B4EE6">
        <w:rPr>
          <w:rFonts w:asciiTheme="minorHAnsi" w:hAnsiTheme="minorHAnsi" w:cs="Open Sans"/>
          <w:i/>
          <w:iCs/>
          <w:sz w:val="18"/>
          <w:szCs w:val="18"/>
        </w:rPr>
        <w:t xml:space="preserve"> Abeille Retraite Professionnelle -</w:t>
      </w:r>
      <w:r w:rsidRPr="00A74D23">
        <w:rPr>
          <w:rFonts w:asciiTheme="minorHAnsi" w:hAnsiTheme="minorHAnsi" w:cs="Open Sans"/>
          <w:i/>
          <w:iCs/>
          <w:sz w:val="18"/>
          <w:szCs w:val="18"/>
        </w:rPr>
        <w:t xml:space="preserve"> Fonds général – Actifs souverains, 31/12/2025</w:t>
      </w:r>
    </w:p>
    <w:p w14:paraId="4536A9D2" w14:textId="3A317720" w:rsidR="00DE00E8" w:rsidRPr="00A74D23" w:rsidRDefault="00DE00E8" w:rsidP="009D6EE5">
      <w:pPr>
        <w:pStyle w:val="pf0"/>
        <w:spacing w:before="0" w:beforeAutospacing="0" w:after="0" w:afterAutospacing="0" w:line="22" w:lineRule="atLeast"/>
        <w:jc w:val="both"/>
        <w:rPr>
          <w:rFonts w:asciiTheme="minorHAnsi" w:hAnsiTheme="minorHAnsi" w:cs="Open Sans"/>
          <w:i/>
          <w:iCs/>
          <w:sz w:val="18"/>
          <w:szCs w:val="18"/>
        </w:rPr>
      </w:pPr>
      <w:r w:rsidRPr="00A74D23">
        <w:rPr>
          <w:rFonts w:asciiTheme="minorHAnsi" w:hAnsiTheme="minorHAnsi" w:cs="Open Sans"/>
          <w:i/>
          <w:iCs/>
          <w:sz w:val="18"/>
          <w:szCs w:val="18"/>
        </w:rPr>
        <w:t>Source : MSCI</w:t>
      </w:r>
    </w:p>
    <w:p w14:paraId="5D1DA60B" w14:textId="2DA1BA15" w:rsidR="00DE00E8" w:rsidRPr="00A74D23" w:rsidRDefault="00DE00E8" w:rsidP="009D6EE5">
      <w:pPr>
        <w:spacing w:line="22" w:lineRule="atLeast"/>
        <w:jc w:val="both"/>
        <w:rPr>
          <w:rFonts w:asciiTheme="minorHAnsi" w:hAnsiTheme="minorHAnsi" w:cs="Open Sans"/>
          <w:i/>
          <w:iCs/>
          <w:sz w:val="18"/>
          <w:szCs w:val="18"/>
          <w:lang w:val="fr-FR"/>
        </w:rPr>
      </w:pPr>
      <w:r w:rsidRPr="00A74D23">
        <w:rPr>
          <w:rFonts w:asciiTheme="minorHAnsi" w:hAnsiTheme="minorHAnsi" w:cs="Open Sans"/>
          <w:i/>
          <w:iCs/>
          <w:sz w:val="18"/>
          <w:szCs w:val="18"/>
          <w:lang w:val="fr-FR"/>
        </w:rPr>
        <w:t>Taux de couverture 2025</w:t>
      </w:r>
      <w:r w:rsidR="00FA54B2" w:rsidRPr="00A74D23">
        <w:rPr>
          <w:rFonts w:asciiTheme="minorHAnsi" w:hAnsiTheme="minorHAnsi" w:cs="Open Sans"/>
          <w:i/>
          <w:iCs/>
          <w:sz w:val="18"/>
          <w:szCs w:val="18"/>
          <w:lang w:val="fr-FR"/>
        </w:rPr>
        <w:t> :</w:t>
      </w:r>
      <w:r w:rsidR="00A5494F">
        <w:rPr>
          <w:rFonts w:asciiTheme="minorHAnsi" w:hAnsiTheme="minorHAnsi" w:cs="Open Sans"/>
          <w:i/>
          <w:iCs/>
          <w:sz w:val="18"/>
          <w:szCs w:val="18"/>
          <w:lang w:val="fr-FR"/>
        </w:rPr>
        <w:t xml:space="preserve"> </w:t>
      </w:r>
      <w:r w:rsidRPr="00A74D23">
        <w:rPr>
          <w:rFonts w:asciiTheme="minorHAnsi" w:hAnsiTheme="minorHAnsi" w:cs="Open Sans"/>
          <w:i/>
          <w:iCs/>
          <w:sz w:val="18"/>
          <w:szCs w:val="18"/>
          <w:lang w:val="fr-FR"/>
        </w:rPr>
        <w:t>97%</w:t>
      </w:r>
    </w:p>
    <w:p w14:paraId="78CA5E57" w14:textId="77777777" w:rsidR="00E70484" w:rsidRDefault="00E70484" w:rsidP="009D6EE5">
      <w:pPr>
        <w:spacing w:line="22" w:lineRule="atLeast"/>
        <w:jc w:val="both"/>
        <w:rPr>
          <w:rFonts w:asciiTheme="minorHAnsi" w:hAnsiTheme="minorHAnsi" w:cs="Open Sans"/>
          <w:sz w:val="20"/>
          <w:szCs w:val="20"/>
          <w:lang w:val="fr-FR"/>
        </w:rPr>
      </w:pPr>
    </w:p>
    <w:p w14:paraId="012CC04A" w14:textId="77777777" w:rsidR="008B4EE6" w:rsidRPr="00A74D23" w:rsidRDefault="008B4EE6" w:rsidP="009D6EE5">
      <w:pPr>
        <w:spacing w:line="22" w:lineRule="atLeast"/>
        <w:jc w:val="both"/>
        <w:rPr>
          <w:rFonts w:asciiTheme="minorHAnsi" w:hAnsiTheme="minorHAnsi" w:cs="Open Sans"/>
          <w:sz w:val="20"/>
          <w:szCs w:val="20"/>
          <w:lang w:val="fr-FR"/>
        </w:rPr>
      </w:pPr>
    </w:p>
    <w:p w14:paraId="22609C73" w14:textId="4C836364" w:rsidR="00635D38" w:rsidRPr="00A74D23" w:rsidRDefault="00BE4EFF"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 xml:space="preserve">Les résultats montrent que </w:t>
      </w:r>
      <w:r w:rsidRPr="00A74D23">
        <w:rPr>
          <w:rFonts w:asciiTheme="minorHAnsi" w:hAnsiTheme="minorHAnsi" w:cs="Open Sans"/>
          <w:b/>
          <w:bCs/>
          <w:sz w:val="20"/>
          <w:szCs w:val="20"/>
          <w:lang w:val="fr-FR"/>
        </w:rPr>
        <w:t>8</w:t>
      </w:r>
      <w:r w:rsidR="00A5494F">
        <w:rPr>
          <w:rFonts w:asciiTheme="minorHAnsi" w:hAnsiTheme="minorHAnsi" w:cs="Open Sans"/>
          <w:b/>
          <w:bCs/>
          <w:sz w:val="20"/>
          <w:szCs w:val="20"/>
          <w:lang w:val="fr-FR"/>
        </w:rPr>
        <w:t>8</w:t>
      </w:r>
      <w:r w:rsidRPr="00A74D23">
        <w:rPr>
          <w:rFonts w:asciiTheme="minorHAnsi" w:hAnsiTheme="minorHAnsi" w:cs="Open Sans"/>
          <w:b/>
          <w:bCs/>
          <w:sz w:val="20"/>
          <w:szCs w:val="20"/>
          <w:lang w:val="fr-FR"/>
        </w:rPr>
        <w:t xml:space="preserve"> % des encours souverains sont positionnés dans le premier quartile</w:t>
      </w:r>
      <w:r w:rsidRPr="00A74D23">
        <w:rPr>
          <w:rFonts w:asciiTheme="minorHAnsi" w:hAnsiTheme="minorHAnsi" w:cs="Open Sans"/>
          <w:sz w:val="20"/>
          <w:szCs w:val="20"/>
          <w:lang w:val="fr-FR"/>
        </w:rPr>
        <w:t xml:space="preserve"> des notations ASCOR, reflétant un niveau d'alignement climatique élevé</w:t>
      </w:r>
      <w:r w:rsidR="00C91998" w:rsidRPr="00A74D23">
        <w:rPr>
          <w:rFonts w:asciiTheme="minorHAnsi" w:hAnsiTheme="minorHAnsi" w:cs="Open Sans"/>
          <w:sz w:val="20"/>
          <w:szCs w:val="20"/>
          <w:lang w:val="fr-FR"/>
        </w:rPr>
        <w:t xml:space="preserve"> par rapport aux autres pays. </w:t>
      </w:r>
      <w:r w:rsidRPr="00A74D23">
        <w:rPr>
          <w:rFonts w:asciiTheme="minorHAnsi" w:hAnsiTheme="minorHAnsi" w:cs="Open Sans"/>
          <w:sz w:val="20"/>
          <w:szCs w:val="20"/>
          <w:lang w:val="fr-FR"/>
        </w:rPr>
        <w:t xml:space="preserve">Ce résultat positif s'explique toutefois en grande partie par la forte contribution de la France aux encours souverains du portefeuille. </w:t>
      </w:r>
    </w:p>
    <w:p w14:paraId="1F67D0E5" w14:textId="77777777" w:rsidR="00635D38" w:rsidRPr="00A74D23" w:rsidRDefault="00635D38" w:rsidP="009D6EE5">
      <w:pPr>
        <w:spacing w:line="22" w:lineRule="atLeast"/>
        <w:jc w:val="both"/>
        <w:rPr>
          <w:rFonts w:asciiTheme="minorHAnsi" w:hAnsiTheme="minorHAnsi" w:cs="Open Sans"/>
          <w:sz w:val="20"/>
          <w:szCs w:val="20"/>
          <w:lang w:val="fr-FR"/>
        </w:rPr>
      </w:pPr>
    </w:p>
    <w:p w14:paraId="33D248C6" w14:textId="6F5EB58D" w:rsidR="00BE4EFF" w:rsidRPr="00A74D23" w:rsidRDefault="00BE4EFF"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Afin de suivre l'évolution dynamique de cette exposition, Abeille Assurances a également calculé l'ASCOR Improvement Score, défini par la formule :</w:t>
      </w:r>
    </w:p>
    <w:p w14:paraId="308066D0" w14:textId="3016E2F6" w:rsidR="00E65ADE" w:rsidRPr="00A74D23" w:rsidRDefault="00E65ADE" w:rsidP="009D6EE5">
      <w:pPr>
        <w:spacing w:line="22" w:lineRule="atLeast"/>
        <w:jc w:val="both"/>
        <w:rPr>
          <w:rFonts w:asciiTheme="minorHAnsi" w:hAnsiTheme="minorHAnsi" w:cs="Open Sans"/>
          <w:sz w:val="20"/>
          <w:szCs w:val="20"/>
          <w:lang w:val="fr-FR"/>
        </w:rPr>
      </w:pPr>
      <w:r w:rsidRPr="00A74D23">
        <w:rPr>
          <w:rFonts w:asciiTheme="minorHAnsi" w:hAnsiTheme="minorHAnsi" w:cs="Open Sans"/>
          <w:noProof/>
          <w:sz w:val="20"/>
          <w:szCs w:val="20"/>
        </w:rPr>
        <w:drawing>
          <wp:anchor distT="0" distB="0" distL="114300" distR="114300" simplePos="0" relativeHeight="251393024" behindDoc="0" locked="0" layoutInCell="1" allowOverlap="1" wp14:anchorId="2514138C" wp14:editId="07DAC022">
            <wp:simplePos x="0" y="0"/>
            <wp:positionH relativeFrom="margin">
              <wp:posOffset>356795</wp:posOffset>
            </wp:positionH>
            <wp:positionV relativeFrom="paragraph">
              <wp:posOffset>116542</wp:posOffset>
            </wp:positionV>
            <wp:extent cx="4932045" cy="915670"/>
            <wp:effectExtent l="0" t="0" r="1905" b="0"/>
            <wp:wrapSquare wrapText="bothSides"/>
            <wp:docPr id="199287968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79682" name="Image 1992879682"/>
                    <pic:cNvPicPr/>
                  </pic:nvPicPr>
                  <pic:blipFill>
                    <a:blip r:embed="rId78">
                      <a:extLst>
                        <a:ext uri="{28A0092B-C50C-407E-A947-70E740481C1C}">
                          <a14:useLocalDpi xmlns:a14="http://schemas.microsoft.com/office/drawing/2010/main" val="0"/>
                        </a:ext>
                      </a:extLst>
                    </a:blip>
                    <a:stretch>
                      <a:fillRect/>
                    </a:stretch>
                  </pic:blipFill>
                  <pic:spPr>
                    <a:xfrm>
                      <a:off x="0" y="0"/>
                      <a:ext cx="4932045" cy="915670"/>
                    </a:xfrm>
                    <a:prstGeom prst="rect">
                      <a:avLst/>
                    </a:prstGeom>
                  </pic:spPr>
                </pic:pic>
              </a:graphicData>
            </a:graphic>
            <wp14:sizeRelH relativeFrom="margin">
              <wp14:pctWidth>0</wp14:pctWidth>
            </wp14:sizeRelH>
            <wp14:sizeRelV relativeFrom="margin">
              <wp14:pctHeight>0</wp14:pctHeight>
            </wp14:sizeRelV>
          </wp:anchor>
        </w:drawing>
      </w:r>
    </w:p>
    <w:p w14:paraId="7DAB3FF0" w14:textId="32440CB4" w:rsidR="00E65ADE" w:rsidRPr="00A74D23" w:rsidRDefault="00E65ADE" w:rsidP="009D6EE5">
      <w:pPr>
        <w:spacing w:line="22" w:lineRule="atLeast"/>
        <w:jc w:val="both"/>
        <w:rPr>
          <w:rFonts w:asciiTheme="minorHAnsi" w:hAnsiTheme="minorHAnsi" w:cs="Open Sans"/>
          <w:sz w:val="20"/>
          <w:szCs w:val="20"/>
          <w:lang w:val="fr-FR"/>
        </w:rPr>
      </w:pPr>
    </w:p>
    <w:p w14:paraId="5BCBD163" w14:textId="29CBC4EB" w:rsidR="00E65ADE" w:rsidRPr="00A74D23" w:rsidRDefault="00E65ADE" w:rsidP="009D6EE5">
      <w:pPr>
        <w:spacing w:line="22" w:lineRule="atLeast"/>
        <w:jc w:val="both"/>
        <w:rPr>
          <w:rFonts w:asciiTheme="minorHAnsi" w:hAnsiTheme="minorHAnsi" w:cs="Open Sans"/>
          <w:sz w:val="20"/>
          <w:szCs w:val="20"/>
          <w:lang w:val="fr-FR"/>
        </w:rPr>
      </w:pPr>
    </w:p>
    <w:p w14:paraId="0AAB0678" w14:textId="77777777" w:rsidR="00E65ADE" w:rsidRPr="00A74D23" w:rsidRDefault="00E65ADE" w:rsidP="009D6EE5">
      <w:pPr>
        <w:spacing w:line="22" w:lineRule="atLeast"/>
        <w:jc w:val="both"/>
        <w:rPr>
          <w:rFonts w:asciiTheme="minorHAnsi" w:hAnsiTheme="minorHAnsi" w:cs="Open Sans"/>
          <w:sz w:val="20"/>
          <w:szCs w:val="20"/>
          <w:lang w:val="fr-FR"/>
        </w:rPr>
      </w:pPr>
    </w:p>
    <w:p w14:paraId="22631C03" w14:textId="77777777" w:rsidR="00E65ADE" w:rsidRPr="00A74D23" w:rsidRDefault="00E65ADE" w:rsidP="009D6EE5">
      <w:pPr>
        <w:spacing w:line="22" w:lineRule="atLeast"/>
        <w:jc w:val="both"/>
        <w:rPr>
          <w:rFonts w:asciiTheme="minorHAnsi" w:hAnsiTheme="minorHAnsi" w:cs="Open Sans"/>
          <w:sz w:val="20"/>
          <w:szCs w:val="20"/>
          <w:lang w:val="fr-FR"/>
        </w:rPr>
      </w:pPr>
    </w:p>
    <w:p w14:paraId="761247EB" w14:textId="77777777" w:rsidR="00E65ADE" w:rsidRPr="00A74D23" w:rsidRDefault="00E65ADE" w:rsidP="009D6EE5">
      <w:pPr>
        <w:spacing w:line="22" w:lineRule="atLeast"/>
        <w:jc w:val="both"/>
        <w:rPr>
          <w:rFonts w:asciiTheme="minorHAnsi" w:hAnsiTheme="minorHAnsi" w:cs="Open Sans"/>
          <w:sz w:val="20"/>
          <w:szCs w:val="20"/>
          <w:lang w:val="fr-FR"/>
        </w:rPr>
      </w:pPr>
    </w:p>
    <w:p w14:paraId="1B14DDA3" w14:textId="77777777" w:rsidR="00F61125" w:rsidRPr="00A74D23" w:rsidRDefault="00F61125" w:rsidP="009D6EE5">
      <w:pPr>
        <w:spacing w:line="22" w:lineRule="atLeast"/>
        <w:jc w:val="both"/>
        <w:rPr>
          <w:rFonts w:asciiTheme="minorHAnsi" w:hAnsiTheme="minorHAnsi" w:cs="Open Sans"/>
          <w:sz w:val="20"/>
          <w:szCs w:val="20"/>
          <w:lang w:val="fr-FR"/>
        </w:rPr>
      </w:pPr>
    </w:p>
    <w:p w14:paraId="780E5690" w14:textId="5998D390" w:rsidR="00F61125" w:rsidRPr="00A74D23" w:rsidRDefault="00F61125"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L’ASCOR</w:t>
      </w:r>
      <w:r w:rsidR="00B163B5">
        <w:rPr>
          <w:rFonts w:asciiTheme="minorHAnsi" w:hAnsiTheme="minorHAnsi" w:cs="Open Sans"/>
          <w:sz w:val="20"/>
          <w:szCs w:val="20"/>
          <w:lang w:val="fr-FR"/>
        </w:rPr>
        <w:t>e</w:t>
      </w:r>
      <w:r w:rsidRPr="00A74D23">
        <w:rPr>
          <w:rFonts w:asciiTheme="minorHAnsi" w:hAnsiTheme="minorHAnsi" w:cs="Open Sans"/>
          <w:sz w:val="20"/>
          <w:szCs w:val="20"/>
          <w:lang w:val="fr-FR"/>
        </w:rPr>
        <w:t xml:space="preserve"> Improvement Score permet de mesurer, entre deux dates, l’évolution de la performance climatique </w:t>
      </w:r>
      <w:r w:rsidR="00395F8E" w:rsidRPr="00A74D23">
        <w:rPr>
          <w:rFonts w:asciiTheme="minorHAnsi" w:hAnsiTheme="minorHAnsi" w:cs="Open Sans"/>
          <w:sz w:val="20"/>
          <w:szCs w:val="20"/>
          <w:lang w:val="fr-FR"/>
        </w:rPr>
        <w:t>d’un portefeuille</w:t>
      </w:r>
      <w:r w:rsidR="00A47770" w:rsidRPr="00A74D23">
        <w:rPr>
          <w:rFonts w:asciiTheme="minorHAnsi" w:hAnsiTheme="minorHAnsi" w:cs="Open Sans"/>
          <w:sz w:val="20"/>
          <w:szCs w:val="20"/>
          <w:lang w:val="fr-FR"/>
        </w:rPr>
        <w:t xml:space="preserve"> </w:t>
      </w:r>
      <w:r w:rsidR="00E7376C" w:rsidRPr="00A74D23">
        <w:rPr>
          <w:rFonts w:asciiTheme="minorHAnsi" w:hAnsiTheme="minorHAnsi" w:cs="Open Sans"/>
          <w:sz w:val="20"/>
          <w:szCs w:val="20"/>
          <w:lang w:val="fr-FR"/>
        </w:rPr>
        <w:t xml:space="preserve">d’investissements </w:t>
      </w:r>
      <w:r w:rsidR="00A47770" w:rsidRPr="00A74D23">
        <w:rPr>
          <w:rFonts w:asciiTheme="minorHAnsi" w:hAnsiTheme="minorHAnsi" w:cs="Open Sans"/>
          <w:sz w:val="20"/>
          <w:szCs w:val="20"/>
          <w:lang w:val="fr-FR"/>
        </w:rPr>
        <w:t>souverain</w:t>
      </w:r>
      <w:r w:rsidR="00E7376C" w:rsidRPr="00A74D23">
        <w:rPr>
          <w:rFonts w:asciiTheme="minorHAnsi" w:hAnsiTheme="minorHAnsi" w:cs="Open Sans"/>
          <w:sz w:val="20"/>
          <w:szCs w:val="20"/>
          <w:lang w:val="fr-FR"/>
        </w:rPr>
        <w:t>s</w:t>
      </w:r>
      <w:r w:rsidR="00A47770" w:rsidRPr="00A74D23">
        <w:rPr>
          <w:rFonts w:asciiTheme="minorHAnsi" w:hAnsiTheme="minorHAnsi" w:cs="Open Sans"/>
          <w:sz w:val="20"/>
          <w:szCs w:val="20"/>
          <w:lang w:val="fr-FR"/>
        </w:rPr>
        <w:t xml:space="preserve">, pondéré par les encours. </w:t>
      </w:r>
    </w:p>
    <w:p w14:paraId="30A890E0" w14:textId="77777777" w:rsidR="00E70484" w:rsidRPr="00A74D23" w:rsidRDefault="00E70484" w:rsidP="009D6EE5">
      <w:pPr>
        <w:spacing w:line="22" w:lineRule="atLeast"/>
        <w:jc w:val="both"/>
        <w:rPr>
          <w:rFonts w:asciiTheme="minorHAnsi" w:hAnsiTheme="minorHAnsi" w:cs="Open Sans"/>
          <w:sz w:val="20"/>
          <w:szCs w:val="20"/>
          <w:lang w:val="fr-FR"/>
        </w:rPr>
      </w:pPr>
    </w:p>
    <w:p w14:paraId="5033C717" w14:textId="363BA8FF" w:rsidR="009721BB" w:rsidRPr="00A74D23" w:rsidRDefault="000243E3" w:rsidP="009D6EE5">
      <w:pPr>
        <w:spacing w:line="22" w:lineRule="atLeast"/>
        <w:jc w:val="both"/>
        <w:rPr>
          <w:rFonts w:asciiTheme="minorHAnsi" w:hAnsiTheme="minorHAnsi" w:cs="Open Sans"/>
          <w:sz w:val="20"/>
          <w:szCs w:val="20"/>
          <w:lang w:val="fr-FR"/>
        </w:rPr>
      </w:pPr>
      <w:r w:rsidRPr="00A74D23">
        <w:rPr>
          <w:rFonts w:asciiTheme="minorHAnsi" w:hAnsiTheme="minorHAnsi" w:cs="Open Sans"/>
          <w:noProof/>
          <w:sz w:val="20"/>
          <w:szCs w:val="20"/>
          <w:lang w:val="fr-FR"/>
        </w:rPr>
        <mc:AlternateContent>
          <mc:Choice Requires="wps">
            <w:drawing>
              <wp:anchor distT="0" distB="0" distL="114300" distR="114300" simplePos="0" relativeHeight="251710464" behindDoc="0" locked="0" layoutInCell="1" allowOverlap="1" wp14:anchorId="29CF0CDD" wp14:editId="183555D0">
                <wp:simplePos x="0" y="0"/>
                <wp:positionH relativeFrom="column">
                  <wp:posOffset>16426</wp:posOffset>
                </wp:positionH>
                <wp:positionV relativeFrom="paragraph">
                  <wp:posOffset>6038</wp:posOffset>
                </wp:positionV>
                <wp:extent cx="6159261" cy="439948"/>
                <wp:effectExtent l="0" t="0" r="0" b="0"/>
                <wp:wrapNone/>
                <wp:docPr id="552220678" name="Rectangle 4"/>
                <wp:cNvGraphicFramePr/>
                <a:graphic xmlns:a="http://schemas.openxmlformats.org/drawingml/2006/main">
                  <a:graphicData uri="http://schemas.microsoft.com/office/word/2010/wordprocessingShape">
                    <wps:wsp>
                      <wps:cNvSpPr/>
                      <wps:spPr>
                        <a:xfrm>
                          <a:off x="0" y="0"/>
                          <a:ext cx="6159261" cy="439948"/>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04D2E0" w14:textId="070E3278" w:rsidR="000243E3" w:rsidRPr="000243E3" w:rsidRDefault="00635D38" w:rsidP="000243E3">
                            <w:pPr>
                              <w:spacing w:line="276" w:lineRule="auto"/>
                              <w:jc w:val="both"/>
                              <w:rPr>
                                <w:rFonts w:asciiTheme="minorHAnsi" w:hAnsiTheme="minorHAnsi" w:cs="Open Sans"/>
                                <w:color w:val="000000" w:themeColor="text1"/>
                                <w:sz w:val="20"/>
                                <w:szCs w:val="20"/>
                                <w:lang w:val="fr-FR"/>
                              </w:rPr>
                            </w:pPr>
                            <w:r>
                              <w:rPr>
                                <w:rFonts w:asciiTheme="minorHAnsi" w:hAnsiTheme="minorHAnsi" w:cs="Open Sans"/>
                                <w:b/>
                                <w:bCs/>
                                <w:color w:val="000000" w:themeColor="text1"/>
                                <w:sz w:val="20"/>
                                <w:szCs w:val="20"/>
                                <w:lang w:val="fr-FR"/>
                              </w:rPr>
                              <w:t>L’ASCORe Improvement Score</w:t>
                            </w:r>
                            <w:r w:rsidR="000243E3" w:rsidRPr="000243E3">
                              <w:rPr>
                                <w:rFonts w:asciiTheme="minorHAnsi" w:hAnsiTheme="minorHAnsi" w:cs="Open Sans"/>
                                <w:b/>
                                <w:bCs/>
                                <w:color w:val="000000" w:themeColor="text1"/>
                                <w:sz w:val="20"/>
                                <w:szCs w:val="20"/>
                                <w:lang w:val="fr-FR"/>
                              </w:rPr>
                              <w:t xml:space="preserve"> s'établit à +1</w:t>
                            </w:r>
                            <w:r w:rsidR="00A5494F">
                              <w:rPr>
                                <w:rFonts w:asciiTheme="minorHAnsi" w:hAnsiTheme="minorHAnsi" w:cs="Open Sans"/>
                                <w:b/>
                                <w:bCs/>
                                <w:color w:val="000000" w:themeColor="text1"/>
                                <w:sz w:val="20"/>
                                <w:szCs w:val="20"/>
                                <w:lang w:val="fr-FR"/>
                              </w:rPr>
                              <w:t>9</w:t>
                            </w:r>
                            <w:r w:rsidR="000243E3" w:rsidRPr="000243E3">
                              <w:rPr>
                                <w:rFonts w:asciiTheme="minorHAnsi" w:hAnsiTheme="minorHAnsi" w:cs="Open Sans"/>
                                <w:b/>
                                <w:bCs/>
                                <w:color w:val="000000" w:themeColor="text1"/>
                                <w:sz w:val="20"/>
                                <w:szCs w:val="20"/>
                                <w:lang w:val="fr-FR"/>
                              </w:rPr>
                              <w:t xml:space="preserve"> % par rapport à 2023</w:t>
                            </w:r>
                            <w:r w:rsidR="000243E3" w:rsidRPr="000243E3">
                              <w:rPr>
                                <w:rFonts w:asciiTheme="minorHAnsi" w:hAnsiTheme="minorHAnsi" w:cs="Open Sans"/>
                                <w:color w:val="000000" w:themeColor="text1"/>
                                <w:sz w:val="20"/>
                                <w:szCs w:val="20"/>
                                <w:lang w:val="fr-FR"/>
                              </w:rPr>
                              <w:t xml:space="preserve">, progression principalement attribuable à une amélioration de la qualité des données et à un affinement méthodologique de l'analyse. </w:t>
                            </w:r>
                          </w:p>
                          <w:p w14:paraId="199231D3" w14:textId="77777777" w:rsidR="000243E3" w:rsidRPr="000243E3" w:rsidRDefault="000243E3" w:rsidP="000243E3">
                            <w:pPr>
                              <w:jc w:val="center"/>
                              <w:rPr>
                                <w:color w:val="000000" w:themeColor="text1"/>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CF0CDD" id="Rectangle 4" o:spid="_x0000_s1131" style="position:absolute;left:0;text-align:left;margin-left:1.3pt;margin-top:.5pt;width:485pt;height:34.6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" fillcolor="#ffd400 [3204]" stroked="f" strokeweight="1pt">
                <v:textbox>
                  <w:txbxContent>
                    <w:p w14:paraId="2104D2E0" w14:textId="070E3278" w:rsidR="000243E3" w:rsidRPr="000243E3" w:rsidRDefault="00635D38" w:rsidP="000243E3">
                      <w:pPr>
                        <w:spacing w:line="276" w:lineRule="auto"/>
                        <w:jc w:val="both"/>
                        <w:rPr>
                          <w:rFonts w:asciiTheme="minorHAnsi" w:hAnsiTheme="minorHAnsi" w:cs="Open Sans"/>
                          <w:color w:val="000000" w:themeColor="text1"/>
                          <w:sz w:val="20"/>
                          <w:szCs w:val="20"/>
                          <w:lang w:val="fr-FR"/>
                        </w:rPr>
                      </w:pPr>
                      <w:r>
                        <w:rPr>
                          <w:rFonts w:asciiTheme="minorHAnsi" w:hAnsiTheme="minorHAnsi" w:cs="Open Sans"/>
                          <w:b/>
                          <w:bCs/>
                          <w:color w:val="000000" w:themeColor="text1"/>
                          <w:sz w:val="20"/>
                          <w:szCs w:val="20"/>
                          <w:lang w:val="fr-FR"/>
                        </w:rPr>
                        <w:t>L’ASCORe Improvement Score</w:t>
                      </w:r>
                      <w:r w:rsidR="000243E3" w:rsidRPr="000243E3">
                        <w:rPr>
                          <w:rFonts w:asciiTheme="minorHAnsi" w:hAnsiTheme="minorHAnsi" w:cs="Open Sans"/>
                          <w:b/>
                          <w:bCs/>
                          <w:color w:val="000000" w:themeColor="text1"/>
                          <w:sz w:val="20"/>
                          <w:szCs w:val="20"/>
                          <w:lang w:val="fr-FR"/>
                        </w:rPr>
                        <w:t xml:space="preserve"> s'établit à +1</w:t>
                      </w:r>
                      <w:r w:rsidR="00A5494F">
                        <w:rPr>
                          <w:rFonts w:asciiTheme="minorHAnsi" w:hAnsiTheme="minorHAnsi" w:cs="Open Sans"/>
                          <w:b/>
                          <w:bCs/>
                          <w:color w:val="000000" w:themeColor="text1"/>
                          <w:sz w:val="20"/>
                          <w:szCs w:val="20"/>
                          <w:lang w:val="fr-FR"/>
                        </w:rPr>
                        <w:t>9</w:t>
                      </w:r>
                      <w:r w:rsidR="000243E3" w:rsidRPr="000243E3">
                        <w:rPr>
                          <w:rFonts w:asciiTheme="minorHAnsi" w:hAnsiTheme="minorHAnsi" w:cs="Open Sans"/>
                          <w:b/>
                          <w:bCs/>
                          <w:color w:val="000000" w:themeColor="text1"/>
                          <w:sz w:val="20"/>
                          <w:szCs w:val="20"/>
                          <w:lang w:val="fr-FR"/>
                        </w:rPr>
                        <w:t xml:space="preserve"> % par rapport à 2023</w:t>
                      </w:r>
                      <w:r w:rsidR="000243E3" w:rsidRPr="000243E3">
                        <w:rPr>
                          <w:rFonts w:asciiTheme="minorHAnsi" w:hAnsiTheme="minorHAnsi" w:cs="Open Sans"/>
                          <w:color w:val="000000" w:themeColor="text1"/>
                          <w:sz w:val="20"/>
                          <w:szCs w:val="20"/>
                          <w:lang w:val="fr-FR"/>
                        </w:rPr>
                        <w:t xml:space="preserve">, progression principalement attribuable à une amélioration de la qualité des données et à un affinement méthodologique de l'analyse. </w:t>
                      </w:r>
                    </w:p>
                    <w:p w14:paraId="199231D3" w14:textId="77777777" w:rsidR="000243E3" w:rsidRPr="000243E3" w:rsidRDefault="000243E3" w:rsidP="000243E3">
                      <w:pPr>
                        <w:jc w:val="center"/>
                        <w:rPr>
                          <w:color w:val="000000" w:themeColor="text1"/>
                          <w:lang w:val="fr-FR"/>
                        </w:rPr>
                      </w:pPr>
                    </w:p>
                  </w:txbxContent>
                </v:textbox>
              </v:rect>
            </w:pict>
          </mc:Fallback>
        </mc:AlternateContent>
      </w:r>
    </w:p>
    <w:p w14:paraId="5BCEF3D2" w14:textId="77777777" w:rsidR="000243E3" w:rsidRPr="00A74D23" w:rsidRDefault="000243E3" w:rsidP="009D6EE5">
      <w:pPr>
        <w:spacing w:line="22" w:lineRule="atLeast"/>
        <w:jc w:val="both"/>
        <w:rPr>
          <w:rFonts w:asciiTheme="minorHAnsi" w:hAnsiTheme="minorHAnsi" w:cs="Open Sans"/>
          <w:sz w:val="20"/>
          <w:szCs w:val="20"/>
          <w:lang w:val="fr-FR"/>
        </w:rPr>
      </w:pPr>
    </w:p>
    <w:p w14:paraId="2EC9BD70" w14:textId="77777777" w:rsidR="00E65ADE" w:rsidRPr="00A74D23" w:rsidRDefault="00E65ADE" w:rsidP="009D6EE5">
      <w:pPr>
        <w:spacing w:line="22" w:lineRule="atLeast"/>
        <w:jc w:val="both"/>
        <w:rPr>
          <w:rFonts w:asciiTheme="minorHAnsi" w:hAnsiTheme="minorHAnsi" w:cs="Open Sans"/>
          <w:sz w:val="20"/>
          <w:szCs w:val="20"/>
          <w:lang w:val="fr-FR"/>
        </w:rPr>
      </w:pPr>
    </w:p>
    <w:p w14:paraId="05695B78" w14:textId="566670ED" w:rsidR="000E5DED" w:rsidRPr="00A74D23" w:rsidRDefault="001C2014"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Abeille Assurances s'engage à piloter cet indicateur dans le temps, afin de suivre l'évolution de l'alignement climatique du portefeuille souverain et d'orienter, le cas échéant, les décisions d'allocation et d'engagement auprès des émetteurs.</w:t>
      </w:r>
      <w:r w:rsidR="00635D38" w:rsidRPr="00A74D23">
        <w:rPr>
          <w:rFonts w:asciiTheme="minorHAnsi" w:hAnsiTheme="minorHAnsi" w:cs="Open Sans"/>
          <w:sz w:val="20"/>
          <w:szCs w:val="20"/>
          <w:lang w:val="fr-FR"/>
        </w:rPr>
        <w:t xml:space="preserve"> </w:t>
      </w:r>
      <w:r w:rsidR="000E5DED" w:rsidRPr="00A74D23">
        <w:rPr>
          <w:rFonts w:asciiTheme="minorHAnsi" w:hAnsiTheme="minorHAnsi" w:cs="Open Sans"/>
          <w:sz w:val="20"/>
          <w:szCs w:val="20"/>
          <w:lang w:val="fr-FR"/>
        </w:rPr>
        <w:t>Dans le cadre de notre engagement Net Zero Asset Owner Alliance, nous n’avons pas à l’heure actuelle défini de cibles de réduction sur les émissions carbone des titres souverains en portefeuille. Cependant, nous pilotons trimestriellement leur intensité carbone</w:t>
      </w:r>
      <w:r w:rsidR="004F26A4" w:rsidRPr="00A74D23">
        <w:rPr>
          <w:rFonts w:asciiTheme="minorHAnsi" w:hAnsiTheme="minorHAnsi" w:cs="Open Sans"/>
          <w:sz w:val="20"/>
          <w:szCs w:val="20"/>
          <w:lang w:val="fr-FR"/>
        </w:rPr>
        <w:t>, et nous publions annuellement cette intensité dans le cadre du rapport CSRD Groupe Aéma, et Article 29 LEC Abeille Assurances</w:t>
      </w:r>
      <w:r w:rsidR="00BE4EFF" w:rsidRPr="00A74D23">
        <w:rPr>
          <w:rFonts w:asciiTheme="minorHAnsi" w:hAnsiTheme="minorHAnsi" w:cs="Open Sans"/>
          <w:sz w:val="20"/>
          <w:szCs w:val="20"/>
          <w:lang w:val="fr-FR"/>
        </w:rPr>
        <w:t>.</w:t>
      </w:r>
      <w:r w:rsidR="000E5DED" w:rsidRPr="00A74D23">
        <w:rPr>
          <w:rFonts w:asciiTheme="minorHAnsi" w:hAnsiTheme="minorHAnsi" w:cs="Open Sans"/>
          <w:sz w:val="20"/>
          <w:szCs w:val="20"/>
          <w:lang w:val="fr-FR"/>
        </w:rPr>
        <w:t xml:space="preserve"> </w:t>
      </w:r>
    </w:p>
    <w:p w14:paraId="35E6C57D" w14:textId="0C202F2E" w:rsidR="000E5DED" w:rsidRPr="00A74D23" w:rsidRDefault="000E5DED" w:rsidP="009D6EE5">
      <w:pPr>
        <w:spacing w:line="22" w:lineRule="atLeast"/>
        <w:jc w:val="both"/>
        <w:rPr>
          <w:rFonts w:asciiTheme="minorHAnsi" w:hAnsiTheme="minorHAnsi" w:cs="Open Sans"/>
          <w:sz w:val="20"/>
          <w:lang w:val="fr-FR"/>
        </w:rPr>
      </w:pPr>
    </w:p>
    <w:p w14:paraId="7BEDA167" w14:textId="77777777" w:rsidR="007E1A75" w:rsidRPr="00A74D23" w:rsidRDefault="007E1A75" w:rsidP="009D6EE5">
      <w:pPr>
        <w:spacing w:line="22" w:lineRule="atLeast"/>
        <w:jc w:val="both"/>
        <w:rPr>
          <w:rFonts w:asciiTheme="minorHAnsi" w:hAnsiTheme="minorHAnsi" w:cs="Open Sans"/>
          <w:sz w:val="20"/>
          <w:lang w:val="fr-FR"/>
        </w:rPr>
      </w:pPr>
    </w:p>
    <w:p w14:paraId="71E59768" w14:textId="35121FE4" w:rsidR="000243E3" w:rsidRPr="00A74D23" w:rsidRDefault="000243E3" w:rsidP="009D6EE5">
      <w:pPr>
        <w:pStyle w:val="pf0"/>
        <w:spacing w:before="120" w:beforeAutospacing="0" w:line="22" w:lineRule="atLeast"/>
        <w:jc w:val="both"/>
        <w:rPr>
          <w:rFonts w:asciiTheme="minorHAnsi" w:hAnsiTheme="minorHAnsi" w:cs="Open Sans"/>
          <w:b/>
          <w:bCs/>
        </w:rPr>
      </w:pPr>
    </w:p>
    <w:p w14:paraId="4785BB55" w14:textId="350972E4" w:rsidR="000243E3" w:rsidRPr="00A74D23" w:rsidRDefault="000243E3" w:rsidP="009D6EE5">
      <w:pPr>
        <w:pStyle w:val="pf0"/>
        <w:spacing w:before="120" w:beforeAutospacing="0" w:line="22" w:lineRule="atLeast"/>
        <w:jc w:val="both"/>
        <w:rPr>
          <w:rFonts w:asciiTheme="minorHAnsi" w:hAnsiTheme="minorHAnsi" w:cs="Open Sans"/>
          <w:b/>
          <w:bCs/>
        </w:rPr>
      </w:pPr>
    </w:p>
    <w:p w14:paraId="230FCD2C" w14:textId="26495846" w:rsidR="000243E3" w:rsidRPr="00A74D23" w:rsidRDefault="000243E3" w:rsidP="009D6EE5">
      <w:pPr>
        <w:pStyle w:val="pf0"/>
        <w:spacing w:before="120" w:beforeAutospacing="0" w:line="22" w:lineRule="atLeast"/>
        <w:jc w:val="both"/>
        <w:rPr>
          <w:rFonts w:asciiTheme="minorHAnsi" w:hAnsiTheme="minorHAnsi" w:cs="Open Sans"/>
          <w:b/>
          <w:bCs/>
        </w:rPr>
      </w:pPr>
    </w:p>
    <w:p w14:paraId="5965DB5F" w14:textId="6DDDC895" w:rsidR="007E1A75" w:rsidRPr="00A74D23" w:rsidRDefault="001A7602" w:rsidP="009D6EE5">
      <w:pPr>
        <w:pStyle w:val="pf0"/>
        <w:spacing w:before="120" w:beforeAutospacing="0" w:line="22" w:lineRule="atLeast"/>
        <w:jc w:val="both"/>
        <w:rPr>
          <w:rFonts w:asciiTheme="minorHAnsi" w:hAnsiTheme="minorHAnsi" w:cs="Open Sans"/>
          <w:b/>
          <w:bCs/>
        </w:rPr>
      </w:pPr>
      <w:r w:rsidRPr="00A74D23">
        <w:rPr>
          <w:rFonts w:asciiTheme="minorHAnsi" w:hAnsiTheme="minorHAnsi" w:cs="Open Sans"/>
          <w:b/>
          <w:bCs/>
          <w:noProof/>
        </w:rPr>
        <mc:AlternateContent>
          <mc:Choice Requires="wps">
            <w:drawing>
              <wp:anchor distT="0" distB="0" distL="114300" distR="114300" simplePos="0" relativeHeight="251401216" behindDoc="0" locked="0" layoutInCell="1" allowOverlap="1" wp14:anchorId="7296C7AD" wp14:editId="277D17D9">
                <wp:simplePos x="0" y="0"/>
                <wp:positionH relativeFrom="column">
                  <wp:posOffset>1888358</wp:posOffset>
                </wp:positionH>
                <wp:positionV relativeFrom="paragraph">
                  <wp:posOffset>319800</wp:posOffset>
                </wp:positionV>
                <wp:extent cx="2349500" cy="335975"/>
                <wp:effectExtent l="0" t="0" r="0" b="6985"/>
                <wp:wrapNone/>
                <wp:docPr id="650095049" name="Rectangle : coins arrondis 1"/>
                <wp:cNvGraphicFramePr/>
                <a:graphic xmlns:a="http://schemas.openxmlformats.org/drawingml/2006/main">
                  <a:graphicData uri="http://schemas.microsoft.com/office/word/2010/wordprocessingShape">
                    <wps:wsp>
                      <wps:cNvSpPr/>
                      <wps:spPr>
                        <a:xfrm>
                          <a:off x="0" y="0"/>
                          <a:ext cx="2349500" cy="335975"/>
                        </a:xfrm>
                        <a:prstGeom prst="round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CA8165" w14:textId="77777777" w:rsidR="00AC6737" w:rsidRPr="001A7602" w:rsidRDefault="00AC6737" w:rsidP="00AC6737">
                            <w:pPr>
                              <w:jc w:val="center"/>
                              <w:rPr>
                                <w:rFonts w:asciiTheme="minorHAnsi" w:hAnsiTheme="minorHAnsi"/>
                                <w:b/>
                                <w:bCs/>
                                <w:color w:val="000000" w:themeColor="text1"/>
                              </w:rPr>
                            </w:pPr>
                            <w:r w:rsidRPr="001A7602">
                              <w:rPr>
                                <w:rFonts w:asciiTheme="minorHAnsi" w:hAnsiTheme="minorHAnsi"/>
                                <w:b/>
                                <w:bCs/>
                                <w:color w:val="000000" w:themeColor="text1"/>
                              </w:rPr>
                              <w:t>En conclusion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96C7AD" id="_x0000_s1132" style="position:absolute;left:0;text-align:left;margin-left:148.7pt;margin-top:25.2pt;width:185pt;height:26.45pt;z-index:25140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" fillcolor="#ffd400 [3204]" stroked="f" strokeweight="1pt">
                <v:stroke joinstyle="miter"/>
                <v:textbox>
                  <w:txbxContent>
                    <w:p w14:paraId="4DCA8165" w14:textId="77777777" w:rsidR="00AC6737" w:rsidRPr="001A7602" w:rsidRDefault="00AC6737" w:rsidP="00AC6737">
                      <w:pPr>
                        <w:jc w:val="center"/>
                        <w:rPr>
                          <w:rFonts w:asciiTheme="minorHAnsi" w:hAnsiTheme="minorHAnsi"/>
                          <w:b/>
                          <w:bCs/>
                          <w:color w:val="000000" w:themeColor="text1"/>
                        </w:rPr>
                      </w:pPr>
                      <w:r w:rsidRPr="001A7602">
                        <w:rPr>
                          <w:rFonts w:asciiTheme="minorHAnsi" w:hAnsiTheme="minorHAnsi"/>
                          <w:b/>
                          <w:bCs/>
                          <w:color w:val="000000" w:themeColor="text1"/>
                        </w:rPr>
                        <w:t>En conclusion</w:t>
                      </w:r>
                    </w:p>
                  </w:txbxContent>
                </v:textbox>
              </v:roundrect>
            </w:pict>
          </mc:Fallback>
        </mc:AlternateContent>
      </w:r>
    </w:p>
    <w:p w14:paraId="339DBD8E" w14:textId="5E974FD0" w:rsidR="007E1A75" w:rsidRPr="00A74D23" w:rsidRDefault="007E1A75" w:rsidP="009D6EE5">
      <w:pPr>
        <w:pStyle w:val="pf0"/>
        <w:spacing w:before="0" w:beforeAutospacing="0" w:after="0" w:afterAutospacing="0" w:line="22" w:lineRule="atLeast"/>
        <w:jc w:val="both"/>
        <w:rPr>
          <w:rFonts w:asciiTheme="minorHAnsi" w:hAnsiTheme="minorHAnsi" w:cs="Open Sans"/>
          <w:sz w:val="20"/>
          <w:szCs w:val="20"/>
        </w:rPr>
      </w:pPr>
    </w:p>
    <w:p w14:paraId="457DB598" w14:textId="3132CFBC" w:rsidR="007E1A75" w:rsidRPr="00A74D23" w:rsidRDefault="004159F7" w:rsidP="009D6EE5">
      <w:pPr>
        <w:pStyle w:val="Style1"/>
        <w:numPr>
          <w:ilvl w:val="0"/>
          <w:numId w:val="0"/>
        </w:numPr>
        <w:tabs>
          <w:tab w:val="clear" w:pos="2010"/>
          <w:tab w:val="left" w:pos="1134"/>
        </w:tabs>
        <w:spacing w:line="22" w:lineRule="atLeast"/>
        <w:ind w:firstLine="284"/>
        <w:jc w:val="both"/>
        <w:rPr>
          <w:rFonts w:cs="Open Sans"/>
          <w:i w:val="0"/>
          <w:color w:val="auto"/>
          <w:sz w:val="20"/>
        </w:rPr>
      </w:pPr>
      <w:r w:rsidRPr="00A74D23">
        <w:rPr>
          <w:rFonts w:cs="Open Sans"/>
          <w:noProof/>
        </w:rPr>
        <mc:AlternateContent>
          <mc:Choice Requires="wps">
            <w:drawing>
              <wp:anchor distT="0" distB="0" distL="114300" distR="114300" simplePos="0" relativeHeight="251395072" behindDoc="0" locked="0" layoutInCell="1" allowOverlap="1" wp14:anchorId="2BE6F7DA" wp14:editId="540B8F6D">
                <wp:simplePos x="0" y="0"/>
                <wp:positionH relativeFrom="column">
                  <wp:posOffset>398145</wp:posOffset>
                </wp:positionH>
                <wp:positionV relativeFrom="paragraph">
                  <wp:posOffset>60960</wp:posOffset>
                </wp:positionV>
                <wp:extent cx="5603240" cy="2181225"/>
                <wp:effectExtent l="0" t="0" r="0" b="9525"/>
                <wp:wrapNone/>
                <wp:docPr id="730698926" name="Zone de texte 730698926"/>
                <wp:cNvGraphicFramePr/>
                <a:graphic xmlns:a="http://schemas.openxmlformats.org/drawingml/2006/main">
                  <a:graphicData uri="http://schemas.microsoft.com/office/word/2010/wordprocessingShape">
                    <wps:wsp>
                      <wps:cNvSpPr txBox="1"/>
                      <wps:spPr>
                        <a:xfrm>
                          <a:off x="0" y="0"/>
                          <a:ext cx="5603240" cy="2181225"/>
                        </a:xfrm>
                        <a:prstGeom prst="rect">
                          <a:avLst/>
                        </a:prstGeom>
                        <a:solidFill>
                          <a:schemeClr val="lt1"/>
                        </a:solidFill>
                        <a:ln w="6350">
                          <a:noFill/>
                        </a:ln>
                      </wps:spPr>
                      <wps:txbx>
                        <w:txbxContent>
                          <w:p w14:paraId="02263026" w14:textId="77777777" w:rsidR="007E1A75" w:rsidRDefault="007E1A75" w:rsidP="007E1A75">
                            <w:pPr>
                              <w:pStyle w:val="Style1"/>
                              <w:numPr>
                                <w:ilvl w:val="0"/>
                                <w:numId w:val="0"/>
                              </w:numPr>
                              <w:tabs>
                                <w:tab w:val="left" w:pos="426"/>
                              </w:tabs>
                              <w:jc w:val="both"/>
                              <w:rPr>
                                <w:rFonts w:ascii="Source Sans Pro" w:hAnsi="Source Sans Pro"/>
                                <w:i w:val="0"/>
                                <w:iCs w:val="0"/>
                                <w:color w:val="000000" w:themeColor="text1"/>
                                <w:sz w:val="20"/>
                              </w:rPr>
                            </w:pPr>
                            <w:r>
                              <w:rPr>
                                <w:rFonts w:ascii="Source Sans Pro" w:hAnsi="Source Sans Pro"/>
                                <w:i w:val="0"/>
                                <w:iCs w:val="0"/>
                                <w:color w:val="000000" w:themeColor="text1"/>
                                <w:sz w:val="20"/>
                              </w:rPr>
                              <w:t xml:space="preserve">              </w:t>
                            </w:r>
                          </w:p>
                          <w:p w14:paraId="5E41E6D9" w14:textId="3BC0B4F9" w:rsidR="004159F7" w:rsidRPr="004159F7" w:rsidRDefault="004F26A4" w:rsidP="004159F7">
                            <w:pPr>
                              <w:pStyle w:val="Style1"/>
                              <w:tabs>
                                <w:tab w:val="left" w:pos="426"/>
                              </w:tabs>
                              <w:ind w:left="0"/>
                              <w:jc w:val="both"/>
                              <w:rPr>
                                <w:rFonts w:ascii="Source Sans Pro" w:hAnsi="Source Sans Pro"/>
                                <w:i w:val="0"/>
                                <w:iCs w:val="0"/>
                                <w:color w:val="000000" w:themeColor="text1"/>
                                <w:sz w:val="20"/>
                              </w:rPr>
                            </w:pPr>
                            <w:r>
                              <w:rPr>
                                <w:rFonts w:ascii="Source Sans Pro" w:hAnsi="Source Sans Pro"/>
                                <w:i w:val="0"/>
                                <w:iCs w:val="0"/>
                                <w:color w:val="000000" w:themeColor="text1"/>
                                <w:sz w:val="20"/>
                              </w:rPr>
                              <w:t>L</w:t>
                            </w:r>
                            <w:r w:rsidR="004159F7" w:rsidRPr="004159F7">
                              <w:rPr>
                                <w:rFonts w:ascii="Source Sans Pro" w:hAnsi="Source Sans Pro"/>
                                <w:i w:val="0"/>
                                <w:iCs w:val="0"/>
                                <w:color w:val="000000" w:themeColor="text1"/>
                                <w:sz w:val="20"/>
                              </w:rPr>
                              <w:t xml:space="preserve">’année écoulée marque une </w:t>
                            </w:r>
                            <w:r w:rsidR="004159F7" w:rsidRPr="004159F7">
                              <w:rPr>
                                <w:rFonts w:ascii="Source Sans Pro" w:hAnsi="Source Sans Pro"/>
                                <w:b/>
                                <w:bCs/>
                                <w:i w:val="0"/>
                                <w:iCs w:val="0"/>
                                <w:color w:val="000000" w:themeColor="text1"/>
                                <w:sz w:val="20"/>
                              </w:rPr>
                              <w:t>avancée structurante avec le déploiement de l’analyse ASCOR</w:t>
                            </w:r>
                            <w:r w:rsidR="004159F7" w:rsidRPr="004159F7">
                              <w:rPr>
                                <w:rFonts w:ascii="Source Sans Pro" w:hAnsi="Source Sans Pro"/>
                                <w:i w:val="0"/>
                                <w:iCs w:val="0"/>
                                <w:color w:val="000000" w:themeColor="text1"/>
                                <w:sz w:val="20"/>
                              </w:rPr>
                              <w:t>, qui permet d’évaluer l’alignement des politiques publiques des États avec les objectifs de l’Accord de Paris. Les résultats montrent que le portefeuille souverain d’Abeille Assurances se situe parmi les niveaux d’alignement les plus avancés.</w:t>
                            </w:r>
                          </w:p>
                          <w:p w14:paraId="07311E5E" w14:textId="33AE98E0" w:rsidR="004159F7" w:rsidRPr="00511F70" w:rsidRDefault="004159F7" w:rsidP="004159F7">
                            <w:pPr>
                              <w:pStyle w:val="Style1"/>
                              <w:numPr>
                                <w:ilvl w:val="0"/>
                                <w:numId w:val="0"/>
                              </w:numPr>
                              <w:tabs>
                                <w:tab w:val="left" w:pos="426"/>
                              </w:tabs>
                              <w:jc w:val="both"/>
                              <w:rPr>
                                <w:rFonts w:ascii="Source Sans Pro" w:hAnsi="Source Sans Pro"/>
                                <w:i w:val="0"/>
                                <w:iCs w:val="0"/>
                                <w:color w:val="000000" w:themeColor="text1"/>
                                <w:sz w:val="20"/>
                              </w:rPr>
                            </w:pPr>
                            <w:r w:rsidRPr="004159F7">
                              <w:rPr>
                                <w:rFonts w:ascii="Source Sans Pro" w:hAnsi="Source Sans Pro"/>
                                <w:i w:val="0"/>
                                <w:iCs w:val="0"/>
                                <w:color w:val="000000" w:themeColor="text1"/>
                                <w:sz w:val="20"/>
                              </w:rPr>
                              <w:t>Cette première analyse constitue une base solide, que nous continuerons à approfondir et à piloter dans le temps, afin de renforcer notre capacité de suivi, de dialogue et d’engagement climatique auprès des États. </w:t>
                            </w:r>
                          </w:p>
                          <w:p w14:paraId="0B61AFFC" w14:textId="1443B22C" w:rsidR="007E1A75" w:rsidRDefault="004159F7" w:rsidP="007E1A75">
                            <w:pPr>
                              <w:pStyle w:val="Style1"/>
                              <w:numPr>
                                <w:ilvl w:val="0"/>
                                <w:numId w:val="0"/>
                              </w:numPr>
                              <w:ind w:left="26"/>
                            </w:pPr>
                            <w:r>
                              <w:rPr>
                                <w:noProof/>
                              </w:rPr>
                              <w:drawing>
                                <wp:inline distT="0" distB="0" distL="0" distR="0" wp14:anchorId="0416F5D7" wp14:editId="79F7D4E0">
                                  <wp:extent cx="638778" cy="620490"/>
                                  <wp:effectExtent l="0" t="0" r="9525" b="8255"/>
                                  <wp:docPr id="123716864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32145" name="Image 3"/>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9093" cy="630509"/>
                                          </a:xfrm>
                                          <a:prstGeom prst="rect">
                                            <a:avLst/>
                                          </a:prstGeom>
                                          <a:noFill/>
                                          <a:ln>
                                            <a:noFill/>
                                          </a:ln>
                                        </pic:spPr>
                                      </pic:pic>
                                    </a:graphicData>
                                  </a:graphic>
                                </wp:inline>
                              </w:drawing>
                            </w:r>
                            <w:r w:rsidR="004C78A8">
                              <w:rPr>
                                <w:rFonts w:ascii="Source Sans Pro" w:hAnsi="Source Sans Pro"/>
                                <w:b/>
                                <w:i w:val="0"/>
                                <w:color w:val="000000" w:themeColor="text1"/>
                                <w:sz w:val="20"/>
                              </w:rPr>
                              <w:t>Julia BERTUZZI</w:t>
                            </w:r>
                            <w:r w:rsidR="007E1A75">
                              <w:rPr>
                                <w:rFonts w:ascii="Source Sans Pro" w:hAnsi="Source Sans Pro"/>
                                <w:b/>
                                <w:i w:val="0"/>
                                <w:color w:val="000000" w:themeColor="text1"/>
                                <w:sz w:val="20"/>
                              </w:rPr>
                              <w:t xml:space="preserve">, </w:t>
                            </w:r>
                            <w:r w:rsidR="00267DF9">
                              <w:rPr>
                                <w:rFonts w:ascii="Source Sans Pro" w:hAnsi="Source Sans Pro"/>
                                <w:b/>
                                <w:i w:val="0"/>
                                <w:color w:val="000000" w:themeColor="text1"/>
                                <w:sz w:val="20"/>
                              </w:rPr>
                              <w:t>Analyste senior du pôle ISR d’Abeille Assurances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E6F7DA" id="Zone de texte 730698926" o:spid="_x0000_s1133" type="#_x0000_t202" style="position:absolute;left:0;text-align:left;margin-left:31.35pt;margin-top:4.8pt;width:441.2pt;height:171.75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" fillcolor="white [3201]" stroked="f" strokeweight=".5pt">
                <v:textbox>
                  <w:txbxContent>
                    <w:p w14:paraId="02263026" w14:textId="77777777" w:rsidR="007E1A75" w:rsidRDefault="007E1A75" w:rsidP="007E1A75">
                      <w:pPr>
                        <w:pStyle w:val="Style1"/>
                        <w:numPr>
                          <w:ilvl w:val="0"/>
                          <w:numId w:val="0"/>
                        </w:numPr>
                        <w:tabs>
                          <w:tab w:val="left" w:pos="426"/>
                        </w:tabs>
                        <w:jc w:val="both"/>
                        <w:rPr>
                          <w:rFonts w:ascii="Source Sans Pro" w:hAnsi="Source Sans Pro"/>
                          <w:i w:val="0"/>
                          <w:iCs w:val="0"/>
                          <w:color w:val="000000" w:themeColor="text1"/>
                          <w:sz w:val="20"/>
                        </w:rPr>
                      </w:pPr>
                      <w:r>
                        <w:rPr>
                          <w:rFonts w:ascii="Source Sans Pro" w:hAnsi="Source Sans Pro"/>
                          <w:i w:val="0"/>
                          <w:iCs w:val="0"/>
                          <w:color w:val="000000" w:themeColor="text1"/>
                          <w:sz w:val="20"/>
                        </w:rPr>
                        <w:t xml:space="preserve">              </w:t>
                      </w:r>
                    </w:p>
                    <w:p w14:paraId="5E41E6D9" w14:textId="3BC0B4F9" w:rsidR="004159F7" w:rsidRPr="004159F7" w:rsidRDefault="004F26A4" w:rsidP="004159F7">
                      <w:pPr>
                        <w:pStyle w:val="Style1"/>
                        <w:tabs>
                          <w:tab w:val="left" w:pos="426"/>
                        </w:tabs>
                        <w:ind w:left="0"/>
                        <w:jc w:val="both"/>
                        <w:rPr>
                          <w:rFonts w:ascii="Source Sans Pro" w:hAnsi="Source Sans Pro"/>
                          <w:i w:val="0"/>
                          <w:iCs w:val="0"/>
                          <w:color w:val="000000" w:themeColor="text1"/>
                          <w:sz w:val="20"/>
                        </w:rPr>
                      </w:pPr>
                      <w:r>
                        <w:rPr>
                          <w:rFonts w:ascii="Source Sans Pro" w:hAnsi="Source Sans Pro"/>
                          <w:i w:val="0"/>
                          <w:iCs w:val="0"/>
                          <w:color w:val="000000" w:themeColor="text1"/>
                          <w:sz w:val="20"/>
                        </w:rPr>
                        <w:t>L</w:t>
                      </w:r>
                      <w:r w:rsidR="004159F7" w:rsidRPr="004159F7">
                        <w:rPr>
                          <w:rFonts w:ascii="Source Sans Pro" w:hAnsi="Source Sans Pro"/>
                          <w:i w:val="0"/>
                          <w:iCs w:val="0"/>
                          <w:color w:val="000000" w:themeColor="text1"/>
                          <w:sz w:val="20"/>
                        </w:rPr>
                        <w:t xml:space="preserve">’année écoulée marque une </w:t>
                      </w:r>
                      <w:r w:rsidR="004159F7" w:rsidRPr="004159F7">
                        <w:rPr>
                          <w:rFonts w:ascii="Source Sans Pro" w:hAnsi="Source Sans Pro"/>
                          <w:b/>
                          <w:bCs/>
                          <w:i w:val="0"/>
                          <w:iCs w:val="0"/>
                          <w:color w:val="000000" w:themeColor="text1"/>
                          <w:sz w:val="20"/>
                        </w:rPr>
                        <w:t>avancée structurante avec le déploiement de l’analyse ASCOR</w:t>
                      </w:r>
                      <w:r w:rsidR="004159F7" w:rsidRPr="004159F7">
                        <w:rPr>
                          <w:rFonts w:ascii="Source Sans Pro" w:hAnsi="Source Sans Pro"/>
                          <w:i w:val="0"/>
                          <w:iCs w:val="0"/>
                          <w:color w:val="000000" w:themeColor="text1"/>
                          <w:sz w:val="20"/>
                        </w:rPr>
                        <w:t>, qui permet d’évaluer l’alignement des politiques publiques des États avec les objectifs de l’Accord de Paris. Les résultats montrent que le portefeuille souverain d’Abeille Assurances se situe parmi les niveaux d’alignement les plus avancés.</w:t>
                      </w:r>
                    </w:p>
                    <w:p w14:paraId="07311E5E" w14:textId="33AE98E0" w:rsidR="004159F7" w:rsidRPr="00511F70" w:rsidRDefault="004159F7" w:rsidP="004159F7">
                      <w:pPr>
                        <w:pStyle w:val="Style1"/>
                        <w:numPr>
                          <w:ilvl w:val="0"/>
                          <w:numId w:val="0"/>
                        </w:numPr>
                        <w:tabs>
                          <w:tab w:val="left" w:pos="426"/>
                        </w:tabs>
                        <w:jc w:val="both"/>
                        <w:rPr>
                          <w:rFonts w:ascii="Source Sans Pro" w:hAnsi="Source Sans Pro"/>
                          <w:i w:val="0"/>
                          <w:iCs w:val="0"/>
                          <w:color w:val="000000" w:themeColor="text1"/>
                          <w:sz w:val="20"/>
                        </w:rPr>
                      </w:pPr>
                      <w:r w:rsidRPr="004159F7">
                        <w:rPr>
                          <w:rFonts w:ascii="Source Sans Pro" w:hAnsi="Source Sans Pro"/>
                          <w:i w:val="0"/>
                          <w:iCs w:val="0"/>
                          <w:color w:val="000000" w:themeColor="text1"/>
                          <w:sz w:val="20"/>
                        </w:rPr>
                        <w:t>Cette première analyse constitue une base solide, que nous continuerons à approfondir et à piloter dans le temps, afin de renforcer notre capacité de suivi, de dialogue et d’engagement climatique auprès des États. </w:t>
                      </w:r>
                    </w:p>
                    <w:p w14:paraId="0B61AFFC" w14:textId="1443B22C" w:rsidR="007E1A75" w:rsidRDefault="004159F7" w:rsidP="007E1A75">
                      <w:pPr>
                        <w:pStyle w:val="Style1"/>
                        <w:numPr>
                          <w:ilvl w:val="0"/>
                          <w:numId w:val="0"/>
                        </w:numPr>
                        <w:ind w:left="26"/>
                      </w:pPr>
                      <w:r>
                        <w:rPr>
                          <w:noProof/>
                        </w:rPr>
                        <w:drawing>
                          <wp:inline distT="0" distB="0" distL="0" distR="0" wp14:anchorId="0416F5D7" wp14:editId="79F7D4E0">
                            <wp:extent cx="638778" cy="620490"/>
                            <wp:effectExtent l="0" t="0" r="9525" b="8255"/>
                            <wp:docPr id="123716864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32145" name="Image 3"/>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9093" cy="630509"/>
                                    </a:xfrm>
                                    <a:prstGeom prst="rect">
                                      <a:avLst/>
                                    </a:prstGeom>
                                    <a:noFill/>
                                    <a:ln>
                                      <a:noFill/>
                                    </a:ln>
                                  </pic:spPr>
                                </pic:pic>
                              </a:graphicData>
                            </a:graphic>
                          </wp:inline>
                        </w:drawing>
                      </w:r>
                      <w:r w:rsidR="004C78A8">
                        <w:rPr>
                          <w:rFonts w:ascii="Source Sans Pro" w:hAnsi="Source Sans Pro"/>
                          <w:b/>
                          <w:i w:val="0"/>
                          <w:color w:val="000000" w:themeColor="text1"/>
                          <w:sz w:val="20"/>
                        </w:rPr>
                        <w:t>Julia BERTUZZI</w:t>
                      </w:r>
                      <w:r w:rsidR="007E1A75">
                        <w:rPr>
                          <w:rFonts w:ascii="Source Sans Pro" w:hAnsi="Source Sans Pro"/>
                          <w:b/>
                          <w:i w:val="0"/>
                          <w:color w:val="000000" w:themeColor="text1"/>
                          <w:sz w:val="20"/>
                        </w:rPr>
                        <w:t xml:space="preserve">, </w:t>
                      </w:r>
                      <w:r w:rsidR="00267DF9">
                        <w:rPr>
                          <w:rFonts w:ascii="Source Sans Pro" w:hAnsi="Source Sans Pro"/>
                          <w:b/>
                          <w:i w:val="0"/>
                          <w:color w:val="000000" w:themeColor="text1"/>
                          <w:sz w:val="20"/>
                        </w:rPr>
                        <w:t>Analyste senior du pôle ISR d’Abeille Assurances</w:t>
                      </w:r>
                    </w:p>
                  </w:txbxContent>
                </v:textbox>
              </v:shape>
            </w:pict>
          </mc:Fallback>
        </mc:AlternateContent>
      </w:r>
      <w:r w:rsidRPr="00A74D23">
        <w:rPr>
          <w:rFonts w:eastAsia="Calibri" w:cs="Open Sans"/>
          <w:i w:val="0"/>
          <w:iCs w:val="0"/>
          <w:noProof/>
          <w:color w:val="auto"/>
          <w:sz w:val="20"/>
          <w:szCs w:val="20"/>
          <w:lang w:eastAsia="fr-FR"/>
        </w:rPr>
        <mc:AlternateContent>
          <mc:Choice Requires="wpg">
            <w:drawing>
              <wp:anchor distT="0" distB="0" distL="114300" distR="114300" simplePos="0" relativeHeight="251397120" behindDoc="0" locked="0" layoutInCell="1" allowOverlap="1" wp14:anchorId="461DAE63" wp14:editId="7CAE138F">
                <wp:simplePos x="0" y="0"/>
                <wp:positionH relativeFrom="margin">
                  <wp:align>right</wp:align>
                </wp:positionH>
                <wp:positionV relativeFrom="paragraph">
                  <wp:posOffset>1578502</wp:posOffset>
                </wp:positionV>
                <wp:extent cx="389890" cy="281305"/>
                <wp:effectExtent l="0" t="0" r="10160" b="23495"/>
                <wp:wrapNone/>
                <wp:docPr id="2077935408" name="Groupe 132"/>
                <wp:cNvGraphicFramePr/>
                <a:graphic xmlns:a="http://schemas.openxmlformats.org/drawingml/2006/main">
                  <a:graphicData uri="http://schemas.microsoft.com/office/word/2010/wordprocessingGroup">
                    <wpg:wgp>
                      <wpg:cNvGrpSpPr/>
                      <wpg:grpSpPr>
                        <a:xfrm flipH="1">
                          <a:off x="0" y="0"/>
                          <a:ext cx="389890" cy="281305"/>
                          <a:chOff x="0" y="0"/>
                          <a:chExt cx="480287" cy="346688"/>
                        </a:xfrm>
                      </wpg:grpSpPr>
                      <wps:wsp>
                        <wps:cNvPr id="576039880"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58673741"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7E6F1675" id="Groupe 132" o:spid="_x0000_s1026" style="position:absolute;margin-left:-20.5pt;margin-top:124.3pt;width:30.7pt;height:22.15pt;flip:x;z-index:251397120;mso-position-horizontal:right;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r w:rsidR="007E1A75" w:rsidRPr="00A74D23">
        <w:rPr>
          <w:rFonts w:eastAsia="Calibri" w:cs="Open Sans"/>
          <w:i w:val="0"/>
          <w:iCs w:val="0"/>
          <w:noProof/>
          <w:color w:val="auto"/>
          <w:sz w:val="20"/>
          <w:szCs w:val="20"/>
          <w:lang w:eastAsia="fr-FR"/>
        </w:rPr>
        <mc:AlternateContent>
          <mc:Choice Requires="wpg">
            <w:drawing>
              <wp:anchor distT="0" distB="0" distL="114300" distR="114300" simplePos="0" relativeHeight="251399168" behindDoc="0" locked="0" layoutInCell="1" allowOverlap="1" wp14:anchorId="01EEA31D" wp14:editId="3D314DA9">
                <wp:simplePos x="0" y="0"/>
                <wp:positionH relativeFrom="margin">
                  <wp:posOffset>42300</wp:posOffset>
                </wp:positionH>
                <wp:positionV relativeFrom="paragraph">
                  <wp:posOffset>154305</wp:posOffset>
                </wp:positionV>
                <wp:extent cx="390025" cy="281534"/>
                <wp:effectExtent l="0" t="0" r="10160" b="23495"/>
                <wp:wrapNone/>
                <wp:docPr id="114025558" name="Groupe 132"/>
                <wp:cNvGraphicFramePr/>
                <a:graphic xmlns:a="http://schemas.openxmlformats.org/drawingml/2006/main">
                  <a:graphicData uri="http://schemas.microsoft.com/office/word/2010/wordprocessingGroup">
                    <wpg:wgp>
                      <wpg:cNvGrpSpPr/>
                      <wpg:grpSpPr>
                        <a:xfrm>
                          <a:off x="0" y="0"/>
                          <a:ext cx="390025" cy="281534"/>
                          <a:chOff x="0" y="0"/>
                          <a:chExt cx="480287" cy="346688"/>
                        </a:xfrm>
                      </wpg:grpSpPr>
                      <wps:wsp>
                        <wps:cNvPr id="481749344"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1570722158"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3A5CBAD5" id="Groupe 132" o:spid="_x0000_s1026" style="position:absolute;margin-left:3.35pt;margin-top:12.15pt;width:30.7pt;height:22.15pt;z-index:251399168;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r w:rsidR="007E1A75" w:rsidRPr="00A74D23">
        <w:rPr>
          <w:rFonts w:cs="Open Sans"/>
          <w:noProof/>
        </w:rPr>
        <mc:AlternateContent>
          <mc:Choice Requires="wps">
            <w:drawing>
              <wp:inline distT="0" distB="0" distL="0" distR="0" wp14:anchorId="594B3DC2" wp14:editId="3DB75453">
                <wp:extent cx="5978106" cy="2362200"/>
                <wp:effectExtent l="0" t="0" r="22860" b="19050"/>
                <wp:docPr id="2004360753" name="Rectangle : coins arrondis 2004360753"/>
                <wp:cNvGraphicFramePr/>
                <a:graphic xmlns:a="http://schemas.openxmlformats.org/drawingml/2006/main">
                  <a:graphicData uri="http://schemas.microsoft.com/office/word/2010/wordprocessingShape">
                    <wps:wsp>
                      <wps:cNvSpPr/>
                      <wps:spPr>
                        <a:xfrm>
                          <a:off x="0" y="0"/>
                          <a:ext cx="5978106" cy="2362200"/>
                        </a:xfrm>
                        <a:prstGeom prst="roundRect">
                          <a:avLst>
                            <a:gd name="adj" fmla="val 889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D350CB" w14:textId="77777777" w:rsidR="007E1A75" w:rsidRPr="006209BA" w:rsidRDefault="007E1A75" w:rsidP="007E1A75">
                            <w:pPr>
                              <w:pStyle w:val="Citation0"/>
                              <w:rPr>
                                <w:color w:val="auto"/>
                              </w:rPr>
                            </w:pPr>
                          </w:p>
                        </w:txbxContent>
                      </wps:txbx>
                      <wps:bodyPr rot="0" spcFirstLastPara="0" vertOverflow="overflow" horzOverflow="overflow" vert="horz" wrap="square" lIns="180000" tIns="108000" rIns="180000" bIns="108000" numCol="1" spcCol="0" rtlCol="0" fromWordArt="0" anchor="ctr" anchorCtr="0" forceAA="0" compatLnSpc="1">
                        <a:prstTxWarp prst="textNoShape">
                          <a:avLst/>
                        </a:prstTxWarp>
                        <a:noAutofit/>
                      </wps:bodyPr>
                    </wps:wsp>
                  </a:graphicData>
                </a:graphic>
              </wp:inline>
            </w:drawing>
          </mc:Choice>
          <mc:Fallback>
            <w:pict>
              <v:roundrect w14:anchorId="594B3DC2" id="Rectangle : coins arrondis 2004360753" o:spid="_x0000_s1134" style="width:470.7pt;height:186pt;visibility:visible;mso-wrap-style:square;mso-left-percent:-10001;mso-top-percent:-10001;mso-position-horizontal:absolute;mso-position-horizontal-relative:char;mso-position-vertical:absolute;mso-position-vertical-relative:line;mso-left-percent:-10001;mso-top-percent:-10001;v-text-anchor:middle" arcsize="58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" fillcolor="white [3212]" strokecolor="black [3213]" strokeweight="1pt">
                <v:stroke joinstyle="miter"/>
                <v:textbox inset="5mm,3mm,5mm,3mm">
                  <w:txbxContent>
                    <w:p w14:paraId="5FD350CB" w14:textId="77777777" w:rsidR="007E1A75" w:rsidRPr="006209BA" w:rsidRDefault="007E1A75" w:rsidP="007E1A75">
                      <w:pPr>
                        <w:pStyle w:val="Citation0"/>
                        <w:rPr>
                          <w:color w:val="auto"/>
                        </w:rPr>
                      </w:pPr>
                    </w:p>
                  </w:txbxContent>
                </v:textbox>
                <w10:anchorlock/>
              </v:roundrect>
            </w:pict>
          </mc:Fallback>
        </mc:AlternateContent>
      </w:r>
    </w:p>
    <w:p w14:paraId="6D50B947" w14:textId="77777777" w:rsidR="001A7602" w:rsidRPr="00A74D23" w:rsidRDefault="001A7602" w:rsidP="009D6EE5">
      <w:pPr>
        <w:spacing w:line="22" w:lineRule="atLeast"/>
        <w:jc w:val="both"/>
        <w:rPr>
          <w:rFonts w:asciiTheme="minorHAnsi" w:hAnsiTheme="minorHAnsi" w:cs="Open Sans"/>
          <w:sz w:val="20"/>
        </w:rPr>
      </w:pPr>
    </w:p>
    <w:p w14:paraId="219D460C" w14:textId="77777777" w:rsidR="004159F7" w:rsidRPr="00A74D23" w:rsidRDefault="004159F7" w:rsidP="009D6EE5">
      <w:pPr>
        <w:spacing w:line="22" w:lineRule="atLeast"/>
        <w:jc w:val="both"/>
        <w:rPr>
          <w:rFonts w:asciiTheme="minorHAnsi" w:hAnsiTheme="minorHAnsi" w:cs="Open Sans"/>
          <w:sz w:val="20"/>
        </w:rPr>
      </w:pPr>
    </w:p>
    <w:p w14:paraId="71331D68" w14:textId="74CF3B53" w:rsidR="000E5DED" w:rsidRPr="00A74D23" w:rsidRDefault="00426418" w:rsidP="009D6EE5">
      <w:pPr>
        <w:spacing w:line="22" w:lineRule="atLeast"/>
        <w:jc w:val="both"/>
        <w:rPr>
          <w:rFonts w:asciiTheme="minorHAnsi" w:hAnsiTheme="minorHAnsi" w:cs="Open Sans"/>
          <w:sz w:val="20"/>
        </w:rPr>
      </w:pPr>
      <w:r w:rsidRPr="00A74D23">
        <w:rPr>
          <w:rFonts w:asciiTheme="minorHAnsi" w:hAnsiTheme="minorHAnsi" w:cs="Open Sans"/>
          <w:noProof/>
        </w:rPr>
        <mc:AlternateContent>
          <mc:Choice Requires="wps">
            <w:drawing>
              <wp:anchor distT="0" distB="0" distL="114300" distR="114300" simplePos="0" relativeHeight="251386880" behindDoc="0" locked="0" layoutInCell="1" allowOverlap="1" wp14:anchorId="49220633" wp14:editId="24B1F614">
                <wp:simplePos x="0" y="0"/>
                <wp:positionH relativeFrom="margin">
                  <wp:posOffset>1672170</wp:posOffset>
                </wp:positionH>
                <wp:positionV relativeFrom="paragraph">
                  <wp:posOffset>59642</wp:posOffset>
                </wp:positionV>
                <wp:extent cx="2667635" cy="260350"/>
                <wp:effectExtent l="0" t="0" r="0" b="8890"/>
                <wp:wrapSquare wrapText="bothSides"/>
                <wp:docPr id="224602586" name="Rectangle : coins arrondis 224602586"/>
                <wp:cNvGraphicFramePr/>
                <a:graphic xmlns:a="http://schemas.openxmlformats.org/drawingml/2006/main">
                  <a:graphicData uri="http://schemas.microsoft.com/office/word/2010/wordprocessingShape">
                    <wps:wsp>
                      <wps:cNvSpPr/>
                      <wps:spPr>
                        <a:xfrm>
                          <a:off x="0" y="0"/>
                          <a:ext cx="2667635" cy="260350"/>
                        </a:xfrm>
                        <a:prstGeom prst="roundRect">
                          <a:avLst>
                            <a:gd name="adj" fmla="val 0"/>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63ED9E" w14:textId="140CC6EB" w:rsidR="000E5DED" w:rsidRPr="00003AF6" w:rsidRDefault="000E5DED" w:rsidP="000E5DED">
                            <w:pPr>
                              <w:jc w:val="center"/>
                              <w:rPr>
                                <w:b/>
                                <w:bCs/>
                                <w:sz w:val="32"/>
                                <w:szCs w:val="32"/>
                              </w:rPr>
                            </w:pPr>
                            <w:r w:rsidRPr="00003AF6">
                              <w:rPr>
                                <w:rFonts w:ascii="Source Sans Pro" w:hAnsi="Source Sans Pro"/>
                                <w:b/>
                                <w:bCs/>
                              </w:rPr>
                              <w:t>Plan d’amélioration 202</w:t>
                            </w:r>
                            <w:r w:rsidR="00003AF6" w:rsidRPr="00003AF6">
                              <w:rPr>
                                <w:rFonts w:ascii="Source Sans Pro" w:hAnsi="Source Sans Pro"/>
                                <w:b/>
                                <w:bCs/>
                              </w:rPr>
                              <w:t>6</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roundrect w14:anchorId="49220633" id="Rectangle : coins arrondis 224602586" o:spid="_x0000_s1135" style="position:absolute;left:0;text-align:left;margin-left:131.65pt;margin-top:4.7pt;width:210.05pt;height:20.5pt;z-index:2513868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" fillcolor="#8a2c24 [3205]" stroked="f" strokeweight="1pt">
                <v:stroke joinstyle="miter"/>
                <v:textbox style="mso-fit-shape-to-text:t" inset="2.5mm,1mm,2.5mm,1mm">
                  <w:txbxContent>
                    <w:p w14:paraId="4863ED9E" w14:textId="140CC6EB" w:rsidR="000E5DED" w:rsidRPr="00003AF6" w:rsidRDefault="000E5DED" w:rsidP="000E5DED">
                      <w:pPr>
                        <w:jc w:val="center"/>
                        <w:rPr>
                          <w:b/>
                          <w:bCs/>
                          <w:sz w:val="32"/>
                          <w:szCs w:val="32"/>
                        </w:rPr>
                      </w:pPr>
                      <w:r w:rsidRPr="00003AF6">
                        <w:rPr>
                          <w:rFonts w:ascii="Source Sans Pro" w:hAnsi="Source Sans Pro"/>
                          <w:b/>
                          <w:bCs/>
                        </w:rPr>
                        <w:t>Plan d’amélioration 202</w:t>
                      </w:r>
                      <w:r w:rsidR="00003AF6" w:rsidRPr="00003AF6">
                        <w:rPr>
                          <w:rFonts w:ascii="Source Sans Pro" w:hAnsi="Source Sans Pro"/>
                          <w:b/>
                          <w:bCs/>
                        </w:rPr>
                        <w:t>6</w:t>
                      </w:r>
                    </w:p>
                  </w:txbxContent>
                </v:textbox>
                <w10:wrap type="square" anchorx="margin"/>
              </v:roundrect>
            </w:pict>
          </mc:Fallback>
        </mc:AlternateContent>
      </w:r>
    </w:p>
    <w:p w14:paraId="50FC062E" w14:textId="77169315" w:rsidR="000E5DED" w:rsidRPr="00A74D23" w:rsidRDefault="000E5DED" w:rsidP="009D6EE5">
      <w:pPr>
        <w:spacing w:line="22" w:lineRule="atLeast"/>
        <w:jc w:val="both"/>
        <w:rPr>
          <w:rFonts w:asciiTheme="minorHAnsi" w:hAnsiTheme="minorHAnsi" w:cs="Open Sans"/>
          <w:sz w:val="20"/>
        </w:rPr>
      </w:pPr>
      <w:r w:rsidRPr="00A74D23">
        <w:rPr>
          <w:rFonts w:asciiTheme="minorHAnsi" w:hAnsiTheme="minorHAnsi" w:cs="Open Sans"/>
          <w:noProof/>
        </w:rPr>
        <mc:AlternateContent>
          <mc:Choice Requires="wps">
            <w:drawing>
              <wp:anchor distT="0" distB="0" distL="114300" distR="114300" simplePos="0" relativeHeight="251388928" behindDoc="1" locked="0" layoutInCell="1" allowOverlap="1" wp14:anchorId="02B8690E" wp14:editId="5A3A269F">
                <wp:simplePos x="0" y="0"/>
                <wp:positionH relativeFrom="margin">
                  <wp:posOffset>68185</wp:posOffset>
                </wp:positionH>
                <wp:positionV relativeFrom="paragraph">
                  <wp:posOffset>6194</wp:posOffset>
                </wp:positionV>
                <wp:extent cx="5759450" cy="595223"/>
                <wp:effectExtent l="0" t="0" r="0" b="0"/>
                <wp:wrapNone/>
                <wp:docPr id="900166265" name="Rectangle : coins arrondis 900166265"/>
                <wp:cNvGraphicFramePr/>
                <a:graphic xmlns:a="http://schemas.openxmlformats.org/drawingml/2006/main">
                  <a:graphicData uri="http://schemas.microsoft.com/office/word/2010/wordprocessingShape">
                    <wps:wsp>
                      <wps:cNvSpPr/>
                      <wps:spPr>
                        <a:xfrm>
                          <a:off x="0" y="0"/>
                          <a:ext cx="5759450" cy="595223"/>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23D161" w14:textId="77777777" w:rsidR="00426418" w:rsidRDefault="00426418" w:rsidP="00003AF6">
                            <w:pPr>
                              <w:ind w:left="284" w:hanging="360"/>
                              <w:jc w:val="both"/>
                            </w:pPr>
                          </w:p>
                          <w:p w14:paraId="3C9F93E0" w14:textId="4A53A149" w:rsidR="000E5DED" w:rsidRPr="00003AF6" w:rsidRDefault="0005744F" w:rsidP="00590DD1">
                            <w:pPr>
                              <w:pStyle w:val="Paragraphedeliste"/>
                              <w:numPr>
                                <w:ilvl w:val="0"/>
                                <w:numId w:val="91"/>
                              </w:numPr>
                              <w:ind w:left="284"/>
                              <w:jc w:val="both"/>
                              <w:rPr>
                                <w:color w:val="000000" w:themeColor="text1"/>
                              </w:rPr>
                            </w:pPr>
                            <w:r>
                              <w:rPr>
                                <w:rFonts w:ascii="Source Sans Pro" w:hAnsi="Source Sans Pro" w:cs="Calibri"/>
                                <w:color w:val="000000"/>
                                <w:sz w:val="20"/>
                                <w:szCs w:val="20"/>
                                <w:lang w:eastAsia="fr-FR"/>
                              </w:rPr>
                              <w:t>Intégrer les résultats de l’ASCOR dans nos outils de pilotage de la donnée ESG</w:t>
                            </w:r>
                          </w:p>
                        </w:txbxContent>
                      </wps:txbx>
                      <wps:bodyPr rot="0" spcFirstLastPara="0" vertOverflow="overflow" horzOverflow="overflow" vert="horz" wrap="square" lIns="180000" tIns="72000" rIns="180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B8690E" id="Rectangle : coins arrondis 900166265" o:spid="_x0000_s1136" style="position:absolute;left:0;text-align:left;margin-left:5.35pt;margin-top:.5pt;width:453.5pt;height:46.85pt;z-index:-25192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" fillcolor="#d8d8d8 [2732]" stroked="f" strokeweight="1pt">
                <v:stroke joinstyle="miter"/>
                <v:textbox inset="5mm,2mm,5mm,3mm">
                  <w:txbxContent>
                    <w:p w14:paraId="4D23D161" w14:textId="77777777" w:rsidR="00426418" w:rsidRDefault="00426418" w:rsidP="00003AF6">
                      <w:pPr>
                        <w:ind w:left="284" w:hanging="360"/>
                        <w:jc w:val="both"/>
                      </w:pPr>
                    </w:p>
                    <w:p w14:paraId="3C9F93E0" w14:textId="4A53A149" w:rsidR="000E5DED" w:rsidRPr="00003AF6" w:rsidRDefault="0005744F" w:rsidP="00590DD1">
                      <w:pPr>
                        <w:pStyle w:val="Paragraphedeliste"/>
                        <w:numPr>
                          <w:ilvl w:val="0"/>
                          <w:numId w:val="91"/>
                        </w:numPr>
                        <w:ind w:left="284"/>
                        <w:jc w:val="both"/>
                        <w:rPr>
                          <w:color w:val="000000" w:themeColor="text1"/>
                        </w:rPr>
                      </w:pPr>
                      <w:r>
                        <w:rPr>
                          <w:rFonts w:ascii="Source Sans Pro" w:hAnsi="Source Sans Pro" w:cs="Calibri"/>
                          <w:color w:val="000000"/>
                          <w:sz w:val="20"/>
                          <w:szCs w:val="20"/>
                          <w:lang w:eastAsia="fr-FR"/>
                        </w:rPr>
                        <w:t>Intégrer les résultats de l’ASCOR dans nos outils de pilotage de la donnée ESG</w:t>
                      </w:r>
                    </w:p>
                  </w:txbxContent>
                </v:textbox>
                <w10:wrap anchorx="margin"/>
              </v:roundrect>
            </w:pict>
          </mc:Fallback>
        </mc:AlternateContent>
      </w:r>
    </w:p>
    <w:p w14:paraId="6F860606" w14:textId="77777777" w:rsidR="000E5DED" w:rsidRPr="00A74D23" w:rsidRDefault="000E5DED" w:rsidP="009D6EE5">
      <w:pPr>
        <w:spacing w:line="22" w:lineRule="atLeast"/>
        <w:jc w:val="both"/>
        <w:rPr>
          <w:rFonts w:asciiTheme="minorHAnsi" w:hAnsiTheme="minorHAnsi" w:cs="Open Sans"/>
          <w:sz w:val="20"/>
        </w:rPr>
      </w:pPr>
    </w:p>
    <w:p w14:paraId="03A202ED" w14:textId="77777777" w:rsidR="000E5DED" w:rsidRPr="00A74D23" w:rsidRDefault="000E5DED" w:rsidP="009D6EE5">
      <w:pPr>
        <w:spacing w:line="22" w:lineRule="atLeast"/>
        <w:jc w:val="both"/>
        <w:rPr>
          <w:rFonts w:asciiTheme="minorHAnsi" w:hAnsiTheme="minorHAnsi" w:cs="Open Sans"/>
        </w:rPr>
      </w:pPr>
    </w:p>
    <w:p w14:paraId="7E2D6C35" w14:textId="5798A647" w:rsidR="00C463E9" w:rsidRPr="00A74D23" w:rsidRDefault="00C463E9" w:rsidP="009D6EE5">
      <w:pPr>
        <w:pStyle w:val="Style4"/>
        <w:spacing w:line="22" w:lineRule="atLeast"/>
        <w:jc w:val="both"/>
        <w:rPr>
          <w:rFonts w:asciiTheme="minorHAnsi" w:hAnsiTheme="minorHAnsi" w:cs="Open Sans"/>
        </w:rPr>
      </w:pPr>
    </w:p>
    <w:p w14:paraId="38C3B742" w14:textId="77777777" w:rsidR="00C463E9" w:rsidRPr="00A74D23" w:rsidRDefault="00C463E9" w:rsidP="009D6EE5">
      <w:pPr>
        <w:pStyle w:val="Style4"/>
        <w:spacing w:line="22" w:lineRule="atLeast"/>
        <w:jc w:val="both"/>
        <w:rPr>
          <w:rFonts w:asciiTheme="minorHAnsi" w:hAnsiTheme="minorHAnsi" w:cs="Open Sans"/>
        </w:rPr>
      </w:pPr>
    </w:p>
    <w:p w14:paraId="1004FBF9" w14:textId="77777777" w:rsidR="005E5681" w:rsidRPr="00A74D23" w:rsidRDefault="005E5681" w:rsidP="009D6EE5">
      <w:pPr>
        <w:pStyle w:val="Style4"/>
        <w:spacing w:line="22" w:lineRule="atLeast"/>
        <w:jc w:val="both"/>
        <w:rPr>
          <w:rFonts w:asciiTheme="minorHAnsi" w:hAnsiTheme="minorHAnsi" w:cs="Open Sans"/>
        </w:rPr>
      </w:pPr>
    </w:p>
    <w:p w14:paraId="7EE41C93" w14:textId="3938FA29" w:rsidR="00E3008E" w:rsidRPr="00A74D23" w:rsidRDefault="00E3008E" w:rsidP="00590DD1">
      <w:pPr>
        <w:pStyle w:val="Paragraphedeliste"/>
        <w:numPr>
          <w:ilvl w:val="1"/>
          <w:numId w:val="90"/>
        </w:numPr>
        <w:spacing w:line="22" w:lineRule="atLeast"/>
        <w:jc w:val="both"/>
        <w:rPr>
          <w:rFonts w:eastAsiaTheme="majorEastAsia" w:cs="Open Sans"/>
          <w:b/>
          <w:sz w:val="32"/>
          <w:szCs w:val="32"/>
        </w:rPr>
      </w:pPr>
      <w:r w:rsidRPr="00A74D23">
        <w:rPr>
          <w:rFonts w:eastAsiaTheme="majorEastAsia" w:cs="Open Sans"/>
          <w:b/>
          <w:sz w:val="32"/>
          <w:szCs w:val="32"/>
        </w:rPr>
        <w:t xml:space="preserve">Réduire les émissions : actifs immobiliers </w:t>
      </w:r>
    </w:p>
    <w:p w14:paraId="2F8B7C57" w14:textId="77777777" w:rsidR="00A772AC" w:rsidRDefault="00A772AC" w:rsidP="009D6EE5">
      <w:pPr>
        <w:pStyle w:val="Style3"/>
        <w:spacing w:after="0" w:line="22" w:lineRule="atLeast"/>
        <w:ind w:left="0" w:firstLine="0"/>
        <w:jc w:val="both"/>
        <w:rPr>
          <w:rFonts w:asciiTheme="minorHAnsi" w:hAnsiTheme="minorHAnsi" w:cs="Open Sans"/>
        </w:rPr>
      </w:pPr>
    </w:p>
    <w:p w14:paraId="63495104" w14:textId="5A672DEB" w:rsidR="000E71EC" w:rsidRPr="00861AE3" w:rsidRDefault="000E71EC" w:rsidP="000E71EC">
      <w:pPr>
        <w:pStyle w:val="Style1"/>
        <w:numPr>
          <w:ilvl w:val="0"/>
          <w:numId w:val="0"/>
        </w:numPr>
        <w:spacing w:line="22" w:lineRule="atLeast"/>
        <w:ind w:firstLine="3"/>
        <w:jc w:val="both"/>
        <w:rPr>
          <w:rFonts w:cs="Open Sans"/>
          <w:color w:val="8A2C24" w:themeColor="accent2"/>
          <w:sz w:val="28"/>
          <w:szCs w:val="28"/>
        </w:rPr>
      </w:pPr>
      <w:r w:rsidRPr="00861AE3">
        <w:rPr>
          <w:rFonts w:cs="Open Sans"/>
          <w:color w:val="8A2C24" w:themeColor="accent2"/>
          <w:sz w:val="28"/>
          <w:szCs w:val="28"/>
        </w:rPr>
        <w:t xml:space="preserve">4.3.1. </w:t>
      </w:r>
      <w:r w:rsidR="00E329AA" w:rsidRPr="00861AE3">
        <w:rPr>
          <w:rFonts w:cs="Open Sans"/>
          <w:color w:val="8A2C24" w:themeColor="accent2"/>
          <w:sz w:val="28"/>
          <w:szCs w:val="28"/>
        </w:rPr>
        <w:t>Objectif 2030 : a</w:t>
      </w:r>
      <w:r w:rsidRPr="00861AE3">
        <w:rPr>
          <w:rFonts w:cs="Open Sans"/>
          <w:color w:val="8A2C24" w:themeColor="accent2"/>
          <w:sz w:val="28"/>
          <w:szCs w:val="28"/>
        </w:rPr>
        <w:t xml:space="preserve">lignement du portefeuille immobilier NZAOA </w:t>
      </w:r>
      <w:r w:rsidR="00E329AA" w:rsidRPr="00861AE3">
        <w:rPr>
          <w:rFonts w:cs="Open Sans"/>
          <w:color w:val="8A2C24" w:themeColor="accent2"/>
          <w:sz w:val="28"/>
          <w:szCs w:val="28"/>
        </w:rPr>
        <w:t xml:space="preserve">avec une trajectoire 1.5°C </w:t>
      </w:r>
      <w:r w:rsidR="00861AE3">
        <w:rPr>
          <w:rFonts w:cs="Open Sans"/>
          <w:color w:val="8A2C24" w:themeColor="accent2"/>
          <w:sz w:val="28"/>
          <w:szCs w:val="28"/>
        </w:rPr>
        <w:t>-</w:t>
      </w:r>
      <w:r w:rsidR="00E329AA" w:rsidRPr="00861AE3">
        <w:rPr>
          <w:rFonts w:cs="Open Sans"/>
          <w:color w:val="8A2C24" w:themeColor="accent2"/>
          <w:sz w:val="28"/>
          <w:szCs w:val="28"/>
        </w:rPr>
        <w:t xml:space="preserve"> analyse CREEM</w:t>
      </w:r>
    </w:p>
    <w:p w14:paraId="73797B18" w14:textId="77777777" w:rsidR="003074B6" w:rsidRDefault="003074B6" w:rsidP="009D6EE5">
      <w:pPr>
        <w:spacing w:line="22" w:lineRule="atLeast"/>
        <w:jc w:val="both"/>
        <w:rPr>
          <w:rFonts w:asciiTheme="minorHAnsi" w:hAnsiTheme="minorHAnsi" w:cs="Open Sans"/>
          <w:lang w:val="fr-FR"/>
        </w:rPr>
      </w:pPr>
    </w:p>
    <w:p w14:paraId="05A77E1B" w14:textId="77777777" w:rsidR="003074B6" w:rsidRDefault="003074B6" w:rsidP="009D6EE5">
      <w:pPr>
        <w:spacing w:line="22" w:lineRule="atLeast"/>
        <w:jc w:val="both"/>
        <w:rPr>
          <w:rFonts w:asciiTheme="minorHAnsi" w:hAnsiTheme="minorHAnsi" w:cs="Open Sans"/>
          <w:lang w:val="fr-FR"/>
        </w:rPr>
      </w:pPr>
    </w:p>
    <w:p w14:paraId="0814A76D" w14:textId="577BA61B" w:rsidR="003074B6" w:rsidRDefault="003074B6" w:rsidP="009D6EE5">
      <w:pPr>
        <w:spacing w:line="22" w:lineRule="atLeast"/>
        <w:jc w:val="both"/>
        <w:rPr>
          <w:rFonts w:asciiTheme="minorHAnsi" w:hAnsiTheme="minorHAnsi" w:cs="Open Sans"/>
          <w:lang w:val="fr-FR"/>
        </w:rPr>
      </w:pPr>
      <w:r w:rsidRPr="00A74D23">
        <w:rPr>
          <w:rFonts w:asciiTheme="minorHAnsi" w:hAnsiTheme="minorHAnsi" w:cs="Open Sans"/>
          <w:noProof/>
        </w:rPr>
        <mc:AlternateContent>
          <mc:Choice Requires="wps">
            <w:drawing>
              <wp:anchor distT="0" distB="0" distL="114300" distR="114300" simplePos="0" relativeHeight="251965440" behindDoc="0" locked="0" layoutInCell="1" allowOverlap="1" wp14:anchorId="10A235D2" wp14:editId="22171B62">
                <wp:simplePos x="0" y="0"/>
                <wp:positionH relativeFrom="margin">
                  <wp:posOffset>314605</wp:posOffset>
                </wp:positionH>
                <wp:positionV relativeFrom="paragraph">
                  <wp:posOffset>81832</wp:posOffset>
                </wp:positionV>
                <wp:extent cx="5382848" cy="260350"/>
                <wp:effectExtent l="0" t="0" r="8890" b="8890"/>
                <wp:wrapNone/>
                <wp:docPr id="1166469620" name="Rectangle : coins arrondis 1166469620"/>
                <wp:cNvGraphicFramePr/>
                <a:graphic xmlns:a="http://schemas.openxmlformats.org/drawingml/2006/main">
                  <a:graphicData uri="http://schemas.microsoft.com/office/word/2010/wordprocessingShape">
                    <wps:wsp>
                      <wps:cNvSpPr/>
                      <wps:spPr>
                        <a:xfrm>
                          <a:off x="0" y="0"/>
                          <a:ext cx="5382848" cy="260350"/>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ED09A2" w14:textId="4FE5C97F" w:rsidR="003074B6" w:rsidRPr="003074B6" w:rsidRDefault="003074B6" w:rsidP="003074B6">
                            <w:pPr>
                              <w:jc w:val="center"/>
                              <w:rPr>
                                <w:rFonts w:asciiTheme="minorHAnsi" w:hAnsiTheme="minorHAnsi"/>
                                <w:b/>
                                <w:bCs/>
                                <w:color w:val="000000" w:themeColor="text1"/>
                                <w:lang w:val="fr-FR"/>
                              </w:rPr>
                            </w:pPr>
                            <w:r w:rsidRPr="00701D56">
                              <w:rPr>
                                <w:rFonts w:asciiTheme="minorHAnsi" w:hAnsiTheme="minorHAnsi"/>
                                <w:b/>
                                <w:bCs/>
                                <w:color w:val="000000" w:themeColor="text1"/>
                                <w:lang w:val="fr-FR"/>
                              </w:rPr>
                              <w:t>Alignement du portefeuille immobilier avec une trajectoire 1,5 °C</w:t>
                            </w:r>
                            <w:r>
                              <w:rPr>
                                <w:rFonts w:asciiTheme="minorHAnsi" w:hAnsiTheme="minorHAnsi"/>
                                <w:b/>
                                <w:bCs/>
                                <w:color w:val="000000" w:themeColor="text1"/>
                                <w:lang w:val="fr-FR"/>
                              </w:rPr>
                              <w:t xml:space="preserve"> à horizon 2030 </w:t>
                            </w:r>
                            <w:r w:rsidRPr="00701D56">
                              <w:rPr>
                                <w:rFonts w:asciiTheme="minorHAnsi" w:hAnsiTheme="minorHAnsi"/>
                                <w:b/>
                                <w:bCs/>
                                <w:color w:val="000000" w:themeColor="text1"/>
                                <w:lang w:val="fr-FR"/>
                              </w:rPr>
                              <w:t>: que signifie</w:t>
                            </w:r>
                            <w:r w:rsidRPr="00701D56">
                              <w:rPr>
                                <w:rFonts w:ascii="Cambria Math" w:hAnsi="Cambria Math" w:cs="Cambria Math"/>
                                <w:b/>
                                <w:bCs/>
                                <w:color w:val="000000" w:themeColor="text1"/>
                                <w:lang w:val="fr-FR"/>
                              </w:rPr>
                              <w:t>‑</w:t>
                            </w:r>
                            <w:r w:rsidRPr="00701D56">
                              <w:rPr>
                                <w:rFonts w:asciiTheme="minorHAnsi" w:hAnsiTheme="minorHAnsi"/>
                                <w:b/>
                                <w:bCs/>
                                <w:color w:val="000000" w:themeColor="text1"/>
                                <w:lang w:val="fr-FR"/>
                              </w:rPr>
                              <w:t>t</w:t>
                            </w:r>
                            <w:r w:rsidRPr="00701D56">
                              <w:rPr>
                                <w:rFonts w:ascii="Cambria Math" w:hAnsi="Cambria Math" w:cs="Cambria Math"/>
                                <w:b/>
                                <w:bCs/>
                                <w:color w:val="000000" w:themeColor="text1"/>
                                <w:lang w:val="fr-FR"/>
                              </w:rPr>
                              <w:t>‑</w:t>
                            </w:r>
                            <w:r w:rsidRPr="00701D56">
                              <w:rPr>
                                <w:rFonts w:asciiTheme="minorHAnsi" w:hAnsiTheme="minorHAnsi"/>
                                <w:b/>
                                <w:bCs/>
                                <w:color w:val="000000" w:themeColor="text1"/>
                                <w:lang w:val="fr-FR"/>
                              </w:rPr>
                              <w:t>il</w:t>
                            </w:r>
                            <w:r w:rsidRPr="00701D56">
                              <w:rPr>
                                <w:rFonts w:ascii="Source Sans Pro" w:hAnsi="Source Sans Pro" w:cs="Source Sans Pro"/>
                                <w:b/>
                                <w:bCs/>
                                <w:color w:val="000000" w:themeColor="text1"/>
                                <w:lang w:val="fr-FR"/>
                              </w:rPr>
                              <w:t> </w:t>
                            </w:r>
                            <w:r w:rsidRPr="00701D56">
                              <w:rPr>
                                <w:rFonts w:asciiTheme="minorHAnsi" w:hAnsiTheme="minorHAnsi"/>
                                <w:b/>
                                <w:bCs/>
                                <w:color w:val="000000" w:themeColor="text1"/>
                                <w:lang w:val="fr-FR"/>
                              </w:rPr>
                              <w:t>?</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roundrect w14:anchorId="10A235D2" id="Rectangle : coins arrondis 1166469620" o:spid="_x0000_s1137" style="position:absolute;left:0;text-align:left;margin-left:24.75pt;margin-top:6.45pt;width:423.85pt;height:20.5pt;z-index:2519654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" fillcolor="#ffc000" stroked="f" strokeweight="1pt">
                <v:stroke joinstyle="miter"/>
                <v:textbox style="mso-fit-shape-to-text:t" inset="2.5mm,1mm,2.5mm,1mm">
                  <w:txbxContent>
                    <w:p w14:paraId="70ED09A2" w14:textId="4FE5C97F" w:rsidR="003074B6" w:rsidRPr="003074B6" w:rsidRDefault="003074B6" w:rsidP="003074B6">
                      <w:pPr>
                        <w:jc w:val="center"/>
                        <w:rPr>
                          <w:rFonts w:asciiTheme="minorHAnsi" w:hAnsiTheme="minorHAnsi"/>
                          <w:b/>
                          <w:bCs/>
                          <w:color w:val="000000" w:themeColor="text1"/>
                          <w:lang w:val="fr-FR"/>
                        </w:rPr>
                      </w:pPr>
                      <w:r w:rsidRPr="00701D56">
                        <w:rPr>
                          <w:rFonts w:asciiTheme="minorHAnsi" w:hAnsiTheme="minorHAnsi"/>
                          <w:b/>
                          <w:bCs/>
                          <w:color w:val="000000" w:themeColor="text1"/>
                          <w:lang w:val="fr-FR"/>
                        </w:rPr>
                        <w:t>Alignement du portefeuille immobilier avec une trajectoire 1,5 °C</w:t>
                      </w:r>
                      <w:r>
                        <w:rPr>
                          <w:rFonts w:asciiTheme="minorHAnsi" w:hAnsiTheme="minorHAnsi"/>
                          <w:b/>
                          <w:bCs/>
                          <w:color w:val="000000" w:themeColor="text1"/>
                          <w:lang w:val="fr-FR"/>
                        </w:rPr>
                        <w:t xml:space="preserve"> à horizon 2030 </w:t>
                      </w:r>
                      <w:r w:rsidRPr="00701D56">
                        <w:rPr>
                          <w:rFonts w:asciiTheme="minorHAnsi" w:hAnsiTheme="minorHAnsi"/>
                          <w:b/>
                          <w:bCs/>
                          <w:color w:val="000000" w:themeColor="text1"/>
                          <w:lang w:val="fr-FR"/>
                        </w:rPr>
                        <w:t>: que signifie</w:t>
                      </w:r>
                      <w:r w:rsidRPr="00701D56">
                        <w:rPr>
                          <w:rFonts w:ascii="Cambria Math" w:hAnsi="Cambria Math" w:cs="Cambria Math"/>
                          <w:b/>
                          <w:bCs/>
                          <w:color w:val="000000" w:themeColor="text1"/>
                          <w:lang w:val="fr-FR"/>
                        </w:rPr>
                        <w:t>‑</w:t>
                      </w:r>
                      <w:r w:rsidRPr="00701D56">
                        <w:rPr>
                          <w:rFonts w:asciiTheme="minorHAnsi" w:hAnsiTheme="minorHAnsi"/>
                          <w:b/>
                          <w:bCs/>
                          <w:color w:val="000000" w:themeColor="text1"/>
                          <w:lang w:val="fr-FR"/>
                        </w:rPr>
                        <w:t>t</w:t>
                      </w:r>
                      <w:r w:rsidRPr="00701D56">
                        <w:rPr>
                          <w:rFonts w:ascii="Cambria Math" w:hAnsi="Cambria Math" w:cs="Cambria Math"/>
                          <w:b/>
                          <w:bCs/>
                          <w:color w:val="000000" w:themeColor="text1"/>
                          <w:lang w:val="fr-FR"/>
                        </w:rPr>
                        <w:t>‑</w:t>
                      </w:r>
                      <w:r w:rsidRPr="00701D56">
                        <w:rPr>
                          <w:rFonts w:asciiTheme="minorHAnsi" w:hAnsiTheme="minorHAnsi"/>
                          <w:b/>
                          <w:bCs/>
                          <w:color w:val="000000" w:themeColor="text1"/>
                          <w:lang w:val="fr-FR"/>
                        </w:rPr>
                        <w:t>il</w:t>
                      </w:r>
                      <w:r w:rsidRPr="00701D56">
                        <w:rPr>
                          <w:rFonts w:ascii="Source Sans Pro" w:hAnsi="Source Sans Pro" w:cs="Source Sans Pro"/>
                          <w:b/>
                          <w:bCs/>
                          <w:color w:val="000000" w:themeColor="text1"/>
                          <w:lang w:val="fr-FR"/>
                        </w:rPr>
                        <w:t> </w:t>
                      </w:r>
                      <w:r w:rsidRPr="00701D56">
                        <w:rPr>
                          <w:rFonts w:asciiTheme="minorHAnsi" w:hAnsiTheme="minorHAnsi"/>
                          <w:b/>
                          <w:bCs/>
                          <w:color w:val="000000" w:themeColor="text1"/>
                          <w:lang w:val="fr-FR"/>
                        </w:rPr>
                        <w:t>?</w:t>
                      </w:r>
                    </w:p>
                  </w:txbxContent>
                </v:textbox>
                <w10:wrap anchorx="margin"/>
              </v:roundrect>
            </w:pict>
          </mc:Fallback>
        </mc:AlternateContent>
      </w:r>
    </w:p>
    <w:p w14:paraId="75AD607A" w14:textId="5EB16BA6" w:rsidR="003074B6" w:rsidRDefault="003074B6" w:rsidP="009D6EE5">
      <w:pPr>
        <w:spacing w:line="22" w:lineRule="atLeast"/>
        <w:jc w:val="both"/>
        <w:rPr>
          <w:rFonts w:asciiTheme="minorHAnsi" w:hAnsiTheme="minorHAnsi" w:cs="Open Sans"/>
          <w:lang w:val="fr-FR"/>
        </w:rPr>
      </w:pPr>
      <w:r w:rsidRPr="00A74D23">
        <w:rPr>
          <w:rFonts w:asciiTheme="minorHAnsi" w:hAnsiTheme="minorHAnsi" w:cs="Open Sans"/>
          <w:noProof/>
        </w:rPr>
        <mc:AlternateContent>
          <mc:Choice Requires="wps">
            <w:drawing>
              <wp:anchor distT="0" distB="0" distL="114300" distR="114300" simplePos="0" relativeHeight="251971584" behindDoc="1" locked="0" layoutInCell="1" allowOverlap="1" wp14:anchorId="62FAB98C" wp14:editId="7E2ABA7B">
                <wp:simplePos x="0" y="0"/>
                <wp:positionH relativeFrom="margin">
                  <wp:posOffset>-827</wp:posOffset>
                </wp:positionH>
                <wp:positionV relativeFrom="paragraph">
                  <wp:posOffset>171162</wp:posOffset>
                </wp:positionV>
                <wp:extent cx="6035040" cy="2070340"/>
                <wp:effectExtent l="0" t="0" r="3810" b="6350"/>
                <wp:wrapNone/>
                <wp:docPr id="914510700" name="Rectangle : coins arrondis 914510700"/>
                <wp:cNvGraphicFramePr/>
                <a:graphic xmlns:a="http://schemas.openxmlformats.org/drawingml/2006/main">
                  <a:graphicData uri="http://schemas.microsoft.com/office/word/2010/wordprocessingShape">
                    <wps:wsp>
                      <wps:cNvSpPr/>
                      <wps:spPr>
                        <a:xfrm>
                          <a:off x="0" y="0"/>
                          <a:ext cx="6035040" cy="2070340"/>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1AD6DC" w14:textId="77777777" w:rsidR="003074B6" w:rsidRDefault="003074B6" w:rsidP="003074B6">
                            <w:pPr>
                              <w:pStyle w:val="Style1"/>
                              <w:numPr>
                                <w:ilvl w:val="0"/>
                                <w:numId w:val="0"/>
                              </w:numPr>
                              <w:tabs>
                                <w:tab w:val="left" w:pos="426"/>
                              </w:tabs>
                              <w:jc w:val="both"/>
                              <w:rPr>
                                <w:rFonts w:ascii="Source Sans Pro" w:hAnsi="Source Sans Pro"/>
                                <w:i w:val="0"/>
                                <w:iCs w:val="0"/>
                                <w:color w:val="000000" w:themeColor="text1"/>
                                <w:sz w:val="20"/>
                              </w:rPr>
                            </w:pPr>
                          </w:p>
                          <w:p w14:paraId="080B871C" w14:textId="6C9BEE88" w:rsidR="003074B6" w:rsidRPr="00480E67" w:rsidRDefault="003074B6" w:rsidP="003074B6">
                            <w:pPr>
                              <w:pStyle w:val="Style1"/>
                              <w:numPr>
                                <w:ilvl w:val="0"/>
                                <w:numId w:val="0"/>
                              </w:numPr>
                              <w:tabs>
                                <w:tab w:val="left" w:pos="426"/>
                              </w:tabs>
                              <w:jc w:val="both"/>
                              <w:rPr>
                                <w:rFonts w:ascii="Source Sans Pro" w:hAnsi="Source Sans Pro"/>
                                <w:i w:val="0"/>
                                <w:iCs w:val="0"/>
                                <w:color w:val="000000" w:themeColor="text1"/>
                                <w:sz w:val="20"/>
                              </w:rPr>
                            </w:pPr>
                            <w:r w:rsidRPr="008D1E8D">
                              <w:rPr>
                                <w:rFonts w:ascii="Source Sans Pro" w:hAnsi="Source Sans Pro"/>
                                <w:i w:val="0"/>
                                <w:iCs w:val="0"/>
                                <w:color w:val="000000" w:themeColor="text1"/>
                                <w:sz w:val="20"/>
                              </w:rPr>
                              <w:t xml:space="preserve">L'alignement du portefeuille immobilier avec une trajectoire compatible avec un réchauffement limité à 1,5 °C repose sur la </w:t>
                            </w:r>
                            <w:r w:rsidRPr="00071726">
                              <w:rPr>
                                <w:rFonts w:ascii="Source Sans Pro" w:hAnsi="Source Sans Pro"/>
                                <w:b/>
                                <w:bCs/>
                                <w:i w:val="0"/>
                                <w:iCs w:val="0"/>
                                <w:color w:val="000000" w:themeColor="text1"/>
                                <w:sz w:val="20"/>
                              </w:rPr>
                              <w:t>méthodologie développée par le CRREM</w:t>
                            </w:r>
                            <w:r w:rsidRPr="008D1E8D">
                              <w:rPr>
                                <w:rFonts w:ascii="Source Sans Pro" w:hAnsi="Source Sans Pro"/>
                                <w:i w:val="0"/>
                                <w:iCs w:val="0"/>
                                <w:color w:val="000000" w:themeColor="text1"/>
                                <w:sz w:val="20"/>
                              </w:rPr>
                              <w:t xml:space="preserve"> (Carbon Risk Real Estate Monitor). Cette approche consiste à comparer l'intensité carbone des actifs immobiliers, exprimée en kgCO₂e/m²/an, à une trajectoire de décarbonation sectorielle projetée jusqu'en 2050. La méthodologie CRREM définit des objectifs intermédiaires, notamment à horizon 2030, permettant de suivre l'évolution des performances environnementales des actifs par rapport à cette trajectoire cible. </w:t>
                            </w:r>
                            <w:r w:rsidRPr="008D1E8D">
                              <w:rPr>
                                <w:rFonts w:ascii="Source Sans Pro" w:hAnsi="Source Sans Pro"/>
                                <w:b/>
                                <w:bCs/>
                                <w:i w:val="0"/>
                                <w:iCs w:val="0"/>
                                <w:color w:val="000000" w:themeColor="text1"/>
                                <w:sz w:val="20"/>
                              </w:rPr>
                              <w:t>Un actif est considéré comme aligné lorsque son intensité carbone respecte ou se situe en dessous du seuil défini pour l'année considérée</w:t>
                            </w:r>
                            <w:r w:rsidRPr="008D1E8D">
                              <w:rPr>
                                <w:rFonts w:ascii="Source Sans Pro" w:hAnsi="Source Sans Pro"/>
                                <w:i w:val="0"/>
                                <w:iCs w:val="0"/>
                                <w:color w:val="000000" w:themeColor="text1"/>
                                <w:sz w:val="20"/>
                              </w:rPr>
                              <w:t>. Cette approche permet d'identifier les besoins d'investissement et les actions de rénovation énergétique nécessaires pour maintenir l'alignement sur le long terme.</w:t>
                            </w:r>
                          </w:p>
                          <w:p w14:paraId="5097853C" w14:textId="0A054A99" w:rsidR="003074B6" w:rsidRPr="005406B8" w:rsidRDefault="003074B6" w:rsidP="003074B6">
                            <w:pPr>
                              <w:pStyle w:val="Paragraphedeliste"/>
                              <w:spacing w:after="0" w:line="240" w:lineRule="auto"/>
                              <w:ind w:left="0" w:right="335"/>
                              <w:rPr>
                                <w:color w:val="000000" w:themeColor="text1"/>
                              </w:rPr>
                            </w:pPr>
                          </w:p>
                        </w:txbxContent>
                      </wps:txbx>
                      <wps:bodyPr rot="0" spcFirstLastPara="0" vertOverflow="overflow" horzOverflow="overflow" vert="horz" wrap="square" lIns="180000" tIns="72000" rIns="180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FAB98C" id="Rectangle : coins arrondis 914510700" o:spid="_x0000_s1138" style="position:absolute;left:0;text-align:left;margin-left:-.05pt;margin-top:13.5pt;width:475.2pt;height:163pt;z-index:-25134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" fillcolor="#d8d8d8 [2732]" stroked="f" strokeweight="1pt">
                <v:stroke joinstyle="miter"/>
                <v:textbox inset="5mm,2mm,5mm,1mm">
                  <w:txbxContent>
                    <w:p w14:paraId="351AD6DC" w14:textId="77777777" w:rsidR="003074B6" w:rsidRDefault="003074B6" w:rsidP="003074B6">
                      <w:pPr>
                        <w:pStyle w:val="Style1"/>
                        <w:numPr>
                          <w:ilvl w:val="0"/>
                          <w:numId w:val="0"/>
                        </w:numPr>
                        <w:tabs>
                          <w:tab w:val="left" w:pos="426"/>
                        </w:tabs>
                        <w:jc w:val="both"/>
                        <w:rPr>
                          <w:rFonts w:ascii="Source Sans Pro" w:hAnsi="Source Sans Pro"/>
                          <w:i w:val="0"/>
                          <w:iCs w:val="0"/>
                          <w:color w:val="000000" w:themeColor="text1"/>
                          <w:sz w:val="20"/>
                        </w:rPr>
                      </w:pPr>
                    </w:p>
                    <w:p w14:paraId="080B871C" w14:textId="6C9BEE88" w:rsidR="003074B6" w:rsidRPr="00480E67" w:rsidRDefault="003074B6" w:rsidP="003074B6">
                      <w:pPr>
                        <w:pStyle w:val="Style1"/>
                        <w:numPr>
                          <w:ilvl w:val="0"/>
                          <w:numId w:val="0"/>
                        </w:numPr>
                        <w:tabs>
                          <w:tab w:val="left" w:pos="426"/>
                        </w:tabs>
                        <w:jc w:val="both"/>
                        <w:rPr>
                          <w:rFonts w:ascii="Source Sans Pro" w:hAnsi="Source Sans Pro"/>
                          <w:i w:val="0"/>
                          <w:iCs w:val="0"/>
                          <w:color w:val="000000" w:themeColor="text1"/>
                          <w:sz w:val="20"/>
                        </w:rPr>
                      </w:pPr>
                      <w:r w:rsidRPr="008D1E8D">
                        <w:rPr>
                          <w:rFonts w:ascii="Source Sans Pro" w:hAnsi="Source Sans Pro"/>
                          <w:i w:val="0"/>
                          <w:iCs w:val="0"/>
                          <w:color w:val="000000" w:themeColor="text1"/>
                          <w:sz w:val="20"/>
                        </w:rPr>
                        <w:t xml:space="preserve">L'alignement du portefeuille immobilier avec une trajectoire compatible avec un réchauffement limité à 1,5 °C repose sur la </w:t>
                      </w:r>
                      <w:r w:rsidRPr="00071726">
                        <w:rPr>
                          <w:rFonts w:ascii="Source Sans Pro" w:hAnsi="Source Sans Pro"/>
                          <w:b/>
                          <w:bCs/>
                          <w:i w:val="0"/>
                          <w:iCs w:val="0"/>
                          <w:color w:val="000000" w:themeColor="text1"/>
                          <w:sz w:val="20"/>
                        </w:rPr>
                        <w:t>méthodologie développée par le CRREM</w:t>
                      </w:r>
                      <w:r w:rsidRPr="008D1E8D">
                        <w:rPr>
                          <w:rFonts w:ascii="Source Sans Pro" w:hAnsi="Source Sans Pro"/>
                          <w:i w:val="0"/>
                          <w:iCs w:val="0"/>
                          <w:color w:val="000000" w:themeColor="text1"/>
                          <w:sz w:val="20"/>
                        </w:rPr>
                        <w:t xml:space="preserve"> (Carbon Risk Real Estate Monitor). Cette approche consiste à comparer l'intensité carbone des actifs immobiliers, exprimée en kgCO₂e/m²/an, à une trajectoire de décarbonation sectorielle projetée jusqu'en 2050. La méthodologie CRREM définit des objectifs intermédiaires, notamment à horizon 2030, permettant de suivre l'évolution des performances environnementales des actifs par rapport à cette trajectoire cible. </w:t>
                      </w:r>
                      <w:r w:rsidRPr="008D1E8D">
                        <w:rPr>
                          <w:rFonts w:ascii="Source Sans Pro" w:hAnsi="Source Sans Pro"/>
                          <w:b/>
                          <w:bCs/>
                          <w:i w:val="0"/>
                          <w:iCs w:val="0"/>
                          <w:color w:val="000000" w:themeColor="text1"/>
                          <w:sz w:val="20"/>
                        </w:rPr>
                        <w:t>Un actif est considéré comme aligné lorsque son intensité carbone respecte ou se situe en dessous du seuil défini pour l'année considérée</w:t>
                      </w:r>
                      <w:r w:rsidRPr="008D1E8D">
                        <w:rPr>
                          <w:rFonts w:ascii="Source Sans Pro" w:hAnsi="Source Sans Pro"/>
                          <w:i w:val="0"/>
                          <w:iCs w:val="0"/>
                          <w:color w:val="000000" w:themeColor="text1"/>
                          <w:sz w:val="20"/>
                        </w:rPr>
                        <w:t>. Cette approche permet d'identifier les besoins d'investissement et les actions de rénovation énergétique nécessaires pour maintenir l'alignement sur le long terme.</w:t>
                      </w:r>
                    </w:p>
                    <w:p w14:paraId="5097853C" w14:textId="0A054A99" w:rsidR="003074B6" w:rsidRPr="005406B8" w:rsidRDefault="003074B6" w:rsidP="003074B6">
                      <w:pPr>
                        <w:pStyle w:val="Paragraphedeliste"/>
                        <w:spacing w:after="0" w:line="240" w:lineRule="auto"/>
                        <w:ind w:left="0" w:right="335"/>
                        <w:rPr>
                          <w:color w:val="000000" w:themeColor="text1"/>
                        </w:rPr>
                      </w:pPr>
                    </w:p>
                  </w:txbxContent>
                </v:textbox>
                <w10:wrap anchorx="margin"/>
              </v:roundrect>
            </w:pict>
          </mc:Fallback>
        </mc:AlternateContent>
      </w:r>
    </w:p>
    <w:p w14:paraId="1B09BE3A" w14:textId="77777777" w:rsidR="003074B6" w:rsidRDefault="003074B6" w:rsidP="009D6EE5">
      <w:pPr>
        <w:spacing w:line="22" w:lineRule="atLeast"/>
        <w:jc w:val="both"/>
        <w:rPr>
          <w:rFonts w:asciiTheme="minorHAnsi" w:hAnsiTheme="minorHAnsi" w:cs="Open Sans"/>
          <w:lang w:val="fr-FR"/>
        </w:rPr>
      </w:pPr>
    </w:p>
    <w:p w14:paraId="4C9CEF2D" w14:textId="77777777" w:rsidR="003074B6" w:rsidRDefault="003074B6" w:rsidP="009D6EE5">
      <w:pPr>
        <w:spacing w:line="22" w:lineRule="atLeast"/>
        <w:jc w:val="both"/>
        <w:rPr>
          <w:rFonts w:asciiTheme="minorHAnsi" w:hAnsiTheme="minorHAnsi" w:cs="Open Sans"/>
          <w:lang w:val="fr-FR"/>
        </w:rPr>
      </w:pPr>
    </w:p>
    <w:p w14:paraId="31721F52" w14:textId="77777777" w:rsidR="003074B6" w:rsidRDefault="003074B6" w:rsidP="009D6EE5">
      <w:pPr>
        <w:spacing w:line="22" w:lineRule="atLeast"/>
        <w:jc w:val="both"/>
        <w:rPr>
          <w:rFonts w:asciiTheme="minorHAnsi" w:hAnsiTheme="minorHAnsi" w:cs="Open Sans"/>
          <w:lang w:val="fr-FR"/>
        </w:rPr>
      </w:pPr>
    </w:p>
    <w:p w14:paraId="637D1A14" w14:textId="77777777" w:rsidR="003074B6" w:rsidRDefault="003074B6" w:rsidP="009D6EE5">
      <w:pPr>
        <w:spacing w:line="22" w:lineRule="atLeast"/>
        <w:jc w:val="both"/>
        <w:rPr>
          <w:rFonts w:asciiTheme="minorHAnsi" w:hAnsiTheme="minorHAnsi" w:cs="Open Sans"/>
          <w:lang w:val="fr-FR"/>
        </w:rPr>
      </w:pPr>
    </w:p>
    <w:p w14:paraId="2EDAD547" w14:textId="77777777" w:rsidR="003074B6" w:rsidRDefault="003074B6" w:rsidP="009D6EE5">
      <w:pPr>
        <w:spacing w:line="22" w:lineRule="atLeast"/>
        <w:jc w:val="both"/>
        <w:rPr>
          <w:rFonts w:asciiTheme="minorHAnsi" w:hAnsiTheme="minorHAnsi" w:cs="Open Sans"/>
          <w:lang w:val="fr-FR"/>
        </w:rPr>
      </w:pPr>
    </w:p>
    <w:p w14:paraId="33C67918" w14:textId="77777777" w:rsidR="003074B6" w:rsidRDefault="003074B6" w:rsidP="009D6EE5">
      <w:pPr>
        <w:spacing w:line="22" w:lineRule="atLeast"/>
        <w:jc w:val="both"/>
        <w:rPr>
          <w:rFonts w:asciiTheme="minorHAnsi" w:hAnsiTheme="minorHAnsi" w:cs="Open Sans"/>
          <w:lang w:val="fr-FR"/>
        </w:rPr>
      </w:pPr>
    </w:p>
    <w:p w14:paraId="532F4D48" w14:textId="77777777" w:rsidR="003074B6" w:rsidRDefault="003074B6" w:rsidP="009D6EE5">
      <w:pPr>
        <w:spacing w:line="22" w:lineRule="atLeast"/>
        <w:jc w:val="both"/>
        <w:rPr>
          <w:rFonts w:asciiTheme="minorHAnsi" w:hAnsiTheme="minorHAnsi" w:cs="Open Sans"/>
          <w:lang w:val="fr-FR"/>
        </w:rPr>
      </w:pPr>
    </w:p>
    <w:p w14:paraId="22B0030E" w14:textId="77777777" w:rsidR="003074B6" w:rsidRDefault="003074B6" w:rsidP="009D6EE5">
      <w:pPr>
        <w:spacing w:line="22" w:lineRule="atLeast"/>
        <w:jc w:val="both"/>
        <w:rPr>
          <w:rFonts w:asciiTheme="minorHAnsi" w:hAnsiTheme="minorHAnsi" w:cs="Open Sans"/>
          <w:lang w:val="fr-FR"/>
        </w:rPr>
      </w:pPr>
    </w:p>
    <w:p w14:paraId="0E8CCD78" w14:textId="77777777" w:rsidR="003074B6" w:rsidRDefault="003074B6" w:rsidP="009D6EE5">
      <w:pPr>
        <w:spacing w:line="22" w:lineRule="atLeast"/>
        <w:jc w:val="both"/>
        <w:rPr>
          <w:rFonts w:asciiTheme="minorHAnsi" w:hAnsiTheme="minorHAnsi" w:cs="Open Sans"/>
          <w:lang w:val="fr-FR"/>
        </w:rPr>
      </w:pPr>
    </w:p>
    <w:p w14:paraId="56A4C5BE" w14:textId="77777777" w:rsidR="003074B6" w:rsidRDefault="003074B6" w:rsidP="009D6EE5">
      <w:pPr>
        <w:spacing w:line="22" w:lineRule="atLeast"/>
        <w:jc w:val="both"/>
        <w:rPr>
          <w:rFonts w:asciiTheme="minorHAnsi" w:hAnsiTheme="minorHAnsi" w:cs="Open Sans"/>
          <w:lang w:val="fr-FR"/>
        </w:rPr>
      </w:pPr>
    </w:p>
    <w:p w14:paraId="55454457" w14:textId="77777777" w:rsidR="008958C0" w:rsidRPr="00A74D23" w:rsidRDefault="008958C0" w:rsidP="009D6EE5">
      <w:pPr>
        <w:spacing w:line="22" w:lineRule="atLeast"/>
        <w:jc w:val="both"/>
        <w:rPr>
          <w:rFonts w:asciiTheme="minorHAnsi" w:hAnsiTheme="minorHAnsi" w:cs="Open Sans"/>
          <w:lang w:val="fr-FR"/>
        </w:rPr>
      </w:pPr>
    </w:p>
    <w:p w14:paraId="04A5F949" w14:textId="77777777" w:rsidR="00F519EC" w:rsidRDefault="00DB3F23"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 xml:space="preserve">Abeille Assurances, via son gestionnaire Ofi Invest RE, a défini un objectif de décarbonation aligné sur une trajectoire 1,5 °C sur un périmètre </w:t>
      </w:r>
      <w:r w:rsidR="009C35B5" w:rsidRPr="00A74D23">
        <w:rPr>
          <w:rFonts w:asciiTheme="minorHAnsi" w:hAnsiTheme="minorHAnsi" w:cs="Open Sans"/>
          <w:sz w:val="20"/>
          <w:szCs w:val="20"/>
          <w:lang w:val="fr-FR"/>
        </w:rPr>
        <w:t xml:space="preserve">d’actifs </w:t>
      </w:r>
      <w:r w:rsidRPr="00A74D23">
        <w:rPr>
          <w:rFonts w:asciiTheme="minorHAnsi" w:hAnsiTheme="minorHAnsi" w:cs="Open Sans"/>
          <w:sz w:val="20"/>
          <w:szCs w:val="20"/>
          <w:lang w:val="fr-FR"/>
        </w:rPr>
        <w:t xml:space="preserve">donné. </w:t>
      </w:r>
    </w:p>
    <w:p w14:paraId="6C938FA0" w14:textId="77777777" w:rsidR="00F519EC" w:rsidRDefault="00F519EC" w:rsidP="009D6EE5">
      <w:pPr>
        <w:spacing w:line="22" w:lineRule="atLeast"/>
        <w:jc w:val="both"/>
        <w:rPr>
          <w:rFonts w:asciiTheme="minorHAnsi" w:hAnsiTheme="minorHAnsi" w:cs="Open Sans"/>
          <w:sz w:val="20"/>
          <w:szCs w:val="20"/>
          <w:lang w:val="fr-FR"/>
        </w:rPr>
      </w:pPr>
    </w:p>
    <w:p w14:paraId="51163AAF" w14:textId="77777777" w:rsidR="00F519EC" w:rsidRDefault="00F519EC" w:rsidP="009D6EE5">
      <w:pPr>
        <w:spacing w:line="22" w:lineRule="atLeast"/>
        <w:jc w:val="both"/>
        <w:rPr>
          <w:rFonts w:asciiTheme="minorHAnsi" w:hAnsiTheme="minorHAnsi" w:cs="Open Sans"/>
          <w:sz w:val="20"/>
          <w:szCs w:val="20"/>
          <w:lang w:val="fr-FR"/>
        </w:rPr>
      </w:pPr>
    </w:p>
    <w:p w14:paraId="1DA2ADFA" w14:textId="3A3D9168" w:rsidR="00F519EC" w:rsidRDefault="005D1463" w:rsidP="009D6EE5">
      <w:pPr>
        <w:spacing w:line="22" w:lineRule="atLeast"/>
        <w:jc w:val="both"/>
        <w:rPr>
          <w:rFonts w:asciiTheme="minorHAnsi" w:hAnsiTheme="minorHAnsi" w:cs="Open Sans"/>
          <w:sz w:val="20"/>
          <w:szCs w:val="20"/>
          <w:lang w:val="fr-FR"/>
        </w:rPr>
      </w:pPr>
      <w:r>
        <w:rPr>
          <w:rFonts w:asciiTheme="minorHAnsi" w:hAnsiTheme="minorHAnsi" w:cs="Open Sans"/>
          <w:b/>
          <w:bCs/>
          <w:lang w:val="fr-FR"/>
        </w:rPr>
        <w:t>Analyse CREEM de la t</w:t>
      </w:r>
      <w:r w:rsidRPr="005D1463">
        <w:rPr>
          <w:rFonts w:asciiTheme="minorHAnsi" w:hAnsiTheme="minorHAnsi" w:cs="Open Sans"/>
          <w:b/>
          <w:bCs/>
          <w:lang w:val="fr-FR"/>
        </w:rPr>
        <w:t xml:space="preserve">rajectoire de réduction de l’intensité carbone du portefeuille immobilier Abeille </w:t>
      </w:r>
      <w:r w:rsidR="0011788B">
        <w:rPr>
          <w:rFonts w:asciiTheme="minorHAnsi" w:hAnsiTheme="minorHAnsi" w:cs="Open Sans"/>
          <w:b/>
          <w:bCs/>
          <w:lang w:val="fr-FR"/>
        </w:rPr>
        <w:t>Retraite Professionnelle</w:t>
      </w:r>
      <w:r w:rsidRPr="005D1463">
        <w:rPr>
          <w:rFonts w:asciiTheme="minorHAnsi" w:hAnsiTheme="minorHAnsi" w:cs="Open Sans"/>
          <w:b/>
          <w:bCs/>
          <w:lang w:val="fr-FR"/>
        </w:rPr>
        <w:t xml:space="preserve"> sous mandat de gestion OFI Invest RE par rapport à un scénario 1,5 °C du secteur immobilier</w:t>
      </w:r>
    </w:p>
    <w:p w14:paraId="61AF78E1" w14:textId="1F05DFD6" w:rsidR="00F519EC" w:rsidRDefault="0011788B" w:rsidP="009D6EE5">
      <w:pPr>
        <w:spacing w:line="22" w:lineRule="atLeast"/>
        <w:jc w:val="both"/>
        <w:rPr>
          <w:rFonts w:asciiTheme="minorHAnsi" w:hAnsiTheme="minorHAnsi" w:cs="Open Sans"/>
          <w:sz w:val="20"/>
          <w:szCs w:val="20"/>
          <w:lang w:val="fr-FR"/>
        </w:rPr>
      </w:pPr>
      <w:r>
        <w:rPr>
          <w:noProof/>
        </w:rPr>
        <w:drawing>
          <wp:inline distT="0" distB="0" distL="0" distR="0" wp14:anchorId="3F68D482" wp14:editId="48E1F98B">
            <wp:extent cx="6300470" cy="1734185"/>
            <wp:effectExtent l="0" t="0" r="5080" b="0"/>
            <wp:docPr id="6" name="Image 5">
              <a:extLst xmlns:a="http://schemas.openxmlformats.org/drawingml/2006/main">
                <a:ext uri="{FF2B5EF4-FFF2-40B4-BE49-F238E27FC236}">
                  <a16:creationId xmlns:a16="http://schemas.microsoft.com/office/drawing/2014/main" id="{4CF104AD-BBF8-5C1F-7075-F20B803120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a:extLst>
                        <a:ext uri="{FF2B5EF4-FFF2-40B4-BE49-F238E27FC236}">
                          <a16:creationId xmlns:a16="http://schemas.microsoft.com/office/drawing/2014/main" id="{4CF104AD-BBF8-5C1F-7075-F20B803120BF}"/>
                        </a:ext>
                      </a:extLst>
                    </pic:cNvPr>
                    <pic:cNvPicPr>
                      <a:picLocks noChangeAspect="1"/>
                    </pic:cNvPicPr>
                  </pic:nvPicPr>
                  <pic:blipFill>
                    <a:blip r:embed="rId79"/>
                    <a:stretch>
                      <a:fillRect/>
                    </a:stretch>
                  </pic:blipFill>
                  <pic:spPr>
                    <a:xfrm>
                      <a:off x="0" y="0"/>
                      <a:ext cx="6300470" cy="1734185"/>
                    </a:xfrm>
                    <a:prstGeom prst="rect">
                      <a:avLst/>
                    </a:prstGeom>
                  </pic:spPr>
                </pic:pic>
              </a:graphicData>
            </a:graphic>
          </wp:inline>
        </w:drawing>
      </w:r>
    </w:p>
    <w:p w14:paraId="572CAAD0" w14:textId="5DC3F362" w:rsidR="00BB14D8" w:rsidRPr="000118F0" w:rsidRDefault="00BB14D8" w:rsidP="00BB14D8">
      <w:pPr>
        <w:pStyle w:val="Paragraphedeliste"/>
        <w:spacing w:after="0" w:line="240" w:lineRule="auto"/>
        <w:ind w:left="0"/>
        <w:jc w:val="both"/>
        <w:rPr>
          <w:rFonts w:ascii="Source Sans Pro" w:hAnsi="Source Sans Pro"/>
          <w:i/>
          <w:iCs/>
          <w:sz w:val="18"/>
          <w:szCs w:val="20"/>
        </w:rPr>
      </w:pPr>
      <w:r w:rsidRPr="000118F0">
        <w:rPr>
          <w:rFonts w:ascii="Source Sans Pro" w:hAnsi="Source Sans Pro"/>
          <w:i/>
          <w:iCs/>
          <w:sz w:val="18"/>
          <w:szCs w:val="20"/>
        </w:rPr>
        <w:t xml:space="preserve">Périmètre : </w:t>
      </w:r>
      <w:r w:rsidR="003237F4" w:rsidRPr="000118F0">
        <w:rPr>
          <w:rFonts w:ascii="Source Sans Pro" w:hAnsi="Source Sans Pro"/>
          <w:i/>
          <w:iCs/>
          <w:sz w:val="18"/>
          <w:szCs w:val="20"/>
        </w:rPr>
        <w:t>Portefeuille de m</w:t>
      </w:r>
      <w:r w:rsidRPr="000118F0">
        <w:rPr>
          <w:rFonts w:ascii="Source Sans Pro" w:hAnsi="Source Sans Pro"/>
          <w:i/>
          <w:iCs/>
          <w:sz w:val="18"/>
          <w:szCs w:val="20"/>
        </w:rPr>
        <w:t xml:space="preserve">andat de gestion </w:t>
      </w:r>
      <w:r w:rsidR="003237F4" w:rsidRPr="000118F0">
        <w:rPr>
          <w:rFonts w:ascii="Source Sans Pro" w:hAnsi="Source Sans Pro"/>
          <w:i/>
          <w:iCs/>
          <w:sz w:val="18"/>
          <w:szCs w:val="20"/>
        </w:rPr>
        <w:t>immobilier</w:t>
      </w:r>
      <w:r w:rsidR="0011788B">
        <w:rPr>
          <w:rFonts w:ascii="Source Sans Pro" w:hAnsi="Source Sans Pro"/>
          <w:i/>
          <w:iCs/>
          <w:sz w:val="18"/>
          <w:szCs w:val="20"/>
        </w:rPr>
        <w:t xml:space="preserve"> Abeille Retraite Professionnelle -</w:t>
      </w:r>
      <w:r w:rsidR="003237F4" w:rsidRPr="000118F0">
        <w:rPr>
          <w:rFonts w:ascii="Source Sans Pro" w:hAnsi="Source Sans Pro"/>
          <w:i/>
          <w:iCs/>
          <w:sz w:val="18"/>
          <w:szCs w:val="20"/>
        </w:rPr>
        <w:t xml:space="preserve"> périmètre retenu pour la NZAOA</w:t>
      </w:r>
    </w:p>
    <w:p w14:paraId="67A1D6FC" w14:textId="77777777" w:rsidR="00BB14D8" w:rsidRPr="000118F0" w:rsidRDefault="00BB14D8" w:rsidP="00BB14D8">
      <w:pPr>
        <w:pStyle w:val="Paragraphedeliste"/>
        <w:spacing w:after="0" w:line="240" w:lineRule="auto"/>
        <w:ind w:left="0"/>
        <w:jc w:val="both"/>
        <w:rPr>
          <w:rFonts w:ascii="Source Sans Pro" w:hAnsi="Source Sans Pro"/>
          <w:i/>
          <w:iCs/>
          <w:sz w:val="18"/>
          <w:szCs w:val="20"/>
        </w:rPr>
      </w:pPr>
      <w:r w:rsidRPr="000118F0">
        <w:rPr>
          <w:rFonts w:ascii="Source Sans Pro" w:hAnsi="Source Sans Pro"/>
          <w:i/>
          <w:iCs/>
          <w:sz w:val="18"/>
          <w:szCs w:val="20"/>
        </w:rPr>
        <w:t>Le périmètre comprend les actifs immobiliers, hors bâtiments résidentiels, hors parking, hors forêts, et hors étrangers à la France, conformément au périmètre actuel de reporting de la Net Zero Alliance Owner. Les immeubles en cours de développement ne sont également pas inclus dans le périmètre d’analyses. Les actifs sous gestion hors OFI Invest Real Estate sont également exclus.</w:t>
      </w:r>
    </w:p>
    <w:p w14:paraId="46C17131" w14:textId="77777777" w:rsidR="00BB14D8" w:rsidRPr="000118F0" w:rsidRDefault="00BB14D8" w:rsidP="00BB14D8">
      <w:pPr>
        <w:pStyle w:val="Paragraphedeliste"/>
        <w:spacing w:after="0" w:line="240" w:lineRule="auto"/>
        <w:ind w:left="0"/>
        <w:jc w:val="both"/>
        <w:rPr>
          <w:i/>
          <w:iCs/>
          <w:noProof/>
          <w:sz w:val="20"/>
          <w:szCs w:val="20"/>
        </w:rPr>
      </w:pPr>
      <w:r w:rsidRPr="000118F0">
        <w:rPr>
          <w:rFonts w:ascii="Source Sans Pro" w:hAnsi="Source Sans Pro"/>
          <w:i/>
          <w:iCs/>
          <w:sz w:val="18"/>
          <w:szCs w:val="20"/>
        </w:rPr>
        <w:t>Les actifs immobiliers pris en compte ici sont ceux présents dans le patrimoine au 31/12/2025</w:t>
      </w:r>
    </w:p>
    <w:p w14:paraId="3CE37FFE" w14:textId="380BD741" w:rsidR="00E329AA" w:rsidRPr="000118F0" w:rsidRDefault="00BB14D8" w:rsidP="00BB14D8">
      <w:pPr>
        <w:pStyle w:val="Paragraphedeliste"/>
        <w:spacing w:after="0" w:line="240" w:lineRule="auto"/>
        <w:ind w:left="0"/>
        <w:jc w:val="both"/>
        <w:rPr>
          <w:rFonts w:ascii="Source Sans Pro" w:hAnsi="Source Sans Pro"/>
          <w:i/>
          <w:iCs/>
          <w:sz w:val="18"/>
          <w:szCs w:val="20"/>
        </w:rPr>
      </w:pPr>
      <w:r w:rsidRPr="000118F0">
        <w:rPr>
          <w:rFonts w:ascii="Source Sans Pro" w:hAnsi="Source Sans Pro"/>
          <w:i/>
          <w:iCs/>
          <w:sz w:val="18"/>
          <w:szCs w:val="20"/>
        </w:rPr>
        <w:t xml:space="preserve">Source : </w:t>
      </w:r>
      <w:r w:rsidR="00CA32BB" w:rsidRPr="000118F0">
        <w:rPr>
          <w:rFonts w:ascii="Source Sans Pro" w:hAnsi="Source Sans Pro"/>
          <w:i/>
          <w:iCs/>
          <w:sz w:val="18"/>
          <w:szCs w:val="20"/>
        </w:rPr>
        <w:t>CREEM</w:t>
      </w:r>
    </w:p>
    <w:p w14:paraId="2FF8AA80" w14:textId="7CE0F8AF" w:rsidR="00F519EC" w:rsidRDefault="00F519EC" w:rsidP="009D6EE5">
      <w:pPr>
        <w:spacing w:line="22" w:lineRule="atLeast"/>
        <w:jc w:val="both"/>
        <w:rPr>
          <w:rFonts w:asciiTheme="minorHAnsi" w:hAnsiTheme="minorHAnsi" w:cs="Open Sans"/>
          <w:sz w:val="20"/>
          <w:szCs w:val="20"/>
          <w:lang w:val="fr-FR"/>
        </w:rPr>
      </w:pPr>
    </w:p>
    <w:p w14:paraId="14F97A71" w14:textId="289CFAB0" w:rsidR="0062402B" w:rsidRDefault="0062402B" w:rsidP="009D6EE5">
      <w:pPr>
        <w:spacing w:line="22" w:lineRule="atLeast"/>
        <w:jc w:val="both"/>
        <w:rPr>
          <w:rFonts w:asciiTheme="minorHAnsi" w:hAnsiTheme="minorHAnsi" w:cs="Open Sans"/>
          <w:sz w:val="20"/>
          <w:szCs w:val="20"/>
          <w:lang w:val="fr-FR"/>
        </w:rPr>
      </w:pPr>
      <w:r>
        <w:rPr>
          <w:rFonts w:asciiTheme="minorHAnsi" w:hAnsiTheme="minorHAnsi" w:cs="Open Sans"/>
          <w:noProof/>
          <w:sz w:val="20"/>
          <w:szCs w:val="20"/>
          <w:lang w:val="fr-FR"/>
        </w:rPr>
        <mc:AlternateContent>
          <mc:Choice Requires="wps">
            <w:drawing>
              <wp:anchor distT="0" distB="0" distL="114300" distR="114300" simplePos="0" relativeHeight="251982848" behindDoc="0" locked="0" layoutInCell="1" allowOverlap="1" wp14:anchorId="294A0915" wp14:editId="3DCADFF5">
                <wp:simplePos x="0" y="0"/>
                <wp:positionH relativeFrom="column">
                  <wp:posOffset>169545</wp:posOffset>
                </wp:positionH>
                <wp:positionV relativeFrom="paragraph">
                  <wp:posOffset>48260</wp:posOffset>
                </wp:positionV>
                <wp:extent cx="5858984" cy="1257300"/>
                <wp:effectExtent l="0" t="0" r="8890" b="0"/>
                <wp:wrapNone/>
                <wp:docPr id="325335731" name="Rectangle 410"/>
                <wp:cNvGraphicFramePr/>
                <a:graphic xmlns:a="http://schemas.openxmlformats.org/drawingml/2006/main">
                  <a:graphicData uri="http://schemas.microsoft.com/office/word/2010/wordprocessingShape">
                    <wps:wsp>
                      <wps:cNvSpPr/>
                      <wps:spPr>
                        <a:xfrm>
                          <a:off x="0" y="0"/>
                          <a:ext cx="5858984" cy="12573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64D79B" w14:textId="48198C31" w:rsidR="0062402B" w:rsidRPr="0062402B" w:rsidRDefault="0062402B" w:rsidP="0062402B">
                            <w:pPr>
                              <w:rPr>
                                <w:color w:val="000000" w:themeColor="text1"/>
                                <w:lang w:val="fr-FR"/>
                              </w:rPr>
                            </w:pPr>
                            <w:r w:rsidRPr="0062402B">
                              <w:rPr>
                                <w:rFonts w:asciiTheme="minorHAnsi" w:hAnsiTheme="minorHAnsi" w:cs="Open Sans"/>
                                <w:b/>
                                <w:bCs/>
                                <w:color w:val="000000" w:themeColor="text1"/>
                                <w:sz w:val="20"/>
                                <w:szCs w:val="20"/>
                                <w:lang w:val="fr-FR"/>
                              </w:rPr>
                              <w:t xml:space="preserve">D’après </w:t>
                            </w:r>
                            <w:r w:rsidR="00746DF3">
                              <w:rPr>
                                <w:rFonts w:asciiTheme="minorHAnsi" w:hAnsiTheme="minorHAnsi" w:cs="Open Sans"/>
                                <w:b/>
                                <w:bCs/>
                                <w:color w:val="000000" w:themeColor="text1"/>
                                <w:sz w:val="20"/>
                                <w:szCs w:val="20"/>
                                <w:lang w:val="fr-FR"/>
                              </w:rPr>
                              <w:t>l’analyse CREEM</w:t>
                            </w:r>
                            <w:r w:rsidRPr="0062402B">
                              <w:rPr>
                                <w:rFonts w:asciiTheme="minorHAnsi" w:hAnsiTheme="minorHAnsi" w:cs="Open Sans"/>
                                <w:b/>
                                <w:bCs/>
                                <w:color w:val="000000" w:themeColor="text1"/>
                                <w:sz w:val="20"/>
                                <w:szCs w:val="20"/>
                                <w:lang w:val="fr-FR"/>
                              </w:rPr>
                              <w:t xml:space="preserve">, le portefeuille immobilier Abeille </w:t>
                            </w:r>
                            <w:r w:rsidR="0011788B">
                              <w:rPr>
                                <w:rFonts w:asciiTheme="minorHAnsi" w:hAnsiTheme="minorHAnsi" w:cs="Open Sans"/>
                                <w:b/>
                                <w:bCs/>
                                <w:color w:val="000000" w:themeColor="text1"/>
                                <w:sz w:val="20"/>
                                <w:szCs w:val="20"/>
                                <w:lang w:val="fr-FR"/>
                              </w:rPr>
                              <w:t>Retraite Professionnelle</w:t>
                            </w:r>
                            <w:r w:rsidRPr="0062402B">
                              <w:rPr>
                                <w:rFonts w:asciiTheme="minorHAnsi" w:hAnsiTheme="minorHAnsi" w:cs="Open Sans"/>
                                <w:b/>
                                <w:bCs/>
                                <w:color w:val="000000" w:themeColor="text1"/>
                                <w:sz w:val="20"/>
                                <w:szCs w:val="20"/>
                                <w:lang w:val="fr-FR"/>
                              </w:rPr>
                              <w:t xml:space="preserve"> est bien aligné 1.5°C à horizon 2030, avec une date d « échouage » prévue à 2038.</w:t>
                            </w:r>
                            <w:r w:rsidRPr="0062402B">
                              <w:rPr>
                                <w:rFonts w:asciiTheme="minorHAnsi" w:hAnsiTheme="minorHAnsi" w:cs="Open Sans"/>
                                <w:color w:val="000000" w:themeColor="text1"/>
                                <w:sz w:val="20"/>
                                <w:szCs w:val="20"/>
                                <w:lang w:val="fr-FR"/>
                              </w:rPr>
                              <w:t xml:space="preserve"> En effet, jusqu’en 2038, la courbe est en dessous de la courbe CREEM 1.5°C de référence.</w:t>
                            </w:r>
                            <w:r w:rsidRPr="0062402B">
                              <w:rPr>
                                <w:rFonts w:ascii="Source Sans Pro" w:hAnsi="Source Sans Pro"/>
                                <w:color w:val="000000" w:themeColor="text1"/>
                                <w:sz w:val="20"/>
                                <w:lang w:val="fr-FR"/>
                              </w:rPr>
                              <w:t xml:space="preserve"> L’objectif à horizon 2030 pris par le groupe par son engagement </w:t>
                            </w:r>
                            <w:r w:rsidRPr="00E37CF6">
                              <w:rPr>
                                <w:rFonts w:ascii="Source Sans Pro" w:hAnsi="Source Sans Pro"/>
                                <w:color w:val="000000" w:themeColor="text1"/>
                                <w:sz w:val="20"/>
                                <w:lang w:val="fr-FR"/>
                              </w:rPr>
                              <w:t>dans la Net Zero Alliance Owner, est donc respecté à date sur le patrimoine au global et réalisable via des investissements de CAPEX complémentaires au cas par cas pour l’atteinte de l’objectif individuel sur certains actifs.  Un travail a été réalisé et doit être poursuivi afin d’intégrer directement l’impact des CAPEX dans la courbe de projection de l’intensité carbone du patrimoine.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4A0915" id="Rectangle 410" o:spid="_x0000_s1139" style="position:absolute;left:0;text-align:left;margin-left:13.35pt;margin-top:3.8pt;width:461.35pt;height:99pt;z-index:25198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" fillcolor="#ffd400 [3204]" stroked="f" strokeweight="1pt">
                <v:textbox>
                  <w:txbxContent>
                    <w:p w14:paraId="2364D79B" w14:textId="48198C31" w:rsidR="0062402B" w:rsidRPr="0062402B" w:rsidRDefault="0062402B" w:rsidP="0062402B">
                      <w:pPr>
                        <w:rPr>
                          <w:color w:val="000000" w:themeColor="text1"/>
                          <w:lang w:val="fr-FR"/>
                        </w:rPr>
                      </w:pPr>
                      <w:r w:rsidRPr="0062402B">
                        <w:rPr>
                          <w:rFonts w:asciiTheme="minorHAnsi" w:hAnsiTheme="minorHAnsi" w:cs="Open Sans"/>
                          <w:b/>
                          <w:bCs/>
                          <w:color w:val="000000" w:themeColor="text1"/>
                          <w:sz w:val="20"/>
                          <w:szCs w:val="20"/>
                          <w:lang w:val="fr-FR"/>
                        </w:rPr>
                        <w:t xml:space="preserve">D’après </w:t>
                      </w:r>
                      <w:r w:rsidR="00746DF3">
                        <w:rPr>
                          <w:rFonts w:asciiTheme="minorHAnsi" w:hAnsiTheme="minorHAnsi" w:cs="Open Sans"/>
                          <w:b/>
                          <w:bCs/>
                          <w:color w:val="000000" w:themeColor="text1"/>
                          <w:sz w:val="20"/>
                          <w:szCs w:val="20"/>
                          <w:lang w:val="fr-FR"/>
                        </w:rPr>
                        <w:t>l’analyse CREEM</w:t>
                      </w:r>
                      <w:r w:rsidRPr="0062402B">
                        <w:rPr>
                          <w:rFonts w:asciiTheme="minorHAnsi" w:hAnsiTheme="minorHAnsi" w:cs="Open Sans"/>
                          <w:b/>
                          <w:bCs/>
                          <w:color w:val="000000" w:themeColor="text1"/>
                          <w:sz w:val="20"/>
                          <w:szCs w:val="20"/>
                          <w:lang w:val="fr-FR"/>
                        </w:rPr>
                        <w:t xml:space="preserve">, le portefeuille immobilier Abeille </w:t>
                      </w:r>
                      <w:r w:rsidR="0011788B">
                        <w:rPr>
                          <w:rFonts w:asciiTheme="minorHAnsi" w:hAnsiTheme="minorHAnsi" w:cs="Open Sans"/>
                          <w:b/>
                          <w:bCs/>
                          <w:color w:val="000000" w:themeColor="text1"/>
                          <w:sz w:val="20"/>
                          <w:szCs w:val="20"/>
                          <w:lang w:val="fr-FR"/>
                        </w:rPr>
                        <w:t>Retraite Professionnelle</w:t>
                      </w:r>
                      <w:r w:rsidRPr="0062402B">
                        <w:rPr>
                          <w:rFonts w:asciiTheme="minorHAnsi" w:hAnsiTheme="minorHAnsi" w:cs="Open Sans"/>
                          <w:b/>
                          <w:bCs/>
                          <w:color w:val="000000" w:themeColor="text1"/>
                          <w:sz w:val="20"/>
                          <w:szCs w:val="20"/>
                          <w:lang w:val="fr-FR"/>
                        </w:rPr>
                        <w:t xml:space="preserve"> est bien aligné 1.5°C à horizon 2030, avec une date d « échouage » prévue à 2038.</w:t>
                      </w:r>
                      <w:r w:rsidRPr="0062402B">
                        <w:rPr>
                          <w:rFonts w:asciiTheme="minorHAnsi" w:hAnsiTheme="minorHAnsi" w:cs="Open Sans"/>
                          <w:color w:val="000000" w:themeColor="text1"/>
                          <w:sz w:val="20"/>
                          <w:szCs w:val="20"/>
                          <w:lang w:val="fr-FR"/>
                        </w:rPr>
                        <w:t xml:space="preserve"> En effet, jusqu’en 2038, la courbe est en dessous de la courbe CREEM 1.5°C de référence.</w:t>
                      </w:r>
                      <w:r w:rsidRPr="0062402B">
                        <w:rPr>
                          <w:rFonts w:ascii="Source Sans Pro" w:hAnsi="Source Sans Pro"/>
                          <w:color w:val="000000" w:themeColor="text1"/>
                          <w:sz w:val="20"/>
                          <w:lang w:val="fr-FR"/>
                        </w:rPr>
                        <w:t xml:space="preserve"> L’objectif à horizon 2030 pris par le groupe par son engagement </w:t>
                      </w:r>
                      <w:r w:rsidRPr="00E37CF6">
                        <w:rPr>
                          <w:rFonts w:ascii="Source Sans Pro" w:hAnsi="Source Sans Pro"/>
                          <w:color w:val="000000" w:themeColor="text1"/>
                          <w:sz w:val="20"/>
                          <w:lang w:val="fr-FR"/>
                        </w:rPr>
                        <w:t>dans la Net Zero Alliance Owner, est donc respecté à date sur le patrimoine au global et réalisable via des investissements de CAPEX complémentaires au cas par cas pour l’atteinte de l’objectif individuel sur certains actifs.  Un travail a été réalisé et doit être poursuivi afin d’intégrer directement l’impact des CAPEX dans la courbe de projection de l’intensité carbone du patrimoine.</w:t>
                      </w:r>
                    </w:p>
                  </w:txbxContent>
                </v:textbox>
              </v:rect>
            </w:pict>
          </mc:Fallback>
        </mc:AlternateContent>
      </w:r>
    </w:p>
    <w:p w14:paraId="06E0FC5C" w14:textId="77777777" w:rsidR="0062402B" w:rsidRDefault="0062402B" w:rsidP="009D6EE5">
      <w:pPr>
        <w:spacing w:line="22" w:lineRule="atLeast"/>
        <w:jc w:val="both"/>
        <w:rPr>
          <w:rFonts w:asciiTheme="minorHAnsi" w:hAnsiTheme="minorHAnsi" w:cs="Open Sans"/>
          <w:sz w:val="20"/>
          <w:szCs w:val="20"/>
          <w:lang w:val="fr-FR"/>
        </w:rPr>
      </w:pPr>
    </w:p>
    <w:p w14:paraId="64EE47FC" w14:textId="77777777" w:rsidR="0062402B" w:rsidRDefault="0062402B" w:rsidP="009D6EE5">
      <w:pPr>
        <w:spacing w:line="22" w:lineRule="atLeast"/>
        <w:jc w:val="both"/>
        <w:rPr>
          <w:rFonts w:asciiTheme="minorHAnsi" w:hAnsiTheme="minorHAnsi" w:cs="Open Sans"/>
          <w:sz w:val="20"/>
          <w:szCs w:val="20"/>
          <w:lang w:val="fr-FR"/>
        </w:rPr>
      </w:pPr>
    </w:p>
    <w:p w14:paraId="277202CB" w14:textId="77777777" w:rsidR="0062402B" w:rsidRDefault="0062402B" w:rsidP="009D6EE5">
      <w:pPr>
        <w:spacing w:line="22" w:lineRule="atLeast"/>
        <w:jc w:val="both"/>
        <w:rPr>
          <w:rFonts w:asciiTheme="minorHAnsi" w:hAnsiTheme="minorHAnsi" w:cs="Open Sans"/>
          <w:sz w:val="20"/>
          <w:szCs w:val="20"/>
          <w:lang w:val="fr-FR"/>
        </w:rPr>
      </w:pPr>
    </w:p>
    <w:p w14:paraId="06288569" w14:textId="77777777" w:rsidR="0062402B" w:rsidRDefault="0062402B" w:rsidP="009D6EE5">
      <w:pPr>
        <w:spacing w:line="22" w:lineRule="atLeast"/>
        <w:jc w:val="both"/>
        <w:rPr>
          <w:rFonts w:asciiTheme="minorHAnsi" w:hAnsiTheme="minorHAnsi" w:cs="Open Sans"/>
          <w:sz w:val="20"/>
          <w:szCs w:val="20"/>
          <w:lang w:val="fr-FR"/>
        </w:rPr>
      </w:pPr>
    </w:p>
    <w:p w14:paraId="2AA086A8" w14:textId="77777777" w:rsidR="0062402B" w:rsidRDefault="0062402B" w:rsidP="009D6EE5">
      <w:pPr>
        <w:spacing w:line="22" w:lineRule="atLeast"/>
        <w:jc w:val="both"/>
        <w:rPr>
          <w:rFonts w:asciiTheme="minorHAnsi" w:hAnsiTheme="minorHAnsi" w:cs="Open Sans"/>
          <w:sz w:val="20"/>
          <w:szCs w:val="20"/>
          <w:lang w:val="fr-FR"/>
        </w:rPr>
      </w:pPr>
    </w:p>
    <w:p w14:paraId="0E86C6F8" w14:textId="77777777" w:rsidR="0062402B" w:rsidRDefault="0062402B" w:rsidP="009D6EE5">
      <w:pPr>
        <w:spacing w:line="22" w:lineRule="atLeast"/>
        <w:jc w:val="both"/>
        <w:rPr>
          <w:rFonts w:asciiTheme="minorHAnsi" w:hAnsiTheme="minorHAnsi" w:cs="Open Sans"/>
          <w:sz w:val="20"/>
          <w:szCs w:val="20"/>
          <w:lang w:val="fr-FR"/>
        </w:rPr>
      </w:pPr>
    </w:p>
    <w:p w14:paraId="03D6FFAF" w14:textId="77777777" w:rsidR="0062402B" w:rsidRDefault="0062402B" w:rsidP="009D6EE5">
      <w:pPr>
        <w:spacing w:line="22" w:lineRule="atLeast"/>
        <w:jc w:val="both"/>
        <w:rPr>
          <w:rFonts w:asciiTheme="minorHAnsi" w:hAnsiTheme="minorHAnsi" w:cs="Open Sans"/>
          <w:sz w:val="20"/>
          <w:szCs w:val="20"/>
          <w:lang w:val="fr-FR"/>
        </w:rPr>
      </w:pPr>
    </w:p>
    <w:p w14:paraId="7EE1D10B" w14:textId="77777777" w:rsidR="00097102" w:rsidRDefault="00097102" w:rsidP="009D6EE5">
      <w:pPr>
        <w:spacing w:line="22" w:lineRule="atLeast"/>
        <w:jc w:val="both"/>
        <w:rPr>
          <w:rFonts w:asciiTheme="minorHAnsi" w:hAnsiTheme="minorHAnsi" w:cs="Open Sans"/>
          <w:sz w:val="20"/>
          <w:szCs w:val="20"/>
          <w:lang w:val="fr-FR"/>
        </w:rPr>
      </w:pPr>
    </w:p>
    <w:p w14:paraId="1F2D56EE" w14:textId="77777777" w:rsidR="00F519EC" w:rsidRDefault="00F519EC" w:rsidP="009D6EE5">
      <w:pPr>
        <w:spacing w:line="22" w:lineRule="atLeast"/>
        <w:jc w:val="both"/>
        <w:rPr>
          <w:rFonts w:asciiTheme="minorHAnsi" w:hAnsiTheme="minorHAnsi" w:cs="Open Sans"/>
          <w:sz w:val="20"/>
          <w:szCs w:val="20"/>
          <w:lang w:val="fr-FR"/>
        </w:rPr>
      </w:pPr>
    </w:p>
    <w:p w14:paraId="70F569A7" w14:textId="1D38A199" w:rsidR="00E329AA" w:rsidRPr="00E37CF6" w:rsidRDefault="00E329AA" w:rsidP="00E329AA">
      <w:pPr>
        <w:pStyle w:val="Style1"/>
        <w:numPr>
          <w:ilvl w:val="0"/>
          <w:numId w:val="0"/>
        </w:numPr>
        <w:spacing w:line="22" w:lineRule="atLeast"/>
        <w:ind w:firstLine="3"/>
        <w:jc w:val="both"/>
        <w:rPr>
          <w:rFonts w:cs="Open Sans"/>
          <w:color w:val="8A2C24" w:themeColor="accent2"/>
          <w:sz w:val="28"/>
          <w:szCs w:val="28"/>
        </w:rPr>
      </w:pPr>
      <w:r w:rsidRPr="00E37CF6">
        <w:rPr>
          <w:rFonts w:cs="Open Sans"/>
          <w:color w:val="8A2C24" w:themeColor="accent2"/>
          <w:sz w:val="28"/>
          <w:szCs w:val="28"/>
        </w:rPr>
        <w:t>4.3.2. Performance énergétique, carbone et labels</w:t>
      </w:r>
    </w:p>
    <w:p w14:paraId="24C06301" w14:textId="77777777" w:rsidR="00E329AA" w:rsidRDefault="00E329AA" w:rsidP="006A0710">
      <w:pPr>
        <w:pStyle w:val="Style1"/>
        <w:numPr>
          <w:ilvl w:val="0"/>
          <w:numId w:val="0"/>
        </w:numPr>
        <w:spacing w:line="22" w:lineRule="atLeast"/>
        <w:ind w:left="6314" w:hanging="360"/>
        <w:jc w:val="both"/>
        <w:rPr>
          <w:rFonts w:cs="Open Sans"/>
          <w:color w:val="C00000"/>
          <w:sz w:val="28"/>
          <w:szCs w:val="28"/>
        </w:rPr>
      </w:pPr>
    </w:p>
    <w:p w14:paraId="5E00FEC8" w14:textId="771971A1" w:rsidR="0062402B" w:rsidRDefault="006A0710" w:rsidP="009D6EE5">
      <w:pPr>
        <w:spacing w:line="22" w:lineRule="atLeast"/>
        <w:jc w:val="both"/>
        <w:rPr>
          <w:rFonts w:asciiTheme="minorHAnsi" w:hAnsiTheme="minorHAnsi" w:cs="Open Sans"/>
          <w:sz w:val="20"/>
          <w:szCs w:val="20"/>
          <w:lang w:val="fr-FR"/>
        </w:rPr>
      </w:pPr>
      <w:r w:rsidRPr="006A0710">
        <w:rPr>
          <w:rFonts w:asciiTheme="minorHAnsi" w:hAnsiTheme="minorHAnsi" w:cs="Open Sans"/>
          <w:sz w:val="20"/>
          <w:szCs w:val="20"/>
          <w:lang w:val="fr-FR"/>
        </w:rPr>
        <w:t>Les données présentées ci-dessous reposent en partie sur une collecte réelle réalisée en 2025, complétée par des estimations de consommation issues de l’outil de suivi énergétique Deepki. Elles diffèrent ainsi de celles de l’analyse précédente fondée sur le CREEM, qui s’appuie sur une méthodologie spécifique.</w:t>
      </w:r>
    </w:p>
    <w:p w14:paraId="7213A459" w14:textId="77777777" w:rsidR="00E37CF6" w:rsidRDefault="00E37CF6" w:rsidP="009D6EE5">
      <w:pPr>
        <w:spacing w:line="22" w:lineRule="atLeast"/>
        <w:jc w:val="both"/>
        <w:rPr>
          <w:rFonts w:asciiTheme="minorHAnsi" w:hAnsiTheme="minorHAnsi" w:cs="Open Sans"/>
          <w:sz w:val="20"/>
          <w:szCs w:val="20"/>
          <w:lang w:val="fr-FR"/>
        </w:rPr>
      </w:pPr>
    </w:p>
    <w:p w14:paraId="650D04EE" w14:textId="77777777" w:rsidR="0062402B" w:rsidRPr="00A74D23" w:rsidRDefault="0062402B" w:rsidP="009D6EE5">
      <w:pPr>
        <w:spacing w:line="22" w:lineRule="atLeast"/>
        <w:jc w:val="both"/>
        <w:rPr>
          <w:rFonts w:asciiTheme="minorHAnsi" w:hAnsiTheme="minorHAnsi" w:cs="Open Sans"/>
          <w:i/>
          <w:iCs/>
          <w:sz w:val="18"/>
          <w:szCs w:val="18"/>
          <w:lang w:val="fr-FR"/>
        </w:rPr>
      </w:pPr>
    </w:p>
    <w:p w14:paraId="0104ED8F" w14:textId="617389D0" w:rsidR="00664C8B" w:rsidRPr="00A74D23" w:rsidRDefault="0040360B" w:rsidP="009D6EE5">
      <w:pPr>
        <w:spacing w:line="22" w:lineRule="atLeast"/>
        <w:jc w:val="both"/>
        <w:rPr>
          <w:rFonts w:asciiTheme="minorHAnsi" w:hAnsiTheme="minorHAnsi" w:cs="Open Sans"/>
          <w:b/>
          <w:bCs/>
          <w:lang w:val="fr-FR"/>
        </w:rPr>
      </w:pPr>
      <w:r w:rsidRPr="00A74D23">
        <w:rPr>
          <w:rFonts w:asciiTheme="minorHAnsi" w:hAnsiTheme="minorHAnsi" w:cs="Open Sans"/>
          <w:b/>
          <w:bCs/>
          <w:lang w:val="fr-FR"/>
        </w:rPr>
        <w:t xml:space="preserve">Données de performance énergétique et </w:t>
      </w:r>
      <w:r w:rsidR="00402C6D" w:rsidRPr="00A74D23">
        <w:rPr>
          <w:rFonts w:asciiTheme="minorHAnsi" w:hAnsiTheme="minorHAnsi" w:cs="Open Sans"/>
          <w:b/>
          <w:bCs/>
          <w:lang w:val="fr-FR"/>
        </w:rPr>
        <w:t>carbone</w:t>
      </w:r>
      <w:r w:rsidRPr="00A74D23">
        <w:rPr>
          <w:rFonts w:asciiTheme="minorHAnsi" w:hAnsiTheme="minorHAnsi" w:cs="Open Sans"/>
          <w:b/>
          <w:bCs/>
          <w:lang w:val="fr-FR"/>
        </w:rPr>
        <w:t xml:space="preserve"> du portefeuille immobilier</w:t>
      </w:r>
      <w:r w:rsidR="00386A95" w:rsidRPr="00A74D23">
        <w:rPr>
          <w:rFonts w:asciiTheme="minorHAnsi" w:hAnsiTheme="minorHAnsi" w:cs="Open Sans"/>
          <w:b/>
          <w:bCs/>
          <w:lang w:val="fr-FR"/>
        </w:rPr>
        <w:t xml:space="preserve"> </w:t>
      </w:r>
      <w:r w:rsidRPr="00A74D23">
        <w:rPr>
          <w:rFonts w:asciiTheme="minorHAnsi" w:hAnsiTheme="minorHAnsi" w:cs="Open Sans"/>
          <w:b/>
          <w:bCs/>
          <w:lang w:val="fr-FR"/>
        </w:rPr>
        <w:t xml:space="preserve">sous mandat de gestion OFI Invest RE d’Abeille </w:t>
      </w:r>
      <w:r w:rsidR="0011788B">
        <w:rPr>
          <w:rFonts w:asciiTheme="minorHAnsi" w:hAnsiTheme="minorHAnsi" w:cs="Open Sans"/>
          <w:b/>
          <w:bCs/>
          <w:lang w:val="fr-FR"/>
        </w:rPr>
        <w:t>Retraite Professionnelle</w:t>
      </w:r>
    </w:p>
    <w:p w14:paraId="42003E25" w14:textId="77777777" w:rsidR="00664C8B" w:rsidRPr="00A74D23" w:rsidRDefault="00664C8B" w:rsidP="009D6EE5">
      <w:pPr>
        <w:spacing w:line="22" w:lineRule="atLeast"/>
        <w:jc w:val="both"/>
        <w:rPr>
          <w:rFonts w:asciiTheme="minorHAnsi" w:hAnsiTheme="minorHAnsi" w:cs="Open Sans"/>
          <w:sz w:val="18"/>
          <w:szCs w:val="18"/>
          <w:lang w:val="fr-FR"/>
        </w:rPr>
      </w:pPr>
    </w:p>
    <w:tbl>
      <w:tblPr>
        <w:tblW w:w="9922" w:type="dxa"/>
        <w:jc w:val="center"/>
        <w:tblCellMar>
          <w:left w:w="70" w:type="dxa"/>
          <w:right w:w="70" w:type="dxa"/>
        </w:tblCellMar>
        <w:tblLook w:val="04A0" w:firstRow="1" w:lastRow="0" w:firstColumn="1" w:lastColumn="0" w:noHBand="0" w:noVBand="1"/>
      </w:tblPr>
      <w:tblGrid>
        <w:gridCol w:w="676"/>
        <w:gridCol w:w="626"/>
        <w:gridCol w:w="699"/>
        <w:gridCol w:w="813"/>
        <w:gridCol w:w="817"/>
        <w:gridCol w:w="524"/>
        <w:gridCol w:w="548"/>
        <w:gridCol w:w="853"/>
        <w:gridCol w:w="828"/>
        <w:gridCol w:w="697"/>
        <w:gridCol w:w="885"/>
        <w:gridCol w:w="685"/>
        <w:gridCol w:w="563"/>
        <w:gridCol w:w="708"/>
      </w:tblGrid>
      <w:tr w:rsidR="00C40E25" w:rsidRPr="00A74D23" w14:paraId="6C618EA3" w14:textId="513A6EED">
        <w:trPr>
          <w:trHeight w:val="470"/>
          <w:jc w:val="center"/>
        </w:trPr>
        <w:tc>
          <w:tcPr>
            <w:tcW w:w="4703" w:type="dxa"/>
            <w:gridSpan w:val="7"/>
            <w:tcBorders>
              <w:right w:val="single" w:sz="4" w:space="0" w:color="auto"/>
            </w:tcBorders>
            <w:shd w:val="clear" w:color="auto" w:fill="FFD400" w:themeFill="accent1"/>
          </w:tcPr>
          <w:p w14:paraId="78531871" w14:textId="47C69BC6" w:rsidR="00C40E25" w:rsidRPr="00A74D23" w:rsidRDefault="00C40E25" w:rsidP="009D6EE5">
            <w:pPr>
              <w:spacing w:line="22" w:lineRule="atLeast"/>
              <w:jc w:val="both"/>
              <w:rPr>
                <w:rFonts w:asciiTheme="minorHAnsi" w:hAnsiTheme="minorHAnsi"/>
                <w:b/>
                <w:sz w:val="20"/>
                <w:szCs w:val="20"/>
                <w:lang w:val="fr-FR"/>
              </w:rPr>
            </w:pPr>
            <w:r w:rsidRPr="00A74D23">
              <w:rPr>
                <w:rFonts w:asciiTheme="minorHAnsi" w:hAnsiTheme="minorHAnsi"/>
                <w:b/>
                <w:sz w:val="20"/>
                <w:szCs w:val="20"/>
                <w:lang w:val="fr-FR"/>
              </w:rPr>
              <w:t>Performance énergétique (kWhEF/m².an)</w:t>
            </w:r>
          </w:p>
        </w:tc>
        <w:tc>
          <w:tcPr>
            <w:tcW w:w="5219" w:type="dxa"/>
            <w:gridSpan w:val="7"/>
            <w:tcBorders>
              <w:left w:val="single" w:sz="4" w:space="0" w:color="auto"/>
            </w:tcBorders>
            <w:shd w:val="clear" w:color="auto" w:fill="FFD400" w:themeFill="accent1"/>
          </w:tcPr>
          <w:p w14:paraId="49BE62E7" w14:textId="2E473829" w:rsidR="00C40E25" w:rsidRPr="00A74D23" w:rsidRDefault="00C40E25" w:rsidP="009D6EE5">
            <w:pPr>
              <w:spacing w:line="22" w:lineRule="atLeast"/>
              <w:jc w:val="both"/>
              <w:rPr>
                <w:rFonts w:asciiTheme="minorHAnsi" w:hAnsiTheme="minorHAnsi"/>
                <w:b/>
                <w:sz w:val="20"/>
                <w:szCs w:val="20"/>
              </w:rPr>
            </w:pPr>
            <w:r w:rsidRPr="00A74D23">
              <w:rPr>
                <w:rFonts w:asciiTheme="minorHAnsi" w:hAnsiTheme="minorHAnsi"/>
                <w:b/>
                <w:sz w:val="20"/>
                <w:szCs w:val="20"/>
              </w:rPr>
              <w:t>Performance carbone (kgCO2e/m².an)</w:t>
            </w:r>
          </w:p>
        </w:tc>
      </w:tr>
      <w:tr w:rsidR="00571D55" w:rsidRPr="00A74D23" w14:paraId="3CB0A497" w14:textId="75A58E43" w:rsidTr="009C35B5">
        <w:trPr>
          <w:trHeight w:val="341"/>
          <w:jc w:val="center"/>
        </w:trPr>
        <w:tc>
          <w:tcPr>
            <w:tcW w:w="676" w:type="dxa"/>
            <w:noWrap/>
            <w:vAlign w:val="center"/>
            <w:hideMark/>
          </w:tcPr>
          <w:p w14:paraId="75A9EF09" w14:textId="77777777" w:rsidR="00571D55" w:rsidRPr="00A74D23" w:rsidRDefault="00571D55" w:rsidP="009C35B5">
            <w:pPr>
              <w:spacing w:line="22" w:lineRule="atLeast"/>
              <w:jc w:val="center"/>
              <w:rPr>
                <w:rFonts w:asciiTheme="minorHAnsi" w:hAnsiTheme="minorHAnsi"/>
                <w:i/>
                <w:iCs/>
                <w:sz w:val="20"/>
                <w:szCs w:val="20"/>
              </w:rPr>
            </w:pPr>
            <w:r w:rsidRPr="00A74D23">
              <w:rPr>
                <w:rFonts w:asciiTheme="minorHAnsi" w:hAnsiTheme="minorHAnsi"/>
                <w:i/>
                <w:iCs/>
                <w:sz w:val="20"/>
                <w:szCs w:val="20"/>
              </w:rPr>
              <w:t>2019</w:t>
            </w:r>
          </w:p>
        </w:tc>
        <w:tc>
          <w:tcPr>
            <w:tcW w:w="626" w:type="dxa"/>
            <w:noWrap/>
            <w:vAlign w:val="center"/>
            <w:hideMark/>
          </w:tcPr>
          <w:p w14:paraId="134414CC" w14:textId="77777777" w:rsidR="00571D55" w:rsidRPr="00A74D23" w:rsidRDefault="00571D55" w:rsidP="009C35B5">
            <w:pPr>
              <w:spacing w:line="22" w:lineRule="atLeast"/>
              <w:jc w:val="center"/>
              <w:rPr>
                <w:rFonts w:asciiTheme="minorHAnsi" w:hAnsiTheme="minorHAnsi"/>
                <w:i/>
                <w:iCs/>
                <w:sz w:val="20"/>
                <w:szCs w:val="20"/>
              </w:rPr>
            </w:pPr>
            <w:r w:rsidRPr="00A74D23">
              <w:rPr>
                <w:rFonts w:asciiTheme="minorHAnsi" w:hAnsiTheme="minorHAnsi"/>
                <w:i/>
                <w:iCs/>
                <w:sz w:val="20"/>
                <w:szCs w:val="20"/>
              </w:rPr>
              <w:t>2020</w:t>
            </w:r>
          </w:p>
        </w:tc>
        <w:tc>
          <w:tcPr>
            <w:tcW w:w="699" w:type="dxa"/>
            <w:noWrap/>
            <w:vAlign w:val="center"/>
            <w:hideMark/>
          </w:tcPr>
          <w:p w14:paraId="35DE9892" w14:textId="77777777" w:rsidR="00571D55" w:rsidRPr="00A74D23" w:rsidRDefault="00571D55" w:rsidP="009C35B5">
            <w:pPr>
              <w:spacing w:line="22" w:lineRule="atLeast"/>
              <w:jc w:val="center"/>
              <w:rPr>
                <w:rFonts w:asciiTheme="minorHAnsi" w:hAnsiTheme="minorHAnsi"/>
                <w:i/>
                <w:iCs/>
                <w:sz w:val="20"/>
                <w:szCs w:val="20"/>
              </w:rPr>
            </w:pPr>
            <w:r w:rsidRPr="00A74D23">
              <w:rPr>
                <w:rFonts w:asciiTheme="minorHAnsi" w:hAnsiTheme="minorHAnsi"/>
                <w:i/>
                <w:iCs/>
                <w:sz w:val="20"/>
                <w:szCs w:val="20"/>
              </w:rPr>
              <w:t>2021</w:t>
            </w:r>
          </w:p>
        </w:tc>
        <w:tc>
          <w:tcPr>
            <w:tcW w:w="813" w:type="dxa"/>
            <w:vAlign w:val="center"/>
          </w:tcPr>
          <w:p w14:paraId="378FF74D" w14:textId="77777777" w:rsidR="00571D55" w:rsidRPr="00A74D23" w:rsidRDefault="00571D55" w:rsidP="009C35B5">
            <w:pPr>
              <w:spacing w:line="22" w:lineRule="atLeast"/>
              <w:jc w:val="center"/>
              <w:rPr>
                <w:rFonts w:asciiTheme="minorHAnsi" w:hAnsiTheme="minorHAnsi"/>
                <w:i/>
                <w:iCs/>
                <w:sz w:val="20"/>
                <w:szCs w:val="20"/>
              </w:rPr>
            </w:pPr>
            <w:r w:rsidRPr="00A74D23">
              <w:rPr>
                <w:rFonts w:asciiTheme="minorHAnsi" w:hAnsiTheme="minorHAnsi"/>
                <w:i/>
                <w:iCs/>
                <w:sz w:val="20"/>
                <w:szCs w:val="20"/>
              </w:rPr>
              <w:t>2022</w:t>
            </w:r>
          </w:p>
        </w:tc>
        <w:tc>
          <w:tcPr>
            <w:tcW w:w="817" w:type="dxa"/>
            <w:noWrap/>
            <w:vAlign w:val="center"/>
            <w:hideMark/>
          </w:tcPr>
          <w:p w14:paraId="290F0BC8" w14:textId="77777777" w:rsidR="00571D55" w:rsidRPr="00A74D23" w:rsidRDefault="00571D55" w:rsidP="009C35B5">
            <w:pPr>
              <w:spacing w:line="22" w:lineRule="atLeast"/>
              <w:jc w:val="center"/>
              <w:rPr>
                <w:rFonts w:asciiTheme="minorHAnsi" w:hAnsiTheme="minorHAnsi"/>
                <w:i/>
                <w:iCs/>
                <w:sz w:val="20"/>
                <w:szCs w:val="20"/>
              </w:rPr>
            </w:pPr>
            <w:r w:rsidRPr="00A74D23">
              <w:rPr>
                <w:rFonts w:asciiTheme="minorHAnsi" w:hAnsiTheme="minorHAnsi"/>
                <w:i/>
                <w:iCs/>
                <w:sz w:val="20"/>
                <w:szCs w:val="20"/>
              </w:rPr>
              <w:t>2023</w:t>
            </w:r>
          </w:p>
        </w:tc>
        <w:tc>
          <w:tcPr>
            <w:tcW w:w="524" w:type="dxa"/>
            <w:vAlign w:val="center"/>
          </w:tcPr>
          <w:p w14:paraId="4143C415" w14:textId="77777777" w:rsidR="00571D55" w:rsidRPr="00A74D23" w:rsidRDefault="00571D55" w:rsidP="009C35B5">
            <w:pPr>
              <w:spacing w:line="22" w:lineRule="atLeast"/>
              <w:jc w:val="center"/>
              <w:rPr>
                <w:rFonts w:asciiTheme="minorHAnsi" w:hAnsiTheme="minorHAnsi"/>
                <w:i/>
                <w:iCs/>
                <w:sz w:val="20"/>
                <w:szCs w:val="20"/>
              </w:rPr>
            </w:pPr>
            <w:r w:rsidRPr="00A74D23">
              <w:rPr>
                <w:rFonts w:asciiTheme="minorHAnsi" w:hAnsiTheme="minorHAnsi"/>
                <w:i/>
                <w:iCs/>
                <w:sz w:val="20"/>
                <w:szCs w:val="20"/>
              </w:rPr>
              <w:t>2024</w:t>
            </w:r>
          </w:p>
        </w:tc>
        <w:tc>
          <w:tcPr>
            <w:tcW w:w="548" w:type="dxa"/>
            <w:tcBorders>
              <w:left w:val="nil"/>
              <w:right w:val="single" w:sz="4" w:space="0" w:color="auto"/>
            </w:tcBorders>
            <w:vAlign w:val="center"/>
          </w:tcPr>
          <w:p w14:paraId="42752FDF" w14:textId="4501F734" w:rsidR="00571D55" w:rsidRPr="00A74D23" w:rsidRDefault="00571D55" w:rsidP="009C35B5">
            <w:pPr>
              <w:spacing w:line="22" w:lineRule="atLeast"/>
              <w:jc w:val="center"/>
              <w:rPr>
                <w:rFonts w:asciiTheme="minorHAnsi" w:hAnsiTheme="minorHAnsi"/>
                <w:b/>
                <w:bCs/>
                <w:i/>
                <w:iCs/>
                <w:sz w:val="20"/>
                <w:szCs w:val="20"/>
              </w:rPr>
            </w:pPr>
            <w:r w:rsidRPr="00A74D23">
              <w:rPr>
                <w:rFonts w:asciiTheme="minorHAnsi" w:hAnsiTheme="minorHAnsi"/>
                <w:b/>
                <w:bCs/>
                <w:i/>
                <w:iCs/>
                <w:sz w:val="20"/>
                <w:szCs w:val="20"/>
              </w:rPr>
              <w:t>2025</w:t>
            </w:r>
          </w:p>
        </w:tc>
        <w:tc>
          <w:tcPr>
            <w:tcW w:w="853" w:type="dxa"/>
            <w:tcBorders>
              <w:left w:val="single" w:sz="4" w:space="0" w:color="auto"/>
            </w:tcBorders>
            <w:noWrap/>
            <w:vAlign w:val="center"/>
            <w:hideMark/>
          </w:tcPr>
          <w:p w14:paraId="5FC63DF5" w14:textId="092DF0A2" w:rsidR="00571D55" w:rsidRPr="00A74D23" w:rsidRDefault="00571D55" w:rsidP="009C35B5">
            <w:pPr>
              <w:spacing w:line="22" w:lineRule="atLeast"/>
              <w:jc w:val="center"/>
              <w:rPr>
                <w:rFonts w:asciiTheme="minorHAnsi" w:hAnsiTheme="minorHAnsi"/>
                <w:i/>
                <w:iCs/>
                <w:sz w:val="20"/>
                <w:szCs w:val="20"/>
              </w:rPr>
            </w:pPr>
            <w:r w:rsidRPr="00A74D23">
              <w:rPr>
                <w:rFonts w:asciiTheme="minorHAnsi" w:hAnsiTheme="minorHAnsi"/>
                <w:i/>
                <w:iCs/>
                <w:sz w:val="20"/>
                <w:szCs w:val="20"/>
              </w:rPr>
              <w:t>2019</w:t>
            </w:r>
          </w:p>
        </w:tc>
        <w:tc>
          <w:tcPr>
            <w:tcW w:w="828" w:type="dxa"/>
            <w:noWrap/>
            <w:vAlign w:val="center"/>
            <w:hideMark/>
          </w:tcPr>
          <w:p w14:paraId="5343C229" w14:textId="77777777" w:rsidR="00571D55" w:rsidRPr="00A74D23" w:rsidRDefault="00571D55" w:rsidP="009C35B5">
            <w:pPr>
              <w:spacing w:line="22" w:lineRule="atLeast"/>
              <w:jc w:val="center"/>
              <w:rPr>
                <w:rFonts w:asciiTheme="minorHAnsi" w:hAnsiTheme="minorHAnsi"/>
                <w:i/>
                <w:iCs/>
                <w:sz w:val="20"/>
                <w:szCs w:val="20"/>
              </w:rPr>
            </w:pPr>
            <w:r w:rsidRPr="00A74D23">
              <w:rPr>
                <w:rFonts w:asciiTheme="minorHAnsi" w:hAnsiTheme="minorHAnsi"/>
                <w:i/>
                <w:iCs/>
                <w:sz w:val="20"/>
                <w:szCs w:val="20"/>
              </w:rPr>
              <w:t>2020</w:t>
            </w:r>
          </w:p>
        </w:tc>
        <w:tc>
          <w:tcPr>
            <w:tcW w:w="697" w:type="dxa"/>
            <w:noWrap/>
            <w:vAlign w:val="center"/>
            <w:hideMark/>
          </w:tcPr>
          <w:p w14:paraId="697C76C9" w14:textId="77777777" w:rsidR="00571D55" w:rsidRPr="00A74D23" w:rsidRDefault="00571D55" w:rsidP="009C35B5">
            <w:pPr>
              <w:spacing w:line="22" w:lineRule="atLeast"/>
              <w:jc w:val="center"/>
              <w:rPr>
                <w:rFonts w:asciiTheme="minorHAnsi" w:hAnsiTheme="minorHAnsi"/>
                <w:i/>
                <w:iCs/>
                <w:sz w:val="20"/>
                <w:szCs w:val="20"/>
              </w:rPr>
            </w:pPr>
            <w:r w:rsidRPr="00A74D23">
              <w:rPr>
                <w:rFonts w:asciiTheme="minorHAnsi" w:hAnsiTheme="minorHAnsi"/>
                <w:i/>
                <w:iCs/>
                <w:sz w:val="20"/>
                <w:szCs w:val="20"/>
              </w:rPr>
              <w:t>2021</w:t>
            </w:r>
          </w:p>
        </w:tc>
        <w:tc>
          <w:tcPr>
            <w:tcW w:w="885" w:type="dxa"/>
            <w:vAlign w:val="center"/>
          </w:tcPr>
          <w:p w14:paraId="66E5D954" w14:textId="77777777" w:rsidR="00571D55" w:rsidRPr="00A74D23" w:rsidRDefault="00571D55" w:rsidP="009C35B5">
            <w:pPr>
              <w:spacing w:line="22" w:lineRule="atLeast"/>
              <w:jc w:val="center"/>
              <w:rPr>
                <w:rFonts w:asciiTheme="minorHAnsi" w:hAnsiTheme="minorHAnsi"/>
                <w:i/>
                <w:iCs/>
                <w:sz w:val="20"/>
                <w:szCs w:val="20"/>
              </w:rPr>
            </w:pPr>
            <w:r w:rsidRPr="00A74D23">
              <w:rPr>
                <w:rFonts w:asciiTheme="minorHAnsi" w:hAnsiTheme="minorHAnsi"/>
                <w:i/>
                <w:iCs/>
                <w:sz w:val="20"/>
                <w:szCs w:val="20"/>
              </w:rPr>
              <w:t>2022</w:t>
            </w:r>
          </w:p>
        </w:tc>
        <w:tc>
          <w:tcPr>
            <w:tcW w:w="685" w:type="dxa"/>
            <w:noWrap/>
            <w:vAlign w:val="center"/>
            <w:hideMark/>
          </w:tcPr>
          <w:p w14:paraId="1ACF6354" w14:textId="77777777" w:rsidR="00571D55" w:rsidRPr="00A74D23" w:rsidRDefault="00571D55" w:rsidP="009C35B5">
            <w:pPr>
              <w:spacing w:line="22" w:lineRule="atLeast"/>
              <w:jc w:val="center"/>
              <w:rPr>
                <w:rFonts w:asciiTheme="minorHAnsi" w:hAnsiTheme="minorHAnsi"/>
                <w:i/>
                <w:iCs/>
                <w:sz w:val="20"/>
                <w:szCs w:val="20"/>
              </w:rPr>
            </w:pPr>
            <w:r w:rsidRPr="00A74D23">
              <w:rPr>
                <w:rFonts w:asciiTheme="minorHAnsi" w:hAnsiTheme="minorHAnsi"/>
                <w:i/>
                <w:iCs/>
                <w:sz w:val="20"/>
                <w:szCs w:val="20"/>
              </w:rPr>
              <w:t>2023</w:t>
            </w:r>
          </w:p>
        </w:tc>
        <w:tc>
          <w:tcPr>
            <w:tcW w:w="563" w:type="dxa"/>
            <w:vAlign w:val="center"/>
          </w:tcPr>
          <w:p w14:paraId="21225201" w14:textId="77777777" w:rsidR="00571D55" w:rsidRPr="00A74D23" w:rsidRDefault="00571D55" w:rsidP="009C35B5">
            <w:pPr>
              <w:spacing w:line="22" w:lineRule="atLeast"/>
              <w:jc w:val="center"/>
              <w:rPr>
                <w:rFonts w:asciiTheme="minorHAnsi" w:hAnsiTheme="minorHAnsi"/>
                <w:i/>
                <w:iCs/>
                <w:sz w:val="20"/>
                <w:szCs w:val="20"/>
              </w:rPr>
            </w:pPr>
            <w:r w:rsidRPr="00A74D23">
              <w:rPr>
                <w:rFonts w:asciiTheme="minorHAnsi" w:hAnsiTheme="minorHAnsi"/>
                <w:i/>
                <w:iCs/>
                <w:sz w:val="20"/>
                <w:szCs w:val="20"/>
              </w:rPr>
              <w:t>2024</w:t>
            </w:r>
          </w:p>
        </w:tc>
        <w:tc>
          <w:tcPr>
            <w:tcW w:w="708" w:type="dxa"/>
            <w:vAlign w:val="center"/>
          </w:tcPr>
          <w:p w14:paraId="6B4F85A4" w14:textId="6841EE00" w:rsidR="00571D55" w:rsidRPr="00A74D23" w:rsidRDefault="00571D55" w:rsidP="009C35B5">
            <w:pPr>
              <w:spacing w:line="22" w:lineRule="atLeast"/>
              <w:jc w:val="center"/>
              <w:rPr>
                <w:rFonts w:asciiTheme="minorHAnsi" w:hAnsiTheme="minorHAnsi"/>
                <w:b/>
                <w:bCs/>
                <w:i/>
                <w:iCs/>
                <w:sz w:val="20"/>
                <w:szCs w:val="20"/>
              </w:rPr>
            </w:pPr>
            <w:r w:rsidRPr="00A74D23">
              <w:rPr>
                <w:rFonts w:asciiTheme="minorHAnsi" w:hAnsiTheme="minorHAnsi"/>
                <w:b/>
                <w:bCs/>
                <w:i/>
                <w:iCs/>
                <w:sz w:val="20"/>
                <w:szCs w:val="20"/>
              </w:rPr>
              <w:t>2025</w:t>
            </w:r>
          </w:p>
        </w:tc>
      </w:tr>
      <w:tr w:rsidR="0011788B" w:rsidRPr="00A74D23" w14:paraId="232DD7F1" w14:textId="5AB75D64" w:rsidTr="009C35B5">
        <w:trPr>
          <w:trHeight w:val="78"/>
          <w:jc w:val="center"/>
        </w:trPr>
        <w:tc>
          <w:tcPr>
            <w:tcW w:w="676" w:type="dxa"/>
            <w:noWrap/>
            <w:vAlign w:val="bottom"/>
            <w:hideMark/>
          </w:tcPr>
          <w:p w14:paraId="5FA6FF7C" w14:textId="1D2E3057" w:rsidR="0011788B" w:rsidRPr="0011788B" w:rsidRDefault="0011788B" w:rsidP="0011788B">
            <w:pPr>
              <w:spacing w:line="22" w:lineRule="atLeast"/>
              <w:jc w:val="center"/>
              <w:rPr>
                <w:rFonts w:asciiTheme="minorHAnsi" w:hAnsiTheme="minorHAnsi"/>
                <w:color w:val="000000"/>
                <w:sz w:val="20"/>
                <w:szCs w:val="20"/>
              </w:rPr>
            </w:pPr>
            <w:r w:rsidRPr="0011788B">
              <w:rPr>
                <w:rFonts w:asciiTheme="minorHAnsi" w:hAnsiTheme="minorHAnsi" w:cs="Calibri"/>
                <w:color w:val="000000"/>
                <w:sz w:val="20"/>
                <w:szCs w:val="20"/>
              </w:rPr>
              <w:t>106</w:t>
            </w:r>
          </w:p>
        </w:tc>
        <w:tc>
          <w:tcPr>
            <w:tcW w:w="626" w:type="dxa"/>
            <w:noWrap/>
            <w:vAlign w:val="bottom"/>
            <w:hideMark/>
          </w:tcPr>
          <w:p w14:paraId="24A40E97" w14:textId="197BA12C" w:rsidR="0011788B" w:rsidRPr="0011788B" w:rsidRDefault="0011788B" w:rsidP="0011788B">
            <w:pPr>
              <w:spacing w:line="22" w:lineRule="atLeast"/>
              <w:jc w:val="center"/>
              <w:rPr>
                <w:rFonts w:asciiTheme="minorHAnsi" w:hAnsiTheme="minorHAnsi"/>
                <w:color w:val="000000"/>
                <w:sz w:val="20"/>
                <w:szCs w:val="20"/>
              </w:rPr>
            </w:pPr>
            <w:r w:rsidRPr="0011788B">
              <w:rPr>
                <w:rFonts w:asciiTheme="minorHAnsi" w:hAnsiTheme="minorHAnsi" w:cs="Calibri"/>
                <w:color w:val="000000"/>
                <w:sz w:val="20"/>
                <w:szCs w:val="20"/>
              </w:rPr>
              <w:t>106</w:t>
            </w:r>
          </w:p>
        </w:tc>
        <w:tc>
          <w:tcPr>
            <w:tcW w:w="699" w:type="dxa"/>
            <w:noWrap/>
            <w:vAlign w:val="bottom"/>
            <w:hideMark/>
          </w:tcPr>
          <w:p w14:paraId="44D088D4" w14:textId="379B2CBC" w:rsidR="0011788B" w:rsidRPr="0011788B" w:rsidRDefault="0011788B" w:rsidP="0011788B">
            <w:pPr>
              <w:spacing w:line="22" w:lineRule="atLeast"/>
              <w:jc w:val="center"/>
              <w:rPr>
                <w:rFonts w:asciiTheme="minorHAnsi" w:hAnsiTheme="minorHAnsi"/>
                <w:color w:val="000000"/>
                <w:sz w:val="20"/>
                <w:szCs w:val="20"/>
              </w:rPr>
            </w:pPr>
            <w:r w:rsidRPr="0011788B">
              <w:rPr>
                <w:rFonts w:asciiTheme="minorHAnsi" w:hAnsiTheme="minorHAnsi" w:cs="Calibri"/>
                <w:color w:val="000000"/>
                <w:sz w:val="20"/>
                <w:szCs w:val="20"/>
              </w:rPr>
              <w:t>115</w:t>
            </w:r>
          </w:p>
        </w:tc>
        <w:tc>
          <w:tcPr>
            <w:tcW w:w="813" w:type="dxa"/>
            <w:vAlign w:val="bottom"/>
          </w:tcPr>
          <w:p w14:paraId="0F1DFBEB" w14:textId="1B90B181" w:rsidR="0011788B" w:rsidRPr="0011788B" w:rsidRDefault="0011788B" w:rsidP="0011788B">
            <w:pPr>
              <w:spacing w:line="22" w:lineRule="atLeast"/>
              <w:jc w:val="center"/>
              <w:rPr>
                <w:rFonts w:asciiTheme="minorHAnsi" w:hAnsiTheme="minorHAnsi" w:cs="Calibri"/>
                <w:color w:val="000000"/>
                <w:sz w:val="20"/>
                <w:szCs w:val="20"/>
              </w:rPr>
            </w:pPr>
            <w:r w:rsidRPr="0011788B">
              <w:rPr>
                <w:rFonts w:asciiTheme="minorHAnsi" w:hAnsiTheme="minorHAnsi" w:cs="Calibri"/>
                <w:color w:val="000000"/>
                <w:sz w:val="20"/>
                <w:szCs w:val="20"/>
              </w:rPr>
              <w:t>106</w:t>
            </w:r>
          </w:p>
        </w:tc>
        <w:tc>
          <w:tcPr>
            <w:tcW w:w="817" w:type="dxa"/>
            <w:noWrap/>
            <w:vAlign w:val="bottom"/>
            <w:hideMark/>
          </w:tcPr>
          <w:p w14:paraId="0C56241E" w14:textId="3C9C6322" w:rsidR="0011788B" w:rsidRPr="0011788B" w:rsidRDefault="0011788B" w:rsidP="0011788B">
            <w:pPr>
              <w:spacing w:line="22" w:lineRule="atLeast"/>
              <w:jc w:val="center"/>
              <w:rPr>
                <w:rFonts w:asciiTheme="minorHAnsi" w:hAnsiTheme="minorHAnsi"/>
                <w:color w:val="000000"/>
                <w:sz w:val="20"/>
                <w:szCs w:val="20"/>
              </w:rPr>
            </w:pPr>
            <w:r w:rsidRPr="0011788B">
              <w:rPr>
                <w:rFonts w:asciiTheme="minorHAnsi" w:hAnsiTheme="minorHAnsi" w:cs="Calibri"/>
                <w:color w:val="000000"/>
                <w:sz w:val="20"/>
                <w:szCs w:val="20"/>
              </w:rPr>
              <w:t>89</w:t>
            </w:r>
          </w:p>
        </w:tc>
        <w:tc>
          <w:tcPr>
            <w:tcW w:w="524" w:type="dxa"/>
            <w:vAlign w:val="bottom"/>
          </w:tcPr>
          <w:p w14:paraId="5FB439C9" w14:textId="0191438F" w:rsidR="0011788B" w:rsidRPr="0011788B" w:rsidRDefault="0011788B" w:rsidP="0011788B">
            <w:pPr>
              <w:spacing w:line="22" w:lineRule="atLeast"/>
              <w:jc w:val="center"/>
              <w:rPr>
                <w:rFonts w:asciiTheme="minorHAnsi" w:hAnsiTheme="minorHAnsi" w:cs="Calibri"/>
                <w:color w:val="000000"/>
                <w:sz w:val="20"/>
                <w:szCs w:val="20"/>
              </w:rPr>
            </w:pPr>
            <w:r w:rsidRPr="0011788B">
              <w:rPr>
                <w:rFonts w:asciiTheme="minorHAnsi" w:hAnsiTheme="minorHAnsi" w:cs="Calibri"/>
                <w:color w:val="000000"/>
                <w:sz w:val="20"/>
                <w:szCs w:val="20"/>
              </w:rPr>
              <w:t>96</w:t>
            </w:r>
          </w:p>
        </w:tc>
        <w:tc>
          <w:tcPr>
            <w:tcW w:w="548" w:type="dxa"/>
            <w:tcBorders>
              <w:left w:val="nil"/>
              <w:right w:val="single" w:sz="4" w:space="0" w:color="auto"/>
            </w:tcBorders>
            <w:vAlign w:val="bottom"/>
          </w:tcPr>
          <w:p w14:paraId="75B57BF4" w14:textId="7B0B0081" w:rsidR="0011788B" w:rsidRPr="0011788B" w:rsidRDefault="0011788B" w:rsidP="0011788B">
            <w:pPr>
              <w:spacing w:line="22" w:lineRule="atLeast"/>
              <w:jc w:val="center"/>
              <w:rPr>
                <w:rFonts w:asciiTheme="minorHAnsi" w:hAnsiTheme="minorHAnsi"/>
                <w:b/>
                <w:bCs/>
                <w:sz w:val="20"/>
                <w:szCs w:val="20"/>
              </w:rPr>
            </w:pPr>
            <w:r w:rsidRPr="0011788B">
              <w:rPr>
                <w:rFonts w:asciiTheme="minorHAnsi" w:hAnsiTheme="minorHAnsi" w:cs="Calibri"/>
                <w:b/>
                <w:bCs/>
                <w:color w:val="000000"/>
                <w:sz w:val="20"/>
                <w:szCs w:val="20"/>
              </w:rPr>
              <w:t>139</w:t>
            </w:r>
          </w:p>
        </w:tc>
        <w:tc>
          <w:tcPr>
            <w:tcW w:w="853" w:type="dxa"/>
            <w:tcBorders>
              <w:left w:val="single" w:sz="4" w:space="0" w:color="auto"/>
            </w:tcBorders>
            <w:noWrap/>
            <w:vAlign w:val="bottom"/>
            <w:hideMark/>
          </w:tcPr>
          <w:p w14:paraId="2019B847" w14:textId="3889F54E" w:rsidR="0011788B" w:rsidRPr="0011788B" w:rsidRDefault="0011788B" w:rsidP="0011788B">
            <w:pPr>
              <w:spacing w:line="22" w:lineRule="atLeast"/>
              <w:jc w:val="center"/>
              <w:rPr>
                <w:rFonts w:asciiTheme="minorHAnsi" w:hAnsiTheme="minorHAnsi"/>
                <w:color w:val="000000"/>
                <w:sz w:val="20"/>
                <w:szCs w:val="20"/>
              </w:rPr>
            </w:pPr>
            <w:r w:rsidRPr="0011788B">
              <w:rPr>
                <w:rFonts w:asciiTheme="minorHAnsi" w:hAnsiTheme="minorHAnsi" w:cs="Calibri"/>
                <w:color w:val="000000"/>
                <w:sz w:val="20"/>
                <w:szCs w:val="20"/>
              </w:rPr>
              <w:t>8</w:t>
            </w:r>
          </w:p>
        </w:tc>
        <w:tc>
          <w:tcPr>
            <w:tcW w:w="828" w:type="dxa"/>
            <w:noWrap/>
            <w:vAlign w:val="bottom"/>
            <w:hideMark/>
          </w:tcPr>
          <w:p w14:paraId="15BF309F" w14:textId="1FD478B9" w:rsidR="0011788B" w:rsidRPr="0011788B" w:rsidRDefault="0011788B" w:rsidP="0011788B">
            <w:pPr>
              <w:spacing w:line="22" w:lineRule="atLeast"/>
              <w:jc w:val="center"/>
              <w:rPr>
                <w:rFonts w:asciiTheme="minorHAnsi" w:hAnsiTheme="minorHAnsi"/>
                <w:color w:val="000000"/>
                <w:sz w:val="20"/>
                <w:szCs w:val="20"/>
              </w:rPr>
            </w:pPr>
            <w:r w:rsidRPr="0011788B">
              <w:rPr>
                <w:rFonts w:asciiTheme="minorHAnsi" w:hAnsiTheme="minorHAnsi" w:cs="Calibri"/>
                <w:color w:val="000000"/>
                <w:sz w:val="20"/>
                <w:szCs w:val="20"/>
              </w:rPr>
              <w:t>8</w:t>
            </w:r>
          </w:p>
        </w:tc>
        <w:tc>
          <w:tcPr>
            <w:tcW w:w="697" w:type="dxa"/>
            <w:noWrap/>
            <w:vAlign w:val="bottom"/>
            <w:hideMark/>
          </w:tcPr>
          <w:p w14:paraId="62B8F969" w14:textId="5B8A9C45" w:rsidR="0011788B" w:rsidRPr="0011788B" w:rsidRDefault="0011788B" w:rsidP="0011788B">
            <w:pPr>
              <w:spacing w:line="22" w:lineRule="atLeast"/>
              <w:jc w:val="center"/>
              <w:rPr>
                <w:rFonts w:asciiTheme="minorHAnsi" w:hAnsiTheme="minorHAnsi"/>
                <w:color w:val="000000"/>
                <w:sz w:val="20"/>
                <w:szCs w:val="20"/>
              </w:rPr>
            </w:pPr>
            <w:r w:rsidRPr="0011788B">
              <w:rPr>
                <w:rFonts w:asciiTheme="minorHAnsi" w:hAnsiTheme="minorHAnsi" w:cs="Calibri"/>
                <w:color w:val="000000"/>
                <w:sz w:val="20"/>
                <w:szCs w:val="20"/>
              </w:rPr>
              <w:t>10</w:t>
            </w:r>
          </w:p>
        </w:tc>
        <w:tc>
          <w:tcPr>
            <w:tcW w:w="885" w:type="dxa"/>
            <w:vAlign w:val="bottom"/>
          </w:tcPr>
          <w:p w14:paraId="6D450D14" w14:textId="7FB63FAE" w:rsidR="0011788B" w:rsidRPr="0011788B" w:rsidRDefault="0011788B" w:rsidP="0011788B">
            <w:pPr>
              <w:spacing w:line="22" w:lineRule="atLeast"/>
              <w:jc w:val="center"/>
              <w:rPr>
                <w:rFonts w:asciiTheme="minorHAnsi" w:hAnsiTheme="minorHAnsi" w:cs="Calibri"/>
                <w:color w:val="000000"/>
                <w:sz w:val="20"/>
                <w:szCs w:val="20"/>
              </w:rPr>
            </w:pPr>
            <w:r w:rsidRPr="0011788B">
              <w:rPr>
                <w:rFonts w:asciiTheme="minorHAnsi" w:hAnsiTheme="minorHAnsi" w:cs="Calibri"/>
                <w:color w:val="000000"/>
                <w:sz w:val="20"/>
                <w:szCs w:val="20"/>
              </w:rPr>
              <w:t>8</w:t>
            </w:r>
          </w:p>
        </w:tc>
        <w:tc>
          <w:tcPr>
            <w:tcW w:w="685" w:type="dxa"/>
            <w:noWrap/>
            <w:vAlign w:val="bottom"/>
            <w:hideMark/>
          </w:tcPr>
          <w:p w14:paraId="0D13B39A" w14:textId="15FDB1D0" w:rsidR="0011788B" w:rsidRPr="0011788B" w:rsidRDefault="0011788B" w:rsidP="0011788B">
            <w:pPr>
              <w:spacing w:line="22" w:lineRule="atLeast"/>
              <w:jc w:val="center"/>
              <w:rPr>
                <w:rFonts w:asciiTheme="minorHAnsi" w:hAnsiTheme="minorHAnsi"/>
                <w:color w:val="000000"/>
                <w:sz w:val="20"/>
                <w:szCs w:val="20"/>
              </w:rPr>
            </w:pPr>
            <w:r w:rsidRPr="0011788B">
              <w:rPr>
                <w:rFonts w:asciiTheme="minorHAnsi" w:hAnsiTheme="minorHAnsi" w:cs="Calibri"/>
                <w:color w:val="000000"/>
                <w:sz w:val="20"/>
                <w:szCs w:val="20"/>
              </w:rPr>
              <w:t>7</w:t>
            </w:r>
          </w:p>
        </w:tc>
        <w:tc>
          <w:tcPr>
            <w:tcW w:w="563" w:type="dxa"/>
            <w:vAlign w:val="bottom"/>
          </w:tcPr>
          <w:p w14:paraId="47DDCDD2" w14:textId="1E25D417" w:rsidR="0011788B" w:rsidRPr="0011788B" w:rsidRDefault="0011788B" w:rsidP="0011788B">
            <w:pPr>
              <w:spacing w:line="22" w:lineRule="atLeast"/>
              <w:jc w:val="center"/>
              <w:rPr>
                <w:rFonts w:asciiTheme="minorHAnsi" w:hAnsiTheme="minorHAnsi"/>
                <w:color w:val="000000"/>
                <w:sz w:val="20"/>
                <w:szCs w:val="20"/>
              </w:rPr>
            </w:pPr>
            <w:r w:rsidRPr="0011788B">
              <w:rPr>
                <w:rFonts w:asciiTheme="minorHAnsi" w:hAnsiTheme="minorHAnsi" w:cs="Calibri"/>
                <w:color w:val="000000"/>
                <w:sz w:val="20"/>
                <w:szCs w:val="20"/>
              </w:rPr>
              <w:t>11</w:t>
            </w:r>
          </w:p>
        </w:tc>
        <w:tc>
          <w:tcPr>
            <w:tcW w:w="708" w:type="dxa"/>
            <w:vAlign w:val="bottom"/>
          </w:tcPr>
          <w:p w14:paraId="4786B199" w14:textId="1AFBFF56" w:rsidR="0011788B" w:rsidRPr="0011788B" w:rsidRDefault="0011788B" w:rsidP="0011788B">
            <w:pPr>
              <w:spacing w:line="22" w:lineRule="atLeast"/>
              <w:jc w:val="center"/>
              <w:rPr>
                <w:rFonts w:asciiTheme="minorHAnsi" w:hAnsiTheme="minorHAnsi"/>
                <w:b/>
                <w:bCs/>
                <w:sz w:val="20"/>
                <w:szCs w:val="20"/>
              </w:rPr>
            </w:pPr>
            <w:r w:rsidRPr="0011788B">
              <w:rPr>
                <w:rFonts w:asciiTheme="minorHAnsi" w:hAnsiTheme="minorHAnsi" w:cs="Calibri"/>
                <w:b/>
                <w:bCs/>
                <w:color w:val="000000"/>
                <w:sz w:val="20"/>
                <w:szCs w:val="20"/>
              </w:rPr>
              <w:t>15</w:t>
            </w:r>
          </w:p>
        </w:tc>
      </w:tr>
    </w:tbl>
    <w:p w14:paraId="6D03031A" w14:textId="77777777" w:rsidR="00664C8B" w:rsidRPr="00A74D23" w:rsidRDefault="00664C8B" w:rsidP="009D6EE5">
      <w:pPr>
        <w:spacing w:line="22" w:lineRule="atLeast"/>
        <w:jc w:val="both"/>
        <w:rPr>
          <w:rFonts w:asciiTheme="minorHAnsi" w:hAnsiTheme="minorHAnsi" w:cs="Open Sans"/>
          <w:i/>
          <w:iCs/>
          <w:sz w:val="18"/>
          <w:szCs w:val="18"/>
          <w:lang w:val="fr-FR"/>
        </w:rPr>
      </w:pPr>
    </w:p>
    <w:p w14:paraId="4D353436" w14:textId="77777777" w:rsidR="00CE7C8D" w:rsidRPr="00E62816" w:rsidRDefault="00CE7C8D" w:rsidP="00CE7C8D">
      <w:pPr>
        <w:jc w:val="both"/>
        <w:rPr>
          <w:rFonts w:ascii="Source Sans Pro" w:hAnsi="Source Sans Pro" w:cstheme="minorHAnsi"/>
          <w:i/>
          <w:iCs/>
          <w:sz w:val="18"/>
          <w:szCs w:val="18"/>
          <w:lang w:val="fr-FR"/>
        </w:rPr>
      </w:pPr>
      <w:r w:rsidRPr="00E62816">
        <w:rPr>
          <w:rFonts w:ascii="Source Sans Pro" w:hAnsi="Source Sans Pro" w:cstheme="minorHAnsi"/>
          <w:i/>
          <w:iCs/>
          <w:sz w:val="18"/>
          <w:szCs w:val="18"/>
          <w:lang w:val="fr-FR"/>
        </w:rPr>
        <w:t>Périmètre : Portefeuille immobilier explicité précédemment pour la trajectoire CRREM et en lien avec le périmètre de la Net Zéro Alliance Owner</w:t>
      </w:r>
    </w:p>
    <w:p w14:paraId="0D20D0D0" w14:textId="77777777" w:rsidR="00CE7C8D" w:rsidRPr="00E62816" w:rsidRDefault="00CE7C8D" w:rsidP="00CE7C8D">
      <w:pPr>
        <w:jc w:val="both"/>
        <w:rPr>
          <w:rFonts w:ascii="Source Sans Pro" w:hAnsi="Source Sans Pro" w:cstheme="minorHAnsi"/>
          <w:i/>
          <w:iCs/>
          <w:sz w:val="18"/>
          <w:szCs w:val="18"/>
          <w:lang w:val="fr-FR"/>
        </w:rPr>
      </w:pPr>
      <w:r w:rsidRPr="00E62816">
        <w:rPr>
          <w:rFonts w:ascii="Source Sans Pro" w:hAnsi="Source Sans Pro" w:cstheme="minorHAnsi"/>
          <w:i/>
          <w:iCs/>
          <w:sz w:val="18"/>
          <w:szCs w:val="18"/>
          <w:lang w:val="fr-FR"/>
        </w:rPr>
        <w:t xml:space="preserve"> Source : Deepki</w:t>
      </w:r>
    </w:p>
    <w:p w14:paraId="402E36A9" w14:textId="77777777" w:rsidR="009341FC" w:rsidRPr="00A74D23" w:rsidRDefault="009341FC" w:rsidP="009D6EE5">
      <w:pPr>
        <w:spacing w:line="22" w:lineRule="atLeast"/>
        <w:jc w:val="both"/>
        <w:rPr>
          <w:rFonts w:asciiTheme="minorHAnsi" w:hAnsiTheme="minorHAnsi" w:cs="Open Sans"/>
          <w:i/>
          <w:iCs/>
          <w:sz w:val="18"/>
          <w:szCs w:val="18"/>
          <w:lang w:val="fr-FR"/>
        </w:rPr>
      </w:pPr>
    </w:p>
    <w:p w14:paraId="45E09065" w14:textId="6317C524" w:rsidR="00BB22A8" w:rsidRPr="0062402B" w:rsidRDefault="00BB22A8" w:rsidP="00BB22A8">
      <w:pPr>
        <w:jc w:val="both"/>
        <w:rPr>
          <w:rFonts w:ascii="Source Sans Pro" w:eastAsiaTheme="minorHAnsi" w:hAnsi="Source Sans Pro" w:cstheme="minorHAnsi"/>
          <w:sz w:val="20"/>
          <w:szCs w:val="20"/>
          <w:lang w:val="fr-FR"/>
        </w:rPr>
      </w:pPr>
      <w:r w:rsidRPr="000B03D0">
        <w:rPr>
          <w:rFonts w:ascii="Source Sans Pro" w:eastAsiaTheme="minorHAnsi" w:hAnsi="Source Sans Pro" w:cstheme="minorHAnsi"/>
          <w:sz w:val="20"/>
          <w:szCs w:val="20"/>
          <w:lang w:val="fr-FR"/>
        </w:rPr>
        <w:t xml:space="preserve">L’augmentation des intensités énergétiques et carbone entre 2019 et 2025, notamment entre 2024 et 2025, s’explique principalement par des effets de périmètre et l’amélioration de la qualité des données. </w:t>
      </w:r>
      <w:r w:rsidRPr="00BB22A8">
        <w:rPr>
          <w:rFonts w:ascii="Source Sans Pro" w:eastAsiaTheme="minorHAnsi" w:hAnsi="Source Sans Pro" w:cstheme="minorHAnsi"/>
          <w:sz w:val="20"/>
          <w:szCs w:val="20"/>
          <w:lang w:val="fr-FR"/>
        </w:rPr>
        <w:t>La cession d’actifs logistiques en 2025, caractérisés par de faibles intensités, a mécaniquement relevé la moyenne du portefeuille restant. Par ailleurs, l’intégration de nouveaux actifs (TOUDIC, REIWA), en phase initiale d’exploitation, a temporairement accru les niveaux de consommation.</w:t>
      </w:r>
      <w:r w:rsidR="0062402B">
        <w:rPr>
          <w:rFonts w:ascii="Source Sans Pro" w:eastAsiaTheme="minorHAnsi" w:hAnsi="Source Sans Pro" w:cstheme="minorHAnsi"/>
          <w:sz w:val="20"/>
          <w:szCs w:val="20"/>
          <w:lang w:val="fr-FR"/>
        </w:rPr>
        <w:t xml:space="preserve"> </w:t>
      </w:r>
      <w:r w:rsidRPr="00BB22A8">
        <w:rPr>
          <w:rFonts w:ascii="Source Sans Pro" w:eastAsiaTheme="minorHAnsi" w:hAnsi="Source Sans Pro" w:cstheme="minorHAnsi"/>
          <w:sz w:val="20"/>
          <w:szCs w:val="20"/>
          <w:lang w:val="fr-FR"/>
        </w:rPr>
        <w:t xml:space="preserve">En parallèle, le passage d’estimations (Deepki) à des données réelles en 2025 a amélioré la fiabilité des indicateurs, tout en générant des écarts avec les années précédentes. </w:t>
      </w:r>
      <w:r w:rsidRPr="000B03D0">
        <w:rPr>
          <w:rFonts w:ascii="Source Sans Pro" w:eastAsiaTheme="minorHAnsi" w:hAnsi="Source Sans Pro" w:cstheme="minorHAnsi"/>
          <w:sz w:val="20"/>
          <w:szCs w:val="20"/>
          <w:lang w:val="fr-FR"/>
        </w:rPr>
        <w:t>Ces évolutions relèvent donc principalement d’effets méthodologiques et de périmètre, et non d’une dégradation de la performance.</w:t>
      </w:r>
    </w:p>
    <w:p w14:paraId="4D2BF99D" w14:textId="77777777" w:rsidR="009B516A" w:rsidRDefault="009B516A" w:rsidP="009B516A">
      <w:pPr>
        <w:pStyle w:val="Paragraphedeliste"/>
        <w:spacing w:after="0" w:line="240" w:lineRule="auto"/>
        <w:ind w:left="0"/>
        <w:jc w:val="both"/>
        <w:rPr>
          <w:rFonts w:ascii="Source Sans Pro" w:hAnsi="Source Sans Pro" w:cstheme="minorHAnsi"/>
          <w:sz w:val="20"/>
          <w:szCs w:val="20"/>
        </w:rPr>
      </w:pPr>
    </w:p>
    <w:p w14:paraId="3FB7E8EE" w14:textId="77777777" w:rsidR="008801DC" w:rsidRDefault="008801DC" w:rsidP="009D6EE5">
      <w:pPr>
        <w:spacing w:line="22" w:lineRule="atLeast"/>
        <w:jc w:val="both"/>
        <w:rPr>
          <w:rFonts w:asciiTheme="minorHAnsi" w:hAnsiTheme="minorHAnsi" w:cs="Open Sans"/>
          <w:sz w:val="20"/>
          <w:szCs w:val="20"/>
          <w:lang w:val="fr-FR"/>
        </w:rPr>
      </w:pPr>
    </w:p>
    <w:p w14:paraId="16002C02" w14:textId="77777777" w:rsidR="008801DC" w:rsidRPr="00A74D23" w:rsidRDefault="008801DC" w:rsidP="009D6EE5">
      <w:pPr>
        <w:spacing w:line="22" w:lineRule="atLeast"/>
        <w:jc w:val="both"/>
        <w:rPr>
          <w:rFonts w:asciiTheme="minorHAnsi" w:hAnsiTheme="minorHAnsi" w:cs="Open Sans"/>
          <w:sz w:val="20"/>
          <w:szCs w:val="20"/>
          <w:lang w:val="fr-FR"/>
        </w:rPr>
      </w:pPr>
    </w:p>
    <w:p w14:paraId="031FB884" w14:textId="61231DB7" w:rsidR="0018477F" w:rsidRPr="00A74D23" w:rsidRDefault="008B6C18" w:rsidP="009D6EE5">
      <w:pPr>
        <w:spacing w:line="22" w:lineRule="atLeast"/>
        <w:jc w:val="both"/>
        <w:rPr>
          <w:rFonts w:asciiTheme="minorHAnsi" w:hAnsiTheme="minorHAnsi" w:cs="Open Sans"/>
          <w:b/>
          <w:bCs/>
          <w:lang w:val="fr-FR"/>
        </w:rPr>
      </w:pPr>
      <w:r w:rsidRPr="00A74D23">
        <w:rPr>
          <w:rFonts w:asciiTheme="minorHAnsi" w:hAnsiTheme="minorHAnsi" w:cs="Open Sans"/>
          <w:b/>
          <w:bCs/>
          <w:lang w:val="fr-FR"/>
        </w:rPr>
        <w:t>Certifications et labels de l’ensemble du portefeuille d’actifs immobilier</w:t>
      </w:r>
      <w:r w:rsidR="00683B79">
        <w:rPr>
          <w:rFonts w:asciiTheme="minorHAnsi" w:hAnsiTheme="minorHAnsi" w:cs="Open Sans"/>
          <w:b/>
          <w:bCs/>
          <w:lang w:val="fr-FR"/>
        </w:rPr>
        <w:t xml:space="preserve"> Abeille Retraite Professionnelle</w:t>
      </w:r>
      <w:r w:rsidRPr="00A74D23">
        <w:rPr>
          <w:rFonts w:asciiTheme="minorHAnsi" w:hAnsiTheme="minorHAnsi" w:cs="Open Sans"/>
          <w:b/>
          <w:bCs/>
          <w:lang w:val="fr-FR"/>
        </w:rPr>
        <w:t xml:space="preserve"> sous mandat de gestion OFI Invest RE</w:t>
      </w:r>
    </w:p>
    <w:p w14:paraId="5633847A" w14:textId="77777777" w:rsidR="0018477F" w:rsidRPr="00A74D23" w:rsidRDefault="0018477F" w:rsidP="009D6EE5">
      <w:pPr>
        <w:spacing w:line="22" w:lineRule="atLeast"/>
        <w:jc w:val="both"/>
        <w:rPr>
          <w:rFonts w:asciiTheme="minorHAnsi" w:hAnsiTheme="minorHAnsi" w:cs="Open Sans"/>
          <w:sz w:val="20"/>
          <w:szCs w:val="20"/>
          <w:lang w:val="fr-FR"/>
        </w:rPr>
      </w:pPr>
    </w:p>
    <w:p w14:paraId="48C20424" w14:textId="4CC1D768" w:rsidR="0018477F" w:rsidRPr="00A74D23" w:rsidRDefault="0011788B" w:rsidP="009D6EE5">
      <w:pPr>
        <w:spacing w:line="22" w:lineRule="atLeast"/>
        <w:jc w:val="both"/>
        <w:rPr>
          <w:rFonts w:asciiTheme="minorHAnsi" w:hAnsiTheme="minorHAnsi" w:cs="Open Sans"/>
          <w:sz w:val="20"/>
          <w:szCs w:val="20"/>
          <w:lang w:val="fr-FR"/>
        </w:rPr>
      </w:pPr>
      <w:r>
        <w:rPr>
          <w:noProof/>
        </w:rPr>
        <w:drawing>
          <wp:inline distT="0" distB="0" distL="0" distR="0" wp14:anchorId="4371A1FF" wp14:editId="046423A3">
            <wp:extent cx="5749107" cy="1924215"/>
            <wp:effectExtent l="0" t="0" r="4445" b="0"/>
            <wp:docPr id="1710888203" name="Graphique 1">
              <a:extLst xmlns:a="http://schemas.openxmlformats.org/drawingml/2006/main">
                <a:ext uri="{FF2B5EF4-FFF2-40B4-BE49-F238E27FC236}">
                  <a16:creationId xmlns:a16="http://schemas.microsoft.com/office/drawing/2014/main" id="{CA6F1089-47E2-4081-A028-3CBA40310C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0C21C85F" w14:textId="076B13D2" w:rsidR="006C5167" w:rsidRPr="00A74D23" w:rsidRDefault="006C5167" w:rsidP="009D6EE5">
      <w:pPr>
        <w:spacing w:line="22" w:lineRule="atLeast"/>
        <w:jc w:val="both"/>
        <w:rPr>
          <w:rFonts w:asciiTheme="minorHAnsi" w:hAnsiTheme="minorHAnsi" w:cs="Open Sans"/>
          <w:i/>
          <w:iCs/>
          <w:sz w:val="18"/>
          <w:szCs w:val="18"/>
          <w:lang w:val="fr-FR"/>
        </w:rPr>
      </w:pPr>
      <w:r w:rsidRPr="00A74D23">
        <w:rPr>
          <w:rFonts w:asciiTheme="minorHAnsi" w:hAnsiTheme="minorHAnsi" w:cs="Open Sans"/>
          <w:i/>
          <w:iCs/>
          <w:sz w:val="18"/>
          <w:szCs w:val="18"/>
          <w:lang w:val="fr-FR"/>
        </w:rPr>
        <w:t xml:space="preserve">Périmètre : Portefeuille </w:t>
      </w:r>
      <w:r w:rsidR="00FF6447">
        <w:rPr>
          <w:rFonts w:asciiTheme="minorHAnsi" w:hAnsiTheme="minorHAnsi" w:cs="Open Sans"/>
          <w:i/>
          <w:iCs/>
          <w:sz w:val="18"/>
          <w:szCs w:val="18"/>
          <w:lang w:val="fr-FR"/>
        </w:rPr>
        <w:t xml:space="preserve">Abeille Retraite Professionnelle </w:t>
      </w:r>
      <w:r w:rsidRPr="00A74D23">
        <w:rPr>
          <w:rFonts w:asciiTheme="minorHAnsi" w:hAnsiTheme="minorHAnsi" w:cs="Open Sans"/>
          <w:i/>
          <w:iCs/>
          <w:sz w:val="18"/>
          <w:szCs w:val="18"/>
          <w:lang w:val="fr-FR"/>
        </w:rPr>
        <w:t>sous mandat de gestion OFI Invest RE au 31/12/202</w:t>
      </w:r>
      <w:r w:rsidR="009B57EC" w:rsidRPr="00A74D23">
        <w:rPr>
          <w:rFonts w:asciiTheme="minorHAnsi" w:hAnsiTheme="minorHAnsi" w:cs="Open Sans"/>
          <w:i/>
          <w:iCs/>
          <w:sz w:val="18"/>
          <w:szCs w:val="18"/>
          <w:lang w:val="fr-FR"/>
        </w:rPr>
        <w:t>5</w:t>
      </w:r>
      <w:r w:rsidRPr="00A74D23">
        <w:rPr>
          <w:rFonts w:asciiTheme="minorHAnsi" w:hAnsiTheme="minorHAnsi" w:cs="Open Sans"/>
          <w:i/>
          <w:iCs/>
          <w:sz w:val="18"/>
          <w:szCs w:val="18"/>
          <w:lang w:val="fr-FR"/>
        </w:rPr>
        <w:t xml:space="preserve"> </w:t>
      </w:r>
    </w:p>
    <w:p w14:paraId="014A7C28" w14:textId="51CBA264" w:rsidR="0018477F" w:rsidRPr="00A74D23" w:rsidRDefault="006C5167" w:rsidP="009D6EE5">
      <w:pPr>
        <w:spacing w:line="22" w:lineRule="atLeast"/>
        <w:jc w:val="both"/>
        <w:rPr>
          <w:rFonts w:asciiTheme="minorHAnsi" w:hAnsiTheme="minorHAnsi" w:cs="Open Sans"/>
          <w:i/>
          <w:iCs/>
          <w:sz w:val="18"/>
          <w:szCs w:val="18"/>
          <w:lang w:val="fr-FR"/>
        </w:rPr>
      </w:pPr>
      <w:r w:rsidRPr="00A74D23">
        <w:rPr>
          <w:rFonts w:asciiTheme="minorHAnsi" w:hAnsiTheme="minorHAnsi" w:cs="Open Sans"/>
          <w:i/>
          <w:iCs/>
          <w:sz w:val="18"/>
          <w:szCs w:val="18"/>
          <w:lang w:val="fr-FR"/>
        </w:rPr>
        <w:t>Source : Ofi Invest Real Estate</w:t>
      </w:r>
    </w:p>
    <w:p w14:paraId="4FC59E55" w14:textId="77777777" w:rsidR="006C5167" w:rsidRPr="00A74D23" w:rsidRDefault="006C5167" w:rsidP="009D6EE5">
      <w:pPr>
        <w:spacing w:line="22" w:lineRule="atLeast"/>
        <w:jc w:val="both"/>
        <w:rPr>
          <w:rFonts w:asciiTheme="minorHAnsi" w:hAnsiTheme="minorHAnsi" w:cs="Open Sans"/>
          <w:i/>
          <w:iCs/>
          <w:sz w:val="18"/>
          <w:szCs w:val="18"/>
          <w:lang w:val="fr-FR"/>
        </w:rPr>
      </w:pPr>
    </w:p>
    <w:p w14:paraId="3C25C615" w14:textId="77777777" w:rsidR="0018477F" w:rsidRPr="00A74D23" w:rsidRDefault="0018477F" w:rsidP="009D6EE5">
      <w:pPr>
        <w:spacing w:line="22" w:lineRule="atLeast"/>
        <w:jc w:val="both"/>
        <w:rPr>
          <w:rFonts w:asciiTheme="minorHAnsi" w:hAnsiTheme="minorHAnsi" w:cs="Open Sans"/>
          <w:sz w:val="20"/>
          <w:szCs w:val="20"/>
          <w:lang w:val="fr-FR"/>
        </w:rPr>
      </w:pPr>
    </w:p>
    <w:p w14:paraId="7CD62F24" w14:textId="200E319B" w:rsidR="009C35B5" w:rsidRDefault="00FE06E8" w:rsidP="009D6EE5">
      <w:pPr>
        <w:spacing w:line="22" w:lineRule="atLeast"/>
        <w:jc w:val="both"/>
        <w:rPr>
          <w:rFonts w:asciiTheme="minorHAnsi" w:hAnsiTheme="minorHAnsi" w:cs="Open Sans"/>
          <w:sz w:val="20"/>
          <w:szCs w:val="20"/>
          <w:lang w:val="fr-FR"/>
        </w:rPr>
      </w:pPr>
      <w:r w:rsidRPr="00A74D23">
        <w:rPr>
          <w:rFonts w:asciiTheme="minorHAnsi" w:hAnsiTheme="minorHAnsi" w:cs="Open Sans"/>
          <w:sz w:val="20"/>
          <w:szCs w:val="20"/>
          <w:lang w:val="fr-FR"/>
        </w:rPr>
        <w:t xml:space="preserve">La part des actifs immobiliers du patrimoine sous mandat de gestion OFI Invest RE bénéficiant d’une certification environnementale (BREEAM, HQE, LEED) est passée de </w:t>
      </w:r>
      <w:r w:rsidR="0011788B">
        <w:rPr>
          <w:rFonts w:asciiTheme="minorHAnsi" w:hAnsiTheme="minorHAnsi" w:cs="Open Sans"/>
          <w:sz w:val="20"/>
          <w:szCs w:val="20"/>
          <w:lang w:val="fr-FR"/>
        </w:rPr>
        <w:t>75</w:t>
      </w:r>
      <w:r w:rsidRPr="00A74D23">
        <w:rPr>
          <w:rFonts w:asciiTheme="minorHAnsi" w:hAnsiTheme="minorHAnsi" w:cs="Open Sans"/>
          <w:sz w:val="20"/>
          <w:szCs w:val="20"/>
          <w:lang w:val="fr-FR"/>
        </w:rPr>
        <w:t xml:space="preserve">% en nombre en 2019 à </w:t>
      </w:r>
      <w:r w:rsidR="0011788B">
        <w:rPr>
          <w:rFonts w:asciiTheme="minorHAnsi" w:hAnsiTheme="minorHAnsi" w:cs="Open Sans"/>
          <w:sz w:val="20"/>
          <w:szCs w:val="20"/>
          <w:lang w:val="fr-FR"/>
        </w:rPr>
        <w:t>60</w:t>
      </w:r>
      <w:r w:rsidRPr="00A74D23">
        <w:rPr>
          <w:rFonts w:asciiTheme="minorHAnsi" w:hAnsiTheme="minorHAnsi" w:cs="Open Sans"/>
          <w:sz w:val="20"/>
          <w:szCs w:val="20"/>
          <w:lang w:val="fr-FR"/>
        </w:rPr>
        <w:t xml:space="preserve">% en nombre en 2025, </w:t>
      </w:r>
      <w:r w:rsidR="004031EF" w:rsidRPr="004031EF">
        <w:rPr>
          <w:rFonts w:ascii="Source Sans Pro" w:hAnsi="Source Sans Pro" w:cstheme="minorHAnsi"/>
          <w:sz w:val="20"/>
          <w:szCs w:val="20"/>
          <w:lang w:val="fr-FR"/>
        </w:rPr>
        <w:t>notamment du fait d’acquisitions bénéficiant de niveau de labels élevés ou de la restructuration d’immeubles en vue d’obtenir un niveau de labellisation plus exigeant, mais fluctuant parfois à la baisse au cours des années en fonction des cessions d’actifs bénéficiant d’une certification environnementale.</w:t>
      </w:r>
    </w:p>
    <w:p w14:paraId="1F9D12E4" w14:textId="77777777" w:rsidR="00E26C6A" w:rsidRPr="00A74D23" w:rsidRDefault="00E26C6A" w:rsidP="009D6EE5">
      <w:pPr>
        <w:spacing w:line="22" w:lineRule="atLeast"/>
        <w:jc w:val="both"/>
        <w:rPr>
          <w:rFonts w:asciiTheme="minorHAnsi" w:hAnsiTheme="minorHAnsi" w:cs="Open Sans"/>
          <w:sz w:val="20"/>
          <w:szCs w:val="20"/>
          <w:lang w:val="fr-FR"/>
        </w:rPr>
      </w:pPr>
    </w:p>
    <w:p w14:paraId="55CB3C33" w14:textId="77777777" w:rsidR="0018477F" w:rsidRPr="00A74D23" w:rsidRDefault="0018477F" w:rsidP="009D6EE5">
      <w:pPr>
        <w:spacing w:line="22" w:lineRule="atLeast"/>
        <w:jc w:val="both"/>
        <w:rPr>
          <w:rFonts w:asciiTheme="minorHAnsi" w:hAnsiTheme="minorHAnsi" w:cs="Open Sans"/>
          <w:sz w:val="20"/>
          <w:szCs w:val="20"/>
          <w:lang w:val="fr-FR"/>
        </w:rPr>
      </w:pPr>
    </w:p>
    <w:p w14:paraId="2B776348" w14:textId="2F8DDA56" w:rsidR="0018477F" w:rsidRPr="00A74D23" w:rsidRDefault="009A24ED" w:rsidP="009D6EE5">
      <w:pPr>
        <w:spacing w:line="22" w:lineRule="atLeast"/>
        <w:jc w:val="both"/>
        <w:rPr>
          <w:rFonts w:asciiTheme="minorHAnsi" w:hAnsiTheme="minorHAnsi" w:cs="Open Sans"/>
          <w:sz w:val="20"/>
          <w:szCs w:val="20"/>
          <w:lang w:val="fr-FR"/>
        </w:rPr>
      </w:pPr>
      <w:r w:rsidRPr="00A74D23">
        <w:rPr>
          <w:rFonts w:asciiTheme="minorHAnsi" w:hAnsiTheme="minorHAnsi" w:cs="Open Sans"/>
          <w:noProof/>
          <w:sz w:val="20"/>
          <w:lang w:val="fr-FR"/>
        </w:rPr>
        <mc:AlternateContent>
          <mc:Choice Requires="wps">
            <w:drawing>
              <wp:anchor distT="0" distB="0" distL="114300" distR="114300" simplePos="0" relativeHeight="251768832" behindDoc="0" locked="0" layoutInCell="1" allowOverlap="1" wp14:anchorId="6FFDD90D" wp14:editId="0AD7DA64">
                <wp:simplePos x="0" y="0"/>
                <wp:positionH relativeFrom="margin">
                  <wp:align>left</wp:align>
                </wp:positionH>
                <wp:positionV relativeFrom="paragraph">
                  <wp:posOffset>172295</wp:posOffset>
                </wp:positionV>
                <wp:extent cx="6061075" cy="1963024"/>
                <wp:effectExtent l="0" t="0" r="0" b="0"/>
                <wp:wrapNone/>
                <wp:docPr id="1335631417" name="Rectangle 5"/>
                <wp:cNvGraphicFramePr/>
                <a:graphic xmlns:a="http://schemas.openxmlformats.org/drawingml/2006/main">
                  <a:graphicData uri="http://schemas.microsoft.com/office/word/2010/wordprocessingShape">
                    <wps:wsp>
                      <wps:cNvSpPr/>
                      <wps:spPr>
                        <a:xfrm>
                          <a:off x="0" y="0"/>
                          <a:ext cx="6061075" cy="1963024"/>
                        </a:xfrm>
                        <a:prstGeom prst="rect">
                          <a:avLst/>
                        </a:prstGeom>
                        <a:solidFill>
                          <a:schemeClr val="bg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A7BE16" w14:textId="77777777" w:rsidR="00116581" w:rsidRDefault="00116581" w:rsidP="009A24ED">
                            <w:pPr>
                              <w:spacing w:line="276" w:lineRule="auto"/>
                              <w:jc w:val="both"/>
                              <w:rPr>
                                <w:rFonts w:asciiTheme="minorHAnsi" w:hAnsiTheme="minorHAnsi" w:cs="Open Sans"/>
                                <w:color w:val="000000" w:themeColor="text1"/>
                                <w:sz w:val="20"/>
                                <w:lang w:val="fr-FR"/>
                              </w:rPr>
                            </w:pPr>
                            <w:r>
                              <w:rPr>
                                <w:rFonts w:asciiTheme="minorHAnsi" w:hAnsiTheme="minorHAnsi" w:cs="Open Sans"/>
                                <w:color w:val="000000" w:themeColor="text1"/>
                                <w:sz w:val="20"/>
                                <w:lang w:val="fr-FR"/>
                              </w:rPr>
                              <w:t xml:space="preserve"> </w:t>
                            </w:r>
                          </w:p>
                          <w:p w14:paraId="77F72F88" w14:textId="77777777" w:rsidR="0005104F" w:rsidRPr="00BB2CA5" w:rsidRDefault="0005104F" w:rsidP="009A24ED">
                            <w:pPr>
                              <w:spacing w:line="276" w:lineRule="auto"/>
                              <w:jc w:val="both"/>
                              <w:rPr>
                                <w:rFonts w:asciiTheme="minorHAnsi" w:hAnsiTheme="minorHAnsi" w:cs="Open Sans"/>
                                <w:color w:val="000000" w:themeColor="text1"/>
                                <w:sz w:val="20"/>
                                <w:lang w:val="fr-FR"/>
                              </w:rPr>
                            </w:pPr>
                          </w:p>
                          <w:tbl>
                            <w:tblPr>
                              <w:tblW w:w="9141" w:type="dxa"/>
                              <w:jc w:val="center"/>
                              <w:tblCellMar>
                                <w:left w:w="70" w:type="dxa"/>
                                <w:right w:w="70" w:type="dxa"/>
                              </w:tblCellMar>
                              <w:tblLook w:val="04A0" w:firstRow="1" w:lastRow="0" w:firstColumn="1" w:lastColumn="0" w:noHBand="0" w:noVBand="1"/>
                            </w:tblPr>
                            <w:tblGrid>
                              <w:gridCol w:w="601"/>
                              <w:gridCol w:w="554"/>
                              <w:gridCol w:w="620"/>
                              <w:gridCol w:w="722"/>
                              <w:gridCol w:w="729"/>
                              <w:gridCol w:w="524"/>
                              <w:gridCol w:w="588"/>
                              <w:gridCol w:w="757"/>
                              <w:gridCol w:w="734"/>
                              <w:gridCol w:w="618"/>
                              <w:gridCol w:w="786"/>
                              <w:gridCol w:w="796"/>
                              <w:gridCol w:w="524"/>
                              <w:gridCol w:w="588"/>
                            </w:tblGrid>
                            <w:tr w:rsidR="00C40E25" w:rsidRPr="00CC590F" w14:paraId="344601F6" w14:textId="77777777">
                              <w:trPr>
                                <w:trHeight w:val="463"/>
                                <w:jc w:val="center"/>
                              </w:trPr>
                              <w:tc>
                                <w:tcPr>
                                  <w:tcW w:w="4338" w:type="dxa"/>
                                  <w:gridSpan w:val="7"/>
                                  <w:tcBorders>
                                    <w:right w:val="single" w:sz="4" w:space="0" w:color="auto"/>
                                  </w:tcBorders>
                                  <w:shd w:val="clear" w:color="auto" w:fill="4CA79F" w:themeFill="background2"/>
                                </w:tcPr>
                                <w:p w14:paraId="7C47562B" w14:textId="5804E970" w:rsidR="00C40E25" w:rsidRPr="00CC590F" w:rsidRDefault="00C40E25" w:rsidP="00116581">
                                  <w:pPr>
                                    <w:jc w:val="both"/>
                                    <w:rPr>
                                      <w:rFonts w:asciiTheme="minorHAnsi" w:hAnsiTheme="minorHAnsi"/>
                                      <w:b/>
                                      <w:sz w:val="20"/>
                                      <w:szCs w:val="20"/>
                                      <w:lang w:val="fr-FR"/>
                                    </w:rPr>
                                  </w:pPr>
                                  <w:r w:rsidRPr="00CC590F">
                                    <w:rPr>
                                      <w:rFonts w:asciiTheme="minorHAnsi" w:hAnsiTheme="minorHAnsi"/>
                                      <w:b/>
                                      <w:sz w:val="20"/>
                                      <w:szCs w:val="20"/>
                                      <w:lang w:val="fr-FR"/>
                                    </w:rPr>
                                    <w:t>Performance énergétique (kWhEF/m².an)</w:t>
                                  </w:r>
                                </w:p>
                              </w:tc>
                              <w:tc>
                                <w:tcPr>
                                  <w:tcW w:w="4803" w:type="dxa"/>
                                  <w:gridSpan w:val="7"/>
                                  <w:tcBorders>
                                    <w:left w:val="single" w:sz="4" w:space="0" w:color="auto"/>
                                  </w:tcBorders>
                                  <w:shd w:val="clear" w:color="auto" w:fill="4CA79F" w:themeFill="background2"/>
                                </w:tcPr>
                                <w:p w14:paraId="4899184C" w14:textId="4E38A68B" w:rsidR="00C40E25" w:rsidRPr="006D76F1" w:rsidRDefault="00C40E25" w:rsidP="00116581">
                                  <w:pPr>
                                    <w:rPr>
                                      <w:rFonts w:asciiTheme="minorHAnsi" w:hAnsiTheme="minorHAnsi"/>
                                      <w:b/>
                                      <w:sz w:val="20"/>
                                      <w:szCs w:val="20"/>
                                    </w:rPr>
                                  </w:pPr>
                                  <w:r w:rsidRPr="006D76F1">
                                    <w:rPr>
                                      <w:rFonts w:asciiTheme="minorHAnsi" w:hAnsiTheme="minorHAnsi"/>
                                      <w:b/>
                                      <w:sz w:val="20"/>
                                      <w:szCs w:val="20"/>
                                    </w:rPr>
                                    <w:t>Performance carbone (kgCO2e/m</w:t>
                                  </w:r>
                                  <w:r w:rsidRPr="006D76F1">
                                    <w:rPr>
                                      <w:rFonts w:asciiTheme="minorHAnsi" w:hAnsiTheme="minorHAnsi" w:hint="eastAsia"/>
                                      <w:b/>
                                      <w:sz w:val="20"/>
                                      <w:szCs w:val="20"/>
                                    </w:rPr>
                                    <w:t>²</w:t>
                                  </w:r>
                                  <w:r w:rsidRPr="006D76F1">
                                    <w:rPr>
                                      <w:rFonts w:asciiTheme="minorHAnsi" w:hAnsiTheme="minorHAnsi"/>
                                      <w:b/>
                                      <w:sz w:val="20"/>
                                      <w:szCs w:val="20"/>
                                    </w:rPr>
                                    <w:t>.an)</w:t>
                                  </w:r>
                                </w:p>
                              </w:tc>
                            </w:tr>
                            <w:tr w:rsidR="00CC590F" w:rsidRPr="00CC590F" w14:paraId="655A66B6" w14:textId="77777777" w:rsidTr="00C40E25">
                              <w:trPr>
                                <w:trHeight w:val="335"/>
                                <w:jc w:val="center"/>
                              </w:trPr>
                              <w:tc>
                                <w:tcPr>
                                  <w:tcW w:w="601" w:type="dxa"/>
                                  <w:noWrap/>
                                  <w:vAlign w:val="center"/>
                                  <w:hideMark/>
                                </w:tcPr>
                                <w:p w14:paraId="7CC618D9"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2019</w:t>
                                  </w:r>
                                </w:p>
                              </w:tc>
                              <w:tc>
                                <w:tcPr>
                                  <w:tcW w:w="554" w:type="dxa"/>
                                  <w:noWrap/>
                                  <w:vAlign w:val="center"/>
                                  <w:hideMark/>
                                </w:tcPr>
                                <w:p w14:paraId="56B43EE8"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2020</w:t>
                                  </w:r>
                                </w:p>
                              </w:tc>
                              <w:tc>
                                <w:tcPr>
                                  <w:tcW w:w="620" w:type="dxa"/>
                                  <w:noWrap/>
                                  <w:vAlign w:val="center"/>
                                  <w:hideMark/>
                                </w:tcPr>
                                <w:p w14:paraId="5BDE30B5"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2021</w:t>
                                  </w:r>
                                </w:p>
                              </w:tc>
                              <w:tc>
                                <w:tcPr>
                                  <w:tcW w:w="722" w:type="dxa"/>
                                  <w:vAlign w:val="center"/>
                                </w:tcPr>
                                <w:p w14:paraId="75FF7534"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2022</w:t>
                                  </w:r>
                                </w:p>
                              </w:tc>
                              <w:tc>
                                <w:tcPr>
                                  <w:tcW w:w="729" w:type="dxa"/>
                                  <w:noWrap/>
                                  <w:vAlign w:val="center"/>
                                  <w:hideMark/>
                                </w:tcPr>
                                <w:p w14:paraId="644049D8"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2023</w:t>
                                  </w:r>
                                </w:p>
                              </w:tc>
                              <w:tc>
                                <w:tcPr>
                                  <w:tcW w:w="524" w:type="dxa"/>
                                  <w:vAlign w:val="center"/>
                                </w:tcPr>
                                <w:p w14:paraId="115DCA59"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2024</w:t>
                                  </w:r>
                                </w:p>
                              </w:tc>
                              <w:tc>
                                <w:tcPr>
                                  <w:tcW w:w="588" w:type="dxa"/>
                                  <w:tcBorders>
                                    <w:left w:val="nil"/>
                                    <w:right w:val="single" w:sz="4" w:space="0" w:color="auto"/>
                                  </w:tcBorders>
                                  <w:vAlign w:val="center"/>
                                </w:tcPr>
                                <w:p w14:paraId="56287ADE" w14:textId="77777777" w:rsidR="00116581" w:rsidRPr="00CC590F" w:rsidRDefault="00116581" w:rsidP="00116581">
                                  <w:pPr>
                                    <w:jc w:val="center"/>
                                    <w:rPr>
                                      <w:rFonts w:asciiTheme="minorHAnsi" w:hAnsiTheme="minorHAnsi"/>
                                      <w:b/>
                                      <w:bCs/>
                                      <w:i/>
                                      <w:iCs/>
                                      <w:color w:val="000000" w:themeColor="text1"/>
                                      <w:sz w:val="22"/>
                                      <w:szCs w:val="22"/>
                                    </w:rPr>
                                  </w:pPr>
                                  <w:r w:rsidRPr="00CC590F">
                                    <w:rPr>
                                      <w:rFonts w:asciiTheme="minorHAnsi" w:hAnsiTheme="minorHAnsi"/>
                                      <w:b/>
                                      <w:bCs/>
                                      <w:i/>
                                      <w:iCs/>
                                      <w:color w:val="000000" w:themeColor="text1"/>
                                      <w:sz w:val="22"/>
                                      <w:szCs w:val="22"/>
                                    </w:rPr>
                                    <w:t>2025</w:t>
                                  </w:r>
                                </w:p>
                              </w:tc>
                              <w:tc>
                                <w:tcPr>
                                  <w:tcW w:w="757" w:type="dxa"/>
                                  <w:tcBorders>
                                    <w:left w:val="single" w:sz="4" w:space="0" w:color="auto"/>
                                  </w:tcBorders>
                                  <w:noWrap/>
                                  <w:vAlign w:val="center"/>
                                  <w:hideMark/>
                                </w:tcPr>
                                <w:p w14:paraId="69FE7BE0"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2019</w:t>
                                  </w:r>
                                </w:p>
                              </w:tc>
                              <w:tc>
                                <w:tcPr>
                                  <w:tcW w:w="734" w:type="dxa"/>
                                  <w:noWrap/>
                                  <w:vAlign w:val="center"/>
                                  <w:hideMark/>
                                </w:tcPr>
                                <w:p w14:paraId="62E3296C"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2020</w:t>
                                  </w:r>
                                </w:p>
                              </w:tc>
                              <w:tc>
                                <w:tcPr>
                                  <w:tcW w:w="618" w:type="dxa"/>
                                  <w:noWrap/>
                                  <w:vAlign w:val="center"/>
                                  <w:hideMark/>
                                </w:tcPr>
                                <w:p w14:paraId="3FB90766"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2021</w:t>
                                  </w:r>
                                </w:p>
                              </w:tc>
                              <w:tc>
                                <w:tcPr>
                                  <w:tcW w:w="786" w:type="dxa"/>
                                  <w:vAlign w:val="center"/>
                                </w:tcPr>
                                <w:p w14:paraId="385DB4DD"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2022</w:t>
                                  </w:r>
                                </w:p>
                              </w:tc>
                              <w:tc>
                                <w:tcPr>
                                  <w:tcW w:w="796" w:type="dxa"/>
                                  <w:noWrap/>
                                  <w:vAlign w:val="center"/>
                                  <w:hideMark/>
                                </w:tcPr>
                                <w:p w14:paraId="7DF04FD5"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2023</w:t>
                                  </w:r>
                                </w:p>
                              </w:tc>
                              <w:tc>
                                <w:tcPr>
                                  <w:tcW w:w="524" w:type="dxa"/>
                                  <w:vAlign w:val="center"/>
                                </w:tcPr>
                                <w:p w14:paraId="07339E83"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2024</w:t>
                                  </w:r>
                                </w:p>
                              </w:tc>
                              <w:tc>
                                <w:tcPr>
                                  <w:tcW w:w="588" w:type="dxa"/>
                                  <w:vAlign w:val="center"/>
                                </w:tcPr>
                                <w:p w14:paraId="6254AC14" w14:textId="77777777" w:rsidR="00116581" w:rsidRPr="00CC590F" w:rsidRDefault="00116581" w:rsidP="00116581">
                                  <w:pPr>
                                    <w:jc w:val="center"/>
                                    <w:rPr>
                                      <w:rFonts w:asciiTheme="minorHAnsi" w:hAnsiTheme="minorHAnsi"/>
                                      <w:b/>
                                      <w:bCs/>
                                      <w:i/>
                                      <w:iCs/>
                                      <w:color w:val="000000" w:themeColor="text1"/>
                                      <w:sz w:val="22"/>
                                      <w:szCs w:val="22"/>
                                    </w:rPr>
                                  </w:pPr>
                                  <w:r w:rsidRPr="00CC590F">
                                    <w:rPr>
                                      <w:rFonts w:asciiTheme="minorHAnsi" w:hAnsiTheme="minorHAnsi"/>
                                      <w:b/>
                                      <w:bCs/>
                                      <w:i/>
                                      <w:iCs/>
                                      <w:color w:val="000000" w:themeColor="text1"/>
                                      <w:sz w:val="22"/>
                                      <w:szCs w:val="22"/>
                                    </w:rPr>
                                    <w:t>2025</w:t>
                                  </w:r>
                                </w:p>
                              </w:tc>
                            </w:tr>
                            <w:tr w:rsidR="00CC590F" w:rsidRPr="00CC590F" w14:paraId="7367F64E" w14:textId="77777777" w:rsidTr="00C40E25">
                              <w:trPr>
                                <w:trHeight w:val="76"/>
                                <w:jc w:val="center"/>
                              </w:trPr>
                              <w:tc>
                                <w:tcPr>
                                  <w:tcW w:w="601" w:type="dxa"/>
                                  <w:noWrap/>
                                  <w:hideMark/>
                                </w:tcPr>
                                <w:p w14:paraId="58234016" w14:textId="2EDB4E9A" w:rsidR="00CC590F" w:rsidRPr="00CC590F" w:rsidRDefault="00CC590F" w:rsidP="00CC590F">
                                  <w:pPr>
                                    <w:jc w:val="center"/>
                                    <w:rPr>
                                      <w:rFonts w:asciiTheme="minorHAnsi" w:hAnsiTheme="minorHAnsi"/>
                                      <w:color w:val="000000" w:themeColor="text1"/>
                                      <w:sz w:val="20"/>
                                      <w:szCs w:val="20"/>
                                    </w:rPr>
                                  </w:pPr>
                                  <w:r w:rsidRPr="00CC590F">
                                    <w:rPr>
                                      <w:rFonts w:asciiTheme="minorHAnsi" w:hAnsiTheme="minorHAnsi"/>
                                      <w:color w:val="000000" w:themeColor="text1"/>
                                      <w:sz w:val="20"/>
                                      <w:szCs w:val="20"/>
                                    </w:rPr>
                                    <w:t>194</w:t>
                                  </w:r>
                                </w:p>
                              </w:tc>
                              <w:tc>
                                <w:tcPr>
                                  <w:tcW w:w="554" w:type="dxa"/>
                                  <w:noWrap/>
                                  <w:hideMark/>
                                </w:tcPr>
                                <w:p w14:paraId="5B5E8261" w14:textId="2C49DFF3" w:rsidR="00CC590F" w:rsidRPr="00CC590F" w:rsidRDefault="00CC590F" w:rsidP="00CC590F">
                                  <w:pPr>
                                    <w:jc w:val="center"/>
                                    <w:rPr>
                                      <w:rFonts w:asciiTheme="minorHAnsi" w:hAnsiTheme="minorHAnsi"/>
                                      <w:color w:val="000000" w:themeColor="text1"/>
                                      <w:sz w:val="20"/>
                                      <w:szCs w:val="20"/>
                                    </w:rPr>
                                  </w:pPr>
                                  <w:r w:rsidRPr="00CC590F">
                                    <w:rPr>
                                      <w:rFonts w:asciiTheme="minorHAnsi" w:hAnsiTheme="minorHAnsi"/>
                                      <w:color w:val="000000" w:themeColor="text1"/>
                                      <w:sz w:val="20"/>
                                      <w:szCs w:val="20"/>
                                    </w:rPr>
                                    <w:t>174</w:t>
                                  </w:r>
                                </w:p>
                              </w:tc>
                              <w:tc>
                                <w:tcPr>
                                  <w:tcW w:w="620" w:type="dxa"/>
                                  <w:noWrap/>
                                  <w:hideMark/>
                                </w:tcPr>
                                <w:p w14:paraId="53BC9CC7" w14:textId="7B114E52" w:rsidR="00CC590F" w:rsidRPr="00CC590F" w:rsidRDefault="00CC590F" w:rsidP="00CC590F">
                                  <w:pPr>
                                    <w:jc w:val="center"/>
                                    <w:rPr>
                                      <w:rFonts w:asciiTheme="minorHAnsi" w:hAnsiTheme="minorHAnsi"/>
                                      <w:color w:val="000000" w:themeColor="text1"/>
                                      <w:sz w:val="20"/>
                                      <w:szCs w:val="20"/>
                                    </w:rPr>
                                  </w:pPr>
                                  <w:r w:rsidRPr="00CC590F">
                                    <w:rPr>
                                      <w:rFonts w:asciiTheme="minorHAnsi" w:hAnsiTheme="minorHAnsi"/>
                                      <w:color w:val="000000" w:themeColor="text1"/>
                                      <w:sz w:val="20"/>
                                      <w:szCs w:val="20"/>
                                    </w:rPr>
                                    <w:t>179</w:t>
                                  </w:r>
                                </w:p>
                              </w:tc>
                              <w:tc>
                                <w:tcPr>
                                  <w:tcW w:w="722" w:type="dxa"/>
                                </w:tcPr>
                                <w:p w14:paraId="05D75A75" w14:textId="4AE3A1C9" w:rsidR="00CC590F" w:rsidRPr="00CC590F" w:rsidRDefault="00CC590F" w:rsidP="00CC590F">
                                  <w:pPr>
                                    <w:jc w:val="center"/>
                                    <w:rPr>
                                      <w:rFonts w:asciiTheme="minorHAnsi" w:hAnsiTheme="minorHAnsi" w:cs="Calibri"/>
                                      <w:color w:val="000000" w:themeColor="text1"/>
                                      <w:sz w:val="20"/>
                                      <w:szCs w:val="20"/>
                                    </w:rPr>
                                  </w:pPr>
                                  <w:r w:rsidRPr="00CC590F">
                                    <w:rPr>
                                      <w:rFonts w:asciiTheme="minorHAnsi" w:hAnsiTheme="minorHAnsi"/>
                                      <w:color w:val="000000" w:themeColor="text1"/>
                                      <w:sz w:val="20"/>
                                      <w:szCs w:val="20"/>
                                    </w:rPr>
                                    <w:t>169</w:t>
                                  </w:r>
                                </w:p>
                              </w:tc>
                              <w:tc>
                                <w:tcPr>
                                  <w:tcW w:w="729" w:type="dxa"/>
                                  <w:noWrap/>
                                  <w:hideMark/>
                                </w:tcPr>
                                <w:p w14:paraId="31B5FE04" w14:textId="53DCEE58" w:rsidR="00CC590F" w:rsidRPr="00CC590F" w:rsidRDefault="00CC590F" w:rsidP="00CC590F">
                                  <w:pPr>
                                    <w:jc w:val="center"/>
                                    <w:rPr>
                                      <w:rFonts w:asciiTheme="minorHAnsi" w:hAnsiTheme="minorHAnsi"/>
                                      <w:color w:val="000000" w:themeColor="text1"/>
                                      <w:sz w:val="20"/>
                                      <w:szCs w:val="20"/>
                                    </w:rPr>
                                  </w:pPr>
                                  <w:r w:rsidRPr="00CC590F">
                                    <w:rPr>
                                      <w:rFonts w:asciiTheme="minorHAnsi" w:hAnsiTheme="minorHAnsi"/>
                                      <w:color w:val="000000" w:themeColor="text1"/>
                                      <w:sz w:val="20"/>
                                      <w:szCs w:val="20"/>
                                    </w:rPr>
                                    <w:t>154</w:t>
                                  </w:r>
                                </w:p>
                              </w:tc>
                              <w:tc>
                                <w:tcPr>
                                  <w:tcW w:w="524" w:type="dxa"/>
                                </w:tcPr>
                                <w:p w14:paraId="2DDEAC2E" w14:textId="57BC5304" w:rsidR="00CC590F" w:rsidRPr="00CC590F" w:rsidRDefault="00CC590F" w:rsidP="00CC590F">
                                  <w:pPr>
                                    <w:jc w:val="center"/>
                                    <w:rPr>
                                      <w:rFonts w:asciiTheme="minorHAnsi" w:hAnsiTheme="minorHAnsi" w:cs="Calibri"/>
                                      <w:color w:val="000000" w:themeColor="text1"/>
                                      <w:sz w:val="20"/>
                                      <w:szCs w:val="20"/>
                                    </w:rPr>
                                  </w:pPr>
                                  <w:r w:rsidRPr="00CC590F">
                                    <w:rPr>
                                      <w:rFonts w:asciiTheme="minorHAnsi" w:hAnsiTheme="minorHAnsi"/>
                                      <w:color w:val="000000" w:themeColor="text1"/>
                                      <w:sz w:val="20"/>
                                      <w:szCs w:val="20"/>
                                    </w:rPr>
                                    <w:t>93</w:t>
                                  </w:r>
                                </w:p>
                              </w:tc>
                              <w:tc>
                                <w:tcPr>
                                  <w:tcW w:w="588" w:type="dxa"/>
                                  <w:tcBorders>
                                    <w:left w:val="nil"/>
                                    <w:right w:val="single" w:sz="4" w:space="0" w:color="auto"/>
                                  </w:tcBorders>
                                </w:tcPr>
                                <w:p w14:paraId="52803A8D" w14:textId="48E30D64" w:rsidR="00CC590F" w:rsidRPr="00CC590F" w:rsidRDefault="00CC590F" w:rsidP="00CC590F">
                                  <w:pPr>
                                    <w:jc w:val="center"/>
                                    <w:rPr>
                                      <w:rFonts w:asciiTheme="minorHAnsi" w:hAnsiTheme="minorHAnsi"/>
                                      <w:b/>
                                      <w:bCs/>
                                      <w:color w:val="000000" w:themeColor="text1"/>
                                      <w:sz w:val="22"/>
                                      <w:szCs w:val="22"/>
                                    </w:rPr>
                                  </w:pPr>
                                  <w:r w:rsidRPr="00CC590F">
                                    <w:rPr>
                                      <w:rFonts w:asciiTheme="minorHAnsi" w:hAnsiTheme="minorHAnsi"/>
                                      <w:b/>
                                      <w:bCs/>
                                      <w:color w:val="000000" w:themeColor="text1"/>
                                      <w:sz w:val="22"/>
                                      <w:szCs w:val="22"/>
                                    </w:rPr>
                                    <w:t>100</w:t>
                                  </w:r>
                                </w:p>
                              </w:tc>
                              <w:tc>
                                <w:tcPr>
                                  <w:tcW w:w="757" w:type="dxa"/>
                                  <w:tcBorders>
                                    <w:left w:val="single" w:sz="4" w:space="0" w:color="auto"/>
                                  </w:tcBorders>
                                  <w:noWrap/>
                                  <w:hideMark/>
                                </w:tcPr>
                                <w:p w14:paraId="1C5304E6" w14:textId="70C52801" w:rsidR="00CC590F" w:rsidRPr="00CC590F" w:rsidRDefault="00CC590F" w:rsidP="00CC590F">
                                  <w:pPr>
                                    <w:jc w:val="center"/>
                                    <w:rPr>
                                      <w:rFonts w:asciiTheme="minorHAnsi" w:hAnsiTheme="minorHAnsi"/>
                                      <w:color w:val="000000" w:themeColor="text1"/>
                                      <w:sz w:val="20"/>
                                      <w:szCs w:val="20"/>
                                    </w:rPr>
                                  </w:pPr>
                                  <w:r w:rsidRPr="00CC590F">
                                    <w:rPr>
                                      <w:rFonts w:asciiTheme="minorHAnsi" w:hAnsiTheme="minorHAnsi"/>
                                      <w:color w:val="000000" w:themeColor="text1"/>
                                      <w:sz w:val="20"/>
                                      <w:szCs w:val="20"/>
                                    </w:rPr>
                                    <w:t>15</w:t>
                                  </w:r>
                                </w:p>
                              </w:tc>
                              <w:tc>
                                <w:tcPr>
                                  <w:tcW w:w="734" w:type="dxa"/>
                                  <w:noWrap/>
                                  <w:hideMark/>
                                </w:tcPr>
                                <w:p w14:paraId="37EF9E95" w14:textId="51F91868" w:rsidR="00CC590F" w:rsidRPr="00CC590F" w:rsidRDefault="00CC590F" w:rsidP="00CC590F">
                                  <w:pPr>
                                    <w:jc w:val="center"/>
                                    <w:rPr>
                                      <w:rFonts w:asciiTheme="minorHAnsi" w:hAnsiTheme="minorHAnsi"/>
                                      <w:color w:val="000000" w:themeColor="text1"/>
                                      <w:sz w:val="20"/>
                                      <w:szCs w:val="20"/>
                                    </w:rPr>
                                  </w:pPr>
                                  <w:r w:rsidRPr="00CC590F">
                                    <w:rPr>
                                      <w:rFonts w:asciiTheme="minorHAnsi" w:hAnsiTheme="minorHAnsi"/>
                                      <w:color w:val="000000" w:themeColor="text1"/>
                                      <w:sz w:val="20"/>
                                      <w:szCs w:val="20"/>
                                    </w:rPr>
                                    <w:t>13</w:t>
                                  </w:r>
                                </w:p>
                              </w:tc>
                              <w:tc>
                                <w:tcPr>
                                  <w:tcW w:w="618" w:type="dxa"/>
                                  <w:noWrap/>
                                  <w:hideMark/>
                                </w:tcPr>
                                <w:p w14:paraId="7EA3885A" w14:textId="5ABA13DA" w:rsidR="00CC590F" w:rsidRPr="00CC590F" w:rsidRDefault="00CC590F" w:rsidP="00CC590F">
                                  <w:pPr>
                                    <w:jc w:val="center"/>
                                    <w:rPr>
                                      <w:rFonts w:asciiTheme="minorHAnsi" w:hAnsiTheme="minorHAnsi"/>
                                      <w:color w:val="000000" w:themeColor="text1"/>
                                      <w:sz w:val="20"/>
                                      <w:szCs w:val="20"/>
                                    </w:rPr>
                                  </w:pPr>
                                  <w:r w:rsidRPr="00CC590F">
                                    <w:rPr>
                                      <w:rFonts w:asciiTheme="minorHAnsi" w:hAnsiTheme="minorHAnsi"/>
                                      <w:color w:val="000000" w:themeColor="text1"/>
                                      <w:sz w:val="20"/>
                                      <w:szCs w:val="20"/>
                                    </w:rPr>
                                    <w:t>15</w:t>
                                  </w:r>
                                </w:p>
                              </w:tc>
                              <w:tc>
                                <w:tcPr>
                                  <w:tcW w:w="786" w:type="dxa"/>
                                </w:tcPr>
                                <w:p w14:paraId="62B2D6CF" w14:textId="06E27685" w:rsidR="00CC590F" w:rsidRPr="00CC590F" w:rsidRDefault="00CC590F" w:rsidP="00CC590F">
                                  <w:pPr>
                                    <w:jc w:val="center"/>
                                    <w:rPr>
                                      <w:rFonts w:asciiTheme="minorHAnsi" w:hAnsiTheme="minorHAnsi" w:cs="Calibri"/>
                                      <w:color w:val="000000" w:themeColor="text1"/>
                                      <w:sz w:val="20"/>
                                      <w:szCs w:val="20"/>
                                    </w:rPr>
                                  </w:pPr>
                                  <w:r w:rsidRPr="00CC590F">
                                    <w:rPr>
                                      <w:rFonts w:asciiTheme="minorHAnsi" w:hAnsiTheme="minorHAnsi"/>
                                      <w:color w:val="000000" w:themeColor="text1"/>
                                      <w:sz w:val="20"/>
                                      <w:szCs w:val="20"/>
                                    </w:rPr>
                                    <w:t>14</w:t>
                                  </w:r>
                                </w:p>
                              </w:tc>
                              <w:tc>
                                <w:tcPr>
                                  <w:tcW w:w="796" w:type="dxa"/>
                                  <w:noWrap/>
                                  <w:hideMark/>
                                </w:tcPr>
                                <w:p w14:paraId="01E7B59E" w14:textId="72D52986" w:rsidR="00CC590F" w:rsidRPr="00CC590F" w:rsidRDefault="00CC590F" w:rsidP="00CC590F">
                                  <w:pPr>
                                    <w:jc w:val="center"/>
                                    <w:rPr>
                                      <w:rFonts w:asciiTheme="minorHAnsi" w:hAnsiTheme="minorHAnsi"/>
                                      <w:color w:val="000000" w:themeColor="text1"/>
                                      <w:sz w:val="20"/>
                                      <w:szCs w:val="20"/>
                                    </w:rPr>
                                  </w:pPr>
                                  <w:r w:rsidRPr="00CC590F">
                                    <w:rPr>
                                      <w:rFonts w:asciiTheme="minorHAnsi" w:hAnsiTheme="minorHAnsi"/>
                                      <w:color w:val="000000" w:themeColor="text1"/>
                                      <w:sz w:val="20"/>
                                      <w:szCs w:val="20"/>
                                    </w:rPr>
                                    <w:t>12</w:t>
                                  </w:r>
                                </w:p>
                              </w:tc>
                              <w:tc>
                                <w:tcPr>
                                  <w:tcW w:w="524" w:type="dxa"/>
                                </w:tcPr>
                                <w:p w14:paraId="312F2FE3" w14:textId="7EA7C69A" w:rsidR="00CC590F" w:rsidRPr="00CC590F" w:rsidRDefault="00CC590F" w:rsidP="00CC590F">
                                  <w:pPr>
                                    <w:jc w:val="center"/>
                                    <w:rPr>
                                      <w:rFonts w:asciiTheme="minorHAnsi" w:hAnsiTheme="minorHAnsi"/>
                                      <w:color w:val="000000" w:themeColor="text1"/>
                                      <w:sz w:val="20"/>
                                      <w:szCs w:val="20"/>
                                    </w:rPr>
                                  </w:pPr>
                                  <w:r w:rsidRPr="00CC590F">
                                    <w:rPr>
                                      <w:rFonts w:asciiTheme="minorHAnsi" w:hAnsiTheme="minorHAnsi"/>
                                      <w:color w:val="000000" w:themeColor="text1"/>
                                      <w:sz w:val="20"/>
                                      <w:szCs w:val="20"/>
                                    </w:rPr>
                                    <w:t>9</w:t>
                                  </w:r>
                                </w:p>
                              </w:tc>
                              <w:tc>
                                <w:tcPr>
                                  <w:tcW w:w="588" w:type="dxa"/>
                                </w:tcPr>
                                <w:p w14:paraId="7A4CE7DD" w14:textId="599E4E1B" w:rsidR="00CC590F" w:rsidRPr="00CC590F" w:rsidRDefault="00CC590F" w:rsidP="00CC590F">
                                  <w:pPr>
                                    <w:jc w:val="center"/>
                                    <w:rPr>
                                      <w:rFonts w:asciiTheme="minorHAnsi" w:hAnsiTheme="minorHAnsi"/>
                                      <w:b/>
                                      <w:bCs/>
                                      <w:color w:val="000000" w:themeColor="text1"/>
                                      <w:sz w:val="22"/>
                                      <w:szCs w:val="22"/>
                                    </w:rPr>
                                  </w:pPr>
                                  <w:r w:rsidRPr="00CC590F">
                                    <w:rPr>
                                      <w:rFonts w:asciiTheme="minorHAnsi" w:hAnsiTheme="minorHAnsi"/>
                                      <w:b/>
                                      <w:bCs/>
                                      <w:color w:val="000000" w:themeColor="text1"/>
                                      <w:sz w:val="22"/>
                                      <w:szCs w:val="22"/>
                                    </w:rPr>
                                    <w:t>9</w:t>
                                  </w:r>
                                </w:p>
                              </w:tc>
                            </w:tr>
                          </w:tbl>
                          <w:p w14:paraId="3264186A" w14:textId="09DA7ADA" w:rsidR="009A24ED" w:rsidRDefault="009A24ED" w:rsidP="009A24ED">
                            <w:pPr>
                              <w:spacing w:line="276" w:lineRule="auto"/>
                              <w:jc w:val="both"/>
                              <w:rPr>
                                <w:rFonts w:asciiTheme="minorHAnsi" w:hAnsiTheme="minorHAnsi" w:cs="Open Sans"/>
                                <w:color w:val="000000" w:themeColor="text1"/>
                                <w:sz w:val="20"/>
                                <w:lang w:val="fr-FR"/>
                              </w:rPr>
                            </w:pPr>
                          </w:p>
                          <w:p w14:paraId="02A2B980" w14:textId="77777777" w:rsidR="00CC590F" w:rsidRDefault="00CC590F" w:rsidP="009A24ED">
                            <w:pPr>
                              <w:spacing w:line="276" w:lineRule="auto"/>
                              <w:jc w:val="both"/>
                              <w:rPr>
                                <w:rFonts w:asciiTheme="minorHAnsi" w:hAnsiTheme="minorHAnsi" w:cs="Open Sans"/>
                                <w:color w:val="000000" w:themeColor="text1"/>
                                <w:sz w:val="20"/>
                                <w:lang w:val="fr-FR"/>
                              </w:rPr>
                            </w:pPr>
                          </w:p>
                          <w:p w14:paraId="6C238AE4" w14:textId="402265B6" w:rsidR="00CC590F" w:rsidRDefault="00052CF6" w:rsidP="009A24ED">
                            <w:pPr>
                              <w:spacing w:line="276" w:lineRule="auto"/>
                              <w:jc w:val="both"/>
                              <w:rPr>
                                <w:rFonts w:asciiTheme="minorHAnsi" w:hAnsiTheme="minorHAnsi" w:cs="Open Sans"/>
                                <w:color w:val="000000" w:themeColor="text1"/>
                                <w:sz w:val="20"/>
                                <w:lang w:val="fr-FR"/>
                              </w:rPr>
                            </w:pPr>
                            <w:r w:rsidRPr="00052CF6">
                              <w:rPr>
                                <w:rFonts w:asciiTheme="minorHAnsi" w:hAnsiTheme="minorHAnsi" w:cs="Open Sans"/>
                                <w:color w:val="000000" w:themeColor="text1"/>
                                <w:sz w:val="20"/>
                                <w:lang w:val="fr-FR"/>
                              </w:rPr>
                              <w:t>Depuis 2019, l’intensité carbone et énergétique du portefeuille d’Unités de Compte a fortement diminué, tandis que la part d’actifs certifiés, exprimée en nombre d’actifs, est passée de 19 % à 31 %.</w:t>
                            </w:r>
                          </w:p>
                          <w:p w14:paraId="11FDD00A" w14:textId="77777777" w:rsidR="00CC590F" w:rsidRDefault="00CC590F" w:rsidP="009A24ED">
                            <w:pPr>
                              <w:spacing w:line="276" w:lineRule="auto"/>
                              <w:jc w:val="both"/>
                              <w:rPr>
                                <w:rFonts w:asciiTheme="minorHAnsi" w:hAnsiTheme="minorHAnsi" w:cs="Open Sans"/>
                                <w:color w:val="000000" w:themeColor="text1"/>
                                <w:sz w:val="20"/>
                                <w:lang w:val="fr-FR"/>
                              </w:rPr>
                            </w:pPr>
                          </w:p>
                          <w:p w14:paraId="3E6FF1A9" w14:textId="77777777" w:rsidR="00CC590F" w:rsidRDefault="00CC590F" w:rsidP="009A24ED">
                            <w:pPr>
                              <w:spacing w:line="276" w:lineRule="auto"/>
                              <w:jc w:val="both"/>
                              <w:rPr>
                                <w:rFonts w:asciiTheme="minorHAnsi" w:hAnsiTheme="minorHAnsi" w:cs="Open Sans"/>
                                <w:color w:val="000000" w:themeColor="text1"/>
                                <w:sz w:val="20"/>
                                <w:lang w:val="fr-FR"/>
                              </w:rPr>
                            </w:pPr>
                          </w:p>
                          <w:p w14:paraId="1E87298C" w14:textId="77777777" w:rsidR="00CC590F" w:rsidRDefault="00CC590F" w:rsidP="009A24ED">
                            <w:pPr>
                              <w:spacing w:line="276" w:lineRule="auto"/>
                              <w:jc w:val="both"/>
                              <w:rPr>
                                <w:rFonts w:asciiTheme="minorHAnsi" w:hAnsiTheme="minorHAnsi" w:cs="Open Sans"/>
                                <w:color w:val="000000" w:themeColor="text1"/>
                                <w:sz w:val="20"/>
                                <w:lang w:val="fr-FR"/>
                              </w:rPr>
                            </w:pPr>
                          </w:p>
                          <w:p w14:paraId="4F37B448" w14:textId="77777777" w:rsidR="00CC590F" w:rsidRDefault="00CC590F" w:rsidP="009A24ED">
                            <w:pPr>
                              <w:spacing w:line="276" w:lineRule="auto"/>
                              <w:jc w:val="both"/>
                              <w:rPr>
                                <w:rFonts w:asciiTheme="minorHAnsi" w:hAnsiTheme="minorHAnsi" w:cs="Open Sans"/>
                                <w:color w:val="000000" w:themeColor="text1"/>
                                <w:sz w:val="20"/>
                                <w:lang w:val="fr-FR"/>
                              </w:rPr>
                            </w:pPr>
                          </w:p>
                          <w:p w14:paraId="1758C83F" w14:textId="77777777" w:rsidR="00CC590F" w:rsidRPr="00BB2CA5" w:rsidRDefault="00CC590F" w:rsidP="009A24ED">
                            <w:pPr>
                              <w:spacing w:line="276" w:lineRule="auto"/>
                              <w:jc w:val="both"/>
                              <w:rPr>
                                <w:rFonts w:asciiTheme="minorHAnsi" w:hAnsiTheme="minorHAnsi" w:cs="Open Sans"/>
                                <w:color w:val="000000" w:themeColor="text1"/>
                                <w:sz w:val="20"/>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FDD90D" id="_x0000_s1140" style="position:absolute;left:0;text-align:left;margin-left:0;margin-top:13.55pt;width:477.25pt;height:154.55pt;z-index:251768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" fillcolor="#daeeec [670]" stroked="f" strokeweight="1pt">
                <v:textbox>
                  <w:txbxContent>
                    <w:p w14:paraId="1DA7BE16" w14:textId="77777777" w:rsidR="00116581" w:rsidRDefault="00116581" w:rsidP="009A24ED">
                      <w:pPr>
                        <w:spacing w:line="276" w:lineRule="auto"/>
                        <w:jc w:val="both"/>
                        <w:rPr>
                          <w:rFonts w:asciiTheme="minorHAnsi" w:hAnsiTheme="minorHAnsi" w:cs="Open Sans"/>
                          <w:color w:val="000000" w:themeColor="text1"/>
                          <w:sz w:val="20"/>
                          <w:lang w:val="fr-FR"/>
                        </w:rPr>
                      </w:pPr>
                      <w:r>
                        <w:rPr>
                          <w:rFonts w:asciiTheme="minorHAnsi" w:hAnsiTheme="minorHAnsi" w:cs="Open Sans"/>
                          <w:color w:val="000000" w:themeColor="text1"/>
                          <w:sz w:val="20"/>
                          <w:lang w:val="fr-FR"/>
                        </w:rPr>
                        <w:t xml:space="preserve"> </w:t>
                      </w:r>
                    </w:p>
                    <w:p w14:paraId="77F72F88" w14:textId="77777777" w:rsidR="0005104F" w:rsidRPr="00BB2CA5" w:rsidRDefault="0005104F" w:rsidP="009A24ED">
                      <w:pPr>
                        <w:spacing w:line="276" w:lineRule="auto"/>
                        <w:jc w:val="both"/>
                        <w:rPr>
                          <w:rFonts w:asciiTheme="minorHAnsi" w:hAnsiTheme="minorHAnsi" w:cs="Open Sans"/>
                          <w:color w:val="000000" w:themeColor="text1"/>
                          <w:sz w:val="20"/>
                          <w:lang w:val="fr-FR"/>
                        </w:rPr>
                      </w:pPr>
                    </w:p>
                    <w:tbl>
                      <w:tblPr>
                        <w:tblW w:w="9141" w:type="dxa"/>
                        <w:jc w:val="center"/>
                        <w:tblCellMar>
                          <w:left w:w="70" w:type="dxa"/>
                          <w:right w:w="70" w:type="dxa"/>
                        </w:tblCellMar>
                        <w:tblLook w:val="04A0" w:firstRow="1" w:lastRow="0" w:firstColumn="1" w:lastColumn="0" w:noHBand="0" w:noVBand="1"/>
                      </w:tblPr>
                      <w:tblGrid>
                        <w:gridCol w:w="601"/>
                        <w:gridCol w:w="554"/>
                        <w:gridCol w:w="620"/>
                        <w:gridCol w:w="722"/>
                        <w:gridCol w:w="729"/>
                        <w:gridCol w:w="524"/>
                        <w:gridCol w:w="588"/>
                        <w:gridCol w:w="757"/>
                        <w:gridCol w:w="734"/>
                        <w:gridCol w:w="618"/>
                        <w:gridCol w:w="786"/>
                        <w:gridCol w:w="796"/>
                        <w:gridCol w:w="524"/>
                        <w:gridCol w:w="588"/>
                      </w:tblGrid>
                      <w:tr w:rsidR="00C40E25" w:rsidRPr="00CC590F" w14:paraId="344601F6" w14:textId="77777777">
                        <w:trPr>
                          <w:trHeight w:val="463"/>
                          <w:jc w:val="center"/>
                        </w:trPr>
                        <w:tc>
                          <w:tcPr>
                            <w:tcW w:w="4338" w:type="dxa"/>
                            <w:gridSpan w:val="7"/>
                            <w:tcBorders>
                              <w:right w:val="single" w:sz="4" w:space="0" w:color="auto"/>
                            </w:tcBorders>
                            <w:shd w:val="clear" w:color="auto" w:fill="4CA79F" w:themeFill="background2"/>
                          </w:tcPr>
                          <w:p w14:paraId="7C47562B" w14:textId="5804E970" w:rsidR="00C40E25" w:rsidRPr="00CC590F" w:rsidRDefault="00C40E25" w:rsidP="00116581">
                            <w:pPr>
                              <w:jc w:val="both"/>
                              <w:rPr>
                                <w:rFonts w:asciiTheme="minorHAnsi" w:hAnsiTheme="minorHAnsi"/>
                                <w:b/>
                                <w:sz w:val="20"/>
                                <w:szCs w:val="20"/>
                                <w:lang w:val="fr-FR"/>
                              </w:rPr>
                            </w:pPr>
                            <w:r w:rsidRPr="00CC590F">
                              <w:rPr>
                                <w:rFonts w:asciiTheme="minorHAnsi" w:hAnsiTheme="minorHAnsi"/>
                                <w:b/>
                                <w:sz w:val="20"/>
                                <w:szCs w:val="20"/>
                                <w:lang w:val="fr-FR"/>
                              </w:rPr>
                              <w:t>Performance énergétique (kWhEF/m².an)</w:t>
                            </w:r>
                          </w:p>
                        </w:tc>
                        <w:tc>
                          <w:tcPr>
                            <w:tcW w:w="4803" w:type="dxa"/>
                            <w:gridSpan w:val="7"/>
                            <w:tcBorders>
                              <w:left w:val="single" w:sz="4" w:space="0" w:color="auto"/>
                            </w:tcBorders>
                            <w:shd w:val="clear" w:color="auto" w:fill="4CA79F" w:themeFill="background2"/>
                          </w:tcPr>
                          <w:p w14:paraId="4899184C" w14:textId="4E38A68B" w:rsidR="00C40E25" w:rsidRPr="006D76F1" w:rsidRDefault="00C40E25" w:rsidP="00116581">
                            <w:pPr>
                              <w:rPr>
                                <w:rFonts w:asciiTheme="minorHAnsi" w:hAnsiTheme="minorHAnsi"/>
                                <w:b/>
                                <w:sz w:val="20"/>
                                <w:szCs w:val="20"/>
                              </w:rPr>
                            </w:pPr>
                            <w:r w:rsidRPr="006D76F1">
                              <w:rPr>
                                <w:rFonts w:asciiTheme="minorHAnsi" w:hAnsiTheme="minorHAnsi"/>
                                <w:b/>
                                <w:sz w:val="20"/>
                                <w:szCs w:val="20"/>
                              </w:rPr>
                              <w:t>Performance carbone (kgCO2e/m</w:t>
                            </w:r>
                            <w:r w:rsidRPr="006D76F1">
                              <w:rPr>
                                <w:rFonts w:asciiTheme="minorHAnsi" w:hAnsiTheme="minorHAnsi" w:hint="eastAsia"/>
                                <w:b/>
                                <w:sz w:val="20"/>
                                <w:szCs w:val="20"/>
                              </w:rPr>
                              <w:t>²</w:t>
                            </w:r>
                            <w:r w:rsidRPr="006D76F1">
                              <w:rPr>
                                <w:rFonts w:asciiTheme="minorHAnsi" w:hAnsiTheme="minorHAnsi"/>
                                <w:b/>
                                <w:sz w:val="20"/>
                                <w:szCs w:val="20"/>
                              </w:rPr>
                              <w:t>.an)</w:t>
                            </w:r>
                          </w:p>
                        </w:tc>
                      </w:tr>
                      <w:tr w:rsidR="00CC590F" w:rsidRPr="00CC590F" w14:paraId="655A66B6" w14:textId="77777777" w:rsidTr="00C40E25">
                        <w:trPr>
                          <w:trHeight w:val="335"/>
                          <w:jc w:val="center"/>
                        </w:trPr>
                        <w:tc>
                          <w:tcPr>
                            <w:tcW w:w="601" w:type="dxa"/>
                            <w:noWrap/>
                            <w:vAlign w:val="center"/>
                            <w:hideMark/>
                          </w:tcPr>
                          <w:p w14:paraId="7CC618D9"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2019</w:t>
                            </w:r>
                          </w:p>
                        </w:tc>
                        <w:tc>
                          <w:tcPr>
                            <w:tcW w:w="554" w:type="dxa"/>
                            <w:noWrap/>
                            <w:vAlign w:val="center"/>
                            <w:hideMark/>
                          </w:tcPr>
                          <w:p w14:paraId="56B43EE8"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2020</w:t>
                            </w:r>
                          </w:p>
                        </w:tc>
                        <w:tc>
                          <w:tcPr>
                            <w:tcW w:w="620" w:type="dxa"/>
                            <w:noWrap/>
                            <w:vAlign w:val="center"/>
                            <w:hideMark/>
                          </w:tcPr>
                          <w:p w14:paraId="5BDE30B5"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2021</w:t>
                            </w:r>
                          </w:p>
                        </w:tc>
                        <w:tc>
                          <w:tcPr>
                            <w:tcW w:w="722" w:type="dxa"/>
                            <w:vAlign w:val="center"/>
                          </w:tcPr>
                          <w:p w14:paraId="75FF7534"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2022</w:t>
                            </w:r>
                          </w:p>
                        </w:tc>
                        <w:tc>
                          <w:tcPr>
                            <w:tcW w:w="729" w:type="dxa"/>
                            <w:noWrap/>
                            <w:vAlign w:val="center"/>
                            <w:hideMark/>
                          </w:tcPr>
                          <w:p w14:paraId="644049D8"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2023</w:t>
                            </w:r>
                          </w:p>
                        </w:tc>
                        <w:tc>
                          <w:tcPr>
                            <w:tcW w:w="524" w:type="dxa"/>
                            <w:vAlign w:val="center"/>
                          </w:tcPr>
                          <w:p w14:paraId="115DCA59"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2024</w:t>
                            </w:r>
                          </w:p>
                        </w:tc>
                        <w:tc>
                          <w:tcPr>
                            <w:tcW w:w="588" w:type="dxa"/>
                            <w:tcBorders>
                              <w:left w:val="nil"/>
                              <w:right w:val="single" w:sz="4" w:space="0" w:color="auto"/>
                            </w:tcBorders>
                            <w:vAlign w:val="center"/>
                          </w:tcPr>
                          <w:p w14:paraId="56287ADE" w14:textId="77777777" w:rsidR="00116581" w:rsidRPr="00CC590F" w:rsidRDefault="00116581" w:rsidP="00116581">
                            <w:pPr>
                              <w:jc w:val="center"/>
                              <w:rPr>
                                <w:rFonts w:asciiTheme="minorHAnsi" w:hAnsiTheme="minorHAnsi"/>
                                <w:b/>
                                <w:bCs/>
                                <w:i/>
                                <w:iCs/>
                                <w:color w:val="000000" w:themeColor="text1"/>
                                <w:sz w:val="22"/>
                                <w:szCs w:val="22"/>
                              </w:rPr>
                            </w:pPr>
                            <w:r w:rsidRPr="00CC590F">
                              <w:rPr>
                                <w:rFonts w:asciiTheme="minorHAnsi" w:hAnsiTheme="minorHAnsi"/>
                                <w:b/>
                                <w:bCs/>
                                <w:i/>
                                <w:iCs/>
                                <w:color w:val="000000" w:themeColor="text1"/>
                                <w:sz w:val="22"/>
                                <w:szCs w:val="22"/>
                              </w:rPr>
                              <w:t>2025</w:t>
                            </w:r>
                          </w:p>
                        </w:tc>
                        <w:tc>
                          <w:tcPr>
                            <w:tcW w:w="757" w:type="dxa"/>
                            <w:tcBorders>
                              <w:left w:val="single" w:sz="4" w:space="0" w:color="auto"/>
                            </w:tcBorders>
                            <w:noWrap/>
                            <w:vAlign w:val="center"/>
                            <w:hideMark/>
                          </w:tcPr>
                          <w:p w14:paraId="69FE7BE0"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2019</w:t>
                            </w:r>
                          </w:p>
                        </w:tc>
                        <w:tc>
                          <w:tcPr>
                            <w:tcW w:w="734" w:type="dxa"/>
                            <w:noWrap/>
                            <w:vAlign w:val="center"/>
                            <w:hideMark/>
                          </w:tcPr>
                          <w:p w14:paraId="62E3296C"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2020</w:t>
                            </w:r>
                          </w:p>
                        </w:tc>
                        <w:tc>
                          <w:tcPr>
                            <w:tcW w:w="618" w:type="dxa"/>
                            <w:noWrap/>
                            <w:vAlign w:val="center"/>
                            <w:hideMark/>
                          </w:tcPr>
                          <w:p w14:paraId="3FB90766"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2021</w:t>
                            </w:r>
                          </w:p>
                        </w:tc>
                        <w:tc>
                          <w:tcPr>
                            <w:tcW w:w="786" w:type="dxa"/>
                            <w:vAlign w:val="center"/>
                          </w:tcPr>
                          <w:p w14:paraId="385DB4DD"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2022</w:t>
                            </w:r>
                          </w:p>
                        </w:tc>
                        <w:tc>
                          <w:tcPr>
                            <w:tcW w:w="796" w:type="dxa"/>
                            <w:noWrap/>
                            <w:vAlign w:val="center"/>
                            <w:hideMark/>
                          </w:tcPr>
                          <w:p w14:paraId="7DF04FD5"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2023</w:t>
                            </w:r>
                          </w:p>
                        </w:tc>
                        <w:tc>
                          <w:tcPr>
                            <w:tcW w:w="524" w:type="dxa"/>
                            <w:vAlign w:val="center"/>
                          </w:tcPr>
                          <w:p w14:paraId="07339E83" w14:textId="77777777" w:rsidR="00116581" w:rsidRPr="00CC590F" w:rsidRDefault="00116581" w:rsidP="00116581">
                            <w:pPr>
                              <w:jc w:val="center"/>
                              <w:rPr>
                                <w:rFonts w:asciiTheme="minorHAnsi" w:hAnsiTheme="minorHAnsi"/>
                                <w:i/>
                                <w:iCs/>
                                <w:color w:val="000000" w:themeColor="text1"/>
                                <w:sz w:val="20"/>
                                <w:szCs w:val="20"/>
                              </w:rPr>
                            </w:pPr>
                            <w:r w:rsidRPr="00CC590F">
                              <w:rPr>
                                <w:rFonts w:asciiTheme="minorHAnsi" w:hAnsiTheme="minorHAnsi"/>
                                <w:i/>
                                <w:iCs/>
                                <w:color w:val="000000" w:themeColor="text1"/>
                                <w:sz w:val="20"/>
                                <w:szCs w:val="20"/>
                              </w:rPr>
                              <w:t>2024</w:t>
                            </w:r>
                          </w:p>
                        </w:tc>
                        <w:tc>
                          <w:tcPr>
                            <w:tcW w:w="588" w:type="dxa"/>
                            <w:vAlign w:val="center"/>
                          </w:tcPr>
                          <w:p w14:paraId="6254AC14" w14:textId="77777777" w:rsidR="00116581" w:rsidRPr="00CC590F" w:rsidRDefault="00116581" w:rsidP="00116581">
                            <w:pPr>
                              <w:jc w:val="center"/>
                              <w:rPr>
                                <w:rFonts w:asciiTheme="minorHAnsi" w:hAnsiTheme="minorHAnsi"/>
                                <w:b/>
                                <w:bCs/>
                                <w:i/>
                                <w:iCs/>
                                <w:color w:val="000000" w:themeColor="text1"/>
                                <w:sz w:val="22"/>
                                <w:szCs w:val="22"/>
                              </w:rPr>
                            </w:pPr>
                            <w:r w:rsidRPr="00CC590F">
                              <w:rPr>
                                <w:rFonts w:asciiTheme="minorHAnsi" w:hAnsiTheme="minorHAnsi"/>
                                <w:b/>
                                <w:bCs/>
                                <w:i/>
                                <w:iCs/>
                                <w:color w:val="000000" w:themeColor="text1"/>
                                <w:sz w:val="22"/>
                                <w:szCs w:val="22"/>
                              </w:rPr>
                              <w:t>2025</w:t>
                            </w:r>
                          </w:p>
                        </w:tc>
                      </w:tr>
                      <w:tr w:rsidR="00CC590F" w:rsidRPr="00CC590F" w14:paraId="7367F64E" w14:textId="77777777" w:rsidTr="00C40E25">
                        <w:trPr>
                          <w:trHeight w:val="76"/>
                          <w:jc w:val="center"/>
                        </w:trPr>
                        <w:tc>
                          <w:tcPr>
                            <w:tcW w:w="601" w:type="dxa"/>
                            <w:noWrap/>
                            <w:hideMark/>
                          </w:tcPr>
                          <w:p w14:paraId="58234016" w14:textId="2EDB4E9A" w:rsidR="00CC590F" w:rsidRPr="00CC590F" w:rsidRDefault="00CC590F" w:rsidP="00CC590F">
                            <w:pPr>
                              <w:jc w:val="center"/>
                              <w:rPr>
                                <w:rFonts w:asciiTheme="minorHAnsi" w:hAnsiTheme="minorHAnsi"/>
                                <w:color w:val="000000" w:themeColor="text1"/>
                                <w:sz w:val="20"/>
                                <w:szCs w:val="20"/>
                              </w:rPr>
                            </w:pPr>
                            <w:r w:rsidRPr="00CC590F">
                              <w:rPr>
                                <w:rFonts w:asciiTheme="minorHAnsi" w:hAnsiTheme="minorHAnsi"/>
                                <w:color w:val="000000" w:themeColor="text1"/>
                                <w:sz w:val="20"/>
                                <w:szCs w:val="20"/>
                              </w:rPr>
                              <w:t>194</w:t>
                            </w:r>
                          </w:p>
                        </w:tc>
                        <w:tc>
                          <w:tcPr>
                            <w:tcW w:w="554" w:type="dxa"/>
                            <w:noWrap/>
                            <w:hideMark/>
                          </w:tcPr>
                          <w:p w14:paraId="5B5E8261" w14:textId="2C49DFF3" w:rsidR="00CC590F" w:rsidRPr="00CC590F" w:rsidRDefault="00CC590F" w:rsidP="00CC590F">
                            <w:pPr>
                              <w:jc w:val="center"/>
                              <w:rPr>
                                <w:rFonts w:asciiTheme="minorHAnsi" w:hAnsiTheme="minorHAnsi"/>
                                <w:color w:val="000000" w:themeColor="text1"/>
                                <w:sz w:val="20"/>
                                <w:szCs w:val="20"/>
                              </w:rPr>
                            </w:pPr>
                            <w:r w:rsidRPr="00CC590F">
                              <w:rPr>
                                <w:rFonts w:asciiTheme="minorHAnsi" w:hAnsiTheme="minorHAnsi"/>
                                <w:color w:val="000000" w:themeColor="text1"/>
                                <w:sz w:val="20"/>
                                <w:szCs w:val="20"/>
                              </w:rPr>
                              <w:t>174</w:t>
                            </w:r>
                          </w:p>
                        </w:tc>
                        <w:tc>
                          <w:tcPr>
                            <w:tcW w:w="620" w:type="dxa"/>
                            <w:noWrap/>
                            <w:hideMark/>
                          </w:tcPr>
                          <w:p w14:paraId="53BC9CC7" w14:textId="7B114E52" w:rsidR="00CC590F" w:rsidRPr="00CC590F" w:rsidRDefault="00CC590F" w:rsidP="00CC590F">
                            <w:pPr>
                              <w:jc w:val="center"/>
                              <w:rPr>
                                <w:rFonts w:asciiTheme="minorHAnsi" w:hAnsiTheme="minorHAnsi"/>
                                <w:color w:val="000000" w:themeColor="text1"/>
                                <w:sz w:val="20"/>
                                <w:szCs w:val="20"/>
                              </w:rPr>
                            </w:pPr>
                            <w:r w:rsidRPr="00CC590F">
                              <w:rPr>
                                <w:rFonts w:asciiTheme="minorHAnsi" w:hAnsiTheme="minorHAnsi"/>
                                <w:color w:val="000000" w:themeColor="text1"/>
                                <w:sz w:val="20"/>
                                <w:szCs w:val="20"/>
                              </w:rPr>
                              <w:t>179</w:t>
                            </w:r>
                          </w:p>
                        </w:tc>
                        <w:tc>
                          <w:tcPr>
                            <w:tcW w:w="722" w:type="dxa"/>
                          </w:tcPr>
                          <w:p w14:paraId="05D75A75" w14:textId="4AE3A1C9" w:rsidR="00CC590F" w:rsidRPr="00CC590F" w:rsidRDefault="00CC590F" w:rsidP="00CC590F">
                            <w:pPr>
                              <w:jc w:val="center"/>
                              <w:rPr>
                                <w:rFonts w:asciiTheme="minorHAnsi" w:hAnsiTheme="minorHAnsi" w:cs="Calibri"/>
                                <w:color w:val="000000" w:themeColor="text1"/>
                                <w:sz w:val="20"/>
                                <w:szCs w:val="20"/>
                              </w:rPr>
                            </w:pPr>
                            <w:r w:rsidRPr="00CC590F">
                              <w:rPr>
                                <w:rFonts w:asciiTheme="minorHAnsi" w:hAnsiTheme="minorHAnsi"/>
                                <w:color w:val="000000" w:themeColor="text1"/>
                                <w:sz w:val="20"/>
                                <w:szCs w:val="20"/>
                              </w:rPr>
                              <w:t>169</w:t>
                            </w:r>
                          </w:p>
                        </w:tc>
                        <w:tc>
                          <w:tcPr>
                            <w:tcW w:w="729" w:type="dxa"/>
                            <w:noWrap/>
                            <w:hideMark/>
                          </w:tcPr>
                          <w:p w14:paraId="31B5FE04" w14:textId="53DCEE58" w:rsidR="00CC590F" w:rsidRPr="00CC590F" w:rsidRDefault="00CC590F" w:rsidP="00CC590F">
                            <w:pPr>
                              <w:jc w:val="center"/>
                              <w:rPr>
                                <w:rFonts w:asciiTheme="minorHAnsi" w:hAnsiTheme="minorHAnsi"/>
                                <w:color w:val="000000" w:themeColor="text1"/>
                                <w:sz w:val="20"/>
                                <w:szCs w:val="20"/>
                              </w:rPr>
                            </w:pPr>
                            <w:r w:rsidRPr="00CC590F">
                              <w:rPr>
                                <w:rFonts w:asciiTheme="minorHAnsi" w:hAnsiTheme="minorHAnsi"/>
                                <w:color w:val="000000" w:themeColor="text1"/>
                                <w:sz w:val="20"/>
                                <w:szCs w:val="20"/>
                              </w:rPr>
                              <w:t>154</w:t>
                            </w:r>
                          </w:p>
                        </w:tc>
                        <w:tc>
                          <w:tcPr>
                            <w:tcW w:w="524" w:type="dxa"/>
                          </w:tcPr>
                          <w:p w14:paraId="2DDEAC2E" w14:textId="57BC5304" w:rsidR="00CC590F" w:rsidRPr="00CC590F" w:rsidRDefault="00CC590F" w:rsidP="00CC590F">
                            <w:pPr>
                              <w:jc w:val="center"/>
                              <w:rPr>
                                <w:rFonts w:asciiTheme="minorHAnsi" w:hAnsiTheme="minorHAnsi" w:cs="Calibri"/>
                                <w:color w:val="000000" w:themeColor="text1"/>
                                <w:sz w:val="20"/>
                                <w:szCs w:val="20"/>
                              </w:rPr>
                            </w:pPr>
                            <w:r w:rsidRPr="00CC590F">
                              <w:rPr>
                                <w:rFonts w:asciiTheme="minorHAnsi" w:hAnsiTheme="minorHAnsi"/>
                                <w:color w:val="000000" w:themeColor="text1"/>
                                <w:sz w:val="20"/>
                                <w:szCs w:val="20"/>
                              </w:rPr>
                              <w:t>93</w:t>
                            </w:r>
                          </w:p>
                        </w:tc>
                        <w:tc>
                          <w:tcPr>
                            <w:tcW w:w="588" w:type="dxa"/>
                            <w:tcBorders>
                              <w:left w:val="nil"/>
                              <w:right w:val="single" w:sz="4" w:space="0" w:color="auto"/>
                            </w:tcBorders>
                          </w:tcPr>
                          <w:p w14:paraId="52803A8D" w14:textId="48E30D64" w:rsidR="00CC590F" w:rsidRPr="00CC590F" w:rsidRDefault="00CC590F" w:rsidP="00CC590F">
                            <w:pPr>
                              <w:jc w:val="center"/>
                              <w:rPr>
                                <w:rFonts w:asciiTheme="minorHAnsi" w:hAnsiTheme="minorHAnsi"/>
                                <w:b/>
                                <w:bCs/>
                                <w:color w:val="000000" w:themeColor="text1"/>
                                <w:sz w:val="22"/>
                                <w:szCs w:val="22"/>
                              </w:rPr>
                            </w:pPr>
                            <w:r w:rsidRPr="00CC590F">
                              <w:rPr>
                                <w:rFonts w:asciiTheme="minorHAnsi" w:hAnsiTheme="minorHAnsi"/>
                                <w:b/>
                                <w:bCs/>
                                <w:color w:val="000000" w:themeColor="text1"/>
                                <w:sz w:val="22"/>
                                <w:szCs w:val="22"/>
                              </w:rPr>
                              <w:t>100</w:t>
                            </w:r>
                          </w:p>
                        </w:tc>
                        <w:tc>
                          <w:tcPr>
                            <w:tcW w:w="757" w:type="dxa"/>
                            <w:tcBorders>
                              <w:left w:val="single" w:sz="4" w:space="0" w:color="auto"/>
                            </w:tcBorders>
                            <w:noWrap/>
                            <w:hideMark/>
                          </w:tcPr>
                          <w:p w14:paraId="1C5304E6" w14:textId="70C52801" w:rsidR="00CC590F" w:rsidRPr="00CC590F" w:rsidRDefault="00CC590F" w:rsidP="00CC590F">
                            <w:pPr>
                              <w:jc w:val="center"/>
                              <w:rPr>
                                <w:rFonts w:asciiTheme="minorHAnsi" w:hAnsiTheme="minorHAnsi"/>
                                <w:color w:val="000000" w:themeColor="text1"/>
                                <w:sz w:val="20"/>
                                <w:szCs w:val="20"/>
                              </w:rPr>
                            </w:pPr>
                            <w:r w:rsidRPr="00CC590F">
                              <w:rPr>
                                <w:rFonts w:asciiTheme="minorHAnsi" w:hAnsiTheme="minorHAnsi"/>
                                <w:color w:val="000000" w:themeColor="text1"/>
                                <w:sz w:val="20"/>
                                <w:szCs w:val="20"/>
                              </w:rPr>
                              <w:t>15</w:t>
                            </w:r>
                          </w:p>
                        </w:tc>
                        <w:tc>
                          <w:tcPr>
                            <w:tcW w:w="734" w:type="dxa"/>
                            <w:noWrap/>
                            <w:hideMark/>
                          </w:tcPr>
                          <w:p w14:paraId="37EF9E95" w14:textId="51F91868" w:rsidR="00CC590F" w:rsidRPr="00CC590F" w:rsidRDefault="00CC590F" w:rsidP="00CC590F">
                            <w:pPr>
                              <w:jc w:val="center"/>
                              <w:rPr>
                                <w:rFonts w:asciiTheme="minorHAnsi" w:hAnsiTheme="minorHAnsi"/>
                                <w:color w:val="000000" w:themeColor="text1"/>
                                <w:sz w:val="20"/>
                                <w:szCs w:val="20"/>
                              </w:rPr>
                            </w:pPr>
                            <w:r w:rsidRPr="00CC590F">
                              <w:rPr>
                                <w:rFonts w:asciiTheme="minorHAnsi" w:hAnsiTheme="minorHAnsi"/>
                                <w:color w:val="000000" w:themeColor="text1"/>
                                <w:sz w:val="20"/>
                                <w:szCs w:val="20"/>
                              </w:rPr>
                              <w:t>13</w:t>
                            </w:r>
                          </w:p>
                        </w:tc>
                        <w:tc>
                          <w:tcPr>
                            <w:tcW w:w="618" w:type="dxa"/>
                            <w:noWrap/>
                            <w:hideMark/>
                          </w:tcPr>
                          <w:p w14:paraId="7EA3885A" w14:textId="5ABA13DA" w:rsidR="00CC590F" w:rsidRPr="00CC590F" w:rsidRDefault="00CC590F" w:rsidP="00CC590F">
                            <w:pPr>
                              <w:jc w:val="center"/>
                              <w:rPr>
                                <w:rFonts w:asciiTheme="minorHAnsi" w:hAnsiTheme="minorHAnsi"/>
                                <w:color w:val="000000" w:themeColor="text1"/>
                                <w:sz w:val="20"/>
                                <w:szCs w:val="20"/>
                              </w:rPr>
                            </w:pPr>
                            <w:r w:rsidRPr="00CC590F">
                              <w:rPr>
                                <w:rFonts w:asciiTheme="minorHAnsi" w:hAnsiTheme="minorHAnsi"/>
                                <w:color w:val="000000" w:themeColor="text1"/>
                                <w:sz w:val="20"/>
                                <w:szCs w:val="20"/>
                              </w:rPr>
                              <w:t>15</w:t>
                            </w:r>
                          </w:p>
                        </w:tc>
                        <w:tc>
                          <w:tcPr>
                            <w:tcW w:w="786" w:type="dxa"/>
                          </w:tcPr>
                          <w:p w14:paraId="62B2D6CF" w14:textId="06E27685" w:rsidR="00CC590F" w:rsidRPr="00CC590F" w:rsidRDefault="00CC590F" w:rsidP="00CC590F">
                            <w:pPr>
                              <w:jc w:val="center"/>
                              <w:rPr>
                                <w:rFonts w:asciiTheme="minorHAnsi" w:hAnsiTheme="minorHAnsi" w:cs="Calibri"/>
                                <w:color w:val="000000" w:themeColor="text1"/>
                                <w:sz w:val="20"/>
                                <w:szCs w:val="20"/>
                              </w:rPr>
                            </w:pPr>
                            <w:r w:rsidRPr="00CC590F">
                              <w:rPr>
                                <w:rFonts w:asciiTheme="minorHAnsi" w:hAnsiTheme="minorHAnsi"/>
                                <w:color w:val="000000" w:themeColor="text1"/>
                                <w:sz w:val="20"/>
                                <w:szCs w:val="20"/>
                              </w:rPr>
                              <w:t>14</w:t>
                            </w:r>
                          </w:p>
                        </w:tc>
                        <w:tc>
                          <w:tcPr>
                            <w:tcW w:w="796" w:type="dxa"/>
                            <w:noWrap/>
                            <w:hideMark/>
                          </w:tcPr>
                          <w:p w14:paraId="01E7B59E" w14:textId="72D52986" w:rsidR="00CC590F" w:rsidRPr="00CC590F" w:rsidRDefault="00CC590F" w:rsidP="00CC590F">
                            <w:pPr>
                              <w:jc w:val="center"/>
                              <w:rPr>
                                <w:rFonts w:asciiTheme="minorHAnsi" w:hAnsiTheme="minorHAnsi"/>
                                <w:color w:val="000000" w:themeColor="text1"/>
                                <w:sz w:val="20"/>
                                <w:szCs w:val="20"/>
                              </w:rPr>
                            </w:pPr>
                            <w:r w:rsidRPr="00CC590F">
                              <w:rPr>
                                <w:rFonts w:asciiTheme="minorHAnsi" w:hAnsiTheme="minorHAnsi"/>
                                <w:color w:val="000000" w:themeColor="text1"/>
                                <w:sz w:val="20"/>
                                <w:szCs w:val="20"/>
                              </w:rPr>
                              <w:t>12</w:t>
                            </w:r>
                          </w:p>
                        </w:tc>
                        <w:tc>
                          <w:tcPr>
                            <w:tcW w:w="524" w:type="dxa"/>
                          </w:tcPr>
                          <w:p w14:paraId="312F2FE3" w14:textId="7EA7C69A" w:rsidR="00CC590F" w:rsidRPr="00CC590F" w:rsidRDefault="00CC590F" w:rsidP="00CC590F">
                            <w:pPr>
                              <w:jc w:val="center"/>
                              <w:rPr>
                                <w:rFonts w:asciiTheme="minorHAnsi" w:hAnsiTheme="minorHAnsi"/>
                                <w:color w:val="000000" w:themeColor="text1"/>
                                <w:sz w:val="20"/>
                                <w:szCs w:val="20"/>
                              </w:rPr>
                            </w:pPr>
                            <w:r w:rsidRPr="00CC590F">
                              <w:rPr>
                                <w:rFonts w:asciiTheme="minorHAnsi" w:hAnsiTheme="minorHAnsi"/>
                                <w:color w:val="000000" w:themeColor="text1"/>
                                <w:sz w:val="20"/>
                                <w:szCs w:val="20"/>
                              </w:rPr>
                              <w:t>9</w:t>
                            </w:r>
                          </w:p>
                        </w:tc>
                        <w:tc>
                          <w:tcPr>
                            <w:tcW w:w="588" w:type="dxa"/>
                          </w:tcPr>
                          <w:p w14:paraId="7A4CE7DD" w14:textId="599E4E1B" w:rsidR="00CC590F" w:rsidRPr="00CC590F" w:rsidRDefault="00CC590F" w:rsidP="00CC590F">
                            <w:pPr>
                              <w:jc w:val="center"/>
                              <w:rPr>
                                <w:rFonts w:asciiTheme="minorHAnsi" w:hAnsiTheme="minorHAnsi"/>
                                <w:b/>
                                <w:bCs/>
                                <w:color w:val="000000" w:themeColor="text1"/>
                                <w:sz w:val="22"/>
                                <w:szCs w:val="22"/>
                              </w:rPr>
                            </w:pPr>
                            <w:r w:rsidRPr="00CC590F">
                              <w:rPr>
                                <w:rFonts w:asciiTheme="minorHAnsi" w:hAnsiTheme="minorHAnsi"/>
                                <w:b/>
                                <w:bCs/>
                                <w:color w:val="000000" w:themeColor="text1"/>
                                <w:sz w:val="22"/>
                                <w:szCs w:val="22"/>
                              </w:rPr>
                              <w:t>9</w:t>
                            </w:r>
                          </w:p>
                        </w:tc>
                      </w:tr>
                    </w:tbl>
                    <w:p w14:paraId="3264186A" w14:textId="09DA7ADA" w:rsidR="009A24ED" w:rsidRDefault="009A24ED" w:rsidP="009A24ED">
                      <w:pPr>
                        <w:spacing w:line="276" w:lineRule="auto"/>
                        <w:jc w:val="both"/>
                        <w:rPr>
                          <w:rFonts w:asciiTheme="minorHAnsi" w:hAnsiTheme="minorHAnsi" w:cs="Open Sans"/>
                          <w:color w:val="000000" w:themeColor="text1"/>
                          <w:sz w:val="20"/>
                          <w:lang w:val="fr-FR"/>
                        </w:rPr>
                      </w:pPr>
                    </w:p>
                    <w:p w14:paraId="02A2B980" w14:textId="77777777" w:rsidR="00CC590F" w:rsidRDefault="00CC590F" w:rsidP="009A24ED">
                      <w:pPr>
                        <w:spacing w:line="276" w:lineRule="auto"/>
                        <w:jc w:val="both"/>
                        <w:rPr>
                          <w:rFonts w:asciiTheme="minorHAnsi" w:hAnsiTheme="minorHAnsi" w:cs="Open Sans"/>
                          <w:color w:val="000000" w:themeColor="text1"/>
                          <w:sz w:val="20"/>
                          <w:lang w:val="fr-FR"/>
                        </w:rPr>
                      </w:pPr>
                    </w:p>
                    <w:p w14:paraId="6C238AE4" w14:textId="402265B6" w:rsidR="00CC590F" w:rsidRDefault="00052CF6" w:rsidP="009A24ED">
                      <w:pPr>
                        <w:spacing w:line="276" w:lineRule="auto"/>
                        <w:jc w:val="both"/>
                        <w:rPr>
                          <w:rFonts w:asciiTheme="minorHAnsi" w:hAnsiTheme="minorHAnsi" w:cs="Open Sans"/>
                          <w:color w:val="000000" w:themeColor="text1"/>
                          <w:sz w:val="20"/>
                          <w:lang w:val="fr-FR"/>
                        </w:rPr>
                      </w:pPr>
                      <w:r w:rsidRPr="00052CF6">
                        <w:rPr>
                          <w:rFonts w:asciiTheme="minorHAnsi" w:hAnsiTheme="minorHAnsi" w:cs="Open Sans"/>
                          <w:color w:val="000000" w:themeColor="text1"/>
                          <w:sz w:val="20"/>
                          <w:lang w:val="fr-FR"/>
                        </w:rPr>
                        <w:t>Depuis 2019, l’intensité carbone et énergétique du portefeuille d’Unités de Compte a fortement diminué, tandis que la part d’actifs certifiés, exprimée en nombre d’actifs, est passée de 19 % à 31 %.</w:t>
                      </w:r>
                    </w:p>
                    <w:p w14:paraId="11FDD00A" w14:textId="77777777" w:rsidR="00CC590F" w:rsidRDefault="00CC590F" w:rsidP="009A24ED">
                      <w:pPr>
                        <w:spacing w:line="276" w:lineRule="auto"/>
                        <w:jc w:val="both"/>
                        <w:rPr>
                          <w:rFonts w:asciiTheme="minorHAnsi" w:hAnsiTheme="minorHAnsi" w:cs="Open Sans"/>
                          <w:color w:val="000000" w:themeColor="text1"/>
                          <w:sz w:val="20"/>
                          <w:lang w:val="fr-FR"/>
                        </w:rPr>
                      </w:pPr>
                    </w:p>
                    <w:p w14:paraId="3E6FF1A9" w14:textId="77777777" w:rsidR="00CC590F" w:rsidRDefault="00CC590F" w:rsidP="009A24ED">
                      <w:pPr>
                        <w:spacing w:line="276" w:lineRule="auto"/>
                        <w:jc w:val="both"/>
                        <w:rPr>
                          <w:rFonts w:asciiTheme="minorHAnsi" w:hAnsiTheme="minorHAnsi" w:cs="Open Sans"/>
                          <w:color w:val="000000" w:themeColor="text1"/>
                          <w:sz w:val="20"/>
                          <w:lang w:val="fr-FR"/>
                        </w:rPr>
                      </w:pPr>
                    </w:p>
                    <w:p w14:paraId="1E87298C" w14:textId="77777777" w:rsidR="00CC590F" w:rsidRDefault="00CC590F" w:rsidP="009A24ED">
                      <w:pPr>
                        <w:spacing w:line="276" w:lineRule="auto"/>
                        <w:jc w:val="both"/>
                        <w:rPr>
                          <w:rFonts w:asciiTheme="minorHAnsi" w:hAnsiTheme="minorHAnsi" w:cs="Open Sans"/>
                          <w:color w:val="000000" w:themeColor="text1"/>
                          <w:sz w:val="20"/>
                          <w:lang w:val="fr-FR"/>
                        </w:rPr>
                      </w:pPr>
                    </w:p>
                    <w:p w14:paraId="4F37B448" w14:textId="77777777" w:rsidR="00CC590F" w:rsidRDefault="00CC590F" w:rsidP="009A24ED">
                      <w:pPr>
                        <w:spacing w:line="276" w:lineRule="auto"/>
                        <w:jc w:val="both"/>
                        <w:rPr>
                          <w:rFonts w:asciiTheme="minorHAnsi" w:hAnsiTheme="minorHAnsi" w:cs="Open Sans"/>
                          <w:color w:val="000000" w:themeColor="text1"/>
                          <w:sz w:val="20"/>
                          <w:lang w:val="fr-FR"/>
                        </w:rPr>
                      </w:pPr>
                    </w:p>
                    <w:p w14:paraId="1758C83F" w14:textId="77777777" w:rsidR="00CC590F" w:rsidRPr="00BB2CA5" w:rsidRDefault="00CC590F" w:rsidP="009A24ED">
                      <w:pPr>
                        <w:spacing w:line="276" w:lineRule="auto"/>
                        <w:jc w:val="both"/>
                        <w:rPr>
                          <w:rFonts w:asciiTheme="minorHAnsi" w:hAnsiTheme="minorHAnsi" w:cs="Open Sans"/>
                          <w:color w:val="000000" w:themeColor="text1"/>
                          <w:sz w:val="20"/>
                          <w:lang w:val="fr-FR"/>
                        </w:rPr>
                      </w:pPr>
                    </w:p>
                  </w:txbxContent>
                </v:textbox>
                <w10:wrap anchorx="margin"/>
              </v:rect>
            </w:pict>
          </mc:Fallback>
        </mc:AlternateContent>
      </w:r>
      <w:r w:rsidRPr="00A74D23">
        <w:rPr>
          <w:rFonts w:asciiTheme="minorHAnsi" w:hAnsiTheme="minorHAnsi" w:cs="Open Sans"/>
          <w:noProof/>
          <w:sz w:val="20"/>
          <w:szCs w:val="20"/>
          <w:lang w:val="fr-FR"/>
        </w:rPr>
        <mc:AlternateContent>
          <mc:Choice Requires="wps">
            <w:drawing>
              <wp:anchor distT="0" distB="0" distL="114300" distR="114300" simplePos="0" relativeHeight="251770880" behindDoc="0" locked="0" layoutInCell="1" allowOverlap="1" wp14:anchorId="62852981" wp14:editId="15E1ED0C">
                <wp:simplePos x="0" y="0"/>
                <wp:positionH relativeFrom="column">
                  <wp:posOffset>1733550</wp:posOffset>
                </wp:positionH>
                <wp:positionV relativeFrom="paragraph">
                  <wp:posOffset>0</wp:posOffset>
                </wp:positionV>
                <wp:extent cx="2390775" cy="285750"/>
                <wp:effectExtent l="0" t="0" r="9525" b="0"/>
                <wp:wrapNone/>
                <wp:docPr id="185949284" name="Rectangle 6"/>
                <wp:cNvGraphicFramePr/>
                <a:graphic xmlns:a="http://schemas.openxmlformats.org/drawingml/2006/main">
                  <a:graphicData uri="http://schemas.microsoft.com/office/word/2010/wordprocessingShape">
                    <wps:wsp>
                      <wps:cNvSpPr/>
                      <wps:spPr>
                        <a:xfrm>
                          <a:off x="0" y="0"/>
                          <a:ext cx="2390775" cy="28575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EC9594" w14:textId="77777777" w:rsidR="009A24ED" w:rsidRPr="004D6E4D" w:rsidRDefault="009A24ED" w:rsidP="009A24ED">
                            <w:pPr>
                              <w:jc w:val="center"/>
                              <w:rPr>
                                <w:rFonts w:asciiTheme="minorHAnsi" w:hAnsiTheme="minorHAnsi"/>
                                <w:b/>
                                <w:bCs/>
                                <w:color w:val="000000" w:themeColor="text1"/>
                                <w:lang w:val="fr-FR"/>
                              </w:rPr>
                            </w:pPr>
                            <w:r w:rsidRPr="004D6E4D">
                              <w:rPr>
                                <w:rFonts w:asciiTheme="minorHAnsi" w:hAnsiTheme="minorHAnsi"/>
                                <w:b/>
                                <w:bCs/>
                                <w:color w:val="000000" w:themeColor="text1"/>
                                <w:lang w:val="fr-FR"/>
                              </w:rPr>
                              <w:t>Et sur les Unités de Compte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852981" id="_x0000_s1141" style="position:absolute;left:0;text-align:left;margin-left:136.5pt;margin-top:0;width:188.25pt;height:22.5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" fillcolor="#4ca79f [3214]" stroked="f" strokeweight="1pt">
                <v:textbox>
                  <w:txbxContent>
                    <w:p w14:paraId="15EC9594" w14:textId="77777777" w:rsidR="009A24ED" w:rsidRPr="004D6E4D" w:rsidRDefault="009A24ED" w:rsidP="009A24ED">
                      <w:pPr>
                        <w:jc w:val="center"/>
                        <w:rPr>
                          <w:rFonts w:asciiTheme="minorHAnsi" w:hAnsiTheme="minorHAnsi"/>
                          <w:b/>
                          <w:bCs/>
                          <w:color w:val="000000" w:themeColor="text1"/>
                          <w:lang w:val="fr-FR"/>
                        </w:rPr>
                      </w:pPr>
                      <w:r w:rsidRPr="004D6E4D">
                        <w:rPr>
                          <w:rFonts w:asciiTheme="minorHAnsi" w:hAnsiTheme="minorHAnsi"/>
                          <w:b/>
                          <w:bCs/>
                          <w:color w:val="000000" w:themeColor="text1"/>
                          <w:lang w:val="fr-FR"/>
                        </w:rPr>
                        <w:t>Et sur les Unités de Compte ?</w:t>
                      </w:r>
                    </w:p>
                  </w:txbxContent>
                </v:textbox>
              </v:rect>
            </w:pict>
          </mc:Fallback>
        </mc:AlternateContent>
      </w:r>
    </w:p>
    <w:p w14:paraId="16AC7BDD" w14:textId="77777777" w:rsidR="0018477F" w:rsidRPr="00A74D23" w:rsidRDefault="0018477F" w:rsidP="009D6EE5">
      <w:pPr>
        <w:spacing w:line="22" w:lineRule="atLeast"/>
        <w:jc w:val="both"/>
        <w:rPr>
          <w:rFonts w:asciiTheme="minorHAnsi" w:hAnsiTheme="minorHAnsi" w:cs="Open Sans"/>
          <w:sz w:val="20"/>
          <w:szCs w:val="20"/>
          <w:lang w:val="fr-FR"/>
        </w:rPr>
      </w:pPr>
    </w:p>
    <w:p w14:paraId="32A8B826" w14:textId="77777777" w:rsidR="0018477F" w:rsidRPr="00A74D23" w:rsidRDefault="0018477F" w:rsidP="009D6EE5">
      <w:pPr>
        <w:spacing w:line="22" w:lineRule="atLeast"/>
        <w:jc w:val="both"/>
        <w:rPr>
          <w:rFonts w:asciiTheme="minorHAnsi" w:hAnsiTheme="minorHAnsi" w:cs="Open Sans"/>
          <w:sz w:val="20"/>
          <w:szCs w:val="20"/>
          <w:lang w:val="fr-FR"/>
        </w:rPr>
      </w:pPr>
    </w:p>
    <w:p w14:paraId="4E4D9433" w14:textId="77777777" w:rsidR="0018477F" w:rsidRPr="00A74D23" w:rsidRDefault="0018477F" w:rsidP="009D6EE5">
      <w:pPr>
        <w:spacing w:line="22" w:lineRule="atLeast"/>
        <w:jc w:val="both"/>
        <w:rPr>
          <w:rFonts w:asciiTheme="minorHAnsi" w:hAnsiTheme="minorHAnsi" w:cs="Open Sans"/>
          <w:sz w:val="20"/>
          <w:szCs w:val="20"/>
          <w:lang w:val="fr-FR"/>
        </w:rPr>
      </w:pPr>
    </w:p>
    <w:p w14:paraId="2CDD7A40" w14:textId="77777777" w:rsidR="0018477F" w:rsidRPr="00A74D23" w:rsidRDefault="0018477F" w:rsidP="009D6EE5">
      <w:pPr>
        <w:spacing w:line="22" w:lineRule="atLeast"/>
        <w:jc w:val="both"/>
        <w:rPr>
          <w:rFonts w:asciiTheme="minorHAnsi" w:hAnsiTheme="minorHAnsi" w:cs="Open Sans"/>
          <w:sz w:val="20"/>
          <w:szCs w:val="20"/>
          <w:lang w:val="fr-FR"/>
        </w:rPr>
      </w:pPr>
    </w:p>
    <w:p w14:paraId="04E0D57D" w14:textId="77777777" w:rsidR="0018477F" w:rsidRPr="00A74D23" w:rsidRDefault="0018477F" w:rsidP="009D6EE5">
      <w:pPr>
        <w:spacing w:line="22" w:lineRule="atLeast"/>
        <w:jc w:val="both"/>
        <w:rPr>
          <w:rFonts w:asciiTheme="minorHAnsi" w:hAnsiTheme="minorHAnsi" w:cs="Open Sans"/>
          <w:sz w:val="20"/>
          <w:szCs w:val="20"/>
          <w:lang w:val="fr-FR"/>
        </w:rPr>
      </w:pPr>
    </w:p>
    <w:p w14:paraId="5A156766" w14:textId="77777777" w:rsidR="0018477F" w:rsidRPr="00A74D23" w:rsidRDefault="0018477F" w:rsidP="009D6EE5">
      <w:pPr>
        <w:spacing w:line="22" w:lineRule="atLeast"/>
        <w:jc w:val="both"/>
        <w:rPr>
          <w:rFonts w:asciiTheme="minorHAnsi" w:hAnsiTheme="minorHAnsi" w:cs="Open Sans"/>
          <w:sz w:val="20"/>
          <w:szCs w:val="20"/>
          <w:lang w:val="fr-FR"/>
        </w:rPr>
      </w:pPr>
    </w:p>
    <w:p w14:paraId="03045397" w14:textId="77777777" w:rsidR="0018477F" w:rsidRPr="00A74D23" w:rsidRDefault="0018477F" w:rsidP="009D6EE5">
      <w:pPr>
        <w:spacing w:line="22" w:lineRule="atLeast"/>
        <w:jc w:val="both"/>
        <w:rPr>
          <w:rFonts w:asciiTheme="minorHAnsi" w:hAnsiTheme="minorHAnsi" w:cs="Open Sans"/>
          <w:sz w:val="20"/>
          <w:szCs w:val="20"/>
          <w:lang w:val="fr-FR"/>
        </w:rPr>
      </w:pPr>
    </w:p>
    <w:p w14:paraId="32BA0D0D" w14:textId="77777777" w:rsidR="0018477F" w:rsidRPr="00A74D23" w:rsidRDefault="0018477F" w:rsidP="009D6EE5">
      <w:pPr>
        <w:spacing w:line="22" w:lineRule="atLeast"/>
        <w:jc w:val="both"/>
        <w:rPr>
          <w:rFonts w:asciiTheme="minorHAnsi" w:hAnsiTheme="minorHAnsi" w:cs="Open Sans"/>
          <w:sz w:val="20"/>
          <w:szCs w:val="20"/>
          <w:lang w:val="fr-FR"/>
        </w:rPr>
      </w:pPr>
    </w:p>
    <w:p w14:paraId="009243DD" w14:textId="77777777" w:rsidR="0018477F" w:rsidRPr="00A74D23" w:rsidRDefault="0018477F" w:rsidP="009D6EE5">
      <w:pPr>
        <w:spacing w:line="22" w:lineRule="atLeast"/>
        <w:jc w:val="both"/>
        <w:rPr>
          <w:rFonts w:asciiTheme="minorHAnsi" w:hAnsiTheme="minorHAnsi" w:cs="Open Sans"/>
          <w:sz w:val="20"/>
          <w:szCs w:val="20"/>
          <w:lang w:val="fr-FR"/>
        </w:rPr>
      </w:pPr>
    </w:p>
    <w:p w14:paraId="14A7F533" w14:textId="77777777" w:rsidR="00333971" w:rsidRPr="00A74D23" w:rsidRDefault="00333971" w:rsidP="009D6EE5">
      <w:pPr>
        <w:spacing w:line="22" w:lineRule="atLeast"/>
        <w:jc w:val="both"/>
        <w:rPr>
          <w:rFonts w:asciiTheme="minorHAnsi" w:hAnsiTheme="minorHAnsi" w:cs="Open Sans"/>
          <w:sz w:val="20"/>
          <w:szCs w:val="20"/>
          <w:lang w:val="fr-FR"/>
        </w:rPr>
      </w:pPr>
    </w:p>
    <w:p w14:paraId="7D4C1E79" w14:textId="77777777" w:rsidR="00333971" w:rsidRPr="00A74D23" w:rsidRDefault="00333971" w:rsidP="009D6EE5">
      <w:pPr>
        <w:spacing w:line="22" w:lineRule="atLeast"/>
        <w:jc w:val="both"/>
        <w:rPr>
          <w:rFonts w:asciiTheme="minorHAnsi" w:hAnsiTheme="minorHAnsi" w:cs="Open Sans"/>
          <w:sz w:val="20"/>
          <w:szCs w:val="20"/>
          <w:lang w:val="fr-FR"/>
        </w:rPr>
      </w:pPr>
    </w:p>
    <w:p w14:paraId="39D362E6" w14:textId="77777777" w:rsidR="009D26A2" w:rsidRPr="00A74D23" w:rsidRDefault="009D26A2" w:rsidP="009D6EE5">
      <w:pPr>
        <w:spacing w:line="22" w:lineRule="atLeast"/>
        <w:jc w:val="both"/>
        <w:rPr>
          <w:rFonts w:asciiTheme="minorHAnsi" w:hAnsiTheme="minorHAnsi" w:cs="Open Sans"/>
          <w:sz w:val="20"/>
          <w:szCs w:val="20"/>
          <w:lang w:val="fr-FR"/>
        </w:rPr>
      </w:pPr>
    </w:p>
    <w:p w14:paraId="1576556F" w14:textId="77777777" w:rsidR="009D26A2" w:rsidRPr="00A74D23" w:rsidRDefault="009D26A2" w:rsidP="009D6EE5">
      <w:pPr>
        <w:spacing w:line="22" w:lineRule="atLeast"/>
        <w:jc w:val="both"/>
        <w:rPr>
          <w:rFonts w:asciiTheme="minorHAnsi" w:hAnsiTheme="minorHAnsi" w:cs="Open Sans"/>
          <w:sz w:val="20"/>
          <w:szCs w:val="20"/>
          <w:lang w:val="fr-FR"/>
        </w:rPr>
      </w:pPr>
    </w:p>
    <w:p w14:paraId="75317911" w14:textId="77777777" w:rsidR="009D26A2" w:rsidRPr="00A74D23" w:rsidRDefault="009D26A2" w:rsidP="009D6EE5">
      <w:pPr>
        <w:spacing w:line="22" w:lineRule="atLeast"/>
        <w:jc w:val="both"/>
        <w:rPr>
          <w:rFonts w:asciiTheme="minorHAnsi" w:hAnsiTheme="minorHAnsi" w:cs="Open Sans"/>
          <w:sz w:val="20"/>
          <w:szCs w:val="20"/>
          <w:lang w:val="fr-FR"/>
        </w:rPr>
      </w:pPr>
    </w:p>
    <w:p w14:paraId="0F153F3B" w14:textId="77777777" w:rsidR="009D26A2" w:rsidRPr="00A74D23" w:rsidRDefault="009D26A2" w:rsidP="009D6EE5">
      <w:pPr>
        <w:spacing w:line="22" w:lineRule="atLeast"/>
        <w:jc w:val="both"/>
        <w:rPr>
          <w:rFonts w:asciiTheme="minorHAnsi" w:hAnsiTheme="minorHAnsi" w:cs="Open Sans"/>
          <w:sz w:val="20"/>
          <w:szCs w:val="20"/>
          <w:lang w:val="fr-FR"/>
        </w:rPr>
      </w:pPr>
    </w:p>
    <w:p w14:paraId="684273AC" w14:textId="77777777" w:rsidR="003F6875" w:rsidRPr="00A74D23" w:rsidRDefault="003F6875" w:rsidP="009D6EE5">
      <w:pPr>
        <w:spacing w:line="22" w:lineRule="atLeast"/>
        <w:jc w:val="both"/>
        <w:rPr>
          <w:rFonts w:asciiTheme="minorHAnsi" w:hAnsiTheme="minorHAnsi" w:cs="Open Sans"/>
          <w:lang w:val="fr-FR"/>
        </w:rPr>
      </w:pPr>
    </w:p>
    <w:p w14:paraId="04F49AEF" w14:textId="77777777" w:rsidR="00FA07B1" w:rsidRPr="00810C2C" w:rsidRDefault="00FA07B1" w:rsidP="009D6EE5">
      <w:pPr>
        <w:spacing w:line="22" w:lineRule="atLeast"/>
        <w:jc w:val="both"/>
        <w:rPr>
          <w:rFonts w:asciiTheme="minorHAnsi" w:hAnsiTheme="minorHAnsi" w:cs="Open Sans"/>
          <w:bCs/>
          <w:lang w:val="fr-FR"/>
        </w:rPr>
      </w:pPr>
    </w:p>
    <w:p w14:paraId="226E7492" w14:textId="772FFC01" w:rsidR="009559F8" w:rsidRPr="00810C2C" w:rsidRDefault="009D2D62" w:rsidP="009D6EE5">
      <w:pPr>
        <w:pStyle w:val="Titre10"/>
        <w:spacing w:line="22" w:lineRule="atLeast"/>
        <w:ind w:left="426" w:hanging="426"/>
        <w:jc w:val="both"/>
        <w:rPr>
          <w:rFonts w:asciiTheme="minorHAnsi" w:hAnsiTheme="minorHAnsi" w:cs="Open Sans"/>
          <w:b w:val="0"/>
          <w:bCs/>
          <w:color w:val="DBE1ED" w:themeColor="accent6"/>
          <w:sz w:val="44"/>
          <w:szCs w:val="44"/>
        </w:rPr>
      </w:pPr>
      <w:bookmarkStart w:id="85" w:name="_Toc231337020"/>
      <w:bookmarkStart w:id="86" w:name="_Toc129091830"/>
      <w:bookmarkStart w:id="87" w:name="_Toc128735918"/>
      <w:r w:rsidRPr="00810C2C">
        <w:rPr>
          <w:rFonts w:asciiTheme="minorHAnsi" w:hAnsiTheme="minorHAnsi" w:cs="Open Sans"/>
          <w:b w:val="0"/>
          <w:bCs/>
          <w:sz w:val="44"/>
          <w:szCs w:val="44"/>
        </w:rPr>
        <w:t xml:space="preserve">H. </w:t>
      </w:r>
      <w:r w:rsidR="00A17CAB" w:rsidRPr="00810C2C">
        <w:rPr>
          <w:rFonts w:asciiTheme="minorHAnsi" w:hAnsiTheme="minorHAnsi" w:cs="Open Sans"/>
          <w:b w:val="0"/>
          <w:bCs/>
          <w:sz w:val="44"/>
          <w:szCs w:val="44"/>
        </w:rPr>
        <w:t>Stratégie d'alignement avec les objectifs de long terme liés à la biodiversité</w:t>
      </w:r>
      <w:bookmarkEnd w:id="85"/>
      <w:r w:rsidR="0041362D" w:rsidRPr="00810C2C">
        <w:rPr>
          <w:rFonts w:asciiTheme="minorHAnsi" w:hAnsiTheme="minorHAnsi" w:cs="Open Sans"/>
          <w:b w:val="0"/>
          <w:bCs/>
          <w:color w:val="DBE1ED" w:themeColor="accent6"/>
          <w:sz w:val="44"/>
          <w:szCs w:val="44"/>
        </w:rPr>
        <w:t xml:space="preserve"> </w:t>
      </w:r>
      <w:bookmarkEnd w:id="86"/>
      <w:bookmarkEnd w:id="87"/>
    </w:p>
    <w:p w14:paraId="194BCB0E" w14:textId="136D02BC" w:rsidR="00B61192" w:rsidRPr="00A74D23" w:rsidRDefault="002E39B9" w:rsidP="009D6EE5">
      <w:pPr>
        <w:pStyle w:val="Style2"/>
        <w:numPr>
          <w:ilvl w:val="1"/>
          <w:numId w:val="1"/>
        </w:numPr>
        <w:spacing w:line="22" w:lineRule="atLeast"/>
        <w:jc w:val="both"/>
        <w:rPr>
          <w:rFonts w:asciiTheme="minorHAnsi" w:hAnsiTheme="minorHAnsi" w:cs="Open Sans"/>
          <w:sz w:val="36"/>
          <w:szCs w:val="36"/>
        </w:rPr>
      </w:pPr>
      <w:bookmarkStart w:id="88" w:name="_Toc231337021"/>
      <w:bookmarkStart w:id="89" w:name="_Toc129091831"/>
      <w:bookmarkStart w:id="90" w:name="_Toc128735919"/>
      <w:r w:rsidRPr="00A74D23">
        <w:rPr>
          <w:rFonts w:asciiTheme="minorHAnsi" w:hAnsiTheme="minorHAnsi" w:cs="Open Sans"/>
          <w:sz w:val="36"/>
          <w:szCs w:val="36"/>
        </w:rPr>
        <w:t>Intégrer les enjeux liés à la biodiversité dans notre stratégie</w:t>
      </w:r>
      <w:bookmarkEnd w:id="88"/>
      <w:r w:rsidRPr="00A74D23">
        <w:rPr>
          <w:rFonts w:asciiTheme="minorHAnsi" w:hAnsiTheme="minorHAnsi" w:cs="Open Sans"/>
          <w:sz w:val="36"/>
          <w:szCs w:val="36"/>
        </w:rPr>
        <w:t xml:space="preserve"> </w:t>
      </w:r>
      <w:bookmarkEnd w:id="89"/>
      <w:bookmarkEnd w:id="90"/>
    </w:p>
    <w:p w14:paraId="1D818BC6" w14:textId="77777777" w:rsidR="00DB2D71" w:rsidRPr="00A74D23" w:rsidRDefault="00DB2D71" w:rsidP="009D6EE5">
      <w:pPr>
        <w:spacing w:line="22" w:lineRule="atLeast"/>
        <w:jc w:val="both"/>
        <w:rPr>
          <w:rFonts w:asciiTheme="minorHAnsi" w:hAnsiTheme="minorHAnsi"/>
          <w:lang w:val="fr-FR"/>
        </w:rPr>
      </w:pPr>
    </w:p>
    <w:p w14:paraId="1A998F4B" w14:textId="53B71607" w:rsidR="001B15A3" w:rsidRPr="00A74D23" w:rsidRDefault="002E39B9" w:rsidP="00590DD1">
      <w:pPr>
        <w:pStyle w:val="Style3"/>
        <w:numPr>
          <w:ilvl w:val="1"/>
          <w:numId w:val="92"/>
        </w:numPr>
        <w:spacing w:line="22" w:lineRule="atLeast"/>
        <w:ind w:left="709"/>
        <w:jc w:val="both"/>
        <w:rPr>
          <w:rFonts w:asciiTheme="minorHAnsi" w:hAnsiTheme="minorHAnsi" w:cs="Open Sans"/>
          <w:sz w:val="32"/>
          <w:szCs w:val="32"/>
        </w:rPr>
      </w:pPr>
      <w:r w:rsidRPr="00A74D23">
        <w:rPr>
          <w:rFonts w:asciiTheme="minorHAnsi" w:hAnsiTheme="minorHAnsi" w:cs="Open Sans"/>
          <w:sz w:val="32"/>
          <w:szCs w:val="32"/>
        </w:rPr>
        <w:t>Notre a</w:t>
      </w:r>
      <w:r w:rsidR="00887A2A" w:rsidRPr="00A74D23">
        <w:rPr>
          <w:rFonts w:asciiTheme="minorHAnsi" w:hAnsiTheme="minorHAnsi" w:cs="Open Sans"/>
          <w:sz w:val="32"/>
          <w:szCs w:val="32"/>
        </w:rPr>
        <w:t xml:space="preserve">lignement aux objectifs de la COP 15 </w:t>
      </w:r>
    </w:p>
    <w:p w14:paraId="31787612" w14:textId="2F13EB07" w:rsidR="00A07853" w:rsidRPr="00A74D23" w:rsidRDefault="00A07853" w:rsidP="009D6EE5">
      <w:pPr>
        <w:pStyle w:val="Paragraphedeliste"/>
        <w:spacing w:after="0" w:line="22" w:lineRule="atLeast"/>
        <w:ind w:left="0"/>
        <w:jc w:val="both"/>
        <w:rPr>
          <w:rFonts w:cs="Open Sans"/>
          <w:sz w:val="20"/>
        </w:rPr>
      </w:pPr>
      <w:r w:rsidRPr="00A74D23">
        <w:rPr>
          <w:rFonts w:cs="Open Sans"/>
          <w:sz w:val="20"/>
        </w:rPr>
        <w:t xml:space="preserve">A l’instar du changement climatique, la dégradation de la biodiversité engendre des risques manifestes et croissants pour la société et l’économie. La perte de biodiversité et de capital naturel peut à ce titre se transformer en risque financier. Abeille Assurances a un rôle moteur à jouer pour préserver et restaurer la biodiversité. Fort de ces constats, Abeille Assurances est conscient qu’il est impératif d’intégrer la préservation de la biodiversité à sa stratégie. </w:t>
      </w:r>
    </w:p>
    <w:p w14:paraId="31EBB7D0" w14:textId="77777777" w:rsidR="001B6CDB" w:rsidRPr="00A74D23" w:rsidRDefault="001B6CDB" w:rsidP="009D6EE5">
      <w:pPr>
        <w:spacing w:line="22" w:lineRule="atLeast"/>
        <w:jc w:val="both"/>
        <w:rPr>
          <w:rFonts w:asciiTheme="minorHAnsi" w:hAnsiTheme="minorHAnsi" w:cs="Open Sans"/>
          <w:b/>
          <w:sz w:val="20"/>
          <w:lang w:val="fr-FR"/>
        </w:rPr>
      </w:pPr>
    </w:p>
    <w:p w14:paraId="0306E781" w14:textId="78DF8484" w:rsidR="00742FCB" w:rsidRPr="00A74D23" w:rsidRDefault="002A1B8E" w:rsidP="009D6EE5">
      <w:pPr>
        <w:spacing w:line="22" w:lineRule="atLeast"/>
        <w:jc w:val="both"/>
        <w:rPr>
          <w:rFonts w:asciiTheme="minorHAnsi" w:hAnsiTheme="minorHAnsi" w:cs="Open Sans"/>
          <w:b/>
          <w:szCs w:val="32"/>
          <w:lang w:val="fr-FR"/>
        </w:rPr>
      </w:pPr>
      <w:r w:rsidRPr="00A74D23">
        <w:rPr>
          <w:rFonts w:asciiTheme="minorHAnsi" w:hAnsiTheme="minorHAnsi" w:cs="Open Sans"/>
          <w:b/>
          <w:szCs w:val="32"/>
          <w:lang w:val="fr-FR"/>
        </w:rPr>
        <w:t xml:space="preserve">Stratégie d’alignement </w:t>
      </w:r>
    </w:p>
    <w:p w14:paraId="66FAA861" w14:textId="584C5287" w:rsidR="002E243A" w:rsidRPr="00A74D23" w:rsidRDefault="002A1B8E" w:rsidP="009D6EE5">
      <w:pPr>
        <w:spacing w:after="120" w:line="22" w:lineRule="atLeast"/>
        <w:jc w:val="both"/>
        <w:rPr>
          <w:rFonts w:asciiTheme="minorHAnsi" w:hAnsiTheme="minorHAnsi" w:cs="Open Sans"/>
          <w:b/>
          <w:sz w:val="20"/>
          <w:lang w:val="fr-FR"/>
        </w:rPr>
      </w:pPr>
      <w:r w:rsidRPr="00A74D23">
        <w:rPr>
          <w:rFonts w:asciiTheme="minorHAnsi" w:hAnsiTheme="minorHAnsi" w:cs="Open Sans"/>
          <w:sz w:val="20"/>
          <w:szCs w:val="20"/>
          <w:lang w:val="fr-FR"/>
        </w:rPr>
        <w:t>S’agissant de notre stratégie d’alignement avec les objectifs internationaux de lutte contre l’érosion de la biodiversité, Abeille Assurances a pour ambition de poursuivre une trajectoire qui s’insère dans les objectifs du texte utilisé comme base de négociation pour la COP15</w:t>
      </w:r>
      <w:r w:rsidR="0087644E" w:rsidRPr="00A74D23">
        <w:rPr>
          <w:rStyle w:val="Appelnotedebasdep"/>
          <w:rFonts w:asciiTheme="minorHAnsi" w:hAnsiTheme="minorHAnsi" w:cs="Open Sans"/>
          <w:sz w:val="20"/>
          <w:szCs w:val="20"/>
        </w:rPr>
        <w:footnoteReference w:id="13"/>
      </w:r>
      <w:r w:rsidRPr="00A74D23">
        <w:rPr>
          <w:rFonts w:asciiTheme="minorHAnsi" w:hAnsiTheme="minorHAnsi" w:cs="Open Sans"/>
          <w:sz w:val="20"/>
          <w:szCs w:val="20"/>
          <w:lang w:val="fr-FR"/>
        </w:rPr>
        <w:t xml:space="preserve"> sur la diversité biologique</w:t>
      </w:r>
      <w:r w:rsidR="002E243A" w:rsidRPr="00A74D23">
        <w:rPr>
          <w:rFonts w:asciiTheme="minorHAnsi" w:hAnsiTheme="minorHAnsi" w:cs="Open Sans"/>
          <w:sz w:val="20"/>
          <w:szCs w:val="20"/>
          <w:lang w:val="fr-FR"/>
        </w:rPr>
        <w:t xml:space="preserve">, et notamment </w:t>
      </w:r>
      <w:r w:rsidR="000A5A48" w:rsidRPr="00A74D23">
        <w:rPr>
          <w:rFonts w:asciiTheme="minorHAnsi" w:hAnsiTheme="minorHAnsi" w:cs="Open Sans"/>
          <w:sz w:val="20"/>
          <w:szCs w:val="20"/>
          <w:lang w:val="fr-FR"/>
        </w:rPr>
        <w:t>les objectifs</w:t>
      </w:r>
      <w:r w:rsidR="002E243A" w:rsidRPr="00A74D23">
        <w:rPr>
          <w:rFonts w:asciiTheme="minorHAnsi" w:hAnsiTheme="minorHAnsi" w:cs="Open Sans"/>
          <w:sz w:val="20"/>
          <w:szCs w:val="20"/>
          <w:lang w:val="fr-FR"/>
        </w:rPr>
        <w:t xml:space="preserve"> de la Convention sur la diversité biologique adoptée en 1992 à savoir :</w:t>
      </w:r>
    </w:p>
    <w:p w14:paraId="391A726C" w14:textId="77777777" w:rsidR="002E243A" w:rsidRPr="00A74D23" w:rsidRDefault="002E243A" w:rsidP="00590DD1">
      <w:pPr>
        <w:numPr>
          <w:ilvl w:val="0"/>
          <w:numId w:val="22"/>
        </w:numPr>
        <w:tabs>
          <w:tab w:val="left" w:pos="284"/>
        </w:tabs>
        <w:autoSpaceDE w:val="0"/>
        <w:autoSpaceDN w:val="0"/>
        <w:adjustRightInd w:val="0"/>
        <w:spacing w:line="22" w:lineRule="atLeast"/>
        <w:ind w:hanging="720"/>
        <w:jc w:val="both"/>
        <w:rPr>
          <w:rFonts w:asciiTheme="minorHAnsi" w:hAnsiTheme="minorHAnsi" w:cs="Open Sans"/>
          <w:sz w:val="20"/>
          <w:lang w:val="fr-FR"/>
        </w:rPr>
      </w:pPr>
      <w:r w:rsidRPr="00A74D23">
        <w:rPr>
          <w:rFonts w:asciiTheme="minorHAnsi" w:hAnsiTheme="minorHAnsi" w:cs="Open Sans"/>
          <w:sz w:val="20"/>
          <w:lang w:val="fr-FR"/>
        </w:rPr>
        <w:t>La conservation de la biodiversité ;</w:t>
      </w:r>
    </w:p>
    <w:p w14:paraId="46A46343" w14:textId="77777777" w:rsidR="002E243A" w:rsidRPr="00A74D23" w:rsidRDefault="002E243A" w:rsidP="00590DD1">
      <w:pPr>
        <w:numPr>
          <w:ilvl w:val="0"/>
          <w:numId w:val="22"/>
        </w:numPr>
        <w:tabs>
          <w:tab w:val="left" w:pos="284"/>
        </w:tabs>
        <w:autoSpaceDE w:val="0"/>
        <w:autoSpaceDN w:val="0"/>
        <w:adjustRightInd w:val="0"/>
        <w:spacing w:line="22" w:lineRule="atLeast"/>
        <w:ind w:hanging="720"/>
        <w:jc w:val="both"/>
        <w:rPr>
          <w:rFonts w:asciiTheme="minorHAnsi" w:hAnsiTheme="minorHAnsi" w:cs="Open Sans"/>
          <w:sz w:val="20"/>
          <w:lang w:val="fr-FR"/>
        </w:rPr>
      </w:pPr>
      <w:r w:rsidRPr="00A74D23">
        <w:rPr>
          <w:rFonts w:asciiTheme="minorHAnsi" w:hAnsiTheme="minorHAnsi" w:cs="Open Sans"/>
          <w:sz w:val="20"/>
          <w:lang w:val="fr-FR"/>
        </w:rPr>
        <w:t>L’utilisation durable de ses composants ;</w:t>
      </w:r>
    </w:p>
    <w:p w14:paraId="46B46D07" w14:textId="1715AF8A" w:rsidR="00D8301F" w:rsidRPr="00A74D23" w:rsidRDefault="002E243A" w:rsidP="00590DD1">
      <w:pPr>
        <w:numPr>
          <w:ilvl w:val="0"/>
          <w:numId w:val="22"/>
        </w:numPr>
        <w:tabs>
          <w:tab w:val="clear" w:pos="720"/>
          <w:tab w:val="left" w:pos="284"/>
          <w:tab w:val="num" w:pos="426"/>
        </w:tabs>
        <w:autoSpaceDE w:val="0"/>
        <w:autoSpaceDN w:val="0"/>
        <w:adjustRightInd w:val="0"/>
        <w:spacing w:line="22" w:lineRule="atLeast"/>
        <w:ind w:left="284" w:hanging="284"/>
        <w:jc w:val="both"/>
        <w:rPr>
          <w:rFonts w:asciiTheme="minorHAnsi" w:hAnsiTheme="minorHAnsi" w:cs="Open Sans"/>
          <w:sz w:val="20"/>
          <w:lang w:val="fr-FR"/>
        </w:rPr>
      </w:pPr>
      <w:r w:rsidRPr="00A74D23">
        <w:rPr>
          <w:rFonts w:asciiTheme="minorHAnsi" w:hAnsiTheme="minorHAnsi" w:cs="Open Sans"/>
          <w:sz w:val="20"/>
          <w:lang w:val="fr-FR"/>
        </w:rPr>
        <w:t>Le partage juste et équitable des avantages découlant de l’exploitation des ressources génétiques et des connaissances qui y sont associées.</w:t>
      </w:r>
    </w:p>
    <w:p w14:paraId="1AD7122F" w14:textId="2D870E10" w:rsidR="00B3470F" w:rsidRPr="00A74D23" w:rsidRDefault="00B3470F" w:rsidP="009D6EE5">
      <w:pPr>
        <w:tabs>
          <w:tab w:val="left" w:pos="284"/>
        </w:tabs>
        <w:autoSpaceDE w:val="0"/>
        <w:autoSpaceDN w:val="0"/>
        <w:adjustRightInd w:val="0"/>
        <w:spacing w:before="120" w:after="240"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Le tableau ci-dessous résume nos actions en faveur de la biodiversité </w:t>
      </w:r>
      <w:r w:rsidR="00821965" w:rsidRPr="00A74D23">
        <w:rPr>
          <w:rFonts w:asciiTheme="minorHAnsi" w:hAnsiTheme="minorHAnsi" w:cs="Open Sans"/>
          <w:sz w:val="20"/>
          <w:lang w:val="fr-FR"/>
        </w:rPr>
        <w:t>selon les cibles du cadre global biodiversité (Global Biodiversity Framework) défini à Montr</w:t>
      </w:r>
      <w:r w:rsidR="00794BC6" w:rsidRPr="00A74D23">
        <w:rPr>
          <w:rFonts w:asciiTheme="minorHAnsi" w:hAnsiTheme="minorHAnsi" w:cs="Open Sans"/>
          <w:sz w:val="20"/>
          <w:lang w:val="fr-FR"/>
        </w:rPr>
        <w:t>é</w:t>
      </w:r>
      <w:r w:rsidR="00821965" w:rsidRPr="00A74D23">
        <w:rPr>
          <w:rFonts w:asciiTheme="minorHAnsi" w:hAnsiTheme="minorHAnsi" w:cs="Open Sans"/>
          <w:sz w:val="20"/>
          <w:lang w:val="fr-FR"/>
        </w:rPr>
        <w:t xml:space="preserve">al en décembre 2022. </w:t>
      </w:r>
    </w:p>
    <w:tbl>
      <w:tblPr>
        <w:tblStyle w:val="TableauListe2-Accentuation3"/>
        <w:tblW w:w="9209" w:type="dxa"/>
        <w:tblInd w:w="5" w:type="dxa"/>
        <w:tblLook w:val="04A0" w:firstRow="1" w:lastRow="0" w:firstColumn="1" w:lastColumn="0" w:noHBand="0" w:noVBand="1"/>
      </w:tblPr>
      <w:tblGrid>
        <w:gridCol w:w="1696"/>
        <w:gridCol w:w="3261"/>
        <w:gridCol w:w="140"/>
        <w:gridCol w:w="4112"/>
      </w:tblGrid>
      <w:tr w:rsidR="00655D93" w:rsidRPr="009508AF" w14:paraId="635C65F8" w14:textId="77777777" w:rsidTr="00EC4A52">
        <w:trPr>
          <w:cnfStyle w:val="100000000000" w:firstRow="1" w:lastRow="0" w:firstColumn="0" w:lastColumn="0" w:oddVBand="0" w:evenVBand="0" w:oddHBand="0"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1696" w:type="dxa"/>
          </w:tcPr>
          <w:p w14:paraId="11AD6BF6" w14:textId="524439B9" w:rsidR="00496922" w:rsidRPr="00A74D23" w:rsidRDefault="00496922" w:rsidP="009D6EE5">
            <w:pPr>
              <w:tabs>
                <w:tab w:val="left" w:pos="284"/>
              </w:tabs>
              <w:autoSpaceDE w:val="0"/>
              <w:autoSpaceDN w:val="0"/>
              <w:adjustRightInd w:val="0"/>
              <w:spacing w:before="120" w:line="22" w:lineRule="atLeast"/>
              <w:jc w:val="both"/>
              <w:rPr>
                <w:rFonts w:asciiTheme="minorHAnsi" w:hAnsiTheme="minorHAnsi" w:cs="Open Sans"/>
                <w:sz w:val="20"/>
              </w:rPr>
            </w:pPr>
            <w:bookmarkStart w:id="91" w:name="_Hlk170311652"/>
            <w:r w:rsidRPr="00A74D23">
              <w:rPr>
                <w:rFonts w:asciiTheme="minorHAnsi" w:hAnsiTheme="minorHAnsi" w:cs="Open Sans"/>
                <w:sz w:val="20"/>
              </w:rPr>
              <w:t>Cible</w:t>
            </w:r>
          </w:p>
        </w:tc>
        <w:tc>
          <w:tcPr>
            <w:tcW w:w="3401" w:type="dxa"/>
            <w:gridSpan w:val="2"/>
          </w:tcPr>
          <w:p w14:paraId="451373F7" w14:textId="054C4CAF" w:rsidR="00496922" w:rsidRPr="00A74D23" w:rsidRDefault="00496922" w:rsidP="009D6EE5">
            <w:pPr>
              <w:tabs>
                <w:tab w:val="left" w:pos="284"/>
              </w:tabs>
              <w:autoSpaceDE w:val="0"/>
              <w:autoSpaceDN w:val="0"/>
              <w:adjustRightInd w:val="0"/>
              <w:spacing w:before="120" w:line="22" w:lineRule="atLeast"/>
              <w:jc w:val="both"/>
              <w:cnfStyle w:val="100000000000" w:firstRow="1" w:lastRow="0" w:firstColumn="0" w:lastColumn="0" w:oddVBand="0" w:evenVBand="0" w:oddHBand="0" w:evenHBand="0" w:firstRowFirstColumn="0" w:firstRowLastColumn="0" w:lastRowFirstColumn="0" w:lastRowLastColumn="0"/>
              <w:rPr>
                <w:rFonts w:asciiTheme="minorHAnsi" w:hAnsiTheme="minorHAnsi" w:cs="Open Sans"/>
                <w:sz w:val="20"/>
              </w:rPr>
            </w:pPr>
            <w:r w:rsidRPr="00A74D23">
              <w:rPr>
                <w:rFonts w:asciiTheme="minorHAnsi" w:hAnsiTheme="minorHAnsi" w:cs="Open Sans"/>
                <w:sz w:val="20"/>
              </w:rPr>
              <w:t>Descriptif</w:t>
            </w:r>
          </w:p>
        </w:tc>
        <w:tc>
          <w:tcPr>
            <w:tcW w:w="4112" w:type="dxa"/>
          </w:tcPr>
          <w:p w14:paraId="16549C08" w14:textId="0A1B3A67" w:rsidR="00496922" w:rsidRPr="00A74D23" w:rsidRDefault="00496922" w:rsidP="009D6EE5">
            <w:pPr>
              <w:tabs>
                <w:tab w:val="left" w:pos="284"/>
              </w:tabs>
              <w:autoSpaceDE w:val="0"/>
              <w:autoSpaceDN w:val="0"/>
              <w:adjustRightInd w:val="0"/>
              <w:spacing w:before="120" w:line="22" w:lineRule="atLeast"/>
              <w:ind w:left="170"/>
              <w:jc w:val="both"/>
              <w:cnfStyle w:val="100000000000" w:firstRow="1" w:lastRow="0" w:firstColumn="0" w:lastColumn="0" w:oddVBand="0" w:evenVBand="0" w:oddHBand="0" w:evenHBand="0" w:firstRowFirstColumn="0" w:firstRowLastColumn="0" w:lastRowFirstColumn="0" w:lastRowLastColumn="0"/>
              <w:rPr>
                <w:rFonts w:asciiTheme="minorHAnsi" w:hAnsiTheme="minorHAnsi" w:cs="Open Sans"/>
                <w:sz w:val="20"/>
                <w:lang w:val="fr-FR"/>
              </w:rPr>
            </w:pPr>
            <w:r w:rsidRPr="00A74D23">
              <w:rPr>
                <w:rFonts w:asciiTheme="minorHAnsi" w:hAnsiTheme="minorHAnsi" w:cs="Open Sans"/>
                <w:sz w:val="20"/>
                <w:lang w:val="fr-FR"/>
              </w:rPr>
              <w:t>Action</w:t>
            </w:r>
            <w:r w:rsidR="00375727" w:rsidRPr="00A74D23">
              <w:rPr>
                <w:rFonts w:asciiTheme="minorHAnsi" w:hAnsiTheme="minorHAnsi" w:cs="Open Sans"/>
                <w:sz w:val="20"/>
                <w:lang w:val="fr-FR"/>
              </w:rPr>
              <w:t>s</w:t>
            </w:r>
            <w:r w:rsidRPr="00A74D23">
              <w:rPr>
                <w:rFonts w:asciiTheme="minorHAnsi" w:hAnsiTheme="minorHAnsi" w:cs="Open Sans"/>
                <w:sz w:val="20"/>
                <w:lang w:val="fr-FR"/>
              </w:rPr>
              <w:t xml:space="preserve"> mise</w:t>
            </w:r>
            <w:r w:rsidR="00375727" w:rsidRPr="00A74D23">
              <w:rPr>
                <w:rFonts w:asciiTheme="minorHAnsi" w:hAnsiTheme="minorHAnsi" w:cs="Open Sans"/>
                <w:sz w:val="20"/>
                <w:lang w:val="fr-FR"/>
              </w:rPr>
              <w:t>s</w:t>
            </w:r>
            <w:r w:rsidRPr="00A74D23">
              <w:rPr>
                <w:rFonts w:asciiTheme="minorHAnsi" w:hAnsiTheme="minorHAnsi" w:cs="Open Sans"/>
                <w:sz w:val="20"/>
                <w:lang w:val="fr-FR"/>
              </w:rPr>
              <w:t xml:space="preserve"> en place</w:t>
            </w:r>
            <w:r w:rsidR="00943A37" w:rsidRPr="00A74D23">
              <w:rPr>
                <w:rFonts w:asciiTheme="minorHAnsi" w:hAnsiTheme="minorHAnsi" w:cs="Open Sans"/>
                <w:sz w:val="20"/>
                <w:lang w:val="fr-FR"/>
              </w:rPr>
              <w:t xml:space="preserve"> chez Abeille Assurances</w:t>
            </w:r>
          </w:p>
        </w:tc>
      </w:tr>
      <w:tr w:rsidR="00655D93" w:rsidRPr="009508AF" w14:paraId="0BAFC59E" w14:textId="77777777" w:rsidTr="00EC4A52">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1696" w:type="dxa"/>
          </w:tcPr>
          <w:p w14:paraId="6AC0CB56" w14:textId="19F195CF" w:rsidR="00496922" w:rsidRPr="00A74D23" w:rsidRDefault="0025613D" w:rsidP="009D6EE5">
            <w:pPr>
              <w:tabs>
                <w:tab w:val="left" w:pos="284"/>
              </w:tabs>
              <w:autoSpaceDE w:val="0"/>
              <w:autoSpaceDN w:val="0"/>
              <w:adjustRightInd w:val="0"/>
              <w:spacing w:before="120" w:after="120" w:line="22" w:lineRule="atLeast"/>
              <w:jc w:val="both"/>
              <w:rPr>
                <w:rFonts w:asciiTheme="minorHAnsi" w:hAnsiTheme="minorHAnsi" w:cs="Open Sans"/>
                <w:sz w:val="20"/>
              </w:rPr>
            </w:pPr>
            <w:r w:rsidRPr="00A74D23">
              <w:rPr>
                <w:rFonts w:asciiTheme="minorHAnsi" w:hAnsiTheme="minorHAnsi" w:cs="Open Sans"/>
                <w:sz w:val="20"/>
              </w:rPr>
              <w:t>1 – Planification spatiale</w:t>
            </w:r>
          </w:p>
        </w:tc>
        <w:tc>
          <w:tcPr>
            <w:tcW w:w="3261" w:type="dxa"/>
          </w:tcPr>
          <w:p w14:paraId="01457FD5" w14:textId="1034B5BF" w:rsidR="00496922" w:rsidRPr="00A74D23" w:rsidRDefault="00BD26AD" w:rsidP="009D6EE5">
            <w:pPr>
              <w:tabs>
                <w:tab w:val="left" w:pos="284"/>
              </w:tabs>
              <w:autoSpaceDE w:val="0"/>
              <w:autoSpaceDN w:val="0"/>
              <w:adjustRightInd w:val="0"/>
              <w:spacing w:before="120" w:after="120" w:line="22" w:lineRule="atLeast"/>
              <w:jc w:val="both"/>
              <w:cnfStyle w:val="000000100000" w:firstRow="0" w:lastRow="0" w:firstColumn="0" w:lastColumn="0" w:oddVBand="0" w:evenVBand="0" w:oddHBand="1" w:evenHBand="0" w:firstRowFirstColumn="0" w:firstRowLastColumn="0" w:lastRowFirstColumn="0" w:lastRowLastColumn="0"/>
              <w:rPr>
                <w:rFonts w:asciiTheme="minorHAnsi" w:hAnsiTheme="minorHAnsi" w:cs="Open Sans"/>
                <w:sz w:val="18"/>
                <w:szCs w:val="20"/>
                <w:lang w:val="fr-FR"/>
              </w:rPr>
            </w:pPr>
            <w:r w:rsidRPr="00A74D23">
              <w:rPr>
                <w:rFonts w:asciiTheme="minorHAnsi" w:hAnsiTheme="minorHAnsi" w:cs="Open Sans"/>
                <w:sz w:val="18"/>
                <w:szCs w:val="20"/>
                <w:lang w:val="fr-FR"/>
              </w:rPr>
              <w:t>Réduire la perte de zones de haute importance pour la biodiversité à "près de zéro" d'ici 2030, tout en respectant les droits des peuples autochtones et des communautés locales.</w:t>
            </w:r>
          </w:p>
        </w:tc>
        <w:tc>
          <w:tcPr>
            <w:tcW w:w="4252" w:type="dxa"/>
            <w:gridSpan w:val="2"/>
          </w:tcPr>
          <w:p w14:paraId="6245BCD5" w14:textId="3439481D" w:rsidR="00227AE6" w:rsidRPr="00A74D23" w:rsidRDefault="00AB152C" w:rsidP="00590DD1">
            <w:pPr>
              <w:pStyle w:val="Paragraphedeliste"/>
              <w:numPr>
                <w:ilvl w:val="0"/>
                <w:numId w:val="15"/>
              </w:numPr>
              <w:tabs>
                <w:tab w:val="left" w:pos="744"/>
              </w:tabs>
              <w:autoSpaceDE w:val="0"/>
              <w:autoSpaceDN w:val="0"/>
              <w:adjustRightInd w:val="0"/>
              <w:spacing w:before="120" w:after="120" w:line="22" w:lineRule="atLeast"/>
              <w:ind w:left="744" w:hanging="425"/>
              <w:contextualSpacing w:val="0"/>
              <w:jc w:val="both"/>
              <w:cnfStyle w:val="000000100000" w:firstRow="0" w:lastRow="0" w:firstColumn="0" w:lastColumn="0" w:oddVBand="0" w:evenVBand="0" w:oddHBand="1" w:evenHBand="0" w:firstRowFirstColumn="0" w:firstRowLastColumn="0" w:lastRowFirstColumn="0" w:lastRowLastColumn="0"/>
              <w:rPr>
                <w:rFonts w:cs="Open Sans"/>
                <w:sz w:val="18"/>
                <w:szCs w:val="20"/>
              </w:rPr>
            </w:pPr>
            <w:r w:rsidRPr="00A74D23">
              <w:rPr>
                <w:rFonts w:cs="Open Sans"/>
                <w:sz w:val="18"/>
                <w:szCs w:val="20"/>
              </w:rPr>
              <w:t xml:space="preserve">Mesure </w:t>
            </w:r>
            <w:r w:rsidR="00FB56E8" w:rsidRPr="00A74D23">
              <w:rPr>
                <w:rFonts w:cs="Open Sans"/>
                <w:sz w:val="18"/>
                <w:szCs w:val="20"/>
              </w:rPr>
              <w:t xml:space="preserve">et gestion </w:t>
            </w:r>
            <w:r w:rsidRPr="00A74D23">
              <w:rPr>
                <w:rFonts w:cs="Open Sans"/>
                <w:sz w:val="18"/>
                <w:szCs w:val="20"/>
              </w:rPr>
              <w:t>de la part des entreprises en portefeuille qui ont une activité liée à des zones riches en biodiversité</w:t>
            </w:r>
          </w:p>
        </w:tc>
      </w:tr>
      <w:tr w:rsidR="00655D93" w:rsidRPr="009508AF" w14:paraId="7F45CE18" w14:textId="77777777" w:rsidTr="00EC4A52">
        <w:trPr>
          <w:trHeight w:val="364"/>
        </w:trPr>
        <w:tc>
          <w:tcPr>
            <w:cnfStyle w:val="001000000000" w:firstRow="0" w:lastRow="0" w:firstColumn="1" w:lastColumn="0" w:oddVBand="0" w:evenVBand="0" w:oddHBand="0" w:evenHBand="0" w:firstRowFirstColumn="0" w:firstRowLastColumn="0" w:lastRowFirstColumn="0" w:lastRowLastColumn="0"/>
            <w:tcW w:w="1696" w:type="dxa"/>
          </w:tcPr>
          <w:p w14:paraId="713CEB81" w14:textId="62AFF2DB" w:rsidR="00496922" w:rsidRPr="00A74D23" w:rsidRDefault="009A77AB" w:rsidP="009D6EE5">
            <w:pPr>
              <w:tabs>
                <w:tab w:val="left" w:pos="284"/>
              </w:tabs>
              <w:autoSpaceDE w:val="0"/>
              <w:autoSpaceDN w:val="0"/>
              <w:adjustRightInd w:val="0"/>
              <w:spacing w:before="120" w:after="120" w:line="22" w:lineRule="atLeast"/>
              <w:jc w:val="both"/>
              <w:rPr>
                <w:rFonts w:asciiTheme="minorHAnsi" w:hAnsiTheme="minorHAnsi" w:cs="Open Sans"/>
                <w:sz w:val="20"/>
              </w:rPr>
            </w:pPr>
            <w:r w:rsidRPr="00A74D23">
              <w:rPr>
                <w:rFonts w:asciiTheme="minorHAnsi" w:hAnsiTheme="minorHAnsi" w:cs="Open Sans"/>
                <w:sz w:val="20"/>
              </w:rPr>
              <w:t>2 - Restauration</w:t>
            </w:r>
          </w:p>
        </w:tc>
        <w:tc>
          <w:tcPr>
            <w:tcW w:w="3261" w:type="dxa"/>
          </w:tcPr>
          <w:p w14:paraId="49239B0A" w14:textId="6F6248B0" w:rsidR="00496922" w:rsidRPr="00A74D23" w:rsidRDefault="00471377" w:rsidP="009D6EE5">
            <w:pPr>
              <w:tabs>
                <w:tab w:val="left" w:pos="284"/>
              </w:tabs>
              <w:autoSpaceDE w:val="0"/>
              <w:autoSpaceDN w:val="0"/>
              <w:adjustRightInd w:val="0"/>
              <w:spacing w:before="120" w:after="120"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sz w:val="18"/>
                <w:szCs w:val="20"/>
                <w:lang w:val="fr-FR"/>
              </w:rPr>
            </w:pPr>
            <w:r w:rsidRPr="00A74D23">
              <w:rPr>
                <w:rFonts w:asciiTheme="minorHAnsi" w:hAnsiTheme="minorHAnsi" w:cs="Open Sans"/>
                <w:sz w:val="18"/>
                <w:szCs w:val="20"/>
                <w:lang w:val="fr-FR"/>
              </w:rPr>
              <w:t>Veiller à ce que d'ici 2030, au moins 30 % des zones dégradées fassent l'objet d'une restauration efficace</w:t>
            </w:r>
          </w:p>
        </w:tc>
        <w:tc>
          <w:tcPr>
            <w:tcW w:w="4252" w:type="dxa"/>
            <w:gridSpan w:val="2"/>
          </w:tcPr>
          <w:p w14:paraId="47D8CE0B" w14:textId="77777777" w:rsidR="002058BE" w:rsidRPr="00A74D23" w:rsidRDefault="008A416B" w:rsidP="00590DD1">
            <w:pPr>
              <w:pStyle w:val="Paragraphedeliste"/>
              <w:numPr>
                <w:ilvl w:val="0"/>
                <w:numId w:val="23"/>
              </w:numPr>
              <w:autoSpaceDE w:val="0"/>
              <w:autoSpaceDN w:val="0"/>
              <w:adjustRightInd w:val="0"/>
              <w:spacing w:before="120" w:after="120" w:line="22" w:lineRule="atLeast"/>
              <w:jc w:val="both"/>
              <w:cnfStyle w:val="000000000000" w:firstRow="0" w:lastRow="0" w:firstColumn="0" w:lastColumn="0" w:oddVBand="0" w:evenVBand="0" w:oddHBand="0" w:evenHBand="0" w:firstRowFirstColumn="0" w:firstRowLastColumn="0" w:lastRowFirstColumn="0" w:lastRowLastColumn="0"/>
              <w:rPr>
                <w:rFonts w:cs="Open Sans"/>
                <w:sz w:val="18"/>
                <w:szCs w:val="20"/>
              </w:rPr>
            </w:pPr>
            <w:r w:rsidRPr="00A74D23">
              <w:rPr>
                <w:rFonts w:cs="Open Sans"/>
                <w:sz w:val="18"/>
                <w:szCs w:val="20"/>
              </w:rPr>
              <w:t>Une enveloppe de 10m€</w:t>
            </w:r>
            <w:r w:rsidR="003103CA" w:rsidRPr="00A74D23">
              <w:rPr>
                <w:rFonts w:cs="Open Sans"/>
                <w:sz w:val="18"/>
                <w:szCs w:val="20"/>
              </w:rPr>
              <w:t xml:space="preserve"> dans le fonds </w:t>
            </w:r>
            <w:r w:rsidR="003103CA" w:rsidRPr="00A74D23">
              <w:rPr>
                <w:rFonts w:cs="Open Sans"/>
                <w:b/>
                <w:bCs/>
                <w:sz w:val="18"/>
                <w:szCs w:val="20"/>
              </w:rPr>
              <w:t>Terra</w:t>
            </w:r>
            <w:r w:rsidR="003103CA" w:rsidRPr="00A74D23">
              <w:rPr>
                <w:rFonts w:cs="Open Sans"/>
                <w:sz w:val="18"/>
                <w:szCs w:val="20"/>
              </w:rPr>
              <w:t xml:space="preserve"> de SWEN, en faveur de la transition agricole en France et en Europe</w:t>
            </w:r>
          </w:p>
          <w:p w14:paraId="75FFAD1D" w14:textId="09F02BCE" w:rsidR="003103CA" w:rsidRPr="00A74D23" w:rsidRDefault="00AB0A97" w:rsidP="00590DD1">
            <w:pPr>
              <w:pStyle w:val="Paragraphedeliste"/>
              <w:numPr>
                <w:ilvl w:val="0"/>
                <w:numId w:val="23"/>
              </w:numPr>
              <w:autoSpaceDE w:val="0"/>
              <w:autoSpaceDN w:val="0"/>
              <w:adjustRightInd w:val="0"/>
              <w:spacing w:before="120" w:after="120" w:line="22" w:lineRule="atLeast"/>
              <w:jc w:val="both"/>
              <w:cnfStyle w:val="000000000000" w:firstRow="0" w:lastRow="0" w:firstColumn="0" w:lastColumn="0" w:oddVBand="0" w:evenVBand="0" w:oddHBand="0" w:evenHBand="0" w:firstRowFirstColumn="0" w:firstRowLastColumn="0" w:lastRowFirstColumn="0" w:lastRowLastColumn="0"/>
              <w:rPr>
                <w:rFonts w:cs="Open Sans"/>
                <w:sz w:val="18"/>
                <w:szCs w:val="20"/>
              </w:rPr>
            </w:pPr>
            <w:r w:rsidRPr="00A74D23">
              <w:rPr>
                <w:rFonts w:cs="Open Sans"/>
                <w:sz w:val="18"/>
                <w:szCs w:val="20"/>
              </w:rPr>
              <w:t>Une enveloppe de 20m€ dans les fonds de place biodiversité (Mirova et Starquest-Montefiore)</w:t>
            </w:r>
            <w:r w:rsidR="00301218" w:rsidRPr="00A74D23">
              <w:rPr>
                <w:rFonts w:cs="Open Sans"/>
                <w:sz w:val="18"/>
                <w:szCs w:val="20"/>
              </w:rPr>
              <w:t xml:space="preserve"> </w:t>
            </w:r>
          </w:p>
        </w:tc>
      </w:tr>
      <w:tr w:rsidR="00655D93" w:rsidRPr="009508AF" w14:paraId="421F5F23" w14:textId="77777777" w:rsidTr="00EC4A52">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1696" w:type="dxa"/>
          </w:tcPr>
          <w:p w14:paraId="34007A9C" w14:textId="01AF29D5" w:rsidR="00496922" w:rsidRPr="00A74D23" w:rsidRDefault="00DF47C8" w:rsidP="009D6EE5">
            <w:pPr>
              <w:tabs>
                <w:tab w:val="left" w:pos="284"/>
              </w:tabs>
              <w:autoSpaceDE w:val="0"/>
              <w:autoSpaceDN w:val="0"/>
              <w:adjustRightInd w:val="0"/>
              <w:spacing w:before="120" w:after="120" w:line="22" w:lineRule="atLeast"/>
              <w:jc w:val="both"/>
              <w:rPr>
                <w:rFonts w:asciiTheme="minorHAnsi" w:hAnsiTheme="minorHAnsi" w:cs="Open Sans"/>
                <w:sz w:val="20"/>
                <w:lang w:val="fr-FR"/>
              </w:rPr>
            </w:pPr>
            <w:r w:rsidRPr="00A74D23">
              <w:rPr>
                <w:rFonts w:asciiTheme="minorHAnsi" w:hAnsiTheme="minorHAnsi" w:cs="Open Sans"/>
                <w:sz w:val="20"/>
                <w:lang w:val="fr-FR"/>
              </w:rPr>
              <w:t>3 - Protection des espaces terrestres et marins</w:t>
            </w:r>
          </w:p>
        </w:tc>
        <w:tc>
          <w:tcPr>
            <w:tcW w:w="3261" w:type="dxa"/>
          </w:tcPr>
          <w:p w14:paraId="116C914F" w14:textId="56D50E2D" w:rsidR="00496922" w:rsidRPr="00A74D23" w:rsidRDefault="006F4817" w:rsidP="009D6EE5">
            <w:pPr>
              <w:tabs>
                <w:tab w:val="left" w:pos="284"/>
              </w:tabs>
              <w:autoSpaceDE w:val="0"/>
              <w:autoSpaceDN w:val="0"/>
              <w:adjustRightInd w:val="0"/>
              <w:spacing w:before="120" w:after="120" w:line="22" w:lineRule="atLeast"/>
              <w:jc w:val="both"/>
              <w:cnfStyle w:val="000000100000" w:firstRow="0" w:lastRow="0" w:firstColumn="0" w:lastColumn="0" w:oddVBand="0" w:evenVBand="0" w:oddHBand="1" w:evenHBand="0" w:firstRowFirstColumn="0" w:firstRowLastColumn="0" w:lastRowFirstColumn="0" w:lastRowLastColumn="0"/>
              <w:rPr>
                <w:rFonts w:asciiTheme="minorHAnsi" w:hAnsiTheme="minorHAnsi" w:cs="Open Sans"/>
                <w:sz w:val="18"/>
                <w:szCs w:val="20"/>
                <w:lang w:val="fr-FR"/>
              </w:rPr>
            </w:pPr>
            <w:r w:rsidRPr="00A74D23">
              <w:rPr>
                <w:rFonts w:asciiTheme="minorHAnsi" w:hAnsiTheme="minorHAnsi" w:cs="Open Sans"/>
                <w:sz w:val="18"/>
                <w:szCs w:val="20"/>
                <w:lang w:val="fr-FR"/>
              </w:rPr>
              <w:t>Protéger d'ici 2030, au moins 30 % des terres et des mers.</w:t>
            </w:r>
          </w:p>
        </w:tc>
        <w:tc>
          <w:tcPr>
            <w:tcW w:w="4252" w:type="dxa"/>
            <w:gridSpan w:val="2"/>
          </w:tcPr>
          <w:p w14:paraId="0D0F46FD" w14:textId="5DCD3C06" w:rsidR="00347659" w:rsidRPr="00A74D23" w:rsidRDefault="00887395" w:rsidP="00590DD1">
            <w:pPr>
              <w:pStyle w:val="Paragraphedeliste"/>
              <w:numPr>
                <w:ilvl w:val="0"/>
                <w:numId w:val="24"/>
              </w:numPr>
              <w:tabs>
                <w:tab w:val="left" w:pos="454"/>
              </w:tabs>
              <w:autoSpaceDE w:val="0"/>
              <w:autoSpaceDN w:val="0"/>
              <w:adjustRightInd w:val="0"/>
              <w:spacing w:before="120" w:after="120" w:line="22" w:lineRule="atLeast"/>
              <w:ind w:right="34"/>
              <w:jc w:val="both"/>
              <w:cnfStyle w:val="000000100000" w:firstRow="0" w:lastRow="0" w:firstColumn="0" w:lastColumn="0" w:oddVBand="0" w:evenVBand="0" w:oddHBand="1" w:evenHBand="0" w:firstRowFirstColumn="0" w:firstRowLastColumn="0" w:lastRowFirstColumn="0" w:lastRowLastColumn="0"/>
              <w:rPr>
                <w:rFonts w:cs="Open Sans"/>
                <w:sz w:val="18"/>
                <w:szCs w:val="20"/>
              </w:rPr>
            </w:pPr>
            <w:r w:rsidRPr="00A74D23">
              <w:rPr>
                <w:rFonts w:cs="Open Sans"/>
                <w:sz w:val="18"/>
                <w:szCs w:val="20"/>
              </w:rPr>
              <w:t xml:space="preserve">Une enveloppe d’investissement de </w:t>
            </w:r>
            <w:r w:rsidR="00DB7C90" w:rsidRPr="00A74D23">
              <w:rPr>
                <w:rFonts w:cs="Open Sans"/>
                <w:sz w:val="18"/>
                <w:szCs w:val="20"/>
              </w:rPr>
              <w:t>25</w:t>
            </w:r>
            <w:r w:rsidRPr="00A74D23">
              <w:rPr>
                <w:rFonts w:cs="Open Sans"/>
                <w:b/>
                <w:bCs/>
                <w:sz w:val="18"/>
                <w:szCs w:val="20"/>
              </w:rPr>
              <w:t xml:space="preserve"> m€</w:t>
            </w:r>
            <w:r w:rsidRPr="00A74D23">
              <w:rPr>
                <w:rFonts w:cs="Open Sans"/>
                <w:sz w:val="18"/>
                <w:szCs w:val="20"/>
              </w:rPr>
              <w:t xml:space="preserve"> destinée à financer</w:t>
            </w:r>
            <w:r w:rsidR="00943A37" w:rsidRPr="00A74D23">
              <w:rPr>
                <w:rFonts w:cs="Open Sans"/>
                <w:sz w:val="18"/>
                <w:szCs w:val="20"/>
              </w:rPr>
              <w:t xml:space="preserve"> </w:t>
            </w:r>
            <w:r w:rsidR="0089484A" w:rsidRPr="00A74D23">
              <w:rPr>
                <w:rFonts w:cs="Open Sans"/>
                <w:sz w:val="18"/>
                <w:szCs w:val="20"/>
              </w:rPr>
              <w:t>les PME/ETI apportant des solutions à la dégradation des mers</w:t>
            </w:r>
            <w:r w:rsidR="003A7B40" w:rsidRPr="00A74D23">
              <w:rPr>
                <w:rFonts w:cs="Open Sans"/>
                <w:sz w:val="18"/>
                <w:szCs w:val="20"/>
              </w:rPr>
              <w:t xml:space="preserve">, via la participation dans les fonds </w:t>
            </w:r>
            <w:r w:rsidR="003A7B40" w:rsidRPr="00A74D23">
              <w:rPr>
                <w:rFonts w:cs="Open Sans"/>
                <w:b/>
                <w:bCs/>
                <w:sz w:val="18"/>
                <w:szCs w:val="20"/>
              </w:rPr>
              <w:t>Blue Ocean</w:t>
            </w:r>
          </w:p>
        </w:tc>
      </w:tr>
      <w:tr w:rsidR="00655D93" w:rsidRPr="009508AF" w14:paraId="2AB68E10" w14:textId="77777777" w:rsidTr="00EC4A52">
        <w:trPr>
          <w:trHeight w:val="370"/>
        </w:trPr>
        <w:tc>
          <w:tcPr>
            <w:cnfStyle w:val="001000000000" w:firstRow="0" w:lastRow="0" w:firstColumn="1" w:lastColumn="0" w:oddVBand="0" w:evenVBand="0" w:oddHBand="0" w:evenHBand="0" w:firstRowFirstColumn="0" w:firstRowLastColumn="0" w:lastRowFirstColumn="0" w:lastRowLastColumn="0"/>
            <w:tcW w:w="1696" w:type="dxa"/>
          </w:tcPr>
          <w:p w14:paraId="3160D711" w14:textId="1E459DA0" w:rsidR="00496922" w:rsidRPr="00A74D23" w:rsidRDefault="00943A37" w:rsidP="009D6EE5">
            <w:pPr>
              <w:tabs>
                <w:tab w:val="left" w:pos="284"/>
              </w:tabs>
              <w:autoSpaceDE w:val="0"/>
              <w:autoSpaceDN w:val="0"/>
              <w:adjustRightInd w:val="0"/>
              <w:spacing w:before="120" w:after="120" w:line="22" w:lineRule="atLeast"/>
              <w:jc w:val="both"/>
              <w:rPr>
                <w:rFonts w:asciiTheme="minorHAnsi" w:hAnsiTheme="minorHAnsi" w:cs="Open Sans"/>
                <w:sz w:val="20"/>
              </w:rPr>
            </w:pPr>
            <w:r w:rsidRPr="00A74D23">
              <w:rPr>
                <w:rFonts w:asciiTheme="minorHAnsi" w:hAnsiTheme="minorHAnsi" w:cs="Open Sans"/>
                <w:sz w:val="20"/>
              </w:rPr>
              <w:t>7</w:t>
            </w:r>
            <w:r w:rsidR="00347659" w:rsidRPr="00A74D23">
              <w:rPr>
                <w:rFonts w:asciiTheme="minorHAnsi" w:hAnsiTheme="minorHAnsi" w:cs="Open Sans"/>
                <w:sz w:val="20"/>
              </w:rPr>
              <w:t xml:space="preserve"> </w:t>
            </w:r>
            <w:r w:rsidRPr="00A74D23">
              <w:rPr>
                <w:rFonts w:asciiTheme="minorHAnsi" w:hAnsiTheme="minorHAnsi" w:cs="Open Sans"/>
                <w:sz w:val="20"/>
              </w:rPr>
              <w:t>-</w:t>
            </w:r>
            <w:r w:rsidR="00347659" w:rsidRPr="00A74D23">
              <w:rPr>
                <w:rFonts w:asciiTheme="minorHAnsi" w:hAnsiTheme="minorHAnsi" w:cs="Open Sans"/>
                <w:sz w:val="20"/>
              </w:rPr>
              <w:t xml:space="preserve"> </w:t>
            </w:r>
            <w:r w:rsidRPr="00A74D23">
              <w:rPr>
                <w:rFonts w:asciiTheme="minorHAnsi" w:hAnsiTheme="minorHAnsi" w:cs="Open Sans"/>
                <w:sz w:val="20"/>
              </w:rPr>
              <w:t>Réduire les pollutions</w:t>
            </w:r>
          </w:p>
        </w:tc>
        <w:tc>
          <w:tcPr>
            <w:tcW w:w="3261" w:type="dxa"/>
          </w:tcPr>
          <w:p w14:paraId="6B2785F5" w14:textId="1FB237AA" w:rsidR="00496922" w:rsidRPr="00A74D23" w:rsidRDefault="007501C8" w:rsidP="009D6EE5">
            <w:pPr>
              <w:tabs>
                <w:tab w:val="left" w:pos="284"/>
              </w:tabs>
              <w:autoSpaceDE w:val="0"/>
              <w:autoSpaceDN w:val="0"/>
              <w:adjustRightInd w:val="0"/>
              <w:spacing w:before="120" w:after="120"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sz w:val="18"/>
                <w:szCs w:val="20"/>
                <w:lang w:val="fr-FR"/>
              </w:rPr>
            </w:pPr>
            <w:r w:rsidRPr="00A74D23">
              <w:rPr>
                <w:rFonts w:asciiTheme="minorHAnsi" w:hAnsiTheme="minorHAnsi" w:cs="Open Sans"/>
                <w:sz w:val="18"/>
                <w:szCs w:val="20"/>
                <w:lang w:val="fr-FR"/>
              </w:rPr>
              <w:t>Réduire les risques de pollution et l'impact négatif de la pollution de toutes sources, d'ici 2030, à des niveaux qui ne sont pas nuisibles à la biodiversité ; réduire d'au moins la moitié les pertes de nutriments dans l'environnement (engrais) ; réduire de moitié au moins le risque global lié aux pesticides et aux produits chimiques hautement dangereux ; et aussi prévenir, réduire et travailler à l'élimination de la pollution plastique.</w:t>
            </w:r>
          </w:p>
        </w:tc>
        <w:tc>
          <w:tcPr>
            <w:tcW w:w="4252" w:type="dxa"/>
            <w:gridSpan w:val="2"/>
          </w:tcPr>
          <w:p w14:paraId="664AFF96" w14:textId="5D78227A" w:rsidR="00496922" w:rsidRPr="00A74D23" w:rsidRDefault="00CD0CAF" w:rsidP="00590DD1">
            <w:pPr>
              <w:pStyle w:val="Paragraphedeliste"/>
              <w:numPr>
                <w:ilvl w:val="0"/>
                <w:numId w:val="24"/>
              </w:numPr>
              <w:tabs>
                <w:tab w:val="left" w:pos="454"/>
              </w:tabs>
              <w:autoSpaceDE w:val="0"/>
              <w:autoSpaceDN w:val="0"/>
              <w:adjustRightInd w:val="0"/>
              <w:spacing w:before="120" w:after="120" w:line="22" w:lineRule="atLeast"/>
              <w:jc w:val="both"/>
              <w:cnfStyle w:val="000000000000" w:firstRow="0" w:lastRow="0" w:firstColumn="0" w:lastColumn="0" w:oddVBand="0" w:evenVBand="0" w:oddHBand="0" w:evenHBand="0" w:firstRowFirstColumn="0" w:firstRowLastColumn="0" w:lastRowFirstColumn="0" w:lastRowLastColumn="0"/>
              <w:rPr>
                <w:rFonts w:cs="Open Sans"/>
                <w:sz w:val="18"/>
                <w:szCs w:val="20"/>
              </w:rPr>
            </w:pPr>
            <w:r w:rsidRPr="00A74D23">
              <w:rPr>
                <w:rFonts w:cs="Open Sans"/>
                <w:sz w:val="18"/>
                <w:szCs w:val="20"/>
              </w:rPr>
              <w:t>Stratégie</w:t>
            </w:r>
            <w:r w:rsidR="00347659" w:rsidRPr="00A74D23">
              <w:rPr>
                <w:rFonts w:cs="Open Sans"/>
                <w:sz w:val="18"/>
                <w:szCs w:val="20"/>
              </w:rPr>
              <w:t xml:space="preserve"> d’arrêt d’investissement dans les entreprises qui produisent</w:t>
            </w:r>
            <w:r w:rsidR="00B849DB" w:rsidRPr="00A74D23">
              <w:rPr>
                <w:rFonts w:cs="Open Sans"/>
                <w:sz w:val="18"/>
                <w:szCs w:val="20"/>
              </w:rPr>
              <w:t xml:space="preserve"> des biocides</w:t>
            </w:r>
            <w:r w:rsidR="00347659" w:rsidRPr="00A74D23">
              <w:rPr>
                <w:rFonts w:cs="Open Sans"/>
                <w:sz w:val="18"/>
                <w:szCs w:val="20"/>
              </w:rPr>
              <w:t xml:space="preserve"> </w:t>
            </w:r>
            <w:r w:rsidR="00B849DB" w:rsidRPr="00A74D23">
              <w:rPr>
                <w:rFonts w:cs="Open Sans"/>
                <w:sz w:val="18"/>
                <w:szCs w:val="20"/>
              </w:rPr>
              <w:t>(Bayer, Syngenta, etc.)</w:t>
            </w:r>
          </w:p>
        </w:tc>
      </w:tr>
      <w:tr w:rsidR="000679FF" w:rsidRPr="009508AF" w14:paraId="45186678" w14:textId="77777777" w:rsidTr="00EC4A52">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1696" w:type="dxa"/>
          </w:tcPr>
          <w:p w14:paraId="3874C551" w14:textId="7DC1EA03" w:rsidR="00496922" w:rsidRPr="00A74D23" w:rsidRDefault="00063B84" w:rsidP="009D6EE5">
            <w:pPr>
              <w:tabs>
                <w:tab w:val="left" w:pos="284"/>
              </w:tabs>
              <w:autoSpaceDE w:val="0"/>
              <w:autoSpaceDN w:val="0"/>
              <w:adjustRightInd w:val="0"/>
              <w:spacing w:before="120" w:after="120" w:line="22" w:lineRule="atLeast"/>
              <w:jc w:val="both"/>
              <w:rPr>
                <w:rFonts w:asciiTheme="minorHAnsi" w:hAnsiTheme="minorHAnsi" w:cs="Open Sans"/>
                <w:sz w:val="20"/>
                <w:lang w:val="fr-FR"/>
              </w:rPr>
            </w:pPr>
            <w:r w:rsidRPr="00A74D23">
              <w:rPr>
                <w:rFonts w:asciiTheme="minorHAnsi" w:hAnsiTheme="minorHAnsi" w:cs="Open Sans"/>
                <w:sz w:val="20"/>
                <w:lang w:val="fr-FR"/>
              </w:rPr>
              <w:t>8</w:t>
            </w:r>
            <w:r w:rsidR="00154EBA" w:rsidRPr="00A74D23">
              <w:rPr>
                <w:rFonts w:asciiTheme="minorHAnsi" w:hAnsiTheme="minorHAnsi" w:cs="Open Sans"/>
                <w:sz w:val="20"/>
                <w:lang w:val="fr-FR"/>
              </w:rPr>
              <w:t xml:space="preserve"> </w:t>
            </w:r>
            <w:r w:rsidRPr="00A74D23">
              <w:rPr>
                <w:rFonts w:asciiTheme="minorHAnsi" w:hAnsiTheme="minorHAnsi" w:cs="Open Sans"/>
                <w:sz w:val="20"/>
                <w:lang w:val="fr-FR"/>
              </w:rPr>
              <w:t>-</w:t>
            </w:r>
            <w:r w:rsidR="001D208B" w:rsidRPr="00A74D23">
              <w:rPr>
                <w:rFonts w:asciiTheme="minorHAnsi" w:hAnsiTheme="minorHAnsi" w:cs="Open Sans"/>
                <w:sz w:val="20"/>
                <w:lang w:val="fr-FR"/>
              </w:rPr>
              <w:t xml:space="preserve"> </w:t>
            </w:r>
            <w:r w:rsidRPr="00A74D23">
              <w:rPr>
                <w:rFonts w:asciiTheme="minorHAnsi" w:hAnsiTheme="minorHAnsi" w:cs="Open Sans"/>
                <w:sz w:val="20"/>
                <w:lang w:val="fr-FR"/>
              </w:rPr>
              <w:t>Minimiser les impacts du changement climatique</w:t>
            </w:r>
          </w:p>
        </w:tc>
        <w:tc>
          <w:tcPr>
            <w:tcW w:w="3261" w:type="dxa"/>
          </w:tcPr>
          <w:p w14:paraId="72C29588" w14:textId="44DCDC91" w:rsidR="00496922" w:rsidRPr="00A74D23" w:rsidRDefault="00D36DD1" w:rsidP="009D6EE5">
            <w:pPr>
              <w:tabs>
                <w:tab w:val="left" w:pos="284"/>
              </w:tabs>
              <w:autoSpaceDE w:val="0"/>
              <w:autoSpaceDN w:val="0"/>
              <w:adjustRightInd w:val="0"/>
              <w:spacing w:before="120" w:after="120" w:line="22" w:lineRule="atLeast"/>
              <w:jc w:val="both"/>
              <w:cnfStyle w:val="000000100000" w:firstRow="0" w:lastRow="0" w:firstColumn="0" w:lastColumn="0" w:oddVBand="0" w:evenVBand="0" w:oddHBand="1" w:evenHBand="0" w:firstRowFirstColumn="0" w:firstRowLastColumn="0" w:lastRowFirstColumn="0" w:lastRowLastColumn="0"/>
              <w:rPr>
                <w:rFonts w:asciiTheme="minorHAnsi" w:hAnsiTheme="minorHAnsi" w:cs="Open Sans"/>
                <w:sz w:val="18"/>
                <w:szCs w:val="20"/>
                <w:lang w:val="fr-FR"/>
              </w:rPr>
            </w:pPr>
            <w:r w:rsidRPr="00A74D23">
              <w:rPr>
                <w:rFonts w:asciiTheme="minorHAnsi" w:hAnsiTheme="minorHAnsi" w:cs="Open Sans"/>
                <w:sz w:val="18"/>
                <w:szCs w:val="20"/>
                <w:lang w:val="fr-FR"/>
              </w:rPr>
              <w:t>Minimiser l'impact du changement climatique et de l'acidification des océans sur la biodiversité et augmenter sa résilience grâce à des actions d'atténuation, d'adaptation et de réduction des risques de catastrophe, y compris par le biais de "solutions fondées sur la nature" et/ou des "approches basées sur les écosystèmes".</w:t>
            </w:r>
          </w:p>
        </w:tc>
        <w:tc>
          <w:tcPr>
            <w:tcW w:w="4252" w:type="dxa"/>
            <w:gridSpan w:val="2"/>
          </w:tcPr>
          <w:p w14:paraId="2DEF6BD5" w14:textId="687F4B3A" w:rsidR="00496922" w:rsidRPr="00A74D23" w:rsidRDefault="00D355EC" w:rsidP="00590DD1">
            <w:pPr>
              <w:pStyle w:val="Paragraphedeliste"/>
              <w:numPr>
                <w:ilvl w:val="0"/>
                <w:numId w:val="24"/>
              </w:numPr>
              <w:tabs>
                <w:tab w:val="left" w:pos="454"/>
              </w:tabs>
              <w:autoSpaceDE w:val="0"/>
              <w:autoSpaceDN w:val="0"/>
              <w:adjustRightInd w:val="0"/>
              <w:spacing w:before="120" w:after="120" w:line="22" w:lineRule="atLeast"/>
              <w:contextualSpacing w:val="0"/>
              <w:jc w:val="both"/>
              <w:cnfStyle w:val="000000100000" w:firstRow="0" w:lastRow="0" w:firstColumn="0" w:lastColumn="0" w:oddVBand="0" w:evenVBand="0" w:oddHBand="1" w:evenHBand="0" w:firstRowFirstColumn="0" w:firstRowLastColumn="0" w:lastRowFirstColumn="0" w:lastRowLastColumn="0"/>
              <w:rPr>
                <w:rFonts w:cs="Open Sans"/>
                <w:sz w:val="18"/>
                <w:szCs w:val="20"/>
              </w:rPr>
            </w:pPr>
            <w:r w:rsidRPr="00A74D23">
              <w:rPr>
                <w:rFonts w:cs="Open Sans"/>
                <w:sz w:val="18"/>
                <w:szCs w:val="20"/>
              </w:rPr>
              <w:t>Objectif d’alignement des portefeuilles à la neutralité carbone à horizon 2050</w:t>
            </w:r>
          </w:p>
        </w:tc>
      </w:tr>
      <w:tr w:rsidR="00655D93" w:rsidRPr="009508AF" w14:paraId="2A5B6FBC" w14:textId="77777777" w:rsidTr="00EC4A52">
        <w:trPr>
          <w:trHeight w:val="370"/>
        </w:trPr>
        <w:tc>
          <w:tcPr>
            <w:cnfStyle w:val="001000000000" w:firstRow="0" w:lastRow="0" w:firstColumn="1" w:lastColumn="0" w:oddVBand="0" w:evenVBand="0" w:oddHBand="0" w:evenHBand="0" w:firstRowFirstColumn="0" w:firstRowLastColumn="0" w:lastRowFirstColumn="0" w:lastRowLastColumn="0"/>
            <w:tcW w:w="1696" w:type="dxa"/>
          </w:tcPr>
          <w:p w14:paraId="541FD4E5" w14:textId="3955787F" w:rsidR="00496922" w:rsidRPr="00A74D23" w:rsidRDefault="00154EBA" w:rsidP="009D6EE5">
            <w:pPr>
              <w:tabs>
                <w:tab w:val="left" w:pos="284"/>
              </w:tabs>
              <w:autoSpaceDE w:val="0"/>
              <w:autoSpaceDN w:val="0"/>
              <w:adjustRightInd w:val="0"/>
              <w:spacing w:before="120" w:line="22" w:lineRule="atLeast"/>
              <w:jc w:val="both"/>
              <w:rPr>
                <w:rFonts w:asciiTheme="minorHAnsi" w:hAnsiTheme="minorHAnsi" w:cs="Open Sans"/>
                <w:sz w:val="20"/>
                <w:lang w:val="fr-FR"/>
              </w:rPr>
            </w:pPr>
            <w:r w:rsidRPr="00A74D23">
              <w:rPr>
                <w:rFonts w:asciiTheme="minorHAnsi" w:hAnsiTheme="minorHAnsi" w:cs="Open Sans"/>
                <w:sz w:val="20"/>
                <w:lang w:val="fr-FR"/>
              </w:rPr>
              <w:t>11 - Maintenir et augmenter les contributions de la nature</w:t>
            </w:r>
          </w:p>
        </w:tc>
        <w:tc>
          <w:tcPr>
            <w:tcW w:w="3261" w:type="dxa"/>
          </w:tcPr>
          <w:p w14:paraId="64374415" w14:textId="7C8D0788" w:rsidR="00496922" w:rsidRPr="00A74D23" w:rsidRDefault="007C6E39" w:rsidP="009D6EE5">
            <w:pPr>
              <w:tabs>
                <w:tab w:val="left" w:pos="284"/>
              </w:tabs>
              <w:autoSpaceDE w:val="0"/>
              <w:autoSpaceDN w:val="0"/>
              <w:adjustRightInd w:val="0"/>
              <w:spacing w:before="120"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sz w:val="18"/>
                <w:szCs w:val="20"/>
                <w:lang w:val="fr-FR"/>
              </w:rPr>
            </w:pPr>
            <w:r w:rsidRPr="00A74D23">
              <w:rPr>
                <w:rFonts w:asciiTheme="minorHAnsi" w:hAnsiTheme="minorHAnsi" w:cs="Open Sans"/>
                <w:sz w:val="18"/>
                <w:szCs w:val="20"/>
                <w:lang w:val="fr-FR"/>
              </w:rPr>
              <w:t>Restaurer, maintenir et améliorer les contributions de la nature aux populations, y compris les fonctions et services écosystémiques, tels que la régulation de l'air, de l'eau et du climat, la santé des sols, la pollinisation et la réduction du risque de maladie.</w:t>
            </w:r>
          </w:p>
        </w:tc>
        <w:tc>
          <w:tcPr>
            <w:tcW w:w="4252" w:type="dxa"/>
            <w:gridSpan w:val="2"/>
          </w:tcPr>
          <w:p w14:paraId="18BA347E" w14:textId="77777777" w:rsidR="00CD2808" w:rsidRPr="00A74D23" w:rsidRDefault="00CD0CAF" w:rsidP="00590DD1">
            <w:pPr>
              <w:pStyle w:val="Paragraphedeliste"/>
              <w:numPr>
                <w:ilvl w:val="0"/>
                <w:numId w:val="25"/>
              </w:numPr>
              <w:tabs>
                <w:tab w:val="left" w:pos="747"/>
              </w:tabs>
              <w:autoSpaceDE w:val="0"/>
              <w:autoSpaceDN w:val="0"/>
              <w:adjustRightInd w:val="0"/>
              <w:spacing w:before="120" w:after="120" w:line="22" w:lineRule="atLeast"/>
              <w:contextualSpacing w:val="0"/>
              <w:jc w:val="both"/>
              <w:cnfStyle w:val="000000000000" w:firstRow="0" w:lastRow="0" w:firstColumn="0" w:lastColumn="0" w:oddVBand="0" w:evenVBand="0" w:oddHBand="0" w:evenHBand="0" w:firstRowFirstColumn="0" w:firstRowLastColumn="0" w:lastRowFirstColumn="0" w:lastRowLastColumn="0"/>
              <w:rPr>
                <w:rFonts w:cs="Open Sans"/>
                <w:sz w:val="18"/>
                <w:szCs w:val="20"/>
              </w:rPr>
            </w:pPr>
            <w:r w:rsidRPr="00A74D23">
              <w:rPr>
                <w:rFonts w:cs="Open Sans"/>
                <w:sz w:val="18"/>
                <w:szCs w:val="20"/>
              </w:rPr>
              <w:t>Stratégie</w:t>
            </w:r>
            <w:r w:rsidR="007C6E39" w:rsidRPr="00A74D23">
              <w:rPr>
                <w:rFonts w:cs="Open Sans"/>
                <w:sz w:val="18"/>
                <w:szCs w:val="20"/>
              </w:rPr>
              <w:t xml:space="preserve"> d’arrêt des investissements dans les producteurs d’huile de palme non durable, un des moteurs principaux de la déforestation</w:t>
            </w:r>
            <w:r w:rsidR="00725978" w:rsidRPr="00A74D23">
              <w:rPr>
                <w:rFonts w:cs="Open Sans"/>
                <w:sz w:val="18"/>
                <w:szCs w:val="20"/>
              </w:rPr>
              <w:t>,</w:t>
            </w:r>
            <w:r w:rsidR="007C6E39" w:rsidRPr="00A74D23">
              <w:rPr>
                <w:rFonts w:cs="Open Sans"/>
                <w:sz w:val="18"/>
                <w:szCs w:val="20"/>
              </w:rPr>
              <w:t xml:space="preserve"> depuis 2022</w:t>
            </w:r>
          </w:p>
          <w:p w14:paraId="373BD33D" w14:textId="2DD34A7A" w:rsidR="007C6E39" w:rsidRPr="00A74D23" w:rsidRDefault="007C6E39" w:rsidP="00590DD1">
            <w:pPr>
              <w:pStyle w:val="Paragraphedeliste"/>
              <w:numPr>
                <w:ilvl w:val="0"/>
                <w:numId w:val="25"/>
              </w:numPr>
              <w:tabs>
                <w:tab w:val="left" w:pos="747"/>
              </w:tabs>
              <w:autoSpaceDE w:val="0"/>
              <w:autoSpaceDN w:val="0"/>
              <w:adjustRightInd w:val="0"/>
              <w:spacing w:before="120" w:after="120" w:line="22" w:lineRule="atLeast"/>
              <w:contextualSpacing w:val="0"/>
              <w:jc w:val="both"/>
              <w:cnfStyle w:val="000000000000" w:firstRow="0" w:lastRow="0" w:firstColumn="0" w:lastColumn="0" w:oddVBand="0" w:evenVBand="0" w:oddHBand="0" w:evenHBand="0" w:firstRowFirstColumn="0" w:firstRowLastColumn="0" w:lastRowFirstColumn="0" w:lastRowLastColumn="0"/>
              <w:rPr>
                <w:rFonts w:cs="Open Sans"/>
                <w:sz w:val="18"/>
                <w:szCs w:val="20"/>
              </w:rPr>
            </w:pPr>
            <w:r w:rsidRPr="00A74D23">
              <w:rPr>
                <w:rFonts w:cs="Open Sans"/>
                <w:sz w:val="18"/>
                <w:szCs w:val="20"/>
              </w:rPr>
              <w:t xml:space="preserve">Campagne d’engagement </w:t>
            </w:r>
            <w:r w:rsidR="00F9445F" w:rsidRPr="00A74D23">
              <w:rPr>
                <w:rFonts w:cs="Open Sans"/>
                <w:sz w:val="18"/>
                <w:szCs w:val="20"/>
              </w:rPr>
              <w:t>depuis</w:t>
            </w:r>
            <w:r w:rsidRPr="00A74D23">
              <w:rPr>
                <w:rFonts w:cs="Open Sans"/>
                <w:sz w:val="18"/>
                <w:szCs w:val="20"/>
              </w:rPr>
              <w:t xml:space="preserve"> 2023 avec </w:t>
            </w:r>
            <w:r w:rsidR="00CA15E0" w:rsidRPr="00A74D23">
              <w:rPr>
                <w:rFonts w:cs="Open Sans"/>
                <w:sz w:val="18"/>
                <w:szCs w:val="20"/>
              </w:rPr>
              <w:t>les entreprises très utilisatrices d’huile de palme (cosmétique, biocarburants)</w:t>
            </w:r>
            <w:r w:rsidR="00FA07B1" w:rsidRPr="00A74D23">
              <w:rPr>
                <w:rFonts w:cs="Open Sans"/>
                <w:sz w:val="18"/>
                <w:szCs w:val="20"/>
              </w:rPr>
              <w:t xml:space="preserve"> et en 2025 sur la gestion de l’eau</w:t>
            </w:r>
          </w:p>
        </w:tc>
      </w:tr>
      <w:tr w:rsidR="005C09E0" w:rsidRPr="009508AF" w14:paraId="31E1BECC" w14:textId="77777777" w:rsidTr="00EC4A52">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1696" w:type="dxa"/>
          </w:tcPr>
          <w:p w14:paraId="7F73B2C0" w14:textId="6A38DA8C" w:rsidR="005C09E0" w:rsidRPr="00A74D23" w:rsidRDefault="00D417E1" w:rsidP="009D6EE5">
            <w:pPr>
              <w:tabs>
                <w:tab w:val="left" w:pos="284"/>
              </w:tabs>
              <w:autoSpaceDE w:val="0"/>
              <w:autoSpaceDN w:val="0"/>
              <w:adjustRightInd w:val="0"/>
              <w:spacing w:before="120" w:after="120" w:line="22" w:lineRule="atLeast"/>
              <w:jc w:val="both"/>
              <w:rPr>
                <w:rFonts w:asciiTheme="minorHAnsi" w:hAnsiTheme="minorHAnsi" w:cs="Open Sans"/>
                <w:sz w:val="20"/>
                <w:lang w:val="fr-FR"/>
              </w:rPr>
            </w:pPr>
            <w:r w:rsidRPr="00A74D23">
              <w:rPr>
                <w:rFonts w:asciiTheme="minorHAnsi" w:hAnsiTheme="minorHAnsi" w:cs="Open Sans"/>
                <w:sz w:val="20"/>
                <w:lang w:val="fr-FR"/>
              </w:rPr>
              <w:t>15 - Impact et dépendances des entreprises</w:t>
            </w:r>
          </w:p>
        </w:tc>
        <w:tc>
          <w:tcPr>
            <w:tcW w:w="3261" w:type="dxa"/>
          </w:tcPr>
          <w:p w14:paraId="149D63E4" w14:textId="759F65F1" w:rsidR="005C09E0" w:rsidRPr="00A74D23" w:rsidRDefault="00223D38" w:rsidP="009D6EE5">
            <w:pPr>
              <w:tabs>
                <w:tab w:val="left" w:pos="284"/>
              </w:tabs>
              <w:autoSpaceDE w:val="0"/>
              <w:autoSpaceDN w:val="0"/>
              <w:adjustRightInd w:val="0"/>
              <w:spacing w:before="120" w:after="120" w:line="22" w:lineRule="atLeast"/>
              <w:jc w:val="both"/>
              <w:cnfStyle w:val="000000100000" w:firstRow="0" w:lastRow="0" w:firstColumn="0" w:lastColumn="0" w:oddVBand="0" w:evenVBand="0" w:oddHBand="1" w:evenHBand="0" w:firstRowFirstColumn="0" w:firstRowLastColumn="0" w:lastRowFirstColumn="0" w:lastRowLastColumn="0"/>
              <w:rPr>
                <w:rFonts w:asciiTheme="minorHAnsi" w:hAnsiTheme="minorHAnsi" w:cs="Open Sans"/>
                <w:sz w:val="18"/>
                <w:szCs w:val="20"/>
                <w:lang w:val="fr-FR"/>
              </w:rPr>
            </w:pPr>
            <w:r w:rsidRPr="00A74D23">
              <w:rPr>
                <w:rFonts w:asciiTheme="minorHAnsi" w:hAnsiTheme="minorHAnsi" w:cs="Open Sans"/>
                <w:sz w:val="18"/>
                <w:szCs w:val="20"/>
                <w:lang w:val="fr-FR"/>
              </w:rPr>
              <w:t>Encourager les entreprises à évaluer et divulguer régulièrement leurs risques, dépendances et impacts sur la biodiversité, tout au long de leurs opérations, chaînes d'approvisionnement et de valeur et portefeuilles ; fournir les informations nécessaires aux consommateurs</w:t>
            </w:r>
            <w:r w:rsidR="00D8301F" w:rsidRPr="00A74D23">
              <w:rPr>
                <w:rFonts w:asciiTheme="minorHAnsi" w:hAnsiTheme="minorHAnsi" w:cs="Open Sans"/>
                <w:sz w:val="18"/>
                <w:szCs w:val="20"/>
                <w:lang w:val="fr-FR"/>
              </w:rPr>
              <w:t>.</w:t>
            </w:r>
          </w:p>
        </w:tc>
        <w:tc>
          <w:tcPr>
            <w:tcW w:w="4252" w:type="dxa"/>
            <w:gridSpan w:val="2"/>
          </w:tcPr>
          <w:p w14:paraId="11A0C1E0" w14:textId="77777777" w:rsidR="00CD2808" w:rsidRPr="00A74D23" w:rsidRDefault="000B259D" w:rsidP="00590DD1">
            <w:pPr>
              <w:pStyle w:val="Paragraphedeliste"/>
              <w:numPr>
                <w:ilvl w:val="0"/>
                <w:numId w:val="26"/>
              </w:numPr>
              <w:tabs>
                <w:tab w:val="left" w:pos="747"/>
              </w:tabs>
              <w:autoSpaceDE w:val="0"/>
              <w:autoSpaceDN w:val="0"/>
              <w:adjustRightInd w:val="0"/>
              <w:spacing w:before="120" w:after="120" w:line="22" w:lineRule="atLeast"/>
              <w:contextualSpacing w:val="0"/>
              <w:jc w:val="both"/>
              <w:cnfStyle w:val="000000100000" w:firstRow="0" w:lastRow="0" w:firstColumn="0" w:lastColumn="0" w:oddVBand="0" w:evenVBand="0" w:oddHBand="1" w:evenHBand="0" w:firstRowFirstColumn="0" w:firstRowLastColumn="0" w:lastRowFirstColumn="0" w:lastRowLastColumn="0"/>
              <w:rPr>
                <w:rFonts w:cs="Open Sans"/>
                <w:sz w:val="18"/>
                <w:szCs w:val="20"/>
              </w:rPr>
            </w:pPr>
            <w:r w:rsidRPr="00A74D23">
              <w:rPr>
                <w:rFonts w:cs="Open Sans"/>
                <w:sz w:val="18"/>
                <w:szCs w:val="20"/>
              </w:rPr>
              <w:t xml:space="preserve">Evaluation de la </w:t>
            </w:r>
            <w:r w:rsidRPr="00A74D23">
              <w:rPr>
                <w:rFonts w:cs="Open Sans"/>
                <w:b/>
                <w:bCs/>
                <w:sz w:val="18"/>
                <w:szCs w:val="20"/>
              </w:rPr>
              <w:t>dépendance</w:t>
            </w:r>
            <w:r w:rsidRPr="00A74D23">
              <w:rPr>
                <w:rFonts w:cs="Open Sans"/>
                <w:sz w:val="18"/>
                <w:szCs w:val="20"/>
              </w:rPr>
              <w:t xml:space="preserve"> des portefeuilles d’investissement à la biodiversité</w:t>
            </w:r>
          </w:p>
          <w:p w14:paraId="5BFE5DAD" w14:textId="77777777" w:rsidR="000B259D" w:rsidRPr="00A74D23" w:rsidRDefault="000B259D" w:rsidP="00590DD1">
            <w:pPr>
              <w:pStyle w:val="Paragraphedeliste"/>
              <w:numPr>
                <w:ilvl w:val="0"/>
                <w:numId w:val="26"/>
              </w:numPr>
              <w:tabs>
                <w:tab w:val="left" w:pos="747"/>
              </w:tabs>
              <w:autoSpaceDE w:val="0"/>
              <w:autoSpaceDN w:val="0"/>
              <w:adjustRightInd w:val="0"/>
              <w:spacing w:before="120" w:after="120" w:line="22" w:lineRule="atLeast"/>
              <w:contextualSpacing w:val="0"/>
              <w:jc w:val="both"/>
              <w:cnfStyle w:val="000000100000" w:firstRow="0" w:lastRow="0" w:firstColumn="0" w:lastColumn="0" w:oddVBand="0" w:evenVBand="0" w:oddHBand="1" w:evenHBand="0" w:firstRowFirstColumn="0" w:firstRowLastColumn="0" w:lastRowFirstColumn="0" w:lastRowLastColumn="0"/>
              <w:rPr>
                <w:rFonts w:cs="Open Sans"/>
                <w:sz w:val="18"/>
                <w:szCs w:val="20"/>
              </w:rPr>
            </w:pPr>
            <w:r w:rsidRPr="00A74D23">
              <w:rPr>
                <w:rFonts w:cs="Open Sans"/>
                <w:sz w:val="18"/>
                <w:szCs w:val="20"/>
              </w:rPr>
              <w:t xml:space="preserve">Evaluation de </w:t>
            </w:r>
            <w:r w:rsidRPr="00A74D23">
              <w:rPr>
                <w:rFonts w:cs="Open Sans"/>
                <w:b/>
                <w:bCs/>
                <w:sz w:val="18"/>
                <w:szCs w:val="20"/>
              </w:rPr>
              <w:t>l’impact</w:t>
            </w:r>
            <w:r w:rsidRPr="00A74D23">
              <w:rPr>
                <w:rFonts w:cs="Open Sans"/>
                <w:sz w:val="18"/>
                <w:szCs w:val="20"/>
              </w:rPr>
              <w:t xml:space="preserve"> des portefeuilles d’investissement sur la biodiversité</w:t>
            </w:r>
          </w:p>
          <w:p w14:paraId="750DEA48" w14:textId="7BF2B265" w:rsidR="00F9445F" w:rsidRPr="00A74D23" w:rsidRDefault="00F9445F" w:rsidP="00590DD1">
            <w:pPr>
              <w:pStyle w:val="Paragraphedeliste"/>
              <w:numPr>
                <w:ilvl w:val="0"/>
                <w:numId w:val="26"/>
              </w:numPr>
              <w:tabs>
                <w:tab w:val="left" w:pos="747"/>
              </w:tabs>
              <w:autoSpaceDE w:val="0"/>
              <w:autoSpaceDN w:val="0"/>
              <w:adjustRightInd w:val="0"/>
              <w:spacing w:before="120" w:after="120" w:line="22" w:lineRule="atLeast"/>
              <w:contextualSpacing w:val="0"/>
              <w:jc w:val="both"/>
              <w:cnfStyle w:val="000000100000" w:firstRow="0" w:lastRow="0" w:firstColumn="0" w:lastColumn="0" w:oddVBand="0" w:evenVBand="0" w:oddHBand="1" w:evenHBand="0" w:firstRowFirstColumn="0" w:firstRowLastColumn="0" w:lastRowFirstColumn="0" w:lastRowLastColumn="0"/>
              <w:rPr>
                <w:rFonts w:cs="Open Sans"/>
                <w:sz w:val="18"/>
                <w:szCs w:val="20"/>
              </w:rPr>
            </w:pPr>
            <w:r w:rsidRPr="00A74D23">
              <w:rPr>
                <w:rFonts w:cs="Open Sans"/>
                <w:sz w:val="18"/>
                <w:szCs w:val="20"/>
              </w:rPr>
              <w:t>Evaluation du niveau d’engagement biodiversité des entreprises NA100+ présentes en portefeuille</w:t>
            </w:r>
          </w:p>
        </w:tc>
      </w:tr>
      <w:tr w:rsidR="00DF653D" w:rsidRPr="009508AF" w14:paraId="69382A70" w14:textId="77777777" w:rsidTr="00EC4A52">
        <w:trPr>
          <w:trHeight w:val="370"/>
        </w:trPr>
        <w:tc>
          <w:tcPr>
            <w:cnfStyle w:val="001000000000" w:firstRow="0" w:lastRow="0" w:firstColumn="1" w:lastColumn="0" w:oddVBand="0" w:evenVBand="0" w:oddHBand="0" w:evenHBand="0" w:firstRowFirstColumn="0" w:firstRowLastColumn="0" w:lastRowFirstColumn="0" w:lastRowLastColumn="0"/>
            <w:tcW w:w="1696" w:type="dxa"/>
          </w:tcPr>
          <w:p w14:paraId="5CE50B16" w14:textId="3D7A4930" w:rsidR="00DF653D" w:rsidRPr="00A74D23" w:rsidRDefault="00545C4E" w:rsidP="009D6EE5">
            <w:pPr>
              <w:tabs>
                <w:tab w:val="left" w:pos="284"/>
              </w:tabs>
              <w:autoSpaceDE w:val="0"/>
              <w:autoSpaceDN w:val="0"/>
              <w:adjustRightInd w:val="0"/>
              <w:spacing w:before="120" w:after="120" w:line="22" w:lineRule="atLeast"/>
              <w:jc w:val="both"/>
              <w:rPr>
                <w:rFonts w:asciiTheme="minorHAnsi" w:hAnsiTheme="minorHAnsi" w:cs="Open Sans"/>
                <w:sz w:val="20"/>
              </w:rPr>
            </w:pPr>
            <w:r w:rsidRPr="00A74D23">
              <w:rPr>
                <w:rFonts w:asciiTheme="minorHAnsi" w:hAnsiTheme="minorHAnsi" w:cs="Open Sans"/>
                <w:sz w:val="20"/>
              </w:rPr>
              <w:t>19 - Mobilisation de ressources financières</w:t>
            </w:r>
          </w:p>
        </w:tc>
        <w:tc>
          <w:tcPr>
            <w:tcW w:w="3261" w:type="dxa"/>
          </w:tcPr>
          <w:p w14:paraId="59E72163" w14:textId="2DFE7434" w:rsidR="00DF653D" w:rsidRPr="00A74D23" w:rsidRDefault="000679FF" w:rsidP="009D6EE5">
            <w:pPr>
              <w:tabs>
                <w:tab w:val="left" w:pos="284"/>
              </w:tabs>
              <w:autoSpaceDE w:val="0"/>
              <w:autoSpaceDN w:val="0"/>
              <w:adjustRightInd w:val="0"/>
              <w:spacing w:before="120" w:after="120"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sz w:val="18"/>
                <w:szCs w:val="20"/>
                <w:lang w:val="fr-FR"/>
              </w:rPr>
            </w:pPr>
            <w:r w:rsidRPr="00A74D23">
              <w:rPr>
                <w:rFonts w:asciiTheme="minorHAnsi" w:hAnsiTheme="minorHAnsi" w:cs="Open Sans"/>
                <w:sz w:val="18"/>
                <w:szCs w:val="20"/>
                <w:lang w:val="fr-FR"/>
              </w:rPr>
              <w:t>Augmenter substantiellement et progressivement le niveau des ressources financières de toutes provenances, d’ici 2030 en mobilisant au moins 200 milliards de dollars par an. Les pays développés s'engagent à verser au moins 20 milliards de dollars par an d'ici 2025, et au moins 30 milliards de dollars par an d'ici 2030 aux pays en développement pour les aider à protéger leur biodiversité.</w:t>
            </w:r>
          </w:p>
        </w:tc>
        <w:tc>
          <w:tcPr>
            <w:tcW w:w="4252" w:type="dxa"/>
            <w:gridSpan w:val="2"/>
          </w:tcPr>
          <w:p w14:paraId="12F8AE01" w14:textId="7C92CFC8" w:rsidR="00DF653D" w:rsidRPr="00A74D23" w:rsidRDefault="0099571F" w:rsidP="009D6EE5">
            <w:pPr>
              <w:pStyle w:val="Paragraphedeliste"/>
              <w:numPr>
                <w:ilvl w:val="0"/>
                <w:numId w:val="10"/>
              </w:numPr>
              <w:autoSpaceDE w:val="0"/>
              <w:autoSpaceDN w:val="0"/>
              <w:adjustRightInd w:val="0"/>
              <w:spacing w:before="120" w:after="120" w:line="22" w:lineRule="atLeast"/>
              <w:ind w:left="747" w:hanging="284"/>
              <w:jc w:val="both"/>
              <w:cnfStyle w:val="000000000000" w:firstRow="0" w:lastRow="0" w:firstColumn="0" w:lastColumn="0" w:oddVBand="0" w:evenVBand="0" w:oddHBand="0" w:evenHBand="0" w:firstRowFirstColumn="0" w:firstRowLastColumn="0" w:lastRowFirstColumn="0" w:lastRowLastColumn="0"/>
              <w:rPr>
                <w:rFonts w:cs="Open Sans"/>
                <w:sz w:val="18"/>
                <w:szCs w:val="20"/>
              </w:rPr>
            </w:pPr>
            <w:r w:rsidRPr="0077789D">
              <w:rPr>
                <w:rFonts w:cs="Open Sans"/>
                <w:b/>
                <w:bCs/>
                <w:sz w:val="18"/>
                <w:szCs w:val="20"/>
              </w:rPr>
              <w:t xml:space="preserve">En 2025, </w:t>
            </w:r>
            <w:r w:rsidR="00740C5E" w:rsidRPr="0077789D">
              <w:rPr>
                <w:rFonts w:cs="Open Sans"/>
                <w:b/>
                <w:bCs/>
                <w:sz w:val="18"/>
                <w:szCs w:val="20"/>
              </w:rPr>
              <w:t>2</w:t>
            </w:r>
            <w:r w:rsidR="00301218" w:rsidRPr="0077789D">
              <w:rPr>
                <w:rFonts w:cs="Open Sans"/>
                <w:b/>
                <w:bCs/>
                <w:sz w:val="18"/>
                <w:szCs w:val="20"/>
              </w:rPr>
              <w:t>0</w:t>
            </w:r>
            <w:r w:rsidR="00711550" w:rsidRPr="0077789D">
              <w:rPr>
                <w:rFonts w:cs="Open Sans"/>
                <w:b/>
                <w:bCs/>
                <w:sz w:val="18"/>
                <w:szCs w:val="20"/>
              </w:rPr>
              <w:t>m€</w:t>
            </w:r>
            <w:r w:rsidR="00711550" w:rsidRPr="0077789D">
              <w:rPr>
                <w:rFonts w:cs="Open Sans"/>
                <w:sz w:val="18"/>
                <w:szCs w:val="20"/>
              </w:rPr>
              <w:t xml:space="preserve"> d’engagement</w:t>
            </w:r>
            <w:r w:rsidR="009A4400" w:rsidRPr="0077789D">
              <w:rPr>
                <w:rFonts w:cs="Open Sans"/>
                <w:sz w:val="18"/>
                <w:szCs w:val="20"/>
              </w:rPr>
              <w:t xml:space="preserve"> supplémentaire pour financer la</w:t>
            </w:r>
            <w:r w:rsidR="00711550" w:rsidRPr="0077789D">
              <w:rPr>
                <w:rFonts w:cs="Open Sans"/>
                <w:sz w:val="18"/>
                <w:szCs w:val="20"/>
              </w:rPr>
              <w:t xml:space="preserve"> biodiversité terrestre </w:t>
            </w:r>
            <w:r w:rsidR="009A4400" w:rsidRPr="0077789D">
              <w:rPr>
                <w:rFonts w:cs="Open Sans"/>
                <w:sz w:val="18"/>
                <w:szCs w:val="20"/>
              </w:rPr>
              <w:t>(capital naturel</w:t>
            </w:r>
            <w:r w:rsidR="00D13883" w:rsidRPr="0077789D">
              <w:rPr>
                <w:rFonts w:cs="Open Sans"/>
                <w:sz w:val="18"/>
                <w:szCs w:val="20"/>
              </w:rPr>
              <w:t>)</w:t>
            </w:r>
            <w:r w:rsidR="001875A7" w:rsidRPr="0077789D">
              <w:rPr>
                <w:rFonts w:cs="Open Sans"/>
                <w:sz w:val="18"/>
                <w:szCs w:val="20"/>
              </w:rPr>
              <w:t>, portant le total des engagements</w:t>
            </w:r>
            <w:r w:rsidR="00725978" w:rsidRPr="0077789D">
              <w:rPr>
                <w:rFonts w:cs="Open Sans"/>
                <w:sz w:val="18"/>
                <w:szCs w:val="20"/>
              </w:rPr>
              <w:t xml:space="preserve"> </w:t>
            </w:r>
            <w:r w:rsidR="00762073" w:rsidRPr="0077789D">
              <w:rPr>
                <w:rFonts w:cs="Open Sans"/>
                <w:sz w:val="18"/>
                <w:szCs w:val="20"/>
              </w:rPr>
              <w:t xml:space="preserve">fléchés vers des solutions </w:t>
            </w:r>
            <w:r w:rsidR="001875A7" w:rsidRPr="0077789D">
              <w:rPr>
                <w:rFonts w:cs="Open Sans"/>
                <w:sz w:val="18"/>
                <w:szCs w:val="20"/>
              </w:rPr>
              <w:t xml:space="preserve">en faveur de la biodiversité à </w:t>
            </w:r>
            <w:r w:rsidR="00066F89" w:rsidRPr="0077789D">
              <w:rPr>
                <w:rFonts w:cs="Open Sans"/>
                <w:b/>
                <w:bCs/>
                <w:sz w:val="18"/>
                <w:szCs w:val="20"/>
              </w:rPr>
              <w:t>60</w:t>
            </w:r>
            <w:r w:rsidR="00CF4B10" w:rsidRPr="0077789D">
              <w:rPr>
                <w:rFonts w:cs="Open Sans"/>
                <w:b/>
                <w:bCs/>
                <w:sz w:val="18"/>
                <w:szCs w:val="20"/>
              </w:rPr>
              <w:t xml:space="preserve"> </w:t>
            </w:r>
            <w:r w:rsidR="001875A7" w:rsidRPr="0077789D">
              <w:rPr>
                <w:rFonts w:cs="Open Sans"/>
                <w:b/>
                <w:bCs/>
                <w:sz w:val="18"/>
                <w:szCs w:val="20"/>
              </w:rPr>
              <w:t>m€</w:t>
            </w:r>
            <w:r w:rsidR="00740C5E" w:rsidRPr="0077789D">
              <w:rPr>
                <w:rFonts w:cs="Open Sans"/>
                <w:b/>
                <w:bCs/>
                <w:sz w:val="18"/>
                <w:szCs w:val="20"/>
              </w:rPr>
              <w:t xml:space="preserve"> (25m€ capital naturel, et 3</w:t>
            </w:r>
            <w:r w:rsidR="00066F89" w:rsidRPr="0077789D">
              <w:rPr>
                <w:rFonts w:cs="Open Sans"/>
                <w:b/>
                <w:bCs/>
                <w:sz w:val="18"/>
                <w:szCs w:val="20"/>
              </w:rPr>
              <w:t>5</w:t>
            </w:r>
            <w:r w:rsidR="00740C5E" w:rsidRPr="0077789D">
              <w:rPr>
                <w:rFonts w:cs="Open Sans"/>
                <w:b/>
                <w:bCs/>
                <w:sz w:val="18"/>
                <w:szCs w:val="20"/>
              </w:rPr>
              <w:t>m€ solutions biodiversité)</w:t>
            </w:r>
            <w:r w:rsidR="0013558C" w:rsidRPr="0077789D">
              <w:rPr>
                <w:rFonts w:cs="Open Sans"/>
                <w:sz w:val="18"/>
                <w:szCs w:val="20"/>
              </w:rPr>
              <w:t>.</w:t>
            </w:r>
            <w:r w:rsidR="0013558C" w:rsidRPr="00A74D23">
              <w:rPr>
                <w:rFonts w:cs="Open Sans"/>
                <w:sz w:val="18"/>
                <w:szCs w:val="20"/>
              </w:rPr>
              <w:t xml:space="preserve"> </w:t>
            </w:r>
          </w:p>
        </w:tc>
      </w:tr>
      <w:bookmarkEnd w:id="91"/>
    </w:tbl>
    <w:p w14:paraId="0C7F8C7B" w14:textId="77777777" w:rsidR="00D8301F" w:rsidRPr="00A74D23" w:rsidRDefault="00D8301F" w:rsidP="009D6EE5">
      <w:pPr>
        <w:pStyle w:val="Paragraphedeliste"/>
        <w:spacing w:line="22" w:lineRule="atLeast"/>
        <w:ind w:left="993" w:hanging="993"/>
        <w:jc w:val="both"/>
        <w:rPr>
          <w:rFonts w:cs="Open Sans"/>
          <w:sz w:val="8"/>
          <w:szCs w:val="10"/>
        </w:rPr>
      </w:pPr>
    </w:p>
    <w:p w14:paraId="440A3C8F" w14:textId="77777777" w:rsidR="009E1887" w:rsidRPr="00A74D23" w:rsidRDefault="009E1887" w:rsidP="009D6EE5">
      <w:pPr>
        <w:pStyle w:val="Paragraphedeliste"/>
        <w:spacing w:line="22" w:lineRule="atLeast"/>
        <w:ind w:left="993" w:hanging="993"/>
        <w:jc w:val="both"/>
        <w:rPr>
          <w:rFonts w:cs="Open Sans"/>
          <w:sz w:val="20"/>
        </w:rPr>
      </w:pPr>
    </w:p>
    <w:p w14:paraId="322C3A42" w14:textId="6898ABF8" w:rsidR="00565EF5" w:rsidRPr="00A74D23" w:rsidRDefault="00565EF5" w:rsidP="009D6EE5">
      <w:pPr>
        <w:pStyle w:val="Paragraphedeliste"/>
        <w:spacing w:line="22" w:lineRule="atLeast"/>
        <w:ind w:left="993" w:hanging="993"/>
        <w:jc w:val="both"/>
        <w:rPr>
          <w:rFonts w:cs="Open Sans"/>
          <w:sz w:val="20"/>
        </w:rPr>
      </w:pPr>
      <w:r w:rsidRPr="00A74D23">
        <w:rPr>
          <w:rFonts w:cs="Open Sans"/>
          <w:sz w:val="20"/>
        </w:rPr>
        <w:t>L’illustration ci-dessous synthétise notre approche en faveur de la biodiversité et du capital naturel.</w:t>
      </w:r>
    </w:p>
    <w:p w14:paraId="72F145C1" w14:textId="77777777" w:rsidR="00A07853" w:rsidRPr="00A74D23" w:rsidRDefault="00A07853" w:rsidP="009D6EE5">
      <w:pPr>
        <w:pStyle w:val="Paragraphedeliste"/>
        <w:spacing w:line="22" w:lineRule="atLeast"/>
        <w:ind w:left="993" w:hanging="851"/>
        <w:jc w:val="both"/>
        <w:rPr>
          <w:rFonts w:cs="Open Sans"/>
          <w:sz w:val="4"/>
          <w:szCs w:val="6"/>
        </w:rPr>
      </w:pPr>
    </w:p>
    <w:p w14:paraId="0E9DC325" w14:textId="098CEF7D" w:rsidR="00565EF5" w:rsidRPr="00A74D23" w:rsidRDefault="00565EF5" w:rsidP="009D6EE5">
      <w:pPr>
        <w:pStyle w:val="Paragraphedeliste"/>
        <w:spacing w:line="22" w:lineRule="atLeast"/>
        <w:ind w:left="993"/>
        <w:jc w:val="both"/>
        <w:rPr>
          <w:rFonts w:cs="Open Sans"/>
          <w:color w:val="DBE1ED" w:themeColor="accent6"/>
          <w:sz w:val="20"/>
        </w:rPr>
      </w:pPr>
      <w:r w:rsidRPr="00A74D23">
        <w:rPr>
          <w:rFonts w:cs="Open Sans"/>
          <w:noProof/>
          <w:color w:val="DBE1ED" w:themeColor="accent6"/>
          <w:sz w:val="20"/>
        </w:rPr>
        <w:drawing>
          <wp:inline distT="0" distB="0" distL="0" distR="0" wp14:anchorId="18B09EB3" wp14:editId="52F51768">
            <wp:extent cx="4521845" cy="3907766"/>
            <wp:effectExtent l="0" t="0" r="0" b="0"/>
            <wp:docPr id="12" name="Image 1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texte&#10;&#10;Description générée automatiquement"/>
                    <pic:cNvPicPr/>
                  </pic:nvPicPr>
                  <pic:blipFill>
                    <a:blip r:embed="rId81"/>
                    <a:stretch>
                      <a:fillRect/>
                    </a:stretch>
                  </pic:blipFill>
                  <pic:spPr>
                    <a:xfrm>
                      <a:off x="0" y="0"/>
                      <a:ext cx="4544866" cy="3927661"/>
                    </a:xfrm>
                    <a:prstGeom prst="rect">
                      <a:avLst/>
                    </a:prstGeom>
                  </pic:spPr>
                </pic:pic>
              </a:graphicData>
            </a:graphic>
          </wp:inline>
        </w:drawing>
      </w:r>
    </w:p>
    <w:p w14:paraId="63B56699" w14:textId="77777777" w:rsidR="002643C9" w:rsidRPr="00A74D23" w:rsidRDefault="002643C9" w:rsidP="009D6EE5">
      <w:pPr>
        <w:pStyle w:val="Style3"/>
        <w:spacing w:line="22" w:lineRule="atLeast"/>
        <w:ind w:left="0" w:firstLine="0"/>
        <w:jc w:val="both"/>
        <w:rPr>
          <w:rFonts w:asciiTheme="minorHAnsi" w:hAnsiTheme="minorHAnsi" w:cs="Open Sans"/>
        </w:rPr>
      </w:pPr>
    </w:p>
    <w:p w14:paraId="0E044475" w14:textId="77777777" w:rsidR="008965C4" w:rsidRPr="00A74D23" w:rsidRDefault="008965C4" w:rsidP="009D6EE5">
      <w:pPr>
        <w:pStyle w:val="Style3"/>
        <w:spacing w:line="22" w:lineRule="atLeast"/>
        <w:ind w:left="0" w:firstLine="0"/>
        <w:jc w:val="both"/>
        <w:rPr>
          <w:rFonts w:asciiTheme="minorHAnsi" w:hAnsiTheme="minorHAnsi" w:cs="Open Sans"/>
        </w:rPr>
      </w:pPr>
    </w:p>
    <w:p w14:paraId="6EE6FB3C" w14:textId="0BF6FD6E" w:rsidR="00C0630B" w:rsidRPr="00A74D23" w:rsidRDefault="00D11713" w:rsidP="009D6EE5">
      <w:pPr>
        <w:pStyle w:val="Style3"/>
        <w:spacing w:line="22" w:lineRule="atLeast"/>
        <w:jc w:val="both"/>
        <w:rPr>
          <w:rFonts w:asciiTheme="minorHAnsi" w:hAnsiTheme="minorHAnsi" w:cs="Open Sans"/>
        </w:rPr>
      </w:pPr>
      <w:r w:rsidRPr="00A74D23">
        <w:rPr>
          <w:rFonts w:asciiTheme="minorHAnsi" w:hAnsiTheme="minorHAnsi" w:cs="Open Sans"/>
        </w:rPr>
        <w:t xml:space="preserve">1.2 - </w:t>
      </w:r>
      <w:r w:rsidR="00243CA1" w:rsidRPr="00A74D23">
        <w:rPr>
          <w:rFonts w:asciiTheme="minorHAnsi" w:hAnsiTheme="minorHAnsi" w:cs="Open Sans"/>
        </w:rPr>
        <w:t>S’engager auprès des instances de place</w:t>
      </w:r>
      <w:r w:rsidR="00887A2A" w:rsidRPr="00A74D23">
        <w:rPr>
          <w:rFonts w:asciiTheme="minorHAnsi" w:hAnsiTheme="minorHAnsi" w:cs="Open Sans"/>
        </w:rPr>
        <w:t xml:space="preserve"> </w:t>
      </w:r>
    </w:p>
    <w:p w14:paraId="3DF62BD0" w14:textId="77777777" w:rsidR="00032D03" w:rsidRPr="00A74D23" w:rsidRDefault="00032D03" w:rsidP="009D6EE5">
      <w:pPr>
        <w:spacing w:after="60" w:line="22" w:lineRule="atLeast"/>
        <w:jc w:val="both"/>
        <w:rPr>
          <w:rFonts w:asciiTheme="minorHAnsi" w:hAnsiTheme="minorHAnsi" w:cs="Open Sans"/>
          <w:sz w:val="20"/>
          <w:lang w:val="fr-FR"/>
        </w:rPr>
      </w:pPr>
    </w:p>
    <w:p w14:paraId="5FC67EA0" w14:textId="0074C10A" w:rsidR="00E32E52" w:rsidRPr="00A74D23" w:rsidRDefault="00446B41" w:rsidP="009D6EE5">
      <w:pPr>
        <w:spacing w:after="60" w:line="22" w:lineRule="atLeast"/>
        <w:jc w:val="both"/>
        <w:rPr>
          <w:rFonts w:asciiTheme="minorHAnsi" w:hAnsiTheme="minorHAnsi" w:cs="Open Sans"/>
          <w:sz w:val="20"/>
        </w:rPr>
      </w:pPr>
      <w:r w:rsidRPr="00A74D23">
        <w:rPr>
          <w:rFonts w:asciiTheme="minorHAnsi" w:hAnsiTheme="minorHAnsi" w:cs="Open Sans"/>
          <w:sz w:val="20"/>
          <w:lang w:val="fr-FR"/>
        </w:rPr>
        <w:t>Abeille Assurances s’inscrit dans une démarche progressive d’intégration des enjeux de biodiversité, en cohérence avec les bonnes pratiques de place et les cadres émergents. L’entreprise contribue aux travaux collectifs visant à structurer des méthodes communes d’évaluation et de gestion des risques biodiversité.</w:t>
      </w:r>
      <w:r w:rsidR="003F7B75" w:rsidRPr="00A74D23">
        <w:rPr>
          <w:rFonts w:asciiTheme="minorHAnsi" w:hAnsiTheme="minorHAnsi" w:cs="Open Sans"/>
          <w:sz w:val="20"/>
          <w:lang w:val="fr-FR"/>
        </w:rPr>
        <w:t xml:space="preserve"> </w:t>
      </w:r>
      <w:r w:rsidR="003F7B75" w:rsidRPr="00A74D23">
        <w:rPr>
          <w:rFonts w:asciiTheme="minorHAnsi" w:hAnsiTheme="minorHAnsi" w:cs="Open Sans"/>
          <w:sz w:val="20"/>
        </w:rPr>
        <w:t xml:space="preserve">Les objectifs sont </w:t>
      </w:r>
      <w:r w:rsidR="00DE3DDB" w:rsidRPr="00A74D23">
        <w:rPr>
          <w:rFonts w:asciiTheme="minorHAnsi" w:hAnsiTheme="minorHAnsi" w:cs="Open Sans"/>
          <w:sz w:val="20"/>
        </w:rPr>
        <w:t>doubles:</w:t>
      </w:r>
      <w:r w:rsidR="003F7B75" w:rsidRPr="00A74D23">
        <w:rPr>
          <w:rFonts w:asciiTheme="minorHAnsi" w:hAnsiTheme="minorHAnsi" w:cs="Open Sans"/>
          <w:sz w:val="20"/>
        </w:rPr>
        <w:t xml:space="preserve"> </w:t>
      </w:r>
    </w:p>
    <w:p w14:paraId="224FC6CB" w14:textId="77777777" w:rsidR="003F7B75" w:rsidRPr="00A74D23" w:rsidRDefault="003F7B75" w:rsidP="00590DD1">
      <w:pPr>
        <w:pStyle w:val="Paragraphedeliste"/>
        <w:numPr>
          <w:ilvl w:val="0"/>
          <w:numId w:val="28"/>
        </w:numPr>
        <w:spacing w:after="60" w:line="22" w:lineRule="atLeast"/>
        <w:ind w:left="709"/>
        <w:contextualSpacing w:val="0"/>
        <w:jc w:val="both"/>
        <w:rPr>
          <w:rFonts w:cs="Open Sans"/>
          <w:sz w:val="20"/>
        </w:rPr>
      </w:pPr>
      <w:r w:rsidRPr="00A74D23">
        <w:rPr>
          <w:rFonts w:cs="Open Sans"/>
          <w:sz w:val="20"/>
        </w:rPr>
        <w:t>Sensibiliser les entreprises et les clients à cette thématique biodiversité ;</w:t>
      </w:r>
    </w:p>
    <w:p w14:paraId="698A1D8E" w14:textId="77777777" w:rsidR="003F7B75" w:rsidRPr="00A74D23" w:rsidRDefault="003F7B75" w:rsidP="00590DD1">
      <w:pPr>
        <w:pStyle w:val="Paragraphedeliste"/>
        <w:numPr>
          <w:ilvl w:val="0"/>
          <w:numId w:val="28"/>
        </w:numPr>
        <w:spacing w:after="120" w:line="22" w:lineRule="atLeast"/>
        <w:ind w:left="709"/>
        <w:contextualSpacing w:val="0"/>
        <w:jc w:val="both"/>
        <w:rPr>
          <w:rFonts w:cs="Open Sans"/>
          <w:sz w:val="20"/>
        </w:rPr>
      </w:pPr>
      <w:r w:rsidRPr="00A74D23">
        <w:rPr>
          <w:rFonts w:cs="Open Sans"/>
          <w:sz w:val="20"/>
        </w:rPr>
        <w:t>Faire progresser les connaissances en matière d’indicateurs de mesure et de trajectoires d’alignement au sein de la communauté d’investisseurs.</w:t>
      </w:r>
    </w:p>
    <w:p w14:paraId="30A8432B" w14:textId="77777777" w:rsidR="00D811A1" w:rsidRPr="00A74D23" w:rsidRDefault="00D811A1" w:rsidP="009D6EE5">
      <w:pPr>
        <w:spacing w:after="60" w:line="22" w:lineRule="atLeast"/>
        <w:jc w:val="both"/>
        <w:rPr>
          <w:rFonts w:asciiTheme="minorHAnsi" w:hAnsiTheme="minorHAnsi" w:cs="Open Sans"/>
          <w:sz w:val="20"/>
          <w:lang w:val="fr-FR"/>
        </w:rPr>
      </w:pPr>
    </w:p>
    <w:p w14:paraId="52D025AC" w14:textId="3B469D39" w:rsidR="00D811A1" w:rsidRPr="00A74D23" w:rsidRDefault="00F67E12" w:rsidP="009D6EE5">
      <w:pPr>
        <w:spacing w:after="60"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Depuis 2022, Abeille Assurances participe activement aux travaux de la </w:t>
      </w:r>
      <w:r w:rsidRPr="00A74D23">
        <w:rPr>
          <w:rFonts w:asciiTheme="minorHAnsi" w:hAnsiTheme="minorHAnsi" w:cs="Open Sans"/>
          <w:b/>
          <w:bCs/>
          <w:sz w:val="20"/>
          <w:lang w:val="fr-FR"/>
        </w:rPr>
        <w:t>Finance For Biodiversity Foundation</w:t>
      </w:r>
      <w:r w:rsidR="00521218" w:rsidRPr="00A74D23">
        <w:rPr>
          <w:rFonts w:asciiTheme="minorHAnsi" w:hAnsiTheme="minorHAnsi" w:cs="Open Sans"/>
          <w:sz w:val="20"/>
          <w:lang w:val="fr-FR"/>
        </w:rPr>
        <w:t xml:space="preserve"> </w:t>
      </w:r>
      <w:r w:rsidR="003F7B75" w:rsidRPr="00A74D23">
        <w:rPr>
          <w:rFonts w:asciiTheme="minorHAnsi" w:hAnsiTheme="minorHAnsi" w:cs="Open Sans"/>
          <w:sz w:val="20"/>
          <w:lang w:val="fr-FR"/>
        </w:rPr>
        <w:t xml:space="preserve">afin d’accélérer sur plusieurs sujets : </w:t>
      </w:r>
      <w:r w:rsidR="005D699E" w:rsidRPr="00A74D23">
        <w:rPr>
          <w:rFonts w:asciiTheme="minorHAnsi" w:hAnsiTheme="minorHAnsi" w:cs="Open Sans"/>
          <w:sz w:val="20"/>
          <w:lang w:val="fr-FR"/>
        </w:rPr>
        <w:t xml:space="preserve"> </w:t>
      </w:r>
    </w:p>
    <w:p w14:paraId="7C7E4919" w14:textId="77777777" w:rsidR="00DE3FEF" w:rsidRPr="00A74D23" w:rsidRDefault="00DE3FEF" w:rsidP="00590DD1">
      <w:pPr>
        <w:pStyle w:val="Paragraphedeliste"/>
        <w:numPr>
          <w:ilvl w:val="0"/>
          <w:numId w:val="27"/>
        </w:numPr>
        <w:spacing w:after="60" w:line="22" w:lineRule="atLeast"/>
        <w:contextualSpacing w:val="0"/>
        <w:jc w:val="both"/>
        <w:rPr>
          <w:rFonts w:cs="Open Sans"/>
          <w:sz w:val="20"/>
        </w:rPr>
      </w:pPr>
      <w:r w:rsidRPr="00A74D23">
        <w:rPr>
          <w:rFonts w:cs="Open Sans"/>
          <w:sz w:val="20"/>
        </w:rPr>
        <w:t xml:space="preserve">Collaborer et partager les connaissances sur les méthodologies de mesure et de fixation d’objectifs en lien avec la biodiversité ; </w:t>
      </w:r>
    </w:p>
    <w:p w14:paraId="13C73BBF" w14:textId="77777777" w:rsidR="00DE3FEF" w:rsidRPr="00A74D23" w:rsidRDefault="00DE3FEF" w:rsidP="00590DD1">
      <w:pPr>
        <w:pStyle w:val="Paragraphedeliste"/>
        <w:numPr>
          <w:ilvl w:val="0"/>
          <w:numId w:val="27"/>
        </w:numPr>
        <w:spacing w:after="60" w:line="22" w:lineRule="atLeast"/>
        <w:contextualSpacing w:val="0"/>
        <w:jc w:val="both"/>
        <w:rPr>
          <w:rFonts w:cs="Open Sans"/>
          <w:sz w:val="20"/>
        </w:rPr>
      </w:pPr>
      <w:r w:rsidRPr="00A74D23">
        <w:rPr>
          <w:rFonts w:cs="Open Sans"/>
          <w:sz w:val="20"/>
        </w:rPr>
        <w:t>Intégrer la biodiversité dans notre politique d’investissement responsable et de dialogue actionnarial comme c’est le cas pour l’huile de palme ;</w:t>
      </w:r>
    </w:p>
    <w:p w14:paraId="23059DE3" w14:textId="5DA0E819" w:rsidR="00381EE0" w:rsidRPr="00A74D23" w:rsidRDefault="00DE3FEF" w:rsidP="00590DD1">
      <w:pPr>
        <w:pStyle w:val="Paragraphedeliste"/>
        <w:numPr>
          <w:ilvl w:val="0"/>
          <w:numId w:val="27"/>
        </w:numPr>
        <w:spacing w:after="60" w:line="22" w:lineRule="atLeast"/>
        <w:contextualSpacing w:val="0"/>
        <w:jc w:val="both"/>
        <w:rPr>
          <w:rFonts w:cs="Open Sans"/>
          <w:sz w:val="20"/>
        </w:rPr>
      </w:pPr>
      <w:r w:rsidRPr="00A74D23">
        <w:rPr>
          <w:rFonts w:cs="Open Sans"/>
          <w:sz w:val="20"/>
        </w:rPr>
        <w:t>Evaluer les impacts positifs et négatifs de nos investissements sur la biodiversité ;</w:t>
      </w:r>
    </w:p>
    <w:p w14:paraId="610ADE58" w14:textId="2AA29FA8" w:rsidR="00DE3FEF" w:rsidRPr="00A74D23" w:rsidRDefault="00DE3FEF" w:rsidP="00590DD1">
      <w:pPr>
        <w:pStyle w:val="Paragraphedeliste"/>
        <w:numPr>
          <w:ilvl w:val="0"/>
          <w:numId w:val="17"/>
        </w:numPr>
        <w:spacing w:after="0" w:line="22" w:lineRule="atLeast"/>
        <w:jc w:val="both"/>
        <w:rPr>
          <w:rFonts w:cs="Open Sans"/>
          <w:sz w:val="20"/>
        </w:rPr>
      </w:pPr>
      <w:r w:rsidRPr="00A74D23">
        <w:rPr>
          <w:rFonts w:cs="Open Sans"/>
          <w:sz w:val="20"/>
        </w:rPr>
        <w:t>Rendre compte chaque année des actions mises en place au sein de nos portefeuilles d’investissement pour favoriser la biodivers</w:t>
      </w:r>
      <w:r w:rsidR="00AB152C" w:rsidRPr="00A74D23">
        <w:rPr>
          <w:rFonts w:cs="Open Sans"/>
          <w:sz w:val="20"/>
        </w:rPr>
        <w:t>i</w:t>
      </w:r>
      <w:r w:rsidRPr="00A74D23">
        <w:rPr>
          <w:rFonts w:cs="Open Sans"/>
          <w:sz w:val="20"/>
        </w:rPr>
        <w:t>té et en faire reculer l’érosion</w:t>
      </w:r>
    </w:p>
    <w:p w14:paraId="47617CC5" w14:textId="77777777" w:rsidR="003F7B75" w:rsidRPr="00A74D23" w:rsidRDefault="003F7B75" w:rsidP="009D6EE5">
      <w:pPr>
        <w:spacing w:line="22" w:lineRule="atLeast"/>
        <w:jc w:val="both"/>
        <w:rPr>
          <w:rFonts w:asciiTheme="minorHAnsi" w:hAnsiTheme="minorHAnsi" w:cs="Open Sans"/>
          <w:sz w:val="20"/>
          <w:lang w:val="fr-FR"/>
        </w:rPr>
      </w:pPr>
    </w:p>
    <w:p w14:paraId="28828471" w14:textId="6D16D574" w:rsidR="00021FDE" w:rsidRPr="00A74D23" w:rsidRDefault="0064461C"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Abeille Assurances, via le grou</w:t>
      </w:r>
      <w:r w:rsidR="00EA1C29" w:rsidRPr="00A74D23">
        <w:rPr>
          <w:rFonts w:asciiTheme="minorHAnsi" w:hAnsiTheme="minorHAnsi" w:cs="Open Sans"/>
          <w:sz w:val="20"/>
          <w:lang w:val="fr-FR"/>
        </w:rPr>
        <w:t>pe Aéma</w:t>
      </w:r>
      <w:r w:rsidR="00770983" w:rsidRPr="00A74D23">
        <w:rPr>
          <w:rFonts w:asciiTheme="minorHAnsi" w:hAnsiTheme="minorHAnsi" w:cs="Open Sans"/>
          <w:sz w:val="20"/>
          <w:lang w:val="fr-FR"/>
        </w:rPr>
        <w:t>, s’engage dans le cadre de la TNFD afin de mieux identifier et analyser ses dépendances, impacts et risques liés à la nature. Cette démarche s’appuie sur les travaux méthodologiques de place, notamment l’approche LEAP, pour structurer l’analyse des risques biodiversité dans les portefeuilles.</w:t>
      </w:r>
      <w:r w:rsidR="00F9545A" w:rsidRPr="00A74D23">
        <w:rPr>
          <w:rFonts w:asciiTheme="minorHAnsi" w:hAnsiTheme="minorHAnsi" w:cs="Open Sans"/>
          <w:sz w:val="20"/>
          <w:lang w:val="fr-FR"/>
        </w:rPr>
        <w:t xml:space="preserve"> </w:t>
      </w:r>
    </w:p>
    <w:p w14:paraId="56F248A9" w14:textId="77777777" w:rsidR="00021FDE" w:rsidRPr="00A74D23" w:rsidRDefault="00021FDE" w:rsidP="009D6EE5">
      <w:pPr>
        <w:spacing w:line="22" w:lineRule="atLeast"/>
        <w:jc w:val="both"/>
        <w:rPr>
          <w:rFonts w:asciiTheme="minorHAnsi" w:hAnsiTheme="minorHAnsi" w:cs="Open Sans"/>
          <w:sz w:val="20"/>
          <w:lang w:val="fr-FR"/>
        </w:rPr>
      </w:pPr>
    </w:p>
    <w:p w14:paraId="0A3BAB66" w14:textId="77777777" w:rsidR="0058080D" w:rsidRPr="00A74D23" w:rsidRDefault="00FA6A02"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Depuis 2024, nous avons très activement participé </w:t>
      </w:r>
      <w:r w:rsidR="005466B7" w:rsidRPr="00A74D23">
        <w:rPr>
          <w:rFonts w:asciiTheme="minorHAnsi" w:hAnsiTheme="minorHAnsi" w:cs="Open Sans"/>
          <w:sz w:val="20"/>
          <w:lang w:val="fr-FR"/>
        </w:rPr>
        <w:t xml:space="preserve">à l’initiative de </w:t>
      </w:r>
      <w:r w:rsidR="005466B7" w:rsidRPr="00A74D23">
        <w:rPr>
          <w:rFonts w:asciiTheme="minorHAnsi" w:hAnsiTheme="minorHAnsi" w:cs="Open Sans"/>
          <w:b/>
          <w:bCs/>
          <w:sz w:val="20"/>
          <w:lang w:val="fr-FR"/>
        </w:rPr>
        <w:t>fonds de place Objectif Biodiversité</w:t>
      </w:r>
      <w:r w:rsidR="003751CB" w:rsidRPr="00A74D23">
        <w:rPr>
          <w:rFonts w:asciiTheme="minorHAnsi" w:hAnsiTheme="minorHAnsi" w:cs="Open Sans"/>
          <w:b/>
          <w:bCs/>
          <w:sz w:val="20"/>
          <w:lang w:val="fr-FR"/>
        </w:rPr>
        <w:t>.</w:t>
      </w:r>
      <w:r w:rsidR="003751CB" w:rsidRPr="00A74D23">
        <w:rPr>
          <w:rFonts w:asciiTheme="minorHAnsi" w:hAnsiTheme="minorHAnsi" w:cs="Open Sans"/>
          <w:sz w:val="20"/>
          <w:lang w:val="fr-FR"/>
        </w:rPr>
        <w:t xml:space="preserve"> </w:t>
      </w:r>
      <w:r w:rsidR="0058080D" w:rsidRPr="00A74D23">
        <w:rPr>
          <w:rFonts w:asciiTheme="minorHAnsi" w:hAnsiTheme="minorHAnsi" w:cs="Open Sans"/>
          <w:sz w:val="20"/>
          <w:lang w:val="fr-FR"/>
        </w:rPr>
        <w:t xml:space="preserve">L'initiative de Place « Objectif Biodiversité », lancée en mars 2024 par 17 investisseurs institutionnels français (dont Abeille Assurances), vise à structurer un cadre d'investissement exigeant et innovant dédié à la préservation et la restauration de la biodiversité. </w:t>
      </w:r>
    </w:p>
    <w:p w14:paraId="46A8D927" w14:textId="75BA6F5D" w:rsidR="0058080D" w:rsidRPr="00A74D23" w:rsidRDefault="0058080D"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L'initiative repose sur deux fonds complémentaires </w:t>
      </w:r>
      <w:r w:rsidR="00790729" w:rsidRPr="00A74D23">
        <w:rPr>
          <w:rFonts w:asciiTheme="minorHAnsi" w:hAnsiTheme="minorHAnsi" w:cs="Open Sans"/>
          <w:sz w:val="20"/>
          <w:lang w:val="fr-FR"/>
        </w:rPr>
        <w:t>(avec un total de plus de 400M€ levés) :</w:t>
      </w:r>
    </w:p>
    <w:p w14:paraId="4EAA34AB" w14:textId="3D9E56AA" w:rsidR="0058080D" w:rsidRPr="00A74D23" w:rsidRDefault="00DE3DDB" w:rsidP="00590DD1">
      <w:pPr>
        <w:pStyle w:val="Paragraphedeliste"/>
        <w:numPr>
          <w:ilvl w:val="0"/>
          <w:numId w:val="39"/>
        </w:numPr>
        <w:spacing w:after="0" w:line="22" w:lineRule="atLeast"/>
        <w:jc w:val="both"/>
        <w:rPr>
          <w:rFonts w:cs="Open Sans"/>
          <w:sz w:val="20"/>
        </w:rPr>
      </w:pPr>
      <w:r w:rsidRPr="00A74D23">
        <w:rPr>
          <w:rFonts w:cs="Open Sans"/>
          <w:b/>
          <w:bCs/>
          <w:sz w:val="20"/>
        </w:rPr>
        <w:t>Un</w:t>
      </w:r>
      <w:r w:rsidR="0058080D" w:rsidRPr="00A74D23">
        <w:rPr>
          <w:rFonts w:cs="Open Sans"/>
          <w:b/>
          <w:bCs/>
          <w:sz w:val="20"/>
        </w:rPr>
        <w:t xml:space="preserve"> fonds coté</w:t>
      </w:r>
      <w:r w:rsidR="0058080D" w:rsidRPr="00A74D23">
        <w:rPr>
          <w:rFonts w:cs="Open Sans"/>
          <w:sz w:val="20"/>
        </w:rPr>
        <w:t xml:space="preserve">, géré par Mirova depuis octobre 2024, ciblant majoritairement des entreprises </w:t>
      </w:r>
      <w:r w:rsidRPr="00A74D23">
        <w:rPr>
          <w:rFonts w:cs="Open Sans"/>
          <w:sz w:val="20"/>
        </w:rPr>
        <w:t>internationales cotées</w:t>
      </w:r>
    </w:p>
    <w:p w14:paraId="0EE58EB0" w14:textId="1AC999E4" w:rsidR="003751CB" w:rsidRPr="00A74D23" w:rsidRDefault="00DE3DDB" w:rsidP="00590DD1">
      <w:pPr>
        <w:pStyle w:val="Paragraphedeliste"/>
        <w:numPr>
          <w:ilvl w:val="0"/>
          <w:numId w:val="39"/>
        </w:numPr>
        <w:spacing w:after="0" w:line="22" w:lineRule="atLeast"/>
        <w:jc w:val="both"/>
        <w:rPr>
          <w:rFonts w:cs="Open Sans"/>
          <w:sz w:val="20"/>
        </w:rPr>
      </w:pPr>
      <w:r w:rsidRPr="00A74D23">
        <w:rPr>
          <w:rFonts w:cs="Open Sans"/>
          <w:b/>
          <w:bCs/>
          <w:sz w:val="20"/>
        </w:rPr>
        <w:t>Un</w:t>
      </w:r>
      <w:r w:rsidR="0058080D" w:rsidRPr="00A74D23">
        <w:rPr>
          <w:rFonts w:cs="Open Sans"/>
          <w:b/>
          <w:bCs/>
          <w:sz w:val="20"/>
        </w:rPr>
        <w:t xml:space="preserve"> fonds non coté</w:t>
      </w:r>
      <w:r w:rsidR="0058080D" w:rsidRPr="00A74D23">
        <w:rPr>
          <w:rFonts w:cs="Open Sans"/>
          <w:sz w:val="20"/>
        </w:rPr>
        <w:t>, géré par Starquest-Montefiore depuis septembre 2025, investissant en capital-innovation, capital-développement et capital-transmission dans des entreprises européennes et françaises actives dans la préservation et la restauration des écosystèmes</w:t>
      </w:r>
    </w:p>
    <w:p w14:paraId="3BB538CF" w14:textId="77777777" w:rsidR="00AE0AF8" w:rsidRPr="00A74D23" w:rsidRDefault="00AE0AF8" w:rsidP="009D6EE5">
      <w:pPr>
        <w:pStyle w:val="Paragraphedeliste"/>
        <w:spacing w:after="0" w:line="22" w:lineRule="atLeast"/>
        <w:jc w:val="both"/>
        <w:rPr>
          <w:rFonts w:cs="Open Sans"/>
          <w:b/>
          <w:bCs/>
          <w:sz w:val="20"/>
        </w:rPr>
      </w:pPr>
    </w:p>
    <w:p w14:paraId="72A7B60F" w14:textId="77777777" w:rsidR="00AE0AF8" w:rsidRPr="00A74D23" w:rsidRDefault="00AE0AF8" w:rsidP="009D6EE5">
      <w:pPr>
        <w:pStyle w:val="Paragraphedeliste"/>
        <w:spacing w:after="0" w:line="22" w:lineRule="atLeast"/>
        <w:jc w:val="both"/>
        <w:rPr>
          <w:rFonts w:cs="Open Sans"/>
          <w:sz w:val="20"/>
        </w:rPr>
      </w:pPr>
    </w:p>
    <w:p w14:paraId="62A35FA5" w14:textId="5F1464B3" w:rsidR="003751CB" w:rsidRPr="00A74D23" w:rsidRDefault="00AE0AF8" w:rsidP="009D6EE5">
      <w:pPr>
        <w:spacing w:line="22" w:lineRule="atLeast"/>
        <w:jc w:val="both"/>
        <w:rPr>
          <w:rFonts w:asciiTheme="minorHAnsi" w:hAnsiTheme="minorHAnsi" w:cs="Open Sans"/>
          <w:sz w:val="20"/>
          <w:lang w:val="fr-FR"/>
        </w:rPr>
      </w:pPr>
      <w:r w:rsidRPr="00A74D23">
        <w:rPr>
          <w:rFonts w:asciiTheme="minorHAnsi" w:hAnsiTheme="minorHAnsi" w:cs="Open Sans"/>
          <w:noProof/>
          <w:sz w:val="20"/>
          <w:lang w:val="fr-FR"/>
        </w:rPr>
        <mc:AlternateContent>
          <mc:Choice Requires="wps">
            <w:drawing>
              <wp:anchor distT="0" distB="0" distL="114300" distR="114300" simplePos="0" relativeHeight="251717632" behindDoc="0" locked="0" layoutInCell="1" allowOverlap="1" wp14:anchorId="2C680E48" wp14:editId="15127B66">
                <wp:simplePos x="0" y="0"/>
                <wp:positionH relativeFrom="column">
                  <wp:posOffset>68185</wp:posOffset>
                </wp:positionH>
                <wp:positionV relativeFrom="paragraph">
                  <wp:posOffset>90158</wp:posOffset>
                </wp:positionV>
                <wp:extent cx="6061278" cy="1259457"/>
                <wp:effectExtent l="0" t="0" r="0" b="0"/>
                <wp:wrapNone/>
                <wp:docPr id="817173817" name="Rectangle 5"/>
                <wp:cNvGraphicFramePr/>
                <a:graphic xmlns:a="http://schemas.openxmlformats.org/drawingml/2006/main">
                  <a:graphicData uri="http://schemas.microsoft.com/office/word/2010/wordprocessingShape">
                    <wps:wsp>
                      <wps:cNvSpPr/>
                      <wps:spPr>
                        <a:xfrm>
                          <a:off x="0" y="0"/>
                          <a:ext cx="6061278" cy="1259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A8ED12" w14:textId="2618C024" w:rsidR="00AE0AF8" w:rsidRPr="00AE0AF8" w:rsidRDefault="00AE0AF8" w:rsidP="00AE0AF8">
                            <w:pPr>
                              <w:spacing w:line="276" w:lineRule="auto"/>
                              <w:jc w:val="both"/>
                              <w:rPr>
                                <w:rFonts w:asciiTheme="minorHAnsi" w:hAnsiTheme="minorHAnsi" w:cs="Open Sans"/>
                                <w:color w:val="000000" w:themeColor="text1"/>
                                <w:sz w:val="20"/>
                                <w:lang w:val="fr-FR"/>
                              </w:rPr>
                            </w:pPr>
                            <w:r w:rsidRPr="00AE0AF8">
                              <w:rPr>
                                <w:rFonts w:asciiTheme="minorHAnsi" w:hAnsiTheme="minorHAnsi" w:cs="Open Sans"/>
                                <w:b/>
                                <w:bCs/>
                                <w:color w:val="000000" w:themeColor="text1"/>
                                <w:sz w:val="20"/>
                                <w:lang w:val="fr-FR"/>
                              </w:rPr>
                              <w:t>En 2025, Abeille Assurances a investi 10</w:t>
                            </w:r>
                            <w:r w:rsidRPr="00AE0AF8">
                              <w:rPr>
                                <w:rFonts w:asciiTheme="minorHAnsi" w:hAnsiTheme="minorHAnsi" w:cs="Arial"/>
                                <w:b/>
                                <w:bCs/>
                                <w:color w:val="000000" w:themeColor="text1"/>
                                <w:sz w:val="20"/>
                                <w:lang w:val="fr-FR"/>
                              </w:rPr>
                              <w:t> </w:t>
                            </w:r>
                            <w:r w:rsidRPr="00AE0AF8">
                              <w:rPr>
                                <w:rFonts w:asciiTheme="minorHAnsi" w:hAnsiTheme="minorHAnsi" w:cs="Open Sans"/>
                                <w:b/>
                                <w:bCs/>
                                <w:color w:val="000000" w:themeColor="text1"/>
                                <w:sz w:val="20"/>
                                <w:lang w:val="fr-FR"/>
                              </w:rPr>
                              <w:t>M€ dans le fonds coté et 10</w:t>
                            </w:r>
                            <w:r w:rsidRPr="00AE0AF8">
                              <w:rPr>
                                <w:rFonts w:asciiTheme="minorHAnsi" w:hAnsiTheme="minorHAnsi" w:cs="Arial"/>
                                <w:b/>
                                <w:bCs/>
                                <w:color w:val="000000" w:themeColor="text1"/>
                                <w:sz w:val="20"/>
                                <w:lang w:val="fr-FR"/>
                              </w:rPr>
                              <w:t> </w:t>
                            </w:r>
                            <w:r w:rsidRPr="00AE0AF8">
                              <w:rPr>
                                <w:rFonts w:asciiTheme="minorHAnsi" w:hAnsiTheme="minorHAnsi" w:cs="Open Sans"/>
                                <w:b/>
                                <w:bCs/>
                                <w:color w:val="000000" w:themeColor="text1"/>
                                <w:sz w:val="20"/>
                                <w:lang w:val="fr-FR"/>
                              </w:rPr>
                              <w:t xml:space="preserve">M€ dans le fonds non coté. </w:t>
                            </w:r>
                            <w:r w:rsidRPr="00AE0AF8">
                              <w:rPr>
                                <w:rFonts w:asciiTheme="minorHAnsi" w:hAnsiTheme="minorHAnsi" w:cs="Open Sans"/>
                                <w:color w:val="000000" w:themeColor="text1"/>
                                <w:sz w:val="20"/>
                                <w:lang w:val="fr-FR"/>
                              </w:rPr>
                              <w:t>Notre Directeur des investissements d’Abeille Assurances, Jean</w:t>
                            </w:r>
                            <w:r w:rsidRPr="00AE0AF8">
                              <w:rPr>
                                <w:rFonts w:asciiTheme="minorHAnsi" w:hAnsiTheme="minorHAnsi" w:cs="Open Sans"/>
                                <w:color w:val="000000" w:themeColor="text1"/>
                                <w:sz w:val="20"/>
                                <w:lang w:val="fr-FR"/>
                              </w:rPr>
                              <w:noBreakHyphen/>
                              <w:t xml:space="preserve">François COPPENOLLE, a par ailleurs </w:t>
                            </w:r>
                            <w:r w:rsidR="00B24A1D">
                              <w:rPr>
                                <w:rFonts w:asciiTheme="minorHAnsi" w:hAnsiTheme="minorHAnsi" w:cs="Open Sans"/>
                                <w:color w:val="000000" w:themeColor="text1"/>
                                <w:sz w:val="20"/>
                                <w:lang w:val="fr-FR"/>
                              </w:rPr>
                              <w:t xml:space="preserve">été moteur dans la structuration de la démarche. </w:t>
                            </w:r>
                            <w:r w:rsidRPr="00AE0AF8">
                              <w:rPr>
                                <w:rFonts w:asciiTheme="minorHAnsi" w:hAnsiTheme="minorHAnsi" w:cs="Open Sans"/>
                                <w:color w:val="000000" w:themeColor="text1"/>
                                <w:sz w:val="20"/>
                                <w:lang w:val="fr-FR"/>
                              </w:rPr>
                              <w:t>À ce titre, il a contribué à la sélection des sociétés de gestion, sur la base d’une analyse critique de leurs dispositifs de gestion et de leur capacité à intégrer les enjeux de biodiversité. Il a également participé à la préparation et à l’animation des travaux du comité scientifique, ainsi qu’au relais des décisions et avancées auprès des investisseurs du consortium.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680E48" id="_x0000_s1142" style="position:absolute;left:0;text-align:left;margin-left:5.35pt;margin-top:7.1pt;width:477.25pt;height:99.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" fillcolor="#ffd400 [3204]" stroked="f" strokeweight="1pt">
                <v:textbox>
                  <w:txbxContent>
                    <w:p w14:paraId="48A8ED12" w14:textId="2618C024" w:rsidR="00AE0AF8" w:rsidRPr="00AE0AF8" w:rsidRDefault="00AE0AF8" w:rsidP="00AE0AF8">
                      <w:pPr>
                        <w:spacing w:line="276" w:lineRule="auto"/>
                        <w:jc w:val="both"/>
                        <w:rPr>
                          <w:rFonts w:asciiTheme="minorHAnsi" w:hAnsiTheme="minorHAnsi" w:cs="Open Sans"/>
                          <w:color w:val="000000" w:themeColor="text1"/>
                          <w:sz w:val="20"/>
                          <w:lang w:val="fr-FR"/>
                        </w:rPr>
                      </w:pPr>
                      <w:r w:rsidRPr="00AE0AF8">
                        <w:rPr>
                          <w:rFonts w:asciiTheme="minorHAnsi" w:hAnsiTheme="minorHAnsi" w:cs="Open Sans"/>
                          <w:b/>
                          <w:bCs/>
                          <w:color w:val="000000" w:themeColor="text1"/>
                          <w:sz w:val="20"/>
                          <w:lang w:val="fr-FR"/>
                        </w:rPr>
                        <w:t>En 2025, Abeille Assurances a investi 10</w:t>
                      </w:r>
                      <w:r w:rsidRPr="00AE0AF8">
                        <w:rPr>
                          <w:rFonts w:asciiTheme="minorHAnsi" w:hAnsiTheme="minorHAnsi" w:cs="Arial"/>
                          <w:b/>
                          <w:bCs/>
                          <w:color w:val="000000" w:themeColor="text1"/>
                          <w:sz w:val="20"/>
                          <w:lang w:val="fr-FR"/>
                        </w:rPr>
                        <w:t> </w:t>
                      </w:r>
                      <w:r w:rsidRPr="00AE0AF8">
                        <w:rPr>
                          <w:rFonts w:asciiTheme="minorHAnsi" w:hAnsiTheme="minorHAnsi" w:cs="Open Sans"/>
                          <w:b/>
                          <w:bCs/>
                          <w:color w:val="000000" w:themeColor="text1"/>
                          <w:sz w:val="20"/>
                          <w:lang w:val="fr-FR"/>
                        </w:rPr>
                        <w:t>M€ dans le fonds coté et 10</w:t>
                      </w:r>
                      <w:r w:rsidRPr="00AE0AF8">
                        <w:rPr>
                          <w:rFonts w:asciiTheme="minorHAnsi" w:hAnsiTheme="minorHAnsi" w:cs="Arial"/>
                          <w:b/>
                          <w:bCs/>
                          <w:color w:val="000000" w:themeColor="text1"/>
                          <w:sz w:val="20"/>
                          <w:lang w:val="fr-FR"/>
                        </w:rPr>
                        <w:t> </w:t>
                      </w:r>
                      <w:r w:rsidRPr="00AE0AF8">
                        <w:rPr>
                          <w:rFonts w:asciiTheme="minorHAnsi" w:hAnsiTheme="minorHAnsi" w:cs="Open Sans"/>
                          <w:b/>
                          <w:bCs/>
                          <w:color w:val="000000" w:themeColor="text1"/>
                          <w:sz w:val="20"/>
                          <w:lang w:val="fr-FR"/>
                        </w:rPr>
                        <w:t xml:space="preserve">M€ dans le fonds non coté. </w:t>
                      </w:r>
                      <w:r w:rsidRPr="00AE0AF8">
                        <w:rPr>
                          <w:rFonts w:asciiTheme="minorHAnsi" w:hAnsiTheme="minorHAnsi" w:cs="Open Sans"/>
                          <w:color w:val="000000" w:themeColor="text1"/>
                          <w:sz w:val="20"/>
                          <w:lang w:val="fr-FR"/>
                        </w:rPr>
                        <w:t>Notre Directeur des investissements d’Abeille Assurances, Jean</w:t>
                      </w:r>
                      <w:r w:rsidRPr="00AE0AF8">
                        <w:rPr>
                          <w:rFonts w:asciiTheme="minorHAnsi" w:hAnsiTheme="minorHAnsi" w:cs="Open Sans"/>
                          <w:color w:val="000000" w:themeColor="text1"/>
                          <w:sz w:val="20"/>
                          <w:lang w:val="fr-FR"/>
                        </w:rPr>
                        <w:noBreakHyphen/>
                        <w:t xml:space="preserve">François COPPENOLLE, a par ailleurs </w:t>
                      </w:r>
                      <w:r w:rsidR="00B24A1D">
                        <w:rPr>
                          <w:rFonts w:asciiTheme="minorHAnsi" w:hAnsiTheme="minorHAnsi" w:cs="Open Sans"/>
                          <w:color w:val="000000" w:themeColor="text1"/>
                          <w:sz w:val="20"/>
                          <w:lang w:val="fr-FR"/>
                        </w:rPr>
                        <w:t xml:space="preserve">été moteur dans la structuration de la démarche. </w:t>
                      </w:r>
                      <w:r w:rsidRPr="00AE0AF8">
                        <w:rPr>
                          <w:rFonts w:asciiTheme="minorHAnsi" w:hAnsiTheme="minorHAnsi" w:cs="Open Sans"/>
                          <w:color w:val="000000" w:themeColor="text1"/>
                          <w:sz w:val="20"/>
                          <w:lang w:val="fr-FR"/>
                        </w:rPr>
                        <w:t>À ce titre, il a contribué à la sélection des sociétés de gestion, sur la base d’une analyse critique de leurs dispositifs de gestion et de leur capacité à intégrer les enjeux de biodiversité. Il a également participé à la préparation et à l’animation des travaux du comité scientifique, ainsi qu’au relais des décisions et avancées auprès des investisseurs du consortium.</w:t>
                      </w:r>
                    </w:p>
                  </w:txbxContent>
                </v:textbox>
              </v:rect>
            </w:pict>
          </mc:Fallback>
        </mc:AlternateContent>
      </w:r>
    </w:p>
    <w:p w14:paraId="1597A5E0" w14:textId="77777777" w:rsidR="00AE0AF8" w:rsidRPr="00A74D23" w:rsidRDefault="00AE0AF8" w:rsidP="009D6EE5">
      <w:pPr>
        <w:spacing w:line="22" w:lineRule="atLeast"/>
        <w:jc w:val="both"/>
        <w:rPr>
          <w:rFonts w:asciiTheme="minorHAnsi" w:hAnsiTheme="minorHAnsi" w:cs="Open Sans"/>
          <w:sz w:val="20"/>
          <w:lang w:val="fr-FR"/>
        </w:rPr>
      </w:pPr>
    </w:p>
    <w:p w14:paraId="5E3AA641" w14:textId="77777777" w:rsidR="00AE0AF8" w:rsidRPr="00A74D23" w:rsidRDefault="00AE0AF8" w:rsidP="009D6EE5">
      <w:pPr>
        <w:spacing w:line="22" w:lineRule="atLeast"/>
        <w:jc w:val="both"/>
        <w:rPr>
          <w:rFonts w:asciiTheme="minorHAnsi" w:hAnsiTheme="minorHAnsi" w:cs="Open Sans"/>
          <w:sz w:val="20"/>
          <w:lang w:val="fr-FR"/>
        </w:rPr>
      </w:pPr>
    </w:p>
    <w:p w14:paraId="72E3BBF1" w14:textId="77777777" w:rsidR="00AE0AF8" w:rsidRPr="00A74D23" w:rsidRDefault="00AE0AF8" w:rsidP="009D6EE5">
      <w:pPr>
        <w:spacing w:line="22" w:lineRule="atLeast"/>
        <w:jc w:val="both"/>
        <w:rPr>
          <w:rFonts w:asciiTheme="minorHAnsi" w:hAnsiTheme="minorHAnsi" w:cs="Open Sans"/>
          <w:sz w:val="20"/>
          <w:lang w:val="fr-FR"/>
        </w:rPr>
      </w:pPr>
    </w:p>
    <w:p w14:paraId="216B5704" w14:textId="77777777" w:rsidR="00AE0AF8" w:rsidRPr="00A74D23" w:rsidRDefault="00AE0AF8" w:rsidP="009D6EE5">
      <w:pPr>
        <w:spacing w:line="22" w:lineRule="atLeast"/>
        <w:jc w:val="both"/>
        <w:rPr>
          <w:rFonts w:asciiTheme="minorHAnsi" w:hAnsiTheme="minorHAnsi" w:cs="Open Sans"/>
          <w:sz w:val="20"/>
          <w:lang w:val="fr-FR"/>
        </w:rPr>
      </w:pPr>
    </w:p>
    <w:p w14:paraId="527291B8" w14:textId="77777777" w:rsidR="00AE0AF8" w:rsidRPr="00A74D23" w:rsidRDefault="00AE0AF8" w:rsidP="009D6EE5">
      <w:pPr>
        <w:spacing w:line="22" w:lineRule="atLeast"/>
        <w:jc w:val="both"/>
        <w:rPr>
          <w:rFonts w:asciiTheme="minorHAnsi" w:hAnsiTheme="minorHAnsi" w:cs="Open Sans"/>
          <w:sz w:val="20"/>
          <w:lang w:val="fr-FR"/>
        </w:rPr>
      </w:pPr>
    </w:p>
    <w:p w14:paraId="7C7416FD" w14:textId="77777777" w:rsidR="00AE0AF8" w:rsidRPr="00A74D23" w:rsidRDefault="00AE0AF8" w:rsidP="009D6EE5">
      <w:pPr>
        <w:spacing w:line="22" w:lineRule="atLeast"/>
        <w:jc w:val="both"/>
        <w:rPr>
          <w:rFonts w:asciiTheme="minorHAnsi" w:hAnsiTheme="minorHAnsi" w:cs="Open Sans"/>
          <w:sz w:val="20"/>
          <w:lang w:val="fr-FR"/>
        </w:rPr>
      </w:pPr>
    </w:p>
    <w:p w14:paraId="42DBCA39" w14:textId="77777777" w:rsidR="00E41B25" w:rsidRPr="00A74D23" w:rsidRDefault="00E41B25" w:rsidP="009D6EE5">
      <w:pPr>
        <w:spacing w:line="22" w:lineRule="atLeast"/>
        <w:jc w:val="both"/>
        <w:rPr>
          <w:rFonts w:asciiTheme="minorHAnsi" w:hAnsiTheme="minorHAnsi" w:cs="Open Sans"/>
          <w:sz w:val="20"/>
          <w:lang w:val="fr-FR"/>
        </w:rPr>
      </w:pPr>
    </w:p>
    <w:p w14:paraId="1719AA02" w14:textId="77777777" w:rsidR="00E41B25" w:rsidRPr="00A74D23" w:rsidRDefault="00E41B25" w:rsidP="009D6EE5">
      <w:pPr>
        <w:spacing w:line="22" w:lineRule="atLeast"/>
        <w:jc w:val="both"/>
        <w:rPr>
          <w:rFonts w:asciiTheme="minorHAnsi" w:hAnsiTheme="minorHAnsi" w:cs="Open Sans"/>
          <w:sz w:val="20"/>
          <w:lang w:val="fr-FR"/>
        </w:rPr>
      </w:pPr>
    </w:p>
    <w:p w14:paraId="561564BC" w14:textId="77777777" w:rsidR="00F5390E" w:rsidRPr="00A74D23" w:rsidRDefault="00F5390E" w:rsidP="009D6EE5">
      <w:pPr>
        <w:pStyle w:val="Paragraphedeliste"/>
        <w:spacing w:line="22" w:lineRule="atLeast"/>
        <w:ind w:left="993"/>
        <w:jc w:val="both"/>
        <w:rPr>
          <w:rFonts w:cs="Open Sans"/>
          <w:color w:val="DBE1ED" w:themeColor="accent6"/>
          <w:sz w:val="20"/>
        </w:rPr>
      </w:pPr>
    </w:p>
    <w:p w14:paraId="30532A18" w14:textId="202AEDFA" w:rsidR="00AE0AF8" w:rsidRPr="00A74D23" w:rsidRDefault="00AE0AF8" w:rsidP="009D6EE5">
      <w:pPr>
        <w:pStyle w:val="Paragraphedeliste"/>
        <w:spacing w:line="22" w:lineRule="atLeast"/>
        <w:ind w:left="993"/>
        <w:jc w:val="both"/>
        <w:rPr>
          <w:rFonts w:cs="Open Sans"/>
          <w:color w:val="DBE1ED" w:themeColor="accent6"/>
          <w:sz w:val="20"/>
        </w:rPr>
      </w:pPr>
      <w:r w:rsidRPr="00A74D23">
        <w:rPr>
          <w:rFonts w:cs="Open Sans"/>
          <w:noProof/>
        </w:rPr>
        <mc:AlternateContent>
          <mc:Choice Requires="wps">
            <w:drawing>
              <wp:anchor distT="0" distB="0" distL="114300" distR="114300" simplePos="0" relativeHeight="251715584" behindDoc="0" locked="0" layoutInCell="1" allowOverlap="1" wp14:anchorId="04F2C292" wp14:editId="614EE176">
                <wp:simplePos x="0" y="0"/>
                <wp:positionH relativeFrom="margin">
                  <wp:posOffset>1776538</wp:posOffset>
                </wp:positionH>
                <wp:positionV relativeFrom="paragraph">
                  <wp:posOffset>8446</wp:posOffset>
                </wp:positionV>
                <wp:extent cx="2667635" cy="260350"/>
                <wp:effectExtent l="0" t="0" r="0" b="8890"/>
                <wp:wrapSquare wrapText="bothSides"/>
                <wp:docPr id="1508619414" name="Rectangle : coins arrondis 1508619414"/>
                <wp:cNvGraphicFramePr/>
                <a:graphic xmlns:a="http://schemas.openxmlformats.org/drawingml/2006/main">
                  <a:graphicData uri="http://schemas.microsoft.com/office/word/2010/wordprocessingShape">
                    <wps:wsp>
                      <wps:cNvSpPr/>
                      <wps:spPr>
                        <a:xfrm>
                          <a:off x="0" y="0"/>
                          <a:ext cx="2667635" cy="260350"/>
                        </a:xfrm>
                        <a:prstGeom prst="roundRect">
                          <a:avLst>
                            <a:gd name="adj" fmla="val 0"/>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E92311" w14:textId="77777777" w:rsidR="00AE0AF8" w:rsidRPr="00003AF6" w:rsidRDefault="00AE0AF8" w:rsidP="00AE0AF8">
                            <w:pPr>
                              <w:jc w:val="center"/>
                              <w:rPr>
                                <w:b/>
                                <w:bCs/>
                                <w:sz w:val="32"/>
                                <w:szCs w:val="32"/>
                              </w:rPr>
                            </w:pPr>
                            <w:r w:rsidRPr="00003AF6">
                              <w:rPr>
                                <w:rFonts w:ascii="Source Sans Pro" w:hAnsi="Source Sans Pro"/>
                                <w:b/>
                                <w:bCs/>
                              </w:rPr>
                              <w:t>Plan d’amélioration 2026</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roundrect w14:anchorId="04F2C292" id="Rectangle : coins arrondis 1508619414" o:spid="_x0000_s1143" style="position:absolute;left:0;text-align:left;margin-left:139.9pt;margin-top:.65pt;width:210.05pt;height:20.5pt;z-index:2517155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" fillcolor="#8a2c24 [3205]" stroked="f" strokeweight="1pt">
                <v:stroke joinstyle="miter"/>
                <v:textbox style="mso-fit-shape-to-text:t" inset="2.5mm,1mm,2.5mm,1mm">
                  <w:txbxContent>
                    <w:p w14:paraId="79E92311" w14:textId="77777777" w:rsidR="00AE0AF8" w:rsidRPr="00003AF6" w:rsidRDefault="00AE0AF8" w:rsidP="00AE0AF8">
                      <w:pPr>
                        <w:jc w:val="center"/>
                        <w:rPr>
                          <w:b/>
                          <w:bCs/>
                          <w:sz w:val="32"/>
                          <w:szCs w:val="32"/>
                        </w:rPr>
                      </w:pPr>
                      <w:r w:rsidRPr="00003AF6">
                        <w:rPr>
                          <w:rFonts w:ascii="Source Sans Pro" w:hAnsi="Source Sans Pro"/>
                          <w:b/>
                          <w:bCs/>
                        </w:rPr>
                        <w:t>Plan d’amélioration 2026</w:t>
                      </w:r>
                    </w:p>
                  </w:txbxContent>
                </v:textbox>
                <w10:wrap type="square" anchorx="margin"/>
              </v:roundrect>
            </w:pict>
          </mc:Fallback>
        </mc:AlternateContent>
      </w:r>
    </w:p>
    <w:p w14:paraId="0182B78F" w14:textId="63A2FF77" w:rsidR="00AE0AF8" w:rsidRPr="00A74D23" w:rsidRDefault="005425EF" w:rsidP="009D6EE5">
      <w:pPr>
        <w:pStyle w:val="Paragraphedeliste"/>
        <w:spacing w:line="22" w:lineRule="atLeast"/>
        <w:ind w:left="993"/>
        <w:jc w:val="both"/>
        <w:rPr>
          <w:rFonts w:cs="Open Sans"/>
          <w:color w:val="DBE1ED" w:themeColor="accent6"/>
          <w:sz w:val="20"/>
        </w:rPr>
      </w:pPr>
      <w:r w:rsidRPr="00A74D23">
        <w:rPr>
          <w:rFonts w:cs="Open Sans"/>
          <w:noProof/>
        </w:rPr>
        <mc:AlternateContent>
          <mc:Choice Requires="wps">
            <w:drawing>
              <wp:anchor distT="0" distB="0" distL="114300" distR="114300" simplePos="0" relativeHeight="252032000" behindDoc="1" locked="0" layoutInCell="1" allowOverlap="1" wp14:anchorId="3EEA2351" wp14:editId="594A0D8C">
                <wp:simplePos x="0" y="0"/>
                <wp:positionH relativeFrom="margin">
                  <wp:align>center</wp:align>
                </wp:positionH>
                <wp:positionV relativeFrom="paragraph">
                  <wp:posOffset>14497</wp:posOffset>
                </wp:positionV>
                <wp:extent cx="5759450" cy="595223"/>
                <wp:effectExtent l="0" t="0" r="0" b="0"/>
                <wp:wrapNone/>
                <wp:docPr id="940022541" name="Rectangle : coins arrondis 940022541"/>
                <wp:cNvGraphicFramePr/>
                <a:graphic xmlns:a="http://schemas.openxmlformats.org/drawingml/2006/main">
                  <a:graphicData uri="http://schemas.microsoft.com/office/word/2010/wordprocessingShape">
                    <wps:wsp>
                      <wps:cNvSpPr/>
                      <wps:spPr>
                        <a:xfrm>
                          <a:off x="0" y="0"/>
                          <a:ext cx="5759450" cy="595223"/>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801930" w14:textId="1D0CDC05" w:rsidR="007D5F31" w:rsidRPr="007D5F31" w:rsidRDefault="005425EF" w:rsidP="00590DD1">
                            <w:pPr>
                              <w:pStyle w:val="Paragraphedeliste"/>
                              <w:numPr>
                                <w:ilvl w:val="0"/>
                                <w:numId w:val="91"/>
                              </w:numPr>
                              <w:ind w:left="284"/>
                              <w:jc w:val="both"/>
                              <w:rPr>
                                <w:color w:val="000000" w:themeColor="text1"/>
                              </w:rPr>
                            </w:pPr>
                            <w:r w:rsidRPr="005425EF">
                              <w:rPr>
                                <w:rFonts w:ascii="Source Sans Pro" w:hAnsi="Source Sans Pro" w:cs="Calibri"/>
                                <w:color w:val="000000"/>
                                <w:sz w:val="20"/>
                                <w:szCs w:val="20"/>
                                <w:lang w:eastAsia="fr-FR"/>
                              </w:rPr>
                              <w:t>La</w:t>
                            </w:r>
                            <w:r>
                              <w:rPr>
                                <w:rFonts w:ascii="Source Sans Pro" w:hAnsi="Source Sans Pro" w:cs="Calibri"/>
                                <w:color w:val="000000"/>
                                <w:sz w:val="20"/>
                                <w:szCs w:val="20"/>
                                <w:lang w:eastAsia="fr-FR"/>
                              </w:rPr>
                              <w:t>ncer une réflexion sur la possibilité de tester</w:t>
                            </w:r>
                            <w:r w:rsidR="00AE0AF8">
                              <w:rPr>
                                <w:rFonts w:ascii="Source Sans Pro" w:hAnsi="Source Sans Pro" w:cs="Calibri"/>
                                <w:color w:val="000000"/>
                                <w:sz w:val="20"/>
                                <w:szCs w:val="20"/>
                                <w:lang w:eastAsia="fr-FR"/>
                              </w:rPr>
                              <w:t xml:space="preserve"> le cadre LEAP de la TNFD sur un segment de notre portefeuille d’immobilier en direct</w:t>
                            </w:r>
                          </w:p>
                        </w:txbxContent>
                      </wps:txbx>
                      <wps:bodyPr rot="0" spcFirstLastPara="0" vertOverflow="overflow" horzOverflow="overflow" vert="horz" wrap="square" lIns="180000" tIns="72000" rIns="180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EA2351" id="Rectangle : coins arrondis 940022541" o:spid="_x0000_s1144" style="position:absolute;left:0;text-align:left;margin-left:0;margin-top:1.15pt;width:453.5pt;height:46.85pt;z-index:-251284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" fillcolor="#d8d8d8 [2732]" stroked="f" strokeweight="1pt">
                <v:stroke joinstyle="miter"/>
                <v:textbox inset="5mm,2mm,5mm,3mm">
                  <w:txbxContent>
                    <w:p w14:paraId="7F801930" w14:textId="1D0CDC05" w:rsidR="007D5F31" w:rsidRPr="007D5F31" w:rsidRDefault="005425EF" w:rsidP="00590DD1">
                      <w:pPr>
                        <w:pStyle w:val="Paragraphedeliste"/>
                        <w:numPr>
                          <w:ilvl w:val="0"/>
                          <w:numId w:val="91"/>
                        </w:numPr>
                        <w:ind w:left="284"/>
                        <w:jc w:val="both"/>
                        <w:rPr>
                          <w:color w:val="000000" w:themeColor="text1"/>
                        </w:rPr>
                      </w:pPr>
                      <w:r w:rsidRPr="005425EF">
                        <w:rPr>
                          <w:rFonts w:ascii="Source Sans Pro" w:hAnsi="Source Sans Pro" w:cs="Calibri"/>
                          <w:color w:val="000000"/>
                          <w:sz w:val="20"/>
                          <w:szCs w:val="20"/>
                          <w:lang w:eastAsia="fr-FR"/>
                        </w:rPr>
                        <w:t>La</w:t>
                      </w:r>
                      <w:r>
                        <w:rPr>
                          <w:rFonts w:ascii="Source Sans Pro" w:hAnsi="Source Sans Pro" w:cs="Calibri"/>
                          <w:color w:val="000000"/>
                          <w:sz w:val="20"/>
                          <w:szCs w:val="20"/>
                          <w:lang w:eastAsia="fr-FR"/>
                        </w:rPr>
                        <w:t>ncer une réflexion sur la possibilité de tester</w:t>
                      </w:r>
                      <w:r w:rsidR="00AE0AF8">
                        <w:rPr>
                          <w:rFonts w:ascii="Source Sans Pro" w:hAnsi="Source Sans Pro" w:cs="Calibri"/>
                          <w:color w:val="000000"/>
                          <w:sz w:val="20"/>
                          <w:szCs w:val="20"/>
                          <w:lang w:eastAsia="fr-FR"/>
                        </w:rPr>
                        <w:t xml:space="preserve"> le cadre LEAP de la TNFD sur un segment de notre portefeuille d’immobilier en direct</w:t>
                      </w:r>
                    </w:p>
                  </w:txbxContent>
                </v:textbox>
                <w10:wrap anchorx="margin"/>
              </v:roundrect>
            </w:pict>
          </mc:Fallback>
        </mc:AlternateContent>
      </w:r>
    </w:p>
    <w:p w14:paraId="0EC89E74" w14:textId="4788FDE5" w:rsidR="00AE0AF8" w:rsidRPr="00A74D23" w:rsidRDefault="00AE0AF8" w:rsidP="009D6EE5">
      <w:pPr>
        <w:pStyle w:val="Paragraphedeliste"/>
        <w:spacing w:line="22" w:lineRule="atLeast"/>
        <w:ind w:left="993"/>
        <w:jc w:val="both"/>
        <w:rPr>
          <w:rFonts w:cs="Open Sans"/>
          <w:color w:val="DBE1ED" w:themeColor="accent6"/>
          <w:sz w:val="20"/>
        </w:rPr>
      </w:pPr>
    </w:p>
    <w:p w14:paraId="41736FC7" w14:textId="50D70336" w:rsidR="00AE0AF8" w:rsidRPr="000B03D0" w:rsidRDefault="00AE0AF8" w:rsidP="005425EF">
      <w:pPr>
        <w:spacing w:line="22" w:lineRule="atLeast"/>
        <w:jc w:val="both"/>
        <w:rPr>
          <w:rFonts w:cs="Open Sans"/>
          <w:color w:val="DBE1ED" w:themeColor="accent6"/>
          <w:sz w:val="20"/>
          <w:lang w:val="fr-FR"/>
        </w:rPr>
      </w:pPr>
    </w:p>
    <w:p w14:paraId="04940E02" w14:textId="77777777" w:rsidR="00AE0AF8" w:rsidRPr="00A74D23" w:rsidRDefault="00AE0AF8" w:rsidP="009D6EE5">
      <w:pPr>
        <w:pStyle w:val="Style3"/>
        <w:spacing w:line="22" w:lineRule="atLeast"/>
        <w:ind w:left="0" w:firstLine="0"/>
        <w:jc w:val="both"/>
        <w:rPr>
          <w:rFonts w:asciiTheme="minorHAnsi" w:hAnsiTheme="minorHAnsi" w:cs="Open Sans"/>
        </w:rPr>
      </w:pPr>
    </w:p>
    <w:p w14:paraId="672F781A" w14:textId="77777777" w:rsidR="002A6A65" w:rsidRPr="00A74D23" w:rsidRDefault="002A6A65" w:rsidP="009D6EE5">
      <w:pPr>
        <w:spacing w:line="22" w:lineRule="atLeast"/>
        <w:jc w:val="both"/>
        <w:rPr>
          <w:rFonts w:asciiTheme="minorHAnsi" w:hAnsiTheme="minorHAnsi" w:cs="Open Sans"/>
          <w:sz w:val="20"/>
          <w:lang w:val="fr-FR"/>
        </w:rPr>
      </w:pPr>
    </w:p>
    <w:p w14:paraId="124723EF" w14:textId="58B38821" w:rsidR="001C50AC" w:rsidRPr="00A74D23" w:rsidRDefault="00E94688" w:rsidP="009D6EE5">
      <w:pPr>
        <w:pStyle w:val="Style2"/>
        <w:numPr>
          <w:ilvl w:val="1"/>
          <w:numId w:val="1"/>
        </w:numPr>
        <w:tabs>
          <w:tab w:val="left" w:pos="426"/>
        </w:tabs>
        <w:spacing w:line="22" w:lineRule="atLeast"/>
        <w:jc w:val="both"/>
        <w:rPr>
          <w:rFonts w:asciiTheme="minorHAnsi" w:hAnsiTheme="minorHAnsi" w:cs="Open Sans"/>
          <w:sz w:val="36"/>
          <w:szCs w:val="36"/>
        </w:rPr>
      </w:pPr>
      <w:bookmarkStart w:id="92" w:name="_Toc231337022"/>
      <w:r w:rsidRPr="00A74D23">
        <w:rPr>
          <w:rFonts w:asciiTheme="minorHAnsi" w:hAnsiTheme="minorHAnsi" w:cs="Open Sans"/>
          <w:sz w:val="36"/>
          <w:szCs w:val="36"/>
        </w:rPr>
        <w:t>Nos politiques sectorielles sur la biodiversité</w:t>
      </w:r>
      <w:bookmarkEnd w:id="92"/>
    </w:p>
    <w:p w14:paraId="03658C24" w14:textId="77777777" w:rsidR="002171F8" w:rsidRPr="00A74D23" w:rsidRDefault="002171F8" w:rsidP="009D6EE5">
      <w:pPr>
        <w:spacing w:line="22" w:lineRule="atLeast"/>
        <w:jc w:val="both"/>
        <w:rPr>
          <w:rFonts w:asciiTheme="minorHAnsi" w:hAnsiTheme="minorHAnsi"/>
          <w:lang w:val="fr-FR"/>
        </w:rPr>
      </w:pPr>
    </w:p>
    <w:p w14:paraId="3536B5F6" w14:textId="77777777" w:rsidR="002171F8" w:rsidRPr="00A74D23" w:rsidRDefault="002171F8" w:rsidP="009D6EE5">
      <w:pPr>
        <w:spacing w:line="22" w:lineRule="atLeast"/>
        <w:jc w:val="both"/>
        <w:rPr>
          <w:rFonts w:asciiTheme="minorHAnsi" w:hAnsiTheme="minorHAnsi"/>
          <w:lang w:val="fr-FR"/>
        </w:rPr>
      </w:pPr>
    </w:p>
    <w:p w14:paraId="291C6416" w14:textId="40045783" w:rsidR="002171F8" w:rsidRPr="00A74D23" w:rsidRDefault="002171F8" w:rsidP="009D6EE5">
      <w:pPr>
        <w:shd w:val="clear" w:color="auto" w:fill="FFD400" w:themeFill="accent1"/>
        <w:spacing w:line="22" w:lineRule="atLeast"/>
        <w:jc w:val="both"/>
        <w:rPr>
          <w:rFonts w:asciiTheme="minorHAnsi" w:hAnsiTheme="minorHAnsi"/>
          <w:b/>
          <w:sz w:val="28"/>
          <w:szCs w:val="36"/>
          <w:lang w:val="fr-FR"/>
        </w:rPr>
      </w:pPr>
      <w:r w:rsidRPr="00A74D23">
        <w:rPr>
          <w:rFonts w:asciiTheme="minorHAnsi" w:hAnsiTheme="minorHAnsi"/>
          <w:b/>
          <w:sz w:val="28"/>
          <w:szCs w:val="36"/>
          <w:lang w:val="fr-FR"/>
        </w:rPr>
        <w:t>Stratégie d’investissement sur les producteurs d’huile de palme non durable</w:t>
      </w:r>
    </w:p>
    <w:p w14:paraId="2C7BEB03" w14:textId="77777777" w:rsidR="002171F8" w:rsidRPr="00A74D23" w:rsidRDefault="002171F8" w:rsidP="009D6EE5">
      <w:pPr>
        <w:spacing w:line="22" w:lineRule="atLeast"/>
        <w:jc w:val="both"/>
        <w:rPr>
          <w:rFonts w:asciiTheme="minorHAnsi" w:hAnsiTheme="minorHAnsi" w:cstheme="minorHAnsi"/>
          <w:sz w:val="12"/>
          <w:szCs w:val="12"/>
          <w:lang w:val="fr-FR"/>
        </w:rPr>
      </w:pPr>
    </w:p>
    <w:p w14:paraId="5FBFC7C0" w14:textId="0116A280" w:rsidR="001C50AC" w:rsidRPr="00A74D23" w:rsidRDefault="00212DC8"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Abeille Assurances a mis en place depuis 2022 une stratégie combinant exclusions ciblées et engagement afin de lutter contre la déforestation, l’un des principaux facteurs de pression sur la biodiversité terrestre. Cette politique se concentre sur la filière de l’huile de palme, en raison de l’impact significatif de son expansion sur les écosystèmes naturels et les populations locales, ainsi que de la disponibilité de données robustes permettant un suivi opérationnel.</w:t>
      </w:r>
      <w:r w:rsidR="002171F8" w:rsidRPr="00A74D23">
        <w:rPr>
          <w:rFonts w:asciiTheme="minorHAnsi" w:hAnsiTheme="minorHAnsi" w:cs="Open Sans"/>
          <w:sz w:val="20"/>
          <w:lang w:val="fr-FR"/>
        </w:rPr>
        <w:t xml:space="preserve"> </w:t>
      </w:r>
      <w:r w:rsidR="001C50AC" w:rsidRPr="00A74D23">
        <w:rPr>
          <w:rFonts w:asciiTheme="minorHAnsi" w:hAnsiTheme="minorHAnsi" w:cs="Open Sans"/>
          <w:sz w:val="20"/>
          <w:lang w:val="fr-FR"/>
        </w:rPr>
        <w:t xml:space="preserve">En raison du caractère particulièrement controversé de leur activité, nos choix d’exclusion se </w:t>
      </w:r>
      <w:r w:rsidR="00221941" w:rsidRPr="00A74D23">
        <w:rPr>
          <w:rFonts w:asciiTheme="minorHAnsi" w:hAnsiTheme="minorHAnsi" w:cs="Open Sans"/>
          <w:sz w:val="20"/>
          <w:lang w:val="fr-FR"/>
        </w:rPr>
        <w:t>portent</w:t>
      </w:r>
      <w:r w:rsidR="001C50AC" w:rsidRPr="00A74D23">
        <w:rPr>
          <w:rFonts w:asciiTheme="minorHAnsi" w:hAnsiTheme="minorHAnsi" w:cs="Open Sans"/>
          <w:sz w:val="20"/>
          <w:lang w:val="fr-FR"/>
        </w:rPr>
        <w:t xml:space="preserve"> principalement sur :</w:t>
      </w:r>
    </w:p>
    <w:p w14:paraId="5B5F0A5B" w14:textId="77777777" w:rsidR="001C50AC" w:rsidRPr="00A74D23" w:rsidRDefault="001C50AC" w:rsidP="00590DD1">
      <w:pPr>
        <w:numPr>
          <w:ilvl w:val="1"/>
          <w:numId w:val="43"/>
        </w:numPr>
        <w:spacing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Les producteurs, qui cultivent des plantations et récoltent les fruits permettant de produire les produits à base d’huile de palme et ; </w:t>
      </w:r>
    </w:p>
    <w:p w14:paraId="681D3DB1" w14:textId="77777777" w:rsidR="001C50AC" w:rsidRPr="00A74D23" w:rsidRDefault="001C50AC" w:rsidP="00590DD1">
      <w:pPr>
        <w:numPr>
          <w:ilvl w:val="1"/>
          <w:numId w:val="43"/>
        </w:numPr>
        <w:spacing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Les grossistes (distributeurs) ne distribuant que des produits à base l’huile de palme </w:t>
      </w:r>
    </w:p>
    <w:p w14:paraId="44D49A13" w14:textId="77777777" w:rsidR="001C50AC" w:rsidRPr="00A74D23" w:rsidRDefault="001C50AC" w:rsidP="009D6EE5">
      <w:pPr>
        <w:spacing w:line="22" w:lineRule="atLeast"/>
        <w:jc w:val="both"/>
        <w:rPr>
          <w:rFonts w:asciiTheme="minorHAnsi" w:hAnsiTheme="minorHAnsi" w:cs="Open Sans"/>
          <w:sz w:val="20"/>
          <w:lang w:val="fr-FR"/>
        </w:rPr>
      </w:pPr>
    </w:p>
    <w:p w14:paraId="2C074FAC" w14:textId="17DF0326" w:rsidR="001C50AC" w:rsidRPr="00A74D23" w:rsidRDefault="001C50AC"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Ces exclusions sont aussi accompagnées par une campagne d’engagement, qui a débuté en 2023 et </w:t>
      </w:r>
      <w:r w:rsidR="00221941" w:rsidRPr="00A74D23">
        <w:rPr>
          <w:rFonts w:asciiTheme="minorHAnsi" w:hAnsiTheme="minorHAnsi" w:cs="Open Sans"/>
          <w:sz w:val="20"/>
          <w:lang w:val="fr-FR"/>
        </w:rPr>
        <w:t xml:space="preserve">s’est poursuivie en 2024 et 2025. </w:t>
      </w:r>
      <w:r w:rsidR="002171F8" w:rsidRPr="00A74D23">
        <w:rPr>
          <w:rFonts w:asciiTheme="minorHAnsi" w:hAnsiTheme="minorHAnsi" w:cs="Open Sans"/>
          <w:sz w:val="20"/>
          <w:lang w:val="fr-FR"/>
        </w:rPr>
        <w:t>D</w:t>
      </w:r>
      <w:r w:rsidR="00221941" w:rsidRPr="00A74D23">
        <w:rPr>
          <w:rFonts w:asciiTheme="minorHAnsi" w:hAnsiTheme="minorHAnsi" w:cs="Open Sans"/>
          <w:sz w:val="20"/>
          <w:lang w:val="fr-FR"/>
        </w:rPr>
        <w:t xml:space="preserve">epuis </w:t>
      </w:r>
      <w:r w:rsidRPr="00A74D23">
        <w:rPr>
          <w:rFonts w:asciiTheme="minorHAnsi" w:hAnsiTheme="minorHAnsi" w:cs="Open Sans"/>
          <w:sz w:val="20"/>
          <w:lang w:val="fr-FR"/>
        </w:rPr>
        <w:t>le 1</w:t>
      </w:r>
      <w:r w:rsidRPr="00A74D23">
        <w:rPr>
          <w:rFonts w:asciiTheme="minorHAnsi" w:hAnsiTheme="minorHAnsi" w:cs="Open Sans"/>
          <w:sz w:val="20"/>
          <w:vertAlign w:val="superscript"/>
          <w:lang w:val="fr-FR"/>
        </w:rPr>
        <w:t>er</w:t>
      </w:r>
      <w:r w:rsidRPr="00A74D23">
        <w:rPr>
          <w:rFonts w:asciiTheme="minorHAnsi" w:hAnsiTheme="minorHAnsi" w:cs="Open Sans"/>
          <w:sz w:val="20"/>
          <w:lang w:val="fr-FR"/>
        </w:rPr>
        <w:t xml:space="preserve"> janvier 2023, les entreprises suivantes ne sont plus investies :</w:t>
      </w:r>
    </w:p>
    <w:p w14:paraId="2F88320E" w14:textId="3F14B630" w:rsidR="001C50AC" w:rsidRPr="00A74D23" w:rsidRDefault="001C50AC" w:rsidP="00590DD1">
      <w:pPr>
        <w:pStyle w:val="Paragraphedeliste"/>
        <w:numPr>
          <w:ilvl w:val="2"/>
          <w:numId w:val="44"/>
        </w:numPr>
        <w:spacing w:after="0" w:line="22" w:lineRule="atLeast"/>
        <w:contextualSpacing w:val="0"/>
        <w:jc w:val="both"/>
        <w:rPr>
          <w:rFonts w:cs="Open Sans"/>
          <w:sz w:val="20"/>
        </w:rPr>
      </w:pPr>
      <w:r w:rsidRPr="00A74D23">
        <w:rPr>
          <w:rFonts w:cs="Open Sans"/>
          <w:sz w:val="20"/>
        </w:rPr>
        <w:t>Entreprises (producteurs et/ou distributeurs) tirant plus de 5% de leur chiffre d’affaires grâce à la production ou la distribution d’huile de palme</w:t>
      </w:r>
      <w:r w:rsidR="009D6676" w:rsidRPr="00A74D23">
        <w:rPr>
          <w:rFonts w:cs="Open Sans"/>
          <w:sz w:val="20"/>
        </w:rPr>
        <w:t> ;</w:t>
      </w:r>
    </w:p>
    <w:p w14:paraId="16F5223F" w14:textId="03D0DAEE" w:rsidR="001C50AC" w:rsidRPr="00A74D23" w:rsidRDefault="001C50AC" w:rsidP="00590DD1">
      <w:pPr>
        <w:pStyle w:val="Paragraphedeliste"/>
        <w:numPr>
          <w:ilvl w:val="2"/>
          <w:numId w:val="44"/>
        </w:numPr>
        <w:spacing w:after="0" w:line="22" w:lineRule="atLeast"/>
        <w:contextualSpacing w:val="0"/>
        <w:jc w:val="both"/>
        <w:rPr>
          <w:rFonts w:cs="Open Sans"/>
          <w:sz w:val="20"/>
        </w:rPr>
      </w:pPr>
      <w:r w:rsidRPr="00A74D23">
        <w:rPr>
          <w:rFonts w:cs="Open Sans"/>
          <w:sz w:val="20"/>
          <w:szCs w:val="20"/>
        </w:rPr>
        <w:t>Entreprises (producteurs et/ou distributeurs) dont la part d’huile de palme certifiée RSPO</w:t>
      </w:r>
      <w:r w:rsidRPr="00A74D23">
        <w:rPr>
          <w:rStyle w:val="Appelnotedebasdep"/>
          <w:rFonts w:cs="Open Sans"/>
          <w:sz w:val="20"/>
          <w:szCs w:val="20"/>
        </w:rPr>
        <w:footnoteReference w:id="14"/>
      </w:r>
      <w:r w:rsidRPr="00A74D23">
        <w:rPr>
          <w:rFonts w:cs="Open Sans"/>
          <w:sz w:val="20"/>
          <w:szCs w:val="20"/>
        </w:rPr>
        <w:t xml:space="preserve"> aux niveaux les plus exigeants (Segregated ou Identity Preserved) est inférieure à 30% de la part </w:t>
      </w:r>
      <w:r w:rsidR="009D6676" w:rsidRPr="00A74D23">
        <w:rPr>
          <w:rFonts w:cs="Open Sans"/>
          <w:sz w:val="20"/>
          <w:szCs w:val="20"/>
        </w:rPr>
        <w:t xml:space="preserve">totale </w:t>
      </w:r>
      <w:r w:rsidRPr="00A74D23">
        <w:rPr>
          <w:rFonts w:cs="Open Sans"/>
          <w:sz w:val="20"/>
          <w:szCs w:val="20"/>
        </w:rPr>
        <w:t>d’huile de palme produite ou distribuée</w:t>
      </w:r>
      <w:r w:rsidR="009D6676" w:rsidRPr="00A74D23">
        <w:rPr>
          <w:rFonts w:cs="Open Sans"/>
          <w:sz w:val="20"/>
          <w:szCs w:val="20"/>
        </w:rPr>
        <w:t> ;</w:t>
      </w:r>
    </w:p>
    <w:p w14:paraId="552F9896" w14:textId="75DD7A64" w:rsidR="001C50AC" w:rsidRPr="00A74D23" w:rsidRDefault="001C50AC" w:rsidP="00590DD1">
      <w:pPr>
        <w:pStyle w:val="Paragraphedeliste"/>
        <w:numPr>
          <w:ilvl w:val="2"/>
          <w:numId w:val="44"/>
        </w:numPr>
        <w:spacing w:after="0" w:line="22" w:lineRule="atLeast"/>
        <w:contextualSpacing w:val="0"/>
        <w:jc w:val="both"/>
        <w:rPr>
          <w:rFonts w:cs="Open Sans"/>
          <w:sz w:val="20"/>
        </w:rPr>
      </w:pPr>
      <w:r w:rsidRPr="00A74D23">
        <w:rPr>
          <w:rFonts w:cs="Open Sans"/>
          <w:sz w:val="20"/>
        </w:rPr>
        <w:t xml:space="preserve">Entreprises (producteurs et/ou distributeurs) dont la part </w:t>
      </w:r>
      <w:r w:rsidR="009D6676" w:rsidRPr="00A74D23">
        <w:rPr>
          <w:rFonts w:cs="Open Sans"/>
          <w:sz w:val="20"/>
        </w:rPr>
        <w:t xml:space="preserve">totale </w:t>
      </w:r>
      <w:r w:rsidRPr="00A74D23">
        <w:rPr>
          <w:rFonts w:cs="Open Sans"/>
          <w:sz w:val="20"/>
        </w:rPr>
        <w:t>d’huile de palme certifiée RSPO produite ou distribuée est inférieure à 50%</w:t>
      </w:r>
    </w:p>
    <w:p w14:paraId="1DFD9A32" w14:textId="77777777" w:rsidR="001C50AC" w:rsidRPr="00A74D23" w:rsidRDefault="001C50AC" w:rsidP="009D6EE5">
      <w:pPr>
        <w:pStyle w:val="Paragraphedeliste"/>
        <w:spacing w:after="0" w:line="22" w:lineRule="atLeast"/>
        <w:ind w:left="324"/>
        <w:jc w:val="both"/>
        <w:rPr>
          <w:rFonts w:cs="Open Sans"/>
          <w:sz w:val="20"/>
        </w:rPr>
      </w:pPr>
    </w:p>
    <w:p w14:paraId="1FD00263" w14:textId="4E8F6331" w:rsidR="001C50AC" w:rsidRPr="00A74D23" w:rsidRDefault="00AF5F9B" w:rsidP="009D6EE5">
      <w:pPr>
        <w:spacing w:after="120" w:line="22" w:lineRule="atLeast"/>
        <w:jc w:val="both"/>
        <w:rPr>
          <w:rFonts w:asciiTheme="minorHAnsi" w:hAnsiTheme="minorHAnsi" w:cs="Open Sans"/>
          <w:sz w:val="20"/>
          <w:lang w:val="fr-FR"/>
        </w:rPr>
      </w:pPr>
      <w:r w:rsidRPr="00A74D23">
        <w:rPr>
          <w:rFonts w:asciiTheme="minorHAnsi" w:hAnsiTheme="minorHAnsi" w:cs="Open Sans"/>
          <w:sz w:val="20"/>
          <w:lang w:val="fr-FR"/>
        </w:rPr>
        <w:t>Au sens de cette politique, les producteurs sont les entreprises exploitant des plantations et récoltant les fruits destinés à la production d’huile de palme, tandis que les distributeurs sont les entreprises distribuant exclusivement des produits à base d’huile de palme (huile brute, raffinée, blanchie ou désodorisée).</w:t>
      </w:r>
    </w:p>
    <w:p w14:paraId="440C076C" w14:textId="77777777" w:rsidR="00AF5F9B" w:rsidRPr="00A74D23" w:rsidRDefault="00AF5F9B" w:rsidP="009D6EE5">
      <w:pPr>
        <w:spacing w:after="120" w:line="22" w:lineRule="atLeast"/>
        <w:jc w:val="both"/>
        <w:rPr>
          <w:rFonts w:asciiTheme="minorHAnsi" w:hAnsiTheme="minorHAnsi" w:cs="Open Sans"/>
          <w:i/>
          <w:iCs/>
          <w:color w:val="8A2C24" w:themeColor="accent2"/>
          <w:szCs w:val="28"/>
          <w:lang w:val="fr-FR"/>
        </w:rPr>
      </w:pPr>
    </w:p>
    <w:p w14:paraId="26502332" w14:textId="7B1D4739" w:rsidR="002171F8" w:rsidRPr="00A74D23" w:rsidRDefault="002171F8" w:rsidP="009D6EE5">
      <w:pPr>
        <w:shd w:val="clear" w:color="auto" w:fill="FFD400" w:themeFill="accent1"/>
        <w:spacing w:line="22" w:lineRule="atLeast"/>
        <w:jc w:val="both"/>
        <w:rPr>
          <w:rFonts w:asciiTheme="minorHAnsi" w:hAnsiTheme="minorHAnsi" w:cstheme="minorHAnsi"/>
          <w:sz w:val="12"/>
          <w:szCs w:val="12"/>
          <w:lang w:val="fr-FR"/>
        </w:rPr>
      </w:pPr>
      <w:r w:rsidRPr="00A74D23">
        <w:rPr>
          <w:rFonts w:asciiTheme="minorHAnsi" w:hAnsiTheme="minorHAnsi"/>
          <w:b/>
          <w:sz w:val="28"/>
          <w:szCs w:val="36"/>
          <w:lang w:val="fr-FR"/>
        </w:rPr>
        <w:t>Stratégie d’investissement sur les producteurs de biocides</w:t>
      </w:r>
    </w:p>
    <w:p w14:paraId="0B960ABC" w14:textId="77777777" w:rsidR="002171F8" w:rsidRPr="00A74D23" w:rsidRDefault="002171F8" w:rsidP="009D6EE5">
      <w:pPr>
        <w:spacing w:after="120" w:line="22" w:lineRule="atLeast"/>
        <w:jc w:val="both"/>
        <w:rPr>
          <w:rFonts w:asciiTheme="minorHAnsi" w:hAnsiTheme="minorHAnsi" w:cs="Open Sans"/>
          <w:sz w:val="20"/>
          <w:lang w:val="fr-FR"/>
        </w:rPr>
      </w:pPr>
    </w:p>
    <w:p w14:paraId="2C33B24C" w14:textId="0A585DDE" w:rsidR="001C50AC" w:rsidRPr="00A74D23" w:rsidRDefault="001C50AC"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En 2023, nous av</w:t>
      </w:r>
      <w:r w:rsidR="00AF5F9B" w:rsidRPr="00A74D23">
        <w:rPr>
          <w:rFonts w:asciiTheme="minorHAnsi" w:hAnsiTheme="minorHAnsi" w:cs="Open Sans"/>
          <w:sz w:val="20"/>
          <w:lang w:val="fr-FR"/>
        </w:rPr>
        <w:t>i</w:t>
      </w:r>
      <w:r w:rsidRPr="00A74D23">
        <w:rPr>
          <w:rFonts w:asciiTheme="minorHAnsi" w:hAnsiTheme="minorHAnsi" w:cs="Open Sans"/>
          <w:sz w:val="20"/>
          <w:lang w:val="fr-FR"/>
        </w:rPr>
        <w:t>ons renforcé nos exclusions sectorielles en ajoutant les producteurs de biocides, et de néonicotinoïdes.</w:t>
      </w:r>
      <w:r w:rsidR="002171F8" w:rsidRPr="00A74D23">
        <w:rPr>
          <w:rFonts w:asciiTheme="minorHAnsi" w:hAnsiTheme="minorHAnsi" w:cs="Open Sans"/>
          <w:sz w:val="20"/>
          <w:lang w:val="fr-FR"/>
        </w:rPr>
        <w:t xml:space="preserve"> </w:t>
      </w:r>
      <w:r w:rsidR="007B23B5" w:rsidRPr="00A74D23">
        <w:rPr>
          <w:rFonts w:asciiTheme="minorHAnsi" w:hAnsiTheme="minorHAnsi" w:cs="Open Sans"/>
          <w:sz w:val="20"/>
          <w:lang w:val="fr-FR"/>
        </w:rPr>
        <w:t>Les biocides regroupent des substances destinées à éliminer ou neutraliser des organismes nuisibles, utilisées notamment comme désinfectants, insecticides ou produits de protection des matériaux. Bien qu’ils ciblent des organismes spécifiques, ces produits peuvent avoir des impacts négatifs sur la santé humaine, animale et sur l’environnement.</w:t>
      </w:r>
      <w:r w:rsidR="002171F8" w:rsidRPr="00A74D23">
        <w:rPr>
          <w:rFonts w:asciiTheme="minorHAnsi" w:hAnsiTheme="minorHAnsi" w:cs="Open Sans"/>
          <w:sz w:val="20"/>
          <w:lang w:val="fr-FR"/>
        </w:rPr>
        <w:t xml:space="preserve"> </w:t>
      </w:r>
      <w:r w:rsidR="007B23B5" w:rsidRPr="00A74D23">
        <w:rPr>
          <w:rFonts w:asciiTheme="minorHAnsi" w:hAnsiTheme="minorHAnsi" w:cs="Open Sans"/>
          <w:sz w:val="20"/>
          <w:lang w:val="fr-FR"/>
        </w:rPr>
        <w:t>Les néonicotinoïdes, insecticides principalement utilisés en enrobage de semences, agissent sur le système nerveux des insectes et sont reconnus pour leurs effets délétères sur les pollinisateurs, en particulier les abeilles, avec des conséquences importantes sur l’équilibre des écosystèmes et l’agriculture.</w:t>
      </w:r>
    </w:p>
    <w:p w14:paraId="3DA854FC" w14:textId="77777777" w:rsidR="001C50AC" w:rsidRPr="00A74D23" w:rsidRDefault="001C50AC" w:rsidP="009D6EE5">
      <w:pPr>
        <w:spacing w:line="22" w:lineRule="atLeast"/>
        <w:jc w:val="both"/>
        <w:rPr>
          <w:rFonts w:asciiTheme="minorHAnsi" w:hAnsiTheme="minorHAnsi" w:cs="Open Sans"/>
          <w:sz w:val="20"/>
          <w:lang w:val="fr-FR"/>
        </w:rPr>
      </w:pPr>
    </w:p>
    <w:p w14:paraId="40AEFB51" w14:textId="77777777" w:rsidR="00677A50" w:rsidRPr="00A74D23" w:rsidRDefault="00677A50"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Depuis le 1er janvier 2024, Abeille Assurances exclut de ses investissements :</w:t>
      </w:r>
    </w:p>
    <w:p w14:paraId="4311A553" w14:textId="77777777" w:rsidR="004E592C" w:rsidRPr="00A74D23" w:rsidRDefault="004E592C" w:rsidP="00590DD1">
      <w:pPr>
        <w:pStyle w:val="Paragraphedeliste"/>
        <w:numPr>
          <w:ilvl w:val="0"/>
          <w:numId w:val="44"/>
        </w:numPr>
        <w:spacing w:after="0" w:line="22" w:lineRule="atLeast"/>
        <w:jc w:val="both"/>
        <w:rPr>
          <w:rFonts w:cs="Open Sans"/>
          <w:sz w:val="20"/>
        </w:rPr>
      </w:pPr>
      <w:r w:rsidRPr="00A74D23">
        <w:rPr>
          <w:rFonts w:cs="Open Sans"/>
          <w:sz w:val="20"/>
        </w:rPr>
        <w:t>Les</w:t>
      </w:r>
      <w:r w:rsidR="00677A50" w:rsidRPr="00A74D23">
        <w:rPr>
          <w:rFonts w:cs="Open Sans"/>
          <w:sz w:val="20"/>
        </w:rPr>
        <w:t xml:space="preserve"> entreprises réalisant 10</w:t>
      </w:r>
      <w:r w:rsidR="00677A50" w:rsidRPr="00A74D23">
        <w:rPr>
          <w:rFonts w:cs="Arial"/>
          <w:sz w:val="20"/>
        </w:rPr>
        <w:t> </w:t>
      </w:r>
      <w:r w:rsidR="00677A50" w:rsidRPr="00A74D23">
        <w:rPr>
          <w:rFonts w:cs="Open Sans"/>
          <w:sz w:val="20"/>
        </w:rPr>
        <w:t xml:space="preserve">% ou plus de leur chiffre d’affaires dans les biocides, </w:t>
      </w:r>
    </w:p>
    <w:p w14:paraId="699BD143" w14:textId="15242EBD" w:rsidR="00973863" w:rsidRPr="00A74D23" w:rsidRDefault="004E592C" w:rsidP="00590DD1">
      <w:pPr>
        <w:pStyle w:val="Paragraphedeliste"/>
        <w:numPr>
          <w:ilvl w:val="0"/>
          <w:numId w:val="44"/>
        </w:numPr>
        <w:spacing w:after="0" w:line="22" w:lineRule="atLeast"/>
        <w:jc w:val="both"/>
        <w:rPr>
          <w:rFonts w:cs="Open Sans"/>
          <w:sz w:val="20"/>
        </w:rPr>
      </w:pPr>
      <w:r w:rsidRPr="00A74D23">
        <w:rPr>
          <w:rFonts w:cs="Open Sans"/>
          <w:sz w:val="20"/>
        </w:rPr>
        <w:t>Les entreprises</w:t>
      </w:r>
      <w:r w:rsidR="00677A50" w:rsidRPr="00A74D23">
        <w:rPr>
          <w:rFonts w:cs="Open Sans"/>
          <w:sz w:val="20"/>
        </w:rPr>
        <w:t xml:space="preserve"> impliquées dans la production de néonicotinoïdes et/ou de composés organochlorés, dès le premier euro de chiffre d’affaires.</w:t>
      </w:r>
    </w:p>
    <w:p w14:paraId="13236D61" w14:textId="231C6E87" w:rsidR="001C50AC" w:rsidRPr="00A74D23" w:rsidRDefault="00973863"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En parallèle, une campagne d’engagement de deux ans a été mise en place en 2024–2025, visant à sensibiliser les entreprises restant significativement exposées aux biocides (&gt;10</w:t>
      </w:r>
      <w:r w:rsidRPr="00A74D23">
        <w:rPr>
          <w:rFonts w:asciiTheme="minorHAnsi" w:hAnsiTheme="minorHAnsi" w:cs="Arial"/>
          <w:sz w:val="20"/>
          <w:lang w:val="fr-FR"/>
        </w:rPr>
        <w:t> </w:t>
      </w:r>
      <w:r w:rsidRPr="00A74D23">
        <w:rPr>
          <w:rFonts w:asciiTheme="minorHAnsi" w:hAnsiTheme="minorHAnsi" w:cs="Open Sans"/>
          <w:sz w:val="20"/>
          <w:lang w:val="fr-FR"/>
        </w:rPr>
        <w:t>% du chiffre d’affaires), ainsi que les émetteurs faisant l’objet de controverses environnementales et sanitaires de sévérité élevée, selon l’analyse d’</w:t>
      </w:r>
      <w:r w:rsidR="00495330" w:rsidRPr="00A74D23">
        <w:rPr>
          <w:rFonts w:asciiTheme="minorHAnsi" w:hAnsiTheme="minorHAnsi" w:cs="Open Sans"/>
          <w:sz w:val="20"/>
          <w:lang w:val="fr-FR"/>
        </w:rPr>
        <w:t>Ofi</w:t>
      </w:r>
      <w:r w:rsidRPr="00A74D23">
        <w:rPr>
          <w:rFonts w:asciiTheme="minorHAnsi" w:hAnsiTheme="minorHAnsi" w:cs="Open Sans"/>
          <w:sz w:val="20"/>
          <w:lang w:val="fr-FR"/>
        </w:rPr>
        <w:t xml:space="preserve"> Invest AM.</w:t>
      </w:r>
    </w:p>
    <w:p w14:paraId="712630A6" w14:textId="77777777" w:rsidR="001C50AC" w:rsidRPr="00A74D23" w:rsidRDefault="001C50AC" w:rsidP="009D6EE5">
      <w:pPr>
        <w:spacing w:line="22" w:lineRule="atLeast"/>
        <w:jc w:val="both"/>
        <w:rPr>
          <w:rFonts w:asciiTheme="minorHAnsi" w:hAnsiTheme="minorHAnsi" w:cs="Open Sans"/>
          <w:sz w:val="20"/>
          <w:lang w:val="fr-FR"/>
        </w:rPr>
      </w:pPr>
    </w:p>
    <w:p w14:paraId="1F130F2D" w14:textId="77777777" w:rsidR="00E94688" w:rsidRPr="00A74D23" w:rsidRDefault="00E94688" w:rsidP="009D6EE5">
      <w:pPr>
        <w:spacing w:line="22" w:lineRule="atLeast"/>
        <w:jc w:val="both"/>
        <w:rPr>
          <w:rFonts w:asciiTheme="minorHAnsi" w:hAnsiTheme="minorHAnsi" w:cs="Open Sans"/>
          <w:sz w:val="20"/>
          <w:lang w:val="fr-FR"/>
        </w:rPr>
      </w:pPr>
    </w:p>
    <w:p w14:paraId="3171608F" w14:textId="24B45E34" w:rsidR="002171F8" w:rsidRPr="00A74D23" w:rsidRDefault="002171F8" w:rsidP="009D6EE5">
      <w:pPr>
        <w:shd w:val="clear" w:color="auto" w:fill="FFD400" w:themeFill="accent1"/>
        <w:spacing w:line="22" w:lineRule="atLeast"/>
        <w:jc w:val="both"/>
        <w:rPr>
          <w:rFonts w:asciiTheme="minorHAnsi" w:hAnsiTheme="minorHAnsi" w:cstheme="minorHAnsi"/>
          <w:sz w:val="12"/>
          <w:szCs w:val="12"/>
          <w:lang w:val="fr-FR"/>
        </w:rPr>
      </w:pPr>
      <w:r w:rsidRPr="00A74D23">
        <w:rPr>
          <w:rFonts w:asciiTheme="minorHAnsi" w:hAnsiTheme="minorHAnsi"/>
          <w:b/>
          <w:sz w:val="28"/>
          <w:szCs w:val="36"/>
          <w:lang w:val="fr-FR"/>
        </w:rPr>
        <w:t>Stratégie d’investissement biodiversité sur l’immobilier en direct</w:t>
      </w:r>
    </w:p>
    <w:p w14:paraId="7122E144" w14:textId="77777777" w:rsidR="002171F8" w:rsidRPr="00A74D23" w:rsidRDefault="002171F8" w:rsidP="009D6EE5">
      <w:pPr>
        <w:spacing w:line="22" w:lineRule="atLeast"/>
        <w:jc w:val="both"/>
        <w:rPr>
          <w:rFonts w:asciiTheme="minorHAnsi" w:hAnsiTheme="minorHAnsi" w:cs="Open Sans"/>
          <w:sz w:val="20"/>
          <w:lang w:val="fr-FR"/>
        </w:rPr>
      </w:pPr>
    </w:p>
    <w:p w14:paraId="038AEC9C" w14:textId="2B582F7F" w:rsidR="002A4BA9" w:rsidRPr="00A74D23" w:rsidRDefault="00D12834"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Dans le cadre des mandats immobiliers indirects d’Abeille Assurances, </w:t>
      </w:r>
      <w:r w:rsidR="00495330" w:rsidRPr="00A74D23">
        <w:rPr>
          <w:rFonts w:asciiTheme="minorHAnsi" w:hAnsiTheme="minorHAnsi" w:cs="Open Sans"/>
          <w:sz w:val="20"/>
          <w:lang w:val="fr-FR"/>
        </w:rPr>
        <w:t>OFI</w:t>
      </w:r>
      <w:r w:rsidRPr="00A74D23">
        <w:rPr>
          <w:rFonts w:asciiTheme="minorHAnsi" w:hAnsiTheme="minorHAnsi" w:cs="Open Sans"/>
          <w:sz w:val="20"/>
          <w:lang w:val="fr-FR"/>
        </w:rPr>
        <w:t xml:space="preserve"> Invest Real Estate applique </w:t>
      </w:r>
      <w:r w:rsidR="00694737" w:rsidRPr="00A74D23">
        <w:rPr>
          <w:rFonts w:asciiTheme="minorHAnsi" w:hAnsiTheme="minorHAnsi" w:cs="Open Sans"/>
          <w:sz w:val="20"/>
          <w:lang w:val="fr-FR"/>
        </w:rPr>
        <w:t>sa stratégie biodiversité</w:t>
      </w:r>
      <w:r w:rsidR="0070093A" w:rsidRPr="00A74D23">
        <w:rPr>
          <w:rFonts w:asciiTheme="minorHAnsi" w:hAnsiTheme="minorHAnsi" w:cs="Open Sans"/>
          <w:sz w:val="20"/>
          <w:lang w:val="fr-FR"/>
        </w:rPr>
        <w:t xml:space="preserve">, couvrant l’ensemble des leviers d’intervention : </w:t>
      </w:r>
    </w:p>
    <w:p w14:paraId="1264A8A9" w14:textId="4CEA9AC6" w:rsidR="0070093A" w:rsidRPr="00A74D23" w:rsidRDefault="0070093A" w:rsidP="00590DD1">
      <w:pPr>
        <w:pStyle w:val="Paragraphedeliste"/>
        <w:numPr>
          <w:ilvl w:val="5"/>
          <w:numId w:val="112"/>
        </w:numPr>
        <w:spacing w:line="22" w:lineRule="atLeast"/>
        <w:jc w:val="both"/>
        <w:rPr>
          <w:rFonts w:cs="Open Sans"/>
          <w:sz w:val="20"/>
        </w:rPr>
      </w:pPr>
      <w:r w:rsidRPr="00A74D23">
        <w:rPr>
          <w:rFonts w:cs="Open Sans"/>
          <w:sz w:val="20"/>
        </w:rPr>
        <w:t xml:space="preserve">Préserver le vivant en réduisant nos pressions sur les écosystèmes ; </w:t>
      </w:r>
    </w:p>
    <w:p w14:paraId="360C3185" w14:textId="624B7C0C" w:rsidR="0070093A" w:rsidRPr="00A74D23" w:rsidRDefault="0070093A" w:rsidP="00590DD1">
      <w:pPr>
        <w:pStyle w:val="Paragraphedeliste"/>
        <w:numPr>
          <w:ilvl w:val="5"/>
          <w:numId w:val="112"/>
        </w:numPr>
        <w:spacing w:line="22" w:lineRule="atLeast"/>
        <w:jc w:val="both"/>
        <w:rPr>
          <w:rFonts w:cs="Open Sans"/>
          <w:sz w:val="20"/>
        </w:rPr>
      </w:pPr>
      <w:r w:rsidRPr="00A74D23">
        <w:rPr>
          <w:rFonts w:cs="Open Sans"/>
          <w:sz w:val="20"/>
        </w:rPr>
        <w:t xml:space="preserve">Restaurer la qualité écologique de nos sites ; </w:t>
      </w:r>
    </w:p>
    <w:p w14:paraId="528A8FC8" w14:textId="3F7A7A99" w:rsidR="0070093A" w:rsidRPr="00A74D23" w:rsidRDefault="0070093A" w:rsidP="00590DD1">
      <w:pPr>
        <w:pStyle w:val="Paragraphedeliste"/>
        <w:numPr>
          <w:ilvl w:val="5"/>
          <w:numId w:val="112"/>
        </w:numPr>
        <w:spacing w:line="22" w:lineRule="atLeast"/>
        <w:jc w:val="both"/>
        <w:rPr>
          <w:rFonts w:cs="Open Sans"/>
          <w:sz w:val="20"/>
        </w:rPr>
      </w:pPr>
      <w:r w:rsidRPr="00A74D23">
        <w:rPr>
          <w:rFonts w:cs="Open Sans"/>
          <w:sz w:val="20"/>
        </w:rPr>
        <w:t xml:space="preserve">Mobiliser et sensibiliser nos parties prenantes aux enjeux biodiversité ; </w:t>
      </w:r>
    </w:p>
    <w:p w14:paraId="38B0BD9A" w14:textId="139ED194" w:rsidR="002A4BA9" w:rsidRPr="00A74D23" w:rsidRDefault="0070093A" w:rsidP="00590DD1">
      <w:pPr>
        <w:pStyle w:val="Paragraphedeliste"/>
        <w:numPr>
          <w:ilvl w:val="5"/>
          <w:numId w:val="112"/>
        </w:numPr>
        <w:spacing w:line="22" w:lineRule="atLeast"/>
        <w:jc w:val="both"/>
        <w:rPr>
          <w:rFonts w:cs="Open Sans"/>
          <w:sz w:val="20"/>
        </w:rPr>
      </w:pPr>
      <w:r w:rsidRPr="00A74D23">
        <w:rPr>
          <w:rFonts w:cs="Open Sans"/>
          <w:sz w:val="20"/>
        </w:rPr>
        <w:t>Valoriser la performance biodiversité de nos actifs.</w:t>
      </w:r>
    </w:p>
    <w:p w14:paraId="798A1861" w14:textId="77777777" w:rsidR="00DE3DDB" w:rsidRPr="00A74D23" w:rsidRDefault="00DE3DDB" w:rsidP="00DE3DDB">
      <w:pPr>
        <w:spacing w:line="22" w:lineRule="atLeast"/>
        <w:jc w:val="both"/>
        <w:rPr>
          <w:rFonts w:asciiTheme="minorHAnsi" w:hAnsiTheme="minorHAnsi" w:cs="Open Sans"/>
          <w:sz w:val="20"/>
          <w:lang w:val="fr-FR"/>
        </w:rPr>
      </w:pPr>
    </w:p>
    <w:p w14:paraId="6D67F98B" w14:textId="77777777" w:rsidR="00DE3DDB" w:rsidRPr="00A74D23" w:rsidRDefault="00DE3DDB" w:rsidP="00DE3DDB">
      <w:pPr>
        <w:spacing w:line="22" w:lineRule="atLeast"/>
        <w:jc w:val="both"/>
        <w:rPr>
          <w:rFonts w:asciiTheme="minorHAnsi" w:hAnsiTheme="minorHAnsi" w:cs="Open Sans"/>
          <w:sz w:val="20"/>
          <w:lang w:val="fr-FR"/>
        </w:rPr>
      </w:pPr>
    </w:p>
    <w:p w14:paraId="6972EB9A" w14:textId="77777777" w:rsidR="00DE3DDB" w:rsidRPr="00A74D23" w:rsidRDefault="00DE3DDB" w:rsidP="00DE3DDB">
      <w:pPr>
        <w:spacing w:line="22" w:lineRule="atLeast"/>
        <w:jc w:val="both"/>
        <w:rPr>
          <w:rFonts w:asciiTheme="minorHAnsi" w:hAnsiTheme="minorHAnsi" w:cs="Open Sans"/>
          <w:sz w:val="20"/>
          <w:lang w:val="fr-FR"/>
        </w:rPr>
      </w:pPr>
    </w:p>
    <w:p w14:paraId="465B92F5" w14:textId="77777777" w:rsidR="00DE3DDB" w:rsidRPr="00A74D23" w:rsidRDefault="00DE3DDB" w:rsidP="00DE3DDB">
      <w:pPr>
        <w:spacing w:line="22" w:lineRule="atLeast"/>
        <w:jc w:val="both"/>
        <w:rPr>
          <w:rFonts w:asciiTheme="minorHAnsi" w:hAnsiTheme="minorHAnsi" w:cs="Open Sans"/>
          <w:sz w:val="20"/>
          <w:lang w:val="fr-FR"/>
        </w:rPr>
      </w:pPr>
    </w:p>
    <w:p w14:paraId="1C04FBC0" w14:textId="77777777" w:rsidR="00DE3DDB" w:rsidRPr="00A74D23" w:rsidRDefault="00DE3DDB" w:rsidP="00DE3DDB">
      <w:pPr>
        <w:spacing w:line="22" w:lineRule="atLeast"/>
        <w:jc w:val="both"/>
        <w:rPr>
          <w:rFonts w:asciiTheme="minorHAnsi" w:hAnsiTheme="minorHAnsi" w:cs="Open Sans"/>
          <w:sz w:val="20"/>
          <w:lang w:val="fr-FR"/>
        </w:rPr>
      </w:pPr>
    </w:p>
    <w:p w14:paraId="14CFF9AD" w14:textId="77777777" w:rsidR="00DE3DDB" w:rsidRPr="00A74D23" w:rsidRDefault="00DE3DDB" w:rsidP="00DE3DDB">
      <w:pPr>
        <w:spacing w:line="22" w:lineRule="atLeast"/>
        <w:jc w:val="both"/>
        <w:rPr>
          <w:rFonts w:asciiTheme="minorHAnsi" w:hAnsiTheme="minorHAnsi" w:cs="Open Sans"/>
          <w:sz w:val="20"/>
          <w:lang w:val="fr-FR"/>
        </w:rPr>
      </w:pPr>
    </w:p>
    <w:p w14:paraId="5BE72F7F" w14:textId="77777777" w:rsidR="00DE3DDB" w:rsidRPr="00A74D23" w:rsidRDefault="00DE3DDB" w:rsidP="00DE3DDB">
      <w:pPr>
        <w:spacing w:line="22" w:lineRule="atLeast"/>
        <w:jc w:val="both"/>
        <w:rPr>
          <w:rFonts w:asciiTheme="minorHAnsi" w:hAnsiTheme="minorHAnsi" w:cs="Open Sans"/>
          <w:sz w:val="20"/>
          <w:lang w:val="fr-FR"/>
        </w:rPr>
      </w:pPr>
    </w:p>
    <w:p w14:paraId="1B5ACA5A" w14:textId="77777777" w:rsidR="00DE3DDB" w:rsidRPr="00A74D23" w:rsidRDefault="00DE3DDB" w:rsidP="00DE3DDB">
      <w:pPr>
        <w:spacing w:line="22" w:lineRule="atLeast"/>
        <w:jc w:val="both"/>
        <w:rPr>
          <w:rFonts w:asciiTheme="minorHAnsi" w:hAnsiTheme="minorHAnsi" w:cs="Open Sans"/>
          <w:sz w:val="20"/>
          <w:lang w:val="fr-FR"/>
        </w:rPr>
      </w:pPr>
    </w:p>
    <w:p w14:paraId="11BF0A04" w14:textId="77777777" w:rsidR="00DE3DDB" w:rsidRPr="00A74D23" w:rsidRDefault="00DE3DDB" w:rsidP="00DE3DDB">
      <w:pPr>
        <w:spacing w:line="22" w:lineRule="atLeast"/>
        <w:jc w:val="both"/>
        <w:rPr>
          <w:rFonts w:asciiTheme="minorHAnsi" w:hAnsiTheme="minorHAnsi" w:cs="Open Sans"/>
          <w:sz w:val="20"/>
          <w:lang w:val="fr-FR"/>
        </w:rPr>
      </w:pPr>
    </w:p>
    <w:p w14:paraId="59F857C0" w14:textId="77777777" w:rsidR="00DE3DDB" w:rsidRPr="00A74D23" w:rsidRDefault="00DE3DDB" w:rsidP="00DE3DDB">
      <w:pPr>
        <w:spacing w:line="22" w:lineRule="atLeast"/>
        <w:jc w:val="both"/>
        <w:rPr>
          <w:rFonts w:asciiTheme="minorHAnsi" w:hAnsiTheme="minorHAnsi" w:cs="Open Sans"/>
          <w:sz w:val="20"/>
          <w:lang w:val="fr-FR"/>
        </w:rPr>
      </w:pPr>
    </w:p>
    <w:p w14:paraId="0C80BF9E" w14:textId="77777777" w:rsidR="00DE3DDB" w:rsidRPr="00A74D23" w:rsidRDefault="00DE3DDB" w:rsidP="00DE3DDB">
      <w:pPr>
        <w:spacing w:line="22" w:lineRule="atLeast"/>
        <w:jc w:val="both"/>
        <w:rPr>
          <w:rFonts w:asciiTheme="minorHAnsi" w:hAnsiTheme="minorHAnsi" w:cs="Open Sans"/>
          <w:sz w:val="20"/>
          <w:lang w:val="fr-FR"/>
        </w:rPr>
      </w:pPr>
    </w:p>
    <w:p w14:paraId="3C344041" w14:textId="77777777" w:rsidR="00DE3DDB" w:rsidRPr="00A74D23" w:rsidRDefault="00DE3DDB" w:rsidP="00DE3DDB">
      <w:pPr>
        <w:spacing w:line="22" w:lineRule="atLeast"/>
        <w:jc w:val="both"/>
        <w:rPr>
          <w:rFonts w:asciiTheme="minorHAnsi" w:hAnsiTheme="minorHAnsi" w:cs="Open Sans"/>
          <w:sz w:val="20"/>
          <w:lang w:val="fr-FR"/>
        </w:rPr>
      </w:pPr>
    </w:p>
    <w:p w14:paraId="65D8053E" w14:textId="77777777" w:rsidR="00DE3DDB" w:rsidRPr="00A74D23" w:rsidRDefault="00DE3DDB" w:rsidP="00DE3DDB">
      <w:pPr>
        <w:spacing w:line="22" w:lineRule="atLeast"/>
        <w:jc w:val="both"/>
        <w:rPr>
          <w:rFonts w:asciiTheme="minorHAnsi" w:hAnsiTheme="minorHAnsi" w:cs="Open Sans"/>
          <w:sz w:val="20"/>
          <w:lang w:val="fr-FR"/>
        </w:rPr>
      </w:pPr>
    </w:p>
    <w:p w14:paraId="1C010320" w14:textId="77777777" w:rsidR="00F5390E" w:rsidRPr="00A74D23" w:rsidRDefault="00F5390E" w:rsidP="00DE3DDB">
      <w:pPr>
        <w:spacing w:line="22" w:lineRule="atLeast"/>
        <w:jc w:val="both"/>
        <w:rPr>
          <w:rFonts w:asciiTheme="minorHAnsi" w:hAnsiTheme="minorHAnsi" w:cs="Open Sans"/>
          <w:sz w:val="20"/>
          <w:lang w:val="fr-FR"/>
        </w:rPr>
      </w:pPr>
    </w:p>
    <w:p w14:paraId="04369EE1" w14:textId="77777777" w:rsidR="00F5390E" w:rsidRPr="00A74D23" w:rsidRDefault="00F5390E" w:rsidP="00DE3DDB">
      <w:pPr>
        <w:spacing w:line="22" w:lineRule="atLeast"/>
        <w:jc w:val="both"/>
        <w:rPr>
          <w:rFonts w:asciiTheme="minorHAnsi" w:hAnsiTheme="minorHAnsi" w:cs="Open Sans"/>
          <w:sz w:val="20"/>
          <w:lang w:val="fr-FR"/>
        </w:rPr>
      </w:pPr>
    </w:p>
    <w:p w14:paraId="5F931CB9" w14:textId="77777777" w:rsidR="00F5390E" w:rsidRPr="00A74D23" w:rsidRDefault="00F5390E" w:rsidP="00DE3DDB">
      <w:pPr>
        <w:spacing w:line="22" w:lineRule="atLeast"/>
        <w:jc w:val="both"/>
        <w:rPr>
          <w:rFonts w:asciiTheme="minorHAnsi" w:hAnsiTheme="minorHAnsi" w:cs="Open Sans"/>
          <w:sz w:val="20"/>
          <w:lang w:val="fr-FR"/>
        </w:rPr>
      </w:pPr>
    </w:p>
    <w:p w14:paraId="0C689764" w14:textId="77777777" w:rsidR="00F5390E" w:rsidRPr="00A74D23" w:rsidRDefault="00F5390E" w:rsidP="00DE3DDB">
      <w:pPr>
        <w:spacing w:line="22" w:lineRule="atLeast"/>
        <w:jc w:val="both"/>
        <w:rPr>
          <w:rFonts w:asciiTheme="minorHAnsi" w:hAnsiTheme="minorHAnsi" w:cs="Open Sans"/>
          <w:sz w:val="20"/>
          <w:lang w:val="fr-FR"/>
        </w:rPr>
      </w:pPr>
    </w:p>
    <w:p w14:paraId="69043FDE" w14:textId="77777777" w:rsidR="00DE3DDB" w:rsidRPr="00A74D23" w:rsidRDefault="00DE3DDB" w:rsidP="00DE3DDB">
      <w:pPr>
        <w:spacing w:line="22" w:lineRule="atLeast"/>
        <w:jc w:val="both"/>
        <w:rPr>
          <w:rFonts w:asciiTheme="minorHAnsi" w:hAnsiTheme="minorHAnsi" w:cs="Open Sans"/>
          <w:sz w:val="20"/>
          <w:lang w:val="fr-FR"/>
        </w:rPr>
      </w:pPr>
    </w:p>
    <w:p w14:paraId="7000F278" w14:textId="77777777" w:rsidR="00DE3DDB" w:rsidRPr="00A74D23" w:rsidRDefault="00DE3DDB" w:rsidP="00DE3DDB">
      <w:pPr>
        <w:spacing w:line="22" w:lineRule="atLeast"/>
        <w:jc w:val="both"/>
        <w:rPr>
          <w:rFonts w:asciiTheme="minorHAnsi" w:hAnsiTheme="minorHAnsi" w:cs="Open Sans"/>
          <w:sz w:val="20"/>
          <w:lang w:val="fr-FR"/>
        </w:rPr>
      </w:pPr>
    </w:p>
    <w:p w14:paraId="2861A47E" w14:textId="77777777" w:rsidR="00881F93" w:rsidRPr="00A74D23" w:rsidRDefault="00881F93" w:rsidP="009D6EE5">
      <w:pPr>
        <w:spacing w:line="22" w:lineRule="atLeast"/>
        <w:jc w:val="both"/>
        <w:rPr>
          <w:rFonts w:asciiTheme="minorHAnsi" w:hAnsiTheme="minorHAnsi" w:cs="Open Sans"/>
          <w:b/>
          <w:bCs/>
          <w:sz w:val="20"/>
          <w:lang w:val="fr-FR"/>
        </w:rPr>
      </w:pPr>
    </w:p>
    <w:p w14:paraId="4FC10783" w14:textId="52E20422" w:rsidR="00881F93" w:rsidRPr="00A74D23" w:rsidRDefault="00627642" w:rsidP="009D6EE5">
      <w:pPr>
        <w:spacing w:line="22" w:lineRule="atLeast"/>
        <w:jc w:val="both"/>
        <w:rPr>
          <w:rFonts w:asciiTheme="minorHAnsi" w:hAnsiTheme="minorHAnsi" w:cs="Open Sans"/>
          <w:b/>
          <w:bCs/>
          <w:sz w:val="20"/>
          <w:lang w:val="fr-FR"/>
        </w:rPr>
      </w:pPr>
      <w:r w:rsidRPr="00A74D23">
        <w:rPr>
          <w:rFonts w:asciiTheme="minorHAnsi" w:hAnsiTheme="minorHAnsi" w:cs="Open Sans"/>
          <w:noProof/>
        </w:rPr>
        <mc:AlternateContent>
          <mc:Choice Requires="wps">
            <w:drawing>
              <wp:anchor distT="0" distB="0" distL="114300" distR="114300" simplePos="0" relativeHeight="251523072" behindDoc="0" locked="0" layoutInCell="1" allowOverlap="1" wp14:anchorId="4059121C" wp14:editId="28B55767">
                <wp:simplePos x="0" y="0"/>
                <wp:positionH relativeFrom="margin">
                  <wp:posOffset>1438502</wp:posOffset>
                </wp:positionH>
                <wp:positionV relativeFrom="paragraph">
                  <wp:posOffset>8626</wp:posOffset>
                </wp:positionV>
                <wp:extent cx="2914126" cy="443230"/>
                <wp:effectExtent l="0" t="0" r="635" b="0"/>
                <wp:wrapNone/>
                <wp:docPr id="1664743846" name="Rectangle : coins arrondis 1664743846"/>
                <wp:cNvGraphicFramePr/>
                <a:graphic xmlns:a="http://schemas.openxmlformats.org/drawingml/2006/main">
                  <a:graphicData uri="http://schemas.microsoft.com/office/word/2010/wordprocessingShape">
                    <wps:wsp>
                      <wps:cNvSpPr/>
                      <wps:spPr>
                        <a:xfrm>
                          <a:off x="0" y="0"/>
                          <a:ext cx="2914126" cy="443230"/>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07357C" w14:textId="5E4D06FA" w:rsidR="00627642" w:rsidRPr="00DE4A65" w:rsidRDefault="00627642" w:rsidP="00627642">
                            <w:pPr>
                              <w:jc w:val="center"/>
                              <w:rPr>
                                <w:b/>
                                <w:bCs/>
                                <w:color w:val="000000" w:themeColor="text1"/>
                                <w:sz w:val="32"/>
                                <w:szCs w:val="32"/>
                                <w:lang w:val="fr-FR"/>
                              </w:rPr>
                            </w:pPr>
                            <w:r w:rsidRPr="00DE4A65">
                              <w:rPr>
                                <w:rFonts w:ascii="Source Sans Pro" w:hAnsi="Source Sans Pro"/>
                                <w:b/>
                                <w:bCs/>
                                <w:color w:val="000000" w:themeColor="text1"/>
                                <w:lang w:val="fr-FR"/>
                              </w:rPr>
                              <w:t>2025 : rédaction de notre charte Biodiversité !</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59121C" id="Rectangle : coins arrondis 1664743846" o:spid="_x0000_s1145" style="position:absolute;left:0;text-align:left;margin-left:113.25pt;margin-top:.7pt;width:229.45pt;height:34.9pt;z-index:25152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" fillcolor="#ffc000" stroked="f" strokeweight="1pt">
                <v:stroke joinstyle="miter"/>
                <v:textbox inset="2.5mm,1mm,2.5mm,1mm">
                  <w:txbxContent>
                    <w:p w14:paraId="1107357C" w14:textId="5E4D06FA" w:rsidR="00627642" w:rsidRPr="00DE4A65" w:rsidRDefault="00627642" w:rsidP="00627642">
                      <w:pPr>
                        <w:jc w:val="center"/>
                        <w:rPr>
                          <w:b/>
                          <w:bCs/>
                          <w:color w:val="000000" w:themeColor="text1"/>
                          <w:sz w:val="32"/>
                          <w:szCs w:val="32"/>
                          <w:lang w:val="fr-FR"/>
                        </w:rPr>
                      </w:pPr>
                      <w:r w:rsidRPr="00DE4A65">
                        <w:rPr>
                          <w:rFonts w:ascii="Source Sans Pro" w:hAnsi="Source Sans Pro"/>
                          <w:b/>
                          <w:bCs/>
                          <w:color w:val="000000" w:themeColor="text1"/>
                          <w:lang w:val="fr-FR"/>
                        </w:rPr>
                        <w:t>2025 : rédaction de notre charte Biodiversité !</w:t>
                      </w:r>
                    </w:p>
                  </w:txbxContent>
                </v:textbox>
                <w10:wrap anchorx="margin"/>
              </v:roundrect>
            </w:pict>
          </mc:Fallback>
        </mc:AlternateContent>
      </w:r>
    </w:p>
    <w:p w14:paraId="22611613" w14:textId="60D0D75B" w:rsidR="00881F93" w:rsidRPr="00A74D23" w:rsidRDefault="00881F93" w:rsidP="009D6EE5">
      <w:pPr>
        <w:spacing w:line="22" w:lineRule="atLeast"/>
        <w:jc w:val="both"/>
        <w:rPr>
          <w:rFonts w:asciiTheme="minorHAnsi" w:hAnsiTheme="minorHAnsi" w:cs="Open Sans"/>
          <w:b/>
          <w:bCs/>
          <w:sz w:val="20"/>
          <w:lang w:val="fr-FR"/>
        </w:rPr>
      </w:pPr>
    </w:p>
    <w:p w14:paraId="5620C477" w14:textId="46E2ABAE" w:rsidR="00881F93" w:rsidRPr="00A74D23" w:rsidRDefault="00DE3DDB" w:rsidP="009D6EE5">
      <w:pPr>
        <w:spacing w:line="22" w:lineRule="atLeast"/>
        <w:jc w:val="both"/>
        <w:rPr>
          <w:rFonts w:asciiTheme="minorHAnsi" w:hAnsiTheme="minorHAnsi" w:cs="Open Sans"/>
          <w:b/>
          <w:bCs/>
          <w:sz w:val="20"/>
          <w:lang w:val="fr-FR"/>
        </w:rPr>
      </w:pPr>
      <w:r w:rsidRPr="00A74D23">
        <w:rPr>
          <w:rFonts w:asciiTheme="minorHAnsi" w:hAnsiTheme="minorHAnsi" w:cs="Open Sans"/>
          <w:noProof/>
        </w:rPr>
        <mc:AlternateContent>
          <mc:Choice Requires="wps">
            <w:drawing>
              <wp:anchor distT="0" distB="0" distL="114300" distR="114300" simplePos="0" relativeHeight="251525120" behindDoc="1" locked="0" layoutInCell="1" allowOverlap="1" wp14:anchorId="2FE36FE2" wp14:editId="413C4BB8">
                <wp:simplePos x="0" y="0"/>
                <wp:positionH relativeFrom="margin">
                  <wp:posOffset>-827</wp:posOffset>
                </wp:positionH>
                <wp:positionV relativeFrom="paragraph">
                  <wp:posOffset>5512</wp:posOffset>
                </wp:positionV>
                <wp:extent cx="5585269" cy="3398808"/>
                <wp:effectExtent l="0" t="0" r="15875" b="11430"/>
                <wp:wrapNone/>
                <wp:docPr id="939419739" name="Rectangle : coins arrondis 939419739"/>
                <wp:cNvGraphicFramePr/>
                <a:graphic xmlns:a="http://schemas.openxmlformats.org/drawingml/2006/main">
                  <a:graphicData uri="http://schemas.microsoft.com/office/word/2010/wordprocessingShape">
                    <wps:wsp>
                      <wps:cNvSpPr/>
                      <wps:spPr>
                        <a:xfrm>
                          <a:off x="0" y="0"/>
                          <a:ext cx="5585269" cy="3398808"/>
                        </a:xfrm>
                        <a:prstGeom prst="roundRect">
                          <a:avLst>
                            <a:gd name="adj" fmla="val 13326"/>
                          </a:avLst>
                        </a:prstGeom>
                        <a:solidFill>
                          <a:schemeClr val="bg1"/>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054DCC" w14:textId="45ED5E4E" w:rsidR="00752916" w:rsidRDefault="00627642" w:rsidP="00627642">
                            <w:pPr>
                              <w:spacing w:line="140" w:lineRule="atLeast"/>
                              <w:rPr>
                                <w:rFonts w:asciiTheme="minorHAnsi" w:hAnsiTheme="minorHAnsi" w:cs="Segoe UI"/>
                                <w:color w:val="000000" w:themeColor="text1"/>
                                <w:sz w:val="20"/>
                                <w:szCs w:val="20"/>
                                <w:lang w:val="fr-FR"/>
                              </w:rPr>
                            </w:pPr>
                            <w:r>
                              <w:rPr>
                                <w:rFonts w:asciiTheme="minorHAnsi" w:hAnsiTheme="minorHAnsi" w:cs="Segoe UI"/>
                                <w:color w:val="000000" w:themeColor="text1"/>
                                <w:sz w:val="20"/>
                                <w:szCs w:val="20"/>
                                <w:lang w:val="fr-FR"/>
                              </w:rPr>
                              <w:t xml:space="preserve">En 2025, </w:t>
                            </w:r>
                            <w:r w:rsidR="00495330">
                              <w:rPr>
                                <w:rFonts w:asciiTheme="minorHAnsi" w:hAnsiTheme="minorHAnsi" w:cs="Segoe UI"/>
                                <w:color w:val="000000" w:themeColor="text1"/>
                                <w:sz w:val="20"/>
                                <w:szCs w:val="20"/>
                                <w:lang w:val="fr-FR"/>
                              </w:rPr>
                              <w:t>Ofi</w:t>
                            </w:r>
                            <w:r w:rsidR="00752916">
                              <w:rPr>
                                <w:rFonts w:asciiTheme="minorHAnsi" w:hAnsiTheme="minorHAnsi" w:cs="Segoe UI"/>
                                <w:color w:val="000000" w:themeColor="text1"/>
                                <w:sz w:val="20"/>
                                <w:szCs w:val="20"/>
                                <w:lang w:val="fr-FR"/>
                              </w:rPr>
                              <w:t xml:space="preserve"> Invest Real Estate a développé sa charte biodiversité avec pour objectif de fédérer et mobiliser toutes les parties prenantes autour d’un engagement commun, via un outil structurant et inspiré de pratiques concrètes sur le terrain.</w:t>
                            </w:r>
                          </w:p>
                          <w:p w14:paraId="42BE537B" w14:textId="77777777" w:rsidR="00FC147E" w:rsidRDefault="00FC147E" w:rsidP="00627642">
                            <w:pPr>
                              <w:spacing w:line="140" w:lineRule="atLeast"/>
                              <w:rPr>
                                <w:rFonts w:asciiTheme="minorHAnsi" w:hAnsiTheme="minorHAnsi" w:cs="Segoe UI"/>
                                <w:color w:val="000000" w:themeColor="text1"/>
                                <w:sz w:val="20"/>
                                <w:szCs w:val="20"/>
                                <w:lang w:val="fr-FR"/>
                              </w:rPr>
                            </w:pPr>
                          </w:p>
                          <w:p w14:paraId="70CA8606" w14:textId="77777777" w:rsidR="00FC147E" w:rsidRDefault="00FC147E" w:rsidP="00627642">
                            <w:pPr>
                              <w:spacing w:line="140" w:lineRule="atLeast"/>
                              <w:rPr>
                                <w:rFonts w:asciiTheme="minorHAnsi" w:hAnsiTheme="minorHAnsi" w:cs="Segoe UI"/>
                                <w:color w:val="000000" w:themeColor="text1"/>
                                <w:sz w:val="20"/>
                                <w:szCs w:val="20"/>
                                <w:lang w:val="fr-FR"/>
                              </w:rPr>
                            </w:pPr>
                          </w:p>
                          <w:p w14:paraId="0A74656D" w14:textId="77777777" w:rsidR="00FC147E" w:rsidRDefault="00FC147E" w:rsidP="00627642">
                            <w:pPr>
                              <w:spacing w:line="140" w:lineRule="atLeast"/>
                              <w:rPr>
                                <w:rFonts w:asciiTheme="minorHAnsi" w:hAnsiTheme="minorHAnsi" w:cs="Segoe UI"/>
                                <w:color w:val="000000" w:themeColor="text1"/>
                                <w:sz w:val="20"/>
                                <w:szCs w:val="20"/>
                                <w:lang w:val="fr-FR"/>
                              </w:rPr>
                            </w:pPr>
                          </w:p>
                          <w:p w14:paraId="41CF691E" w14:textId="77777777" w:rsidR="00FC147E" w:rsidRDefault="00FC147E" w:rsidP="00627642">
                            <w:pPr>
                              <w:spacing w:line="140" w:lineRule="atLeast"/>
                              <w:rPr>
                                <w:rFonts w:asciiTheme="minorHAnsi" w:hAnsiTheme="minorHAnsi" w:cs="Segoe UI"/>
                                <w:color w:val="000000" w:themeColor="text1"/>
                                <w:sz w:val="20"/>
                                <w:szCs w:val="20"/>
                                <w:lang w:val="fr-FR"/>
                              </w:rPr>
                            </w:pPr>
                          </w:p>
                          <w:p w14:paraId="293D524E" w14:textId="77777777" w:rsidR="00FC147E" w:rsidRDefault="00FC147E" w:rsidP="00627642">
                            <w:pPr>
                              <w:spacing w:line="140" w:lineRule="atLeast"/>
                              <w:rPr>
                                <w:rFonts w:asciiTheme="minorHAnsi" w:hAnsiTheme="minorHAnsi" w:cs="Segoe UI"/>
                                <w:color w:val="000000" w:themeColor="text1"/>
                                <w:sz w:val="20"/>
                                <w:szCs w:val="20"/>
                                <w:lang w:val="fr-FR"/>
                              </w:rPr>
                            </w:pPr>
                          </w:p>
                          <w:p w14:paraId="697FD2AB" w14:textId="77777777" w:rsidR="00FC147E" w:rsidRDefault="00FC147E" w:rsidP="00627642">
                            <w:pPr>
                              <w:spacing w:line="140" w:lineRule="atLeast"/>
                              <w:rPr>
                                <w:rFonts w:asciiTheme="minorHAnsi" w:hAnsiTheme="minorHAnsi" w:cs="Segoe UI"/>
                                <w:color w:val="000000" w:themeColor="text1"/>
                                <w:sz w:val="20"/>
                                <w:szCs w:val="20"/>
                                <w:lang w:val="fr-FR"/>
                              </w:rPr>
                            </w:pPr>
                          </w:p>
                          <w:p w14:paraId="1219C86D" w14:textId="77777777" w:rsidR="00FC147E" w:rsidRDefault="00FC147E" w:rsidP="00627642">
                            <w:pPr>
                              <w:spacing w:line="140" w:lineRule="atLeast"/>
                              <w:rPr>
                                <w:rFonts w:asciiTheme="minorHAnsi" w:hAnsiTheme="minorHAnsi" w:cs="Segoe UI"/>
                                <w:color w:val="000000" w:themeColor="text1"/>
                                <w:sz w:val="20"/>
                                <w:szCs w:val="20"/>
                                <w:lang w:val="fr-FR"/>
                              </w:rPr>
                            </w:pPr>
                          </w:p>
                          <w:p w14:paraId="3D13FDD7" w14:textId="77777777" w:rsidR="00FC147E" w:rsidRDefault="00FC147E" w:rsidP="00627642">
                            <w:pPr>
                              <w:spacing w:line="140" w:lineRule="atLeast"/>
                              <w:rPr>
                                <w:rFonts w:asciiTheme="minorHAnsi" w:hAnsiTheme="minorHAnsi" w:cs="Segoe UI"/>
                                <w:color w:val="000000" w:themeColor="text1"/>
                                <w:sz w:val="20"/>
                                <w:szCs w:val="20"/>
                                <w:lang w:val="fr-FR"/>
                              </w:rPr>
                            </w:pPr>
                          </w:p>
                          <w:p w14:paraId="2254F854" w14:textId="77777777" w:rsidR="00FC147E" w:rsidRDefault="00FC147E" w:rsidP="00627642">
                            <w:pPr>
                              <w:spacing w:line="140" w:lineRule="atLeast"/>
                              <w:rPr>
                                <w:rFonts w:asciiTheme="minorHAnsi" w:hAnsiTheme="minorHAnsi" w:cs="Segoe UI"/>
                                <w:color w:val="000000" w:themeColor="text1"/>
                                <w:sz w:val="20"/>
                                <w:szCs w:val="20"/>
                                <w:lang w:val="fr-FR"/>
                              </w:rPr>
                            </w:pPr>
                          </w:p>
                          <w:p w14:paraId="6CC4D668" w14:textId="77777777" w:rsidR="00FC147E" w:rsidRDefault="00FC147E" w:rsidP="00627642">
                            <w:pPr>
                              <w:spacing w:line="140" w:lineRule="atLeast"/>
                              <w:rPr>
                                <w:rFonts w:asciiTheme="minorHAnsi" w:hAnsiTheme="minorHAnsi" w:cs="Segoe UI"/>
                                <w:color w:val="000000" w:themeColor="text1"/>
                                <w:sz w:val="20"/>
                                <w:szCs w:val="20"/>
                                <w:lang w:val="fr-FR"/>
                              </w:rPr>
                            </w:pPr>
                          </w:p>
                          <w:p w14:paraId="14A74306" w14:textId="77777777" w:rsidR="00FC147E" w:rsidRDefault="00FC147E" w:rsidP="00627642">
                            <w:pPr>
                              <w:spacing w:line="140" w:lineRule="atLeast"/>
                              <w:rPr>
                                <w:rFonts w:asciiTheme="minorHAnsi" w:hAnsiTheme="minorHAnsi" w:cs="Segoe UI"/>
                                <w:color w:val="000000" w:themeColor="text1"/>
                                <w:sz w:val="20"/>
                                <w:szCs w:val="20"/>
                                <w:lang w:val="fr-FR"/>
                              </w:rPr>
                            </w:pPr>
                          </w:p>
                          <w:p w14:paraId="5CD73DDA" w14:textId="77777777" w:rsidR="00FC147E" w:rsidRDefault="00FC147E" w:rsidP="00627642">
                            <w:pPr>
                              <w:spacing w:line="140" w:lineRule="atLeast"/>
                              <w:rPr>
                                <w:rFonts w:asciiTheme="minorHAnsi" w:hAnsiTheme="minorHAnsi" w:cs="Segoe UI"/>
                                <w:color w:val="000000" w:themeColor="text1"/>
                                <w:sz w:val="20"/>
                                <w:szCs w:val="20"/>
                                <w:lang w:val="fr-FR"/>
                              </w:rPr>
                            </w:pPr>
                          </w:p>
                          <w:p w14:paraId="0E688968" w14:textId="77777777" w:rsidR="00FC147E" w:rsidRDefault="00FC147E" w:rsidP="00627642">
                            <w:pPr>
                              <w:spacing w:line="140" w:lineRule="atLeast"/>
                              <w:rPr>
                                <w:rFonts w:asciiTheme="minorHAnsi" w:hAnsiTheme="minorHAnsi" w:cs="Segoe UI"/>
                                <w:color w:val="000000" w:themeColor="text1"/>
                                <w:sz w:val="20"/>
                                <w:szCs w:val="20"/>
                                <w:lang w:val="fr-FR"/>
                              </w:rPr>
                            </w:pPr>
                          </w:p>
                          <w:p w14:paraId="5DEFAEAE" w14:textId="77777777" w:rsidR="00FC147E" w:rsidRDefault="00FC147E" w:rsidP="00627642">
                            <w:pPr>
                              <w:spacing w:line="140" w:lineRule="atLeast"/>
                              <w:rPr>
                                <w:rFonts w:asciiTheme="minorHAnsi" w:hAnsiTheme="minorHAnsi" w:cs="Segoe UI"/>
                                <w:color w:val="000000" w:themeColor="text1"/>
                                <w:sz w:val="20"/>
                                <w:szCs w:val="20"/>
                                <w:lang w:val="fr-FR"/>
                              </w:rPr>
                            </w:pPr>
                          </w:p>
                          <w:p w14:paraId="4599404F" w14:textId="77777777" w:rsidR="00FC147E" w:rsidRDefault="00FC147E" w:rsidP="00627642">
                            <w:pPr>
                              <w:spacing w:line="140" w:lineRule="atLeast"/>
                              <w:rPr>
                                <w:rFonts w:asciiTheme="minorHAnsi" w:hAnsiTheme="minorHAnsi" w:cs="Segoe UI"/>
                                <w:color w:val="000000" w:themeColor="text1"/>
                                <w:sz w:val="20"/>
                                <w:szCs w:val="20"/>
                                <w:lang w:val="fr-FR"/>
                              </w:rPr>
                            </w:pPr>
                          </w:p>
                          <w:p w14:paraId="27342B27" w14:textId="77777777" w:rsidR="00FC147E" w:rsidRDefault="00FC147E" w:rsidP="00627642">
                            <w:pPr>
                              <w:spacing w:line="140" w:lineRule="atLeast"/>
                              <w:rPr>
                                <w:rFonts w:asciiTheme="minorHAnsi" w:hAnsiTheme="minorHAnsi" w:cs="Segoe UI"/>
                                <w:color w:val="000000" w:themeColor="text1"/>
                                <w:sz w:val="20"/>
                                <w:szCs w:val="20"/>
                                <w:lang w:val="fr-FR"/>
                              </w:rPr>
                            </w:pPr>
                          </w:p>
                          <w:p w14:paraId="12EB0599" w14:textId="05B58D93" w:rsidR="00FC147E" w:rsidRDefault="00FC147E" w:rsidP="00627642">
                            <w:pPr>
                              <w:spacing w:line="140" w:lineRule="atLeast"/>
                              <w:rPr>
                                <w:rFonts w:asciiTheme="minorHAnsi" w:hAnsiTheme="minorHAnsi" w:cs="Segoe UI"/>
                                <w:color w:val="000000" w:themeColor="text1"/>
                                <w:sz w:val="20"/>
                                <w:szCs w:val="20"/>
                                <w:lang w:val="fr-FR"/>
                              </w:rPr>
                            </w:pPr>
                          </w:p>
                          <w:p w14:paraId="232FDEDF" w14:textId="77777777" w:rsidR="00FC147E" w:rsidRDefault="00FC147E" w:rsidP="00627642">
                            <w:pPr>
                              <w:spacing w:line="140" w:lineRule="atLeast"/>
                              <w:rPr>
                                <w:rFonts w:asciiTheme="minorHAnsi" w:hAnsiTheme="minorHAnsi" w:cs="Segoe UI"/>
                                <w:color w:val="000000" w:themeColor="text1"/>
                                <w:sz w:val="20"/>
                                <w:szCs w:val="20"/>
                                <w:lang w:val="fr-FR"/>
                              </w:rPr>
                            </w:pPr>
                          </w:p>
                          <w:p w14:paraId="6F36E567" w14:textId="77777777" w:rsidR="00FC147E" w:rsidRDefault="00FC147E" w:rsidP="00627642">
                            <w:pPr>
                              <w:spacing w:line="140" w:lineRule="atLeast"/>
                              <w:rPr>
                                <w:rFonts w:asciiTheme="minorHAnsi" w:hAnsiTheme="minorHAnsi" w:cs="Segoe UI"/>
                                <w:color w:val="000000" w:themeColor="text1"/>
                                <w:sz w:val="20"/>
                                <w:szCs w:val="20"/>
                                <w:lang w:val="fr-FR"/>
                              </w:rPr>
                            </w:pPr>
                          </w:p>
                          <w:p w14:paraId="611DC582" w14:textId="77777777" w:rsidR="00FC147E" w:rsidRDefault="00FC147E" w:rsidP="00627642">
                            <w:pPr>
                              <w:spacing w:line="140" w:lineRule="atLeast"/>
                              <w:rPr>
                                <w:rFonts w:asciiTheme="minorHAnsi" w:hAnsiTheme="minorHAnsi" w:cs="Segoe UI"/>
                                <w:color w:val="000000" w:themeColor="text1"/>
                                <w:sz w:val="20"/>
                                <w:szCs w:val="20"/>
                                <w:lang w:val="fr-FR"/>
                              </w:rPr>
                            </w:pPr>
                          </w:p>
                          <w:p w14:paraId="79370098" w14:textId="77777777" w:rsidR="00FC147E" w:rsidRDefault="00FC147E" w:rsidP="00627642">
                            <w:pPr>
                              <w:spacing w:line="140" w:lineRule="atLeast"/>
                              <w:rPr>
                                <w:rFonts w:asciiTheme="minorHAnsi" w:hAnsiTheme="minorHAnsi" w:cs="Segoe UI"/>
                                <w:color w:val="000000" w:themeColor="text1"/>
                                <w:sz w:val="20"/>
                                <w:szCs w:val="20"/>
                                <w:lang w:val="fr-FR"/>
                              </w:rPr>
                            </w:pPr>
                          </w:p>
                          <w:p w14:paraId="0BC74394" w14:textId="77777777" w:rsidR="00FC147E" w:rsidRDefault="00FC147E" w:rsidP="00627642">
                            <w:pPr>
                              <w:spacing w:line="140" w:lineRule="atLeast"/>
                              <w:rPr>
                                <w:rFonts w:asciiTheme="minorHAnsi" w:hAnsiTheme="minorHAnsi" w:cs="Segoe UI"/>
                                <w:color w:val="000000" w:themeColor="text1"/>
                                <w:sz w:val="20"/>
                                <w:szCs w:val="20"/>
                                <w:lang w:val="fr-FR"/>
                              </w:rPr>
                            </w:pPr>
                          </w:p>
                          <w:p w14:paraId="7B0A2B9A" w14:textId="77777777" w:rsidR="00FC147E" w:rsidRDefault="00FC147E" w:rsidP="00627642">
                            <w:pPr>
                              <w:spacing w:line="140" w:lineRule="atLeast"/>
                              <w:rPr>
                                <w:rFonts w:asciiTheme="minorHAnsi" w:hAnsiTheme="minorHAnsi" w:cs="Segoe UI"/>
                                <w:color w:val="000000" w:themeColor="text1"/>
                                <w:sz w:val="20"/>
                                <w:szCs w:val="20"/>
                                <w:lang w:val="fr-FR"/>
                              </w:rPr>
                            </w:pPr>
                          </w:p>
                          <w:p w14:paraId="009EF00F" w14:textId="77777777" w:rsidR="00FC147E" w:rsidRDefault="00FC147E" w:rsidP="00627642">
                            <w:pPr>
                              <w:spacing w:line="140" w:lineRule="atLeast"/>
                              <w:rPr>
                                <w:rFonts w:asciiTheme="minorHAnsi" w:hAnsiTheme="minorHAnsi" w:cs="Segoe UI"/>
                                <w:color w:val="000000" w:themeColor="text1"/>
                                <w:sz w:val="20"/>
                                <w:szCs w:val="20"/>
                                <w:lang w:val="fr-FR"/>
                              </w:rPr>
                            </w:pPr>
                          </w:p>
                          <w:p w14:paraId="0D5EFA6F" w14:textId="77777777" w:rsidR="00FC147E" w:rsidRPr="00050CD0" w:rsidRDefault="00FC147E" w:rsidP="00627642">
                            <w:pPr>
                              <w:spacing w:line="140" w:lineRule="atLeast"/>
                              <w:rPr>
                                <w:rFonts w:asciiTheme="minorHAnsi" w:hAnsiTheme="minorHAnsi" w:cs="Segoe UI"/>
                                <w:color w:val="000000" w:themeColor="text1"/>
                                <w:sz w:val="20"/>
                                <w:szCs w:val="20"/>
                                <w:lang w:val="fr-FR"/>
                              </w:rPr>
                            </w:pPr>
                          </w:p>
                        </w:txbxContent>
                      </wps:txbx>
                      <wps:bodyPr rot="0" spcFirstLastPara="0" vertOverflow="overflow" horzOverflow="overflow" vert="horz" wrap="square" lIns="180000" tIns="72000" rIns="180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E36FE2" id="Rectangle : coins arrondis 939419739" o:spid="_x0000_s1146" style="position:absolute;left:0;text-align:left;margin-left:-.05pt;margin-top:.45pt;width:439.8pt;height:267.6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" fillcolor="white [3212]" strokecolor="#d8d8d8 [2732]" strokeweight="1pt">
                <v:stroke joinstyle="miter"/>
                <v:textbox inset="5mm,2mm,5mm,1mm">
                  <w:txbxContent>
                    <w:p w14:paraId="30054DCC" w14:textId="45ED5E4E" w:rsidR="00752916" w:rsidRDefault="00627642" w:rsidP="00627642">
                      <w:pPr>
                        <w:spacing w:line="140" w:lineRule="atLeast"/>
                        <w:rPr>
                          <w:rFonts w:asciiTheme="minorHAnsi" w:hAnsiTheme="minorHAnsi" w:cs="Segoe UI"/>
                          <w:color w:val="000000" w:themeColor="text1"/>
                          <w:sz w:val="20"/>
                          <w:szCs w:val="20"/>
                          <w:lang w:val="fr-FR"/>
                        </w:rPr>
                      </w:pPr>
                      <w:r>
                        <w:rPr>
                          <w:rFonts w:asciiTheme="minorHAnsi" w:hAnsiTheme="minorHAnsi" w:cs="Segoe UI"/>
                          <w:color w:val="000000" w:themeColor="text1"/>
                          <w:sz w:val="20"/>
                          <w:szCs w:val="20"/>
                          <w:lang w:val="fr-FR"/>
                        </w:rPr>
                        <w:t xml:space="preserve">En 2025, </w:t>
                      </w:r>
                      <w:r w:rsidR="00495330">
                        <w:rPr>
                          <w:rFonts w:asciiTheme="minorHAnsi" w:hAnsiTheme="minorHAnsi" w:cs="Segoe UI"/>
                          <w:color w:val="000000" w:themeColor="text1"/>
                          <w:sz w:val="20"/>
                          <w:szCs w:val="20"/>
                          <w:lang w:val="fr-FR"/>
                        </w:rPr>
                        <w:t>Ofi</w:t>
                      </w:r>
                      <w:r w:rsidR="00752916">
                        <w:rPr>
                          <w:rFonts w:asciiTheme="minorHAnsi" w:hAnsiTheme="minorHAnsi" w:cs="Segoe UI"/>
                          <w:color w:val="000000" w:themeColor="text1"/>
                          <w:sz w:val="20"/>
                          <w:szCs w:val="20"/>
                          <w:lang w:val="fr-FR"/>
                        </w:rPr>
                        <w:t xml:space="preserve"> Invest Real Estate a développé sa charte biodiversité avec pour objectif de fédérer et mobiliser toutes les parties prenantes autour d’un engagement commun, via un outil structurant et inspiré de pratiques concrètes sur le terrain.</w:t>
                      </w:r>
                    </w:p>
                    <w:p w14:paraId="42BE537B" w14:textId="77777777" w:rsidR="00FC147E" w:rsidRDefault="00FC147E" w:rsidP="00627642">
                      <w:pPr>
                        <w:spacing w:line="140" w:lineRule="atLeast"/>
                        <w:rPr>
                          <w:rFonts w:asciiTheme="minorHAnsi" w:hAnsiTheme="minorHAnsi" w:cs="Segoe UI"/>
                          <w:color w:val="000000" w:themeColor="text1"/>
                          <w:sz w:val="20"/>
                          <w:szCs w:val="20"/>
                          <w:lang w:val="fr-FR"/>
                        </w:rPr>
                      </w:pPr>
                    </w:p>
                    <w:p w14:paraId="70CA8606" w14:textId="77777777" w:rsidR="00FC147E" w:rsidRDefault="00FC147E" w:rsidP="00627642">
                      <w:pPr>
                        <w:spacing w:line="140" w:lineRule="atLeast"/>
                        <w:rPr>
                          <w:rFonts w:asciiTheme="minorHAnsi" w:hAnsiTheme="minorHAnsi" w:cs="Segoe UI"/>
                          <w:color w:val="000000" w:themeColor="text1"/>
                          <w:sz w:val="20"/>
                          <w:szCs w:val="20"/>
                          <w:lang w:val="fr-FR"/>
                        </w:rPr>
                      </w:pPr>
                    </w:p>
                    <w:p w14:paraId="0A74656D" w14:textId="77777777" w:rsidR="00FC147E" w:rsidRDefault="00FC147E" w:rsidP="00627642">
                      <w:pPr>
                        <w:spacing w:line="140" w:lineRule="atLeast"/>
                        <w:rPr>
                          <w:rFonts w:asciiTheme="minorHAnsi" w:hAnsiTheme="minorHAnsi" w:cs="Segoe UI"/>
                          <w:color w:val="000000" w:themeColor="text1"/>
                          <w:sz w:val="20"/>
                          <w:szCs w:val="20"/>
                          <w:lang w:val="fr-FR"/>
                        </w:rPr>
                      </w:pPr>
                    </w:p>
                    <w:p w14:paraId="41CF691E" w14:textId="77777777" w:rsidR="00FC147E" w:rsidRDefault="00FC147E" w:rsidP="00627642">
                      <w:pPr>
                        <w:spacing w:line="140" w:lineRule="atLeast"/>
                        <w:rPr>
                          <w:rFonts w:asciiTheme="minorHAnsi" w:hAnsiTheme="minorHAnsi" w:cs="Segoe UI"/>
                          <w:color w:val="000000" w:themeColor="text1"/>
                          <w:sz w:val="20"/>
                          <w:szCs w:val="20"/>
                          <w:lang w:val="fr-FR"/>
                        </w:rPr>
                      </w:pPr>
                    </w:p>
                    <w:p w14:paraId="293D524E" w14:textId="77777777" w:rsidR="00FC147E" w:rsidRDefault="00FC147E" w:rsidP="00627642">
                      <w:pPr>
                        <w:spacing w:line="140" w:lineRule="atLeast"/>
                        <w:rPr>
                          <w:rFonts w:asciiTheme="minorHAnsi" w:hAnsiTheme="minorHAnsi" w:cs="Segoe UI"/>
                          <w:color w:val="000000" w:themeColor="text1"/>
                          <w:sz w:val="20"/>
                          <w:szCs w:val="20"/>
                          <w:lang w:val="fr-FR"/>
                        </w:rPr>
                      </w:pPr>
                    </w:p>
                    <w:p w14:paraId="697FD2AB" w14:textId="77777777" w:rsidR="00FC147E" w:rsidRDefault="00FC147E" w:rsidP="00627642">
                      <w:pPr>
                        <w:spacing w:line="140" w:lineRule="atLeast"/>
                        <w:rPr>
                          <w:rFonts w:asciiTheme="minorHAnsi" w:hAnsiTheme="minorHAnsi" w:cs="Segoe UI"/>
                          <w:color w:val="000000" w:themeColor="text1"/>
                          <w:sz w:val="20"/>
                          <w:szCs w:val="20"/>
                          <w:lang w:val="fr-FR"/>
                        </w:rPr>
                      </w:pPr>
                    </w:p>
                    <w:p w14:paraId="1219C86D" w14:textId="77777777" w:rsidR="00FC147E" w:rsidRDefault="00FC147E" w:rsidP="00627642">
                      <w:pPr>
                        <w:spacing w:line="140" w:lineRule="atLeast"/>
                        <w:rPr>
                          <w:rFonts w:asciiTheme="minorHAnsi" w:hAnsiTheme="minorHAnsi" w:cs="Segoe UI"/>
                          <w:color w:val="000000" w:themeColor="text1"/>
                          <w:sz w:val="20"/>
                          <w:szCs w:val="20"/>
                          <w:lang w:val="fr-FR"/>
                        </w:rPr>
                      </w:pPr>
                    </w:p>
                    <w:p w14:paraId="3D13FDD7" w14:textId="77777777" w:rsidR="00FC147E" w:rsidRDefault="00FC147E" w:rsidP="00627642">
                      <w:pPr>
                        <w:spacing w:line="140" w:lineRule="atLeast"/>
                        <w:rPr>
                          <w:rFonts w:asciiTheme="minorHAnsi" w:hAnsiTheme="minorHAnsi" w:cs="Segoe UI"/>
                          <w:color w:val="000000" w:themeColor="text1"/>
                          <w:sz w:val="20"/>
                          <w:szCs w:val="20"/>
                          <w:lang w:val="fr-FR"/>
                        </w:rPr>
                      </w:pPr>
                    </w:p>
                    <w:p w14:paraId="2254F854" w14:textId="77777777" w:rsidR="00FC147E" w:rsidRDefault="00FC147E" w:rsidP="00627642">
                      <w:pPr>
                        <w:spacing w:line="140" w:lineRule="atLeast"/>
                        <w:rPr>
                          <w:rFonts w:asciiTheme="minorHAnsi" w:hAnsiTheme="minorHAnsi" w:cs="Segoe UI"/>
                          <w:color w:val="000000" w:themeColor="text1"/>
                          <w:sz w:val="20"/>
                          <w:szCs w:val="20"/>
                          <w:lang w:val="fr-FR"/>
                        </w:rPr>
                      </w:pPr>
                    </w:p>
                    <w:p w14:paraId="6CC4D668" w14:textId="77777777" w:rsidR="00FC147E" w:rsidRDefault="00FC147E" w:rsidP="00627642">
                      <w:pPr>
                        <w:spacing w:line="140" w:lineRule="atLeast"/>
                        <w:rPr>
                          <w:rFonts w:asciiTheme="minorHAnsi" w:hAnsiTheme="minorHAnsi" w:cs="Segoe UI"/>
                          <w:color w:val="000000" w:themeColor="text1"/>
                          <w:sz w:val="20"/>
                          <w:szCs w:val="20"/>
                          <w:lang w:val="fr-FR"/>
                        </w:rPr>
                      </w:pPr>
                    </w:p>
                    <w:p w14:paraId="14A74306" w14:textId="77777777" w:rsidR="00FC147E" w:rsidRDefault="00FC147E" w:rsidP="00627642">
                      <w:pPr>
                        <w:spacing w:line="140" w:lineRule="atLeast"/>
                        <w:rPr>
                          <w:rFonts w:asciiTheme="minorHAnsi" w:hAnsiTheme="minorHAnsi" w:cs="Segoe UI"/>
                          <w:color w:val="000000" w:themeColor="text1"/>
                          <w:sz w:val="20"/>
                          <w:szCs w:val="20"/>
                          <w:lang w:val="fr-FR"/>
                        </w:rPr>
                      </w:pPr>
                    </w:p>
                    <w:p w14:paraId="5CD73DDA" w14:textId="77777777" w:rsidR="00FC147E" w:rsidRDefault="00FC147E" w:rsidP="00627642">
                      <w:pPr>
                        <w:spacing w:line="140" w:lineRule="atLeast"/>
                        <w:rPr>
                          <w:rFonts w:asciiTheme="minorHAnsi" w:hAnsiTheme="minorHAnsi" w:cs="Segoe UI"/>
                          <w:color w:val="000000" w:themeColor="text1"/>
                          <w:sz w:val="20"/>
                          <w:szCs w:val="20"/>
                          <w:lang w:val="fr-FR"/>
                        </w:rPr>
                      </w:pPr>
                    </w:p>
                    <w:p w14:paraId="0E688968" w14:textId="77777777" w:rsidR="00FC147E" w:rsidRDefault="00FC147E" w:rsidP="00627642">
                      <w:pPr>
                        <w:spacing w:line="140" w:lineRule="atLeast"/>
                        <w:rPr>
                          <w:rFonts w:asciiTheme="minorHAnsi" w:hAnsiTheme="minorHAnsi" w:cs="Segoe UI"/>
                          <w:color w:val="000000" w:themeColor="text1"/>
                          <w:sz w:val="20"/>
                          <w:szCs w:val="20"/>
                          <w:lang w:val="fr-FR"/>
                        </w:rPr>
                      </w:pPr>
                    </w:p>
                    <w:p w14:paraId="5DEFAEAE" w14:textId="77777777" w:rsidR="00FC147E" w:rsidRDefault="00FC147E" w:rsidP="00627642">
                      <w:pPr>
                        <w:spacing w:line="140" w:lineRule="atLeast"/>
                        <w:rPr>
                          <w:rFonts w:asciiTheme="minorHAnsi" w:hAnsiTheme="minorHAnsi" w:cs="Segoe UI"/>
                          <w:color w:val="000000" w:themeColor="text1"/>
                          <w:sz w:val="20"/>
                          <w:szCs w:val="20"/>
                          <w:lang w:val="fr-FR"/>
                        </w:rPr>
                      </w:pPr>
                    </w:p>
                    <w:p w14:paraId="4599404F" w14:textId="77777777" w:rsidR="00FC147E" w:rsidRDefault="00FC147E" w:rsidP="00627642">
                      <w:pPr>
                        <w:spacing w:line="140" w:lineRule="atLeast"/>
                        <w:rPr>
                          <w:rFonts w:asciiTheme="minorHAnsi" w:hAnsiTheme="minorHAnsi" w:cs="Segoe UI"/>
                          <w:color w:val="000000" w:themeColor="text1"/>
                          <w:sz w:val="20"/>
                          <w:szCs w:val="20"/>
                          <w:lang w:val="fr-FR"/>
                        </w:rPr>
                      </w:pPr>
                    </w:p>
                    <w:p w14:paraId="27342B27" w14:textId="77777777" w:rsidR="00FC147E" w:rsidRDefault="00FC147E" w:rsidP="00627642">
                      <w:pPr>
                        <w:spacing w:line="140" w:lineRule="atLeast"/>
                        <w:rPr>
                          <w:rFonts w:asciiTheme="minorHAnsi" w:hAnsiTheme="minorHAnsi" w:cs="Segoe UI"/>
                          <w:color w:val="000000" w:themeColor="text1"/>
                          <w:sz w:val="20"/>
                          <w:szCs w:val="20"/>
                          <w:lang w:val="fr-FR"/>
                        </w:rPr>
                      </w:pPr>
                    </w:p>
                    <w:p w14:paraId="12EB0599" w14:textId="05B58D93" w:rsidR="00FC147E" w:rsidRDefault="00FC147E" w:rsidP="00627642">
                      <w:pPr>
                        <w:spacing w:line="140" w:lineRule="atLeast"/>
                        <w:rPr>
                          <w:rFonts w:asciiTheme="minorHAnsi" w:hAnsiTheme="minorHAnsi" w:cs="Segoe UI"/>
                          <w:color w:val="000000" w:themeColor="text1"/>
                          <w:sz w:val="20"/>
                          <w:szCs w:val="20"/>
                          <w:lang w:val="fr-FR"/>
                        </w:rPr>
                      </w:pPr>
                    </w:p>
                    <w:p w14:paraId="232FDEDF" w14:textId="77777777" w:rsidR="00FC147E" w:rsidRDefault="00FC147E" w:rsidP="00627642">
                      <w:pPr>
                        <w:spacing w:line="140" w:lineRule="atLeast"/>
                        <w:rPr>
                          <w:rFonts w:asciiTheme="minorHAnsi" w:hAnsiTheme="minorHAnsi" w:cs="Segoe UI"/>
                          <w:color w:val="000000" w:themeColor="text1"/>
                          <w:sz w:val="20"/>
                          <w:szCs w:val="20"/>
                          <w:lang w:val="fr-FR"/>
                        </w:rPr>
                      </w:pPr>
                    </w:p>
                    <w:p w14:paraId="6F36E567" w14:textId="77777777" w:rsidR="00FC147E" w:rsidRDefault="00FC147E" w:rsidP="00627642">
                      <w:pPr>
                        <w:spacing w:line="140" w:lineRule="atLeast"/>
                        <w:rPr>
                          <w:rFonts w:asciiTheme="minorHAnsi" w:hAnsiTheme="minorHAnsi" w:cs="Segoe UI"/>
                          <w:color w:val="000000" w:themeColor="text1"/>
                          <w:sz w:val="20"/>
                          <w:szCs w:val="20"/>
                          <w:lang w:val="fr-FR"/>
                        </w:rPr>
                      </w:pPr>
                    </w:p>
                    <w:p w14:paraId="611DC582" w14:textId="77777777" w:rsidR="00FC147E" w:rsidRDefault="00FC147E" w:rsidP="00627642">
                      <w:pPr>
                        <w:spacing w:line="140" w:lineRule="atLeast"/>
                        <w:rPr>
                          <w:rFonts w:asciiTheme="minorHAnsi" w:hAnsiTheme="minorHAnsi" w:cs="Segoe UI"/>
                          <w:color w:val="000000" w:themeColor="text1"/>
                          <w:sz w:val="20"/>
                          <w:szCs w:val="20"/>
                          <w:lang w:val="fr-FR"/>
                        </w:rPr>
                      </w:pPr>
                    </w:p>
                    <w:p w14:paraId="79370098" w14:textId="77777777" w:rsidR="00FC147E" w:rsidRDefault="00FC147E" w:rsidP="00627642">
                      <w:pPr>
                        <w:spacing w:line="140" w:lineRule="atLeast"/>
                        <w:rPr>
                          <w:rFonts w:asciiTheme="minorHAnsi" w:hAnsiTheme="minorHAnsi" w:cs="Segoe UI"/>
                          <w:color w:val="000000" w:themeColor="text1"/>
                          <w:sz w:val="20"/>
                          <w:szCs w:val="20"/>
                          <w:lang w:val="fr-FR"/>
                        </w:rPr>
                      </w:pPr>
                    </w:p>
                    <w:p w14:paraId="0BC74394" w14:textId="77777777" w:rsidR="00FC147E" w:rsidRDefault="00FC147E" w:rsidP="00627642">
                      <w:pPr>
                        <w:spacing w:line="140" w:lineRule="atLeast"/>
                        <w:rPr>
                          <w:rFonts w:asciiTheme="minorHAnsi" w:hAnsiTheme="minorHAnsi" w:cs="Segoe UI"/>
                          <w:color w:val="000000" w:themeColor="text1"/>
                          <w:sz w:val="20"/>
                          <w:szCs w:val="20"/>
                          <w:lang w:val="fr-FR"/>
                        </w:rPr>
                      </w:pPr>
                    </w:p>
                    <w:p w14:paraId="7B0A2B9A" w14:textId="77777777" w:rsidR="00FC147E" w:rsidRDefault="00FC147E" w:rsidP="00627642">
                      <w:pPr>
                        <w:spacing w:line="140" w:lineRule="atLeast"/>
                        <w:rPr>
                          <w:rFonts w:asciiTheme="minorHAnsi" w:hAnsiTheme="minorHAnsi" w:cs="Segoe UI"/>
                          <w:color w:val="000000" w:themeColor="text1"/>
                          <w:sz w:val="20"/>
                          <w:szCs w:val="20"/>
                          <w:lang w:val="fr-FR"/>
                        </w:rPr>
                      </w:pPr>
                    </w:p>
                    <w:p w14:paraId="009EF00F" w14:textId="77777777" w:rsidR="00FC147E" w:rsidRDefault="00FC147E" w:rsidP="00627642">
                      <w:pPr>
                        <w:spacing w:line="140" w:lineRule="atLeast"/>
                        <w:rPr>
                          <w:rFonts w:asciiTheme="minorHAnsi" w:hAnsiTheme="minorHAnsi" w:cs="Segoe UI"/>
                          <w:color w:val="000000" w:themeColor="text1"/>
                          <w:sz w:val="20"/>
                          <w:szCs w:val="20"/>
                          <w:lang w:val="fr-FR"/>
                        </w:rPr>
                      </w:pPr>
                    </w:p>
                    <w:p w14:paraId="0D5EFA6F" w14:textId="77777777" w:rsidR="00FC147E" w:rsidRPr="00050CD0" w:rsidRDefault="00FC147E" w:rsidP="00627642">
                      <w:pPr>
                        <w:spacing w:line="140" w:lineRule="atLeast"/>
                        <w:rPr>
                          <w:rFonts w:asciiTheme="minorHAnsi" w:hAnsiTheme="minorHAnsi" w:cs="Segoe UI"/>
                          <w:color w:val="000000" w:themeColor="text1"/>
                          <w:sz w:val="20"/>
                          <w:szCs w:val="20"/>
                          <w:lang w:val="fr-FR"/>
                        </w:rPr>
                      </w:pPr>
                    </w:p>
                  </w:txbxContent>
                </v:textbox>
                <w10:wrap anchorx="margin"/>
              </v:roundrect>
            </w:pict>
          </mc:Fallback>
        </mc:AlternateContent>
      </w:r>
    </w:p>
    <w:p w14:paraId="138DF949" w14:textId="77777777" w:rsidR="00881F93" w:rsidRPr="00A74D23" w:rsidRDefault="00881F93" w:rsidP="009D6EE5">
      <w:pPr>
        <w:spacing w:line="22" w:lineRule="atLeast"/>
        <w:jc w:val="both"/>
        <w:rPr>
          <w:rFonts w:asciiTheme="minorHAnsi" w:hAnsiTheme="minorHAnsi" w:cs="Open Sans"/>
          <w:b/>
          <w:bCs/>
          <w:sz w:val="20"/>
          <w:lang w:val="fr-FR"/>
        </w:rPr>
      </w:pPr>
    </w:p>
    <w:p w14:paraId="67B5FB64" w14:textId="77777777" w:rsidR="00881F93" w:rsidRPr="00A74D23" w:rsidRDefault="00881F93" w:rsidP="009D6EE5">
      <w:pPr>
        <w:spacing w:line="22" w:lineRule="atLeast"/>
        <w:jc w:val="both"/>
        <w:rPr>
          <w:rFonts w:asciiTheme="minorHAnsi" w:hAnsiTheme="minorHAnsi" w:cs="Open Sans"/>
          <w:b/>
          <w:bCs/>
          <w:sz w:val="20"/>
          <w:lang w:val="fr-FR"/>
        </w:rPr>
      </w:pPr>
    </w:p>
    <w:p w14:paraId="1F04C072" w14:textId="77777777" w:rsidR="00E94688" w:rsidRPr="00A74D23" w:rsidRDefault="00E94688" w:rsidP="009D6EE5">
      <w:pPr>
        <w:spacing w:line="22" w:lineRule="atLeast"/>
        <w:jc w:val="both"/>
        <w:rPr>
          <w:rFonts w:asciiTheme="minorHAnsi" w:hAnsiTheme="minorHAnsi" w:cs="Open Sans"/>
          <w:sz w:val="20"/>
          <w:lang w:val="fr-FR"/>
        </w:rPr>
      </w:pPr>
    </w:p>
    <w:p w14:paraId="0E7EA1EB" w14:textId="77777777" w:rsidR="00E94688" w:rsidRPr="00A74D23" w:rsidRDefault="00E94688" w:rsidP="009D6EE5">
      <w:pPr>
        <w:spacing w:line="22" w:lineRule="atLeast"/>
        <w:jc w:val="both"/>
        <w:rPr>
          <w:rFonts w:asciiTheme="minorHAnsi" w:hAnsiTheme="minorHAnsi" w:cs="Open Sans"/>
          <w:sz w:val="20"/>
          <w:lang w:val="fr-FR"/>
        </w:rPr>
      </w:pPr>
    </w:p>
    <w:p w14:paraId="7FC0C898" w14:textId="79D5C901" w:rsidR="00E94688" w:rsidRPr="00A74D23" w:rsidRDefault="002171F8" w:rsidP="009D6EE5">
      <w:pPr>
        <w:spacing w:line="22" w:lineRule="atLeast"/>
        <w:jc w:val="both"/>
        <w:rPr>
          <w:rFonts w:asciiTheme="minorHAnsi" w:hAnsiTheme="minorHAnsi" w:cs="Open Sans"/>
          <w:sz w:val="20"/>
          <w:lang w:val="fr-FR"/>
        </w:rPr>
      </w:pPr>
      <w:r w:rsidRPr="00A74D23">
        <w:rPr>
          <w:rFonts w:asciiTheme="minorHAnsi" w:hAnsiTheme="minorHAnsi" w:cs="Segoe UI"/>
          <w:noProof/>
          <w:color w:val="000000" w:themeColor="text1"/>
          <w:sz w:val="20"/>
          <w:szCs w:val="20"/>
          <w:lang w:val="fr-FR"/>
        </w:rPr>
        <w:drawing>
          <wp:anchor distT="0" distB="0" distL="114300" distR="114300" simplePos="0" relativeHeight="251527168" behindDoc="0" locked="0" layoutInCell="1" allowOverlap="1" wp14:anchorId="67846872" wp14:editId="3BA7690A">
            <wp:simplePos x="0" y="0"/>
            <wp:positionH relativeFrom="margin">
              <wp:posOffset>2526665</wp:posOffset>
            </wp:positionH>
            <wp:positionV relativeFrom="paragraph">
              <wp:posOffset>9525</wp:posOffset>
            </wp:positionV>
            <wp:extent cx="2277110" cy="2384425"/>
            <wp:effectExtent l="0" t="0" r="8890" b="0"/>
            <wp:wrapSquare wrapText="bothSides"/>
            <wp:docPr id="21202488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77110" cy="2384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EEE791" w14:textId="7E66AE02" w:rsidR="00E94688" w:rsidRPr="00A74D23" w:rsidRDefault="00DE3DDB" w:rsidP="009D6EE5">
      <w:pPr>
        <w:spacing w:line="22" w:lineRule="atLeast"/>
        <w:jc w:val="both"/>
        <w:rPr>
          <w:rFonts w:asciiTheme="minorHAnsi" w:hAnsiTheme="minorHAnsi" w:cs="Open Sans"/>
          <w:sz w:val="20"/>
          <w:lang w:val="fr-FR"/>
        </w:rPr>
      </w:pPr>
      <w:r w:rsidRPr="00A74D23">
        <w:rPr>
          <w:rFonts w:asciiTheme="minorHAnsi" w:hAnsiTheme="minorHAnsi" w:cs="Segoe UI"/>
          <w:noProof/>
          <w:color w:val="000000" w:themeColor="text1"/>
          <w:sz w:val="20"/>
          <w:szCs w:val="20"/>
          <w:lang w:val="fr-FR"/>
        </w:rPr>
        <w:drawing>
          <wp:anchor distT="0" distB="0" distL="114300" distR="114300" simplePos="0" relativeHeight="251529216" behindDoc="0" locked="0" layoutInCell="1" allowOverlap="1" wp14:anchorId="57D5DBD9" wp14:editId="20756B71">
            <wp:simplePos x="0" y="0"/>
            <wp:positionH relativeFrom="column">
              <wp:posOffset>518795</wp:posOffset>
            </wp:positionH>
            <wp:positionV relativeFrom="paragraph">
              <wp:posOffset>3810</wp:posOffset>
            </wp:positionV>
            <wp:extent cx="1620520" cy="1845945"/>
            <wp:effectExtent l="0" t="0" r="0" b="1905"/>
            <wp:wrapSquare wrapText="bothSides"/>
            <wp:docPr id="128443946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20520" cy="1845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B2B24F" w14:textId="35C5C015" w:rsidR="00E94688" w:rsidRPr="00A74D23" w:rsidRDefault="00E94688" w:rsidP="009D6EE5">
      <w:pPr>
        <w:spacing w:line="22" w:lineRule="atLeast"/>
        <w:jc w:val="both"/>
        <w:rPr>
          <w:rFonts w:asciiTheme="minorHAnsi" w:hAnsiTheme="minorHAnsi" w:cs="Open Sans"/>
          <w:sz w:val="20"/>
          <w:lang w:val="fr-FR"/>
        </w:rPr>
      </w:pPr>
    </w:p>
    <w:p w14:paraId="373FD539" w14:textId="146FE6DA" w:rsidR="00E94688" w:rsidRPr="00A74D23" w:rsidRDefault="00E94688" w:rsidP="009D6EE5">
      <w:pPr>
        <w:spacing w:line="22" w:lineRule="atLeast"/>
        <w:jc w:val="both"/>
        <w:rPr>
          <w:rFonts w:asciiTheme="minorHAnsi" w:hAnsiTheme="minorHAnsi" w:cs="Open Sans"/>
          <w:sz w:val="20"/>
          <w:lang w:val="fr-FR"/>
        </w:rPr>
      </w:pPr>
    </w:p>
    <w:p w14:paraId="3F8CF7AB" w14:textId="137C979B" w:rsidR="00627642" w:rsidRPr="00A74D23" w:rsidRDefault="00627642" w:rsidP="009D6EE5">
      <w:pPr>
        <w:spacing w:line="22" w:lineRule="atLeast"/>
        <w:jc w:val="both"/>
        <w:rPr>
          <w:rFonts w:asciiTheme="minorHAnsi" w:hAnsiTheme="minorHAnsi" w:cs="Open Sans"/>
          <w:sz w:val="20"/>
          <w:lang w:val="fr-FR"/>
        </w:rPr>
      </w:pPr>
    </w:p>
    <w:p w14:paraId="6E0B1FF8" w14:textId="4166E44B" w:rsidR="00627642" w:rsidRPr="00A74D23" w:rsidRDefault="00627642" w:rsidP="009D6EE5">
      <w:pPr>
        <w:spacing w:line="22" w:lineRule="atLeast"/>
        <w:jc w:val="both"/>
        <w:rPr>
          <w:rFonts w:asciiTheme="minorHAnsi" w:hAnsiTheme="minorHAnsi" w:cs="Open Sans"/>
          <w:sz w:val="20"/>
          <w:lang w:val="fr-FR"/>
        </w:rPr>
      </w:pPr>
    </w:p>
    <w:p w14:paraId="44E32168" w14:textId="3B42871F" w:rsidR="00627642" w:rsidRPr="00A74D23" w:rsidRDefault="00627642" w:rsidP="009D6EE5">
      <w:pPr>
        <w:spacing w:line="22" w:lineRule="atLeast"/>
        <w:jc w:val="both"/>
        <w:rPr>
          <w:rFonts w:asciiTheme="minorHAnsi" w:hAnsiTheme="minorHAnsi" w:cs="Open Sans"/>
          <w:sz w:val="20"/>
          <w:lang w:val="fr-FR"/>
        </w:rPr>
      </w:pPr>
    </w:p>
    <w:p w14:paraId="68189A73" w14:textId="48618E6C" w:rsidR="00627642" w:rsidRPr="00A74D23" w:rsidRDefault="00627642" w:rsidP="009D6EE5">
      <w:pPr>
        <w:spacing w:line="22" w:lineRule="atLeast"/>
        <w:jc w:val="both"/>
        <w:rPr>
          <w:rFonts w:asciiTheme="minorHAnsi" w:hAnsiTheme="minorHAnsi" w:cs="Open Sans"/>
          <w:sz w:val="20"/>
          <w:lang w:val="fr-FR"/>
        </w:rPr>
      </w:pPr>
    </w:p>
    <w:p w14:paraId="56569605" w14:textId="07B7FE11" w:rsidR="00627642" w:rsidRPr="00A74D23" w:rsidRDefault="00627642" w:rsidP="009D6EE5">
      <w:pPr>
        <w:spacing w:line="22" w:lineRule="atLeast"/>
        <w:jc w:val="both"/>
        <w:rPr>
          <w:rFonts w:asciiTheme="minorHAnsi" w:hAnsiTheme="minorHAnsi" w:cs="Open Sans"/>
          <w:sz w:val="20"/>
          <w:lang w:val="fr-FR"/>
        </w:rPr>
      </w:pPr>
    </w:p>
    <w:p w14:paraId="1614E23D" w14:textId="3281B27D" w:rsidR="00627642" w:rsidRPr="00A74D23" w:rsidRDefault="00627642" w:rsidP="009D6EE5">
      <w:pPr>
        <w:spacing w:line="22" w:lineRule="atLeast"/>
        <w:jc w:val="both"/>
        <w:rPr>
          <w:rFonts w:asciiTheme="minorHAnsi" w:hAnsiTheme="minorHAnsi" w:cs="Open Sans"/>
          <w:sz w:val="20"/>
          <w:lang w:val="fr-FR"/>
        </w:rPr>
      </w:pPr>
    </w:p>
    <w:p w14:paraId="6EA103E8" w14:textId="4BF46F72" w:rsidR="00627642" w:rsidRPr="00A74D23" w:rsidRDefault="007A59AD" w:rsidP="009D6EE5">
      <w:pPr>
        <w:tabs>
          <w:tab w:val="left" w:pos="3390"/>
        </w:tabs>
        <w:spacing w:line="22" w:lineRule="atLeast"/>
        <w:jc w:val="both"/>
        <w:rPr>
          <w:rFonts w:asciiTheme="minorHAnsi" w:hAnsiTheme="minorHAnsi" w:cs="Open Sans"/>
          <w:sz w:val="20"/>
          <w:lang w:val="fr-FR"/>
        </w:rPr>
      </w:pPr>
      <w:r w:rsidRPr="00A74D23">
        <w:rPr>
          <w:rFonts w:asciiTheme="minorHAnsi" w:hAnsiTheme="minorHAnsi" w:cs="Open Sans"/>
          <w:sz w:val="20"/>
          <w:lang w:val="fr-FR"/>
        </w:rPr>
        <w:tab/>
      </w:r>
    </w:p>
    <w:p w14:paraId="35D4D17F" w14:textId="77777777" w:rsidR="00627642" w:rsidRPr="00A74D23" w:rsidRDefault="00627642" w:rsidP="009D6EE5">
      <w:pPr>
        <w:spacing w:line="22" w:lineRule="atLeast"/>
        <w:jc w:val="both"/>
        <w:rPr>
          <w:rFonts w:asciiTheme="minorHAnsi" w:hAnsiTheme="minorHAnsi" w:cs="Open Sans"/>
          <w:sz w:val="20"/>
          <w:lang w:val="fr-FR"/>
        </w:rPr>
      </w:pPr>
    </w:p>
    <w:p w14:paraId="5BB78372" w14:textId="77777777" w:rsidR="00627642" w:rsidRPr="00A74D23" w:rsidRDefault="00627642" w:rsidP="009D6EE5">
      <w:pPr>
        <w:spacing w:line="22" w:lineRule="atLeast"/>
        <w:jc w:val="both"/>
        <w:rPr>
          <w:rFonts w:asciiTheme="minorHAnsi" w:hAnsiTheme="minorHAnsi" w:cs="Open Sans"/>
          <w:sz w:val="20"/>
          <w:lang w:val="fr-FR"/>
        </w:rPr>
      </w:pPr>
    </w:p>
    <w:p w14:paraId="7EBCB09C" w14:textId="1D037882" w:rsidR="00C50187" w:rsidRPr="00A74D23" w:rsidRDefault="00C50187" w:rsidP="009D6EE5">
      <w:pPr>
        <w:spacing w:line="22" w:lineRule="atLeast"/>
        <w:jc w:val="both"/>
        <w:rPr>
          <w:rFonts w:asciiTheme="minorHAnsi" w:hAnsiTheme="minorHAnsi" w:cs="Open Sans"/>
          <w:sz w:val="20"/>
          <w:lang w:val="fr-FR"/>
        </w:rPr>
      </w:pPr>
    </w:p>
    <w:p w14:paraId="3D849474" w14:textId="63EFC84F" w:rsidR="000A3159" w:rsidRPr="00A74D23" w:rsidRDefault="000A3159" w:rsidP="009D6EE5">
      <w:pPr>
        <w:spacing w:line="22" w:lineRule="atLeast"/>
        <w:jc w:val="both"/>
        <w:rPr>
          <w:rFonts w:asciiTheme="minorHAnsi" w:hAnsiTheme="minorHAnsi" w:cs="Open Sans"/>
          <w:sz w:val="20"/>
          <w:lang w:val="fr-FR"/>
        </w:rPr>
      </w:pPr>
    </w:p>
    <w:p w14:paraId="0BCD978D" w14:textId="522DA7D0" w:rsidR="000A3159" w:rsidRPr="00A74D23" w:rsidRDefault="000A3159" w:rsidP="009D6EE5">
      <w:pPr>
        <w:spacing w:line="22" w:lineRule="atLeast"/>
        <w:jc w:val="both"/>
        <w:rPr>
          <w:rFonts w:asciiTheme="minorHAnsi" w:hAnsiTheme="minorHAnsi" w:cs="Open Sans"/>
          <w:sz w:val="20"/>
          <w:lang w:val="fr-FR"/>
        </w:rPr>
      </w:pPr>
    </w:p>
    <w:p w14:paraId="5319D198" w14:textId="77777777" w:rsidR="00DE3DDB" w:rsidRDefault="00DE3DDB" w:rsidP="009D6EE5">
      <w:pPr>
        <w:spacing w:line="22" w:lineRule="atLeast"/>
        <w:jc w:val="both"/>
        <w:rPr>
          <w:rFonts w:asciiTheme="minorHAnsi" w:hAnsiTheme="minorHAnsi" w:cs="Open Sans"/>
          <w:sz w:val="20"/>
          <w:lang w:val="fr-FR"/>
        </w:rPr>
      </w:pPr>
    </w:p>
    <w:p w14:paraId="368B6F15" w14:textId="77777777" w:rsidR="00354531" w:rsidRDefault="00354531" w:rsidP="009D6EE5">
      <w:pPr>
        <w:spacing w:line="22" w:lineRule="atLeast"/>
        <w:jc w:val="both"/>
        <w:rPr>
          <w:rFonts w:asciiTheme="minorHAnsi" w:hAnsiTheme="minorHAnsi" w:cs="Open Sans"/>
          <w:sz w:val="20"/>
          <w:lang w:val="fr-FR"/>
        </w:rPr>
      </w:pPr>
    </w:p>
    <w:p w14:paraId="61A94021" w14:textId="4800B800" w:rsidR="00354531" w:rsidRDefault="00952A24" w:rsidP="009D6EE5">
      <w:pPr>
        <w:spacing w:line="22" w:lineRule="atLeast"/>
        <w:jc w:val="both"/>
        <w:rPr>
          <w:rFonts w:asciiTheme="minorHAnsi" w:hAnsiTheme="minorHAnsi" w:cs="Open Sans"/>
          <w:sz w:val="20"/>
          <w:lang w:val="fr-FR"/>
        </w:rPr>
      </w:pPr>
      <w:r>
        <w:rPr>
          <w:rFonts w:asciiTheme="minorHAnsi" w:hAnsiTheme="minorHAnsi" w:cs="Open Sans"/>
          <w:sz w:val="20"/>
          <w:lang w:val="fr-FR"/>
        </w:rPr>
        <w:t>Par ailleurs, n</w:t>
      </w:r>
      <w:r w:rsidRPr="00952A24">
        <w:rPr>
          <w:rFonts w:asciiTheme="minorHAnsi" w:hAnsiTheme="minorHAnsi" w:cs="Open Sans"/>
          <w:sz w:val="20"/>
          <w:lang w:val="fr-FR"/>
        </w:rPr>
        <w:t xml:space="preserve">ous suivons le </w:t>
      </w:r>
      <w:r w:rsidRPr="00952A24">
        <w:rPr>
          <w:rFonts w:asciiTheme="minorHAnsi" w:hAnsiTheme="minorHAnsi" w:cs="Open Sans"/>
          <w:b/>
          <w:bCs/>
          <w:sz w:val="20"/>
          <w:lang w:val="fr-FR"/>
        </w:rPr>
        <w:t>taux de végétalisation sur nos actifs</w:t>
      </w:r>
      <w:r w:rsidRPr="00952A24">
        <w:rPr>
          <w:rFonts w:asciiTheme="minorHAnsi" w:hAnsiTheme="minorHAnsi" w:cs="Open Sans"/>
          <w:sz w:val="20"/>
          <w:lang w:val="fr-FR"/>
        </w:rPr>
        <w:t xml:space="preserve">, cet indicateur étant pris en compte dans la grille ESG d’évaluation des immeubles. Au cas par cas, le </w:t>
      </w:r>
      <w:r w:rsidRPr="00952A24">
        <w:rPr>
          <w:rFonts w:asciiTheme="minorHAnsi" w:hAnsiTheme="minorHAnsi" w:cs="Open Sans"/>
          <w:b/>
          <w:bCs/>
          <w:sz w:val="20"/>
          <w:lang w:val="fr-FR"/>
        </w:rPr>
        <w:t>Coefficient de Biotope Surfacique (CBS)</w:t>
      </w:r>
      <w:r w:rsidRPr="00952A24">
        <w:rPr>
          <w:rFonts w:asciiTheme="minorHAnsi" w:hAnsiTheme="minorHAnsi" w:cs="Open Sans"/>
          <w:sz w:val="20"/>
          <w:lang w:val="fr-FR"/>
        </w:rPr>
        <w:t xml:space="preserve"> de nos investissements immobiliers est également calculé, dès lors qu’un audit écologique est réalisé par un écologue. Ce point est demandé explicitement dans le cahier des charges d’audit écologique communiqué à tous les prestataires lors d’une consultation sur un actif pour la réalisation d’un tel audit. Le CBS décrit la proportion des surfaces favorables à la biodiversité (en complément de la surface végétalisée) par rapport à la surface totale d’une parcelle. Augmenter ce coefficient favorise la biodiversité tout en améliorant la qualité de vie, la santé et le bien-être des populations locales.</w:t>
      </w:r>
    </w:p>
    <w:p w14:paraId="7C4697DE" w14:textId="77777777" w:rsidR="00354531" w:rsidRDefault="00354531" w:rsidP="009D6EE5">
      <w:pPr>
        <w:spacing w:line="22" w:lineRule="atLeast"/>
        <w:jc w:val="both"/>
        <w:rPr>
          <w:rFonts w:asciiTheme="minorHAnsi" w:hAnsiTheme="minorHAnsi" w:cs="Open Sans"/>
          <w:sz w:val="20"/>
          <w:lang w:val="fr-FR"/>
        </w:rPr>
      </w:pPr>
    </w:p>
    <w:p w14:paraId="1C9D3552" w14:textId="53236EF1" w:rsidR="000A3159" w:rsidRPr="00A74D23" w:rsidRDefault="000A3159" w:rsidP="009D6EE5">
      <w:pPr>
        <w:spacing w:line="22" w:lineRule="atLeast"/>
        <w:jc w:val="both"/>
        <w:rPr>
          <w:rFonts w:asciiTheme="minorHAnsi" w:hAnsiTheme="minorHAnsi" w:cs="Open Sans"/>
          <w:sz w:val="20"/>
          <w:lang w:val="fr-FR"/>
        </w:rPr>
      </w:pPr>
    </w:p>
    <w:p w14:paraId="711FECF7" w14:textId="2B009340" w:rsidR="000A3159" w:rsidRPr="00A74D23" w:rsidRDefault="007D5F31" w:rsidP="009D6EE5">
      <w:pPr>
        <w:spacing w:line="22" w:lineRule="atLeast"/>
        <w:jc w:val="both"/>
        <w:rPr>
          <w:rFonts w:asciiTheme="minorHAnsi" w:hAnsiTheme="minorHAnsi" w:cs="Open Sans"/>
          <w:sz w:val="20"/>
          <w:lang w:val="fr-FR"/>
        </w:rPr>
      </w:pPr>
      <w:r w:rsidRPr="00A74D23">
        <w:rPr>
          <w:rFonts w:asciiTheme="minorHAnsi" w:hAnsiTheme="minorHAnsi" w:cs="Open Sans"/>
          <w:noProof/>
        </w:rPr>
        <mc:AlternateContent>
          <mc:Choice Requires="wps">
            <w:drawing>
              <wp:anchor distT="0" distB="0" distL="114300" distR="114300" simplePos="0" relativeHeight="251533312" behindDoc="1" locked="0" layoutInCell="1" allowOverlap="1" wp14:anchorId="6553E15F" wp14:editId="5FDE1EA6">
                <wp:simplePos x="0" y="0"/>
                <wp:positionH relativeFrom="margin">
                  <wp:posOffset>-827</wp:posOffset>
                </wp:positionH>
                <wp:positionV relativeFrom="paragraph">
                  <wp:posOffset>159182</wp:posOffset>
                </wp:positionV>
                <wp:extent cx="5638165" cy="655608"/>
                <wp:effectExtent l="0" t="0" r="635" b="0"/>
                <wp:wrapNone/>
                <wp:docPr id="453677622" name="Rectangle : coins arrondis 453677622"/>
                <wp:cNvGraphicFramePr/>
                <a:graphic xmlns:a="http://schemas.openxmlformats.org/drawingml/2006/main">
                  <a:graphicData uri="http://schemas.microsoft.com/office/word/2010/wordprocessingShape">
                    <wps:wsp>
                      <wps:cNvSpPr/>
                      <wps:spPr>
                        <a:xfrm>
                          <a:off x="0" y="0"/>
                          <a:ext cx="5638165" cy="655608"/>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6F150F" w14:textId="36B72FE5" w:rsidR="007D5F31" w:rsidRPr="007D5F31" w:rsidRDefault="009B002A" w:rsidP="00590DD1">
                            <w:pPr>
                              <w:pStyle w:val="Paragraphedeliste"/>
                              <w:numPr>
                                <w:ilvl w:val="0"/>
                                <w:numId w:val="50"/>
                              </w:numPr>
                              <w:spacing w:after="0" w:line="240" w:lineRule="auto"/>
                              <w:ind w:left="284" w:hanging="284"/>
                              <w:rPr>
                                <w:rFonts w:ascii="Source Sans Pro" w:hAnsi="Source Sans Pro" w:cstheme="minorHAnsi"/>
                                <w:sz w:val="20"/>
                                <w:szCs w:val="20"/>
                              </w:rPr>
                            </w:pPr>
                            <w:r>
                              <w:rPr>
                                <w:rFonts w:ascii="Source Sans Pro" w:hAnsi="Source Sans Pro" w:cs="Calibri"/>
                                <w:color w:val="000000"/>
                                <w:sz w:val="20"/>
                                <w:szCs w:val="20"/>
                                <w:lang w:eastAsia="fr-FR"/>
                              </w:rPr>
                              <w:t xml:space="preserve">En 2026, </w:t>
                            </w:r>
                            <w:r w:rsidR="007A59AD">
                              <w:rPr>
                                <w:rFonts w:ascii="Source Sans Pro" w:hAnsi="Source Sans Pro" w:cs="Calibri"/>
                                <w:color w:val="000000"/>
                                <w:sz w:val="20"/>
                                <w:szCs w:val="20"/>
                                <w:lang w:eastAsia="fr-FR"/>
                              </w:rPr>
                              <w:t>il est prévu</w:t>
                            </w:r>
                            <w:r>
                              <w:rPr>
                                <w:rFonts w:ascii="Source Sans Pro" w:hAnsi="Source Sans Pro" w:cs="Calibri"/>
                                <w:color w:val="000000"/>
                                <w:sz w:val="20"/>
                                <w:szCs w:val="20"/>
                                <w:lang w:eastAsia="fr-FR"/>
                              </w:rPr>
                              <w:t xml:space="preserve"> de publier </w:t>
                            </w:r>
                            <w:r w:rsidR="007A59AD">
                              <w:rPr>
                                <w:rFonts w:ascii="Source Sans Pro" w:hAnsi="Source Sans Pro" w:cs="Calibri"/>
                                <w:color w:val="000000"/>
                                <w:sz w:val="20"/>
                                <w:szCs w:val="20"/>
                                <w:lang w:eastAsia="fr-FR"/>
                              </w:rPr>
                              <w:t>la feuille de route biodiversité</w:t>
                            </w:r>
                            <w:r w:rsidR="00C50187">
                              <w:rPr>
                                <w:rFonts w:ascii="Source Sans Pro" w:hAnsi="Source Sans Pro" w:cs="Calibri"/>
                                <w:color w:val="000000"/>
                                <w:sz w:val="20"/>
                                <w:szCs w:val="20"/>
                                <w:lang w:eastAsia="fr-FR"/>
                              </w:rPr>
                              <w:t xml:space="preserve"> coconstruite avec les collaborateurs</w:t>
                            </w:r>
                            <w:r w:rsidR="007D5F31">
                              <w:rPr>
                                <w:rFonts w:ascii="Source Sans Pro" w:hAnsi="Source Sans Pro" w:cs="Calibri"/>
                                <w:color w:val="000000"/>
                                <w:sz w:val="20"/>
                                <w:szCs w:val="20"/>
                                <w:lang w:eastAsia="fr-FR"/>
                              </w:rPr>
                              <w:t xml:space="preserve"> Ofi Invest Real Estate</w:t>
                            </w:r>
                          </w:p>
                        </w:txbxContent>
                      </wps:txbx>
                      <wps:bodyPr rot="0" spcFirstLastPara="0" vertOverflow="overflow" horzOverflow="overflow" vert="horz" wrap="square" lIns="180000" tIns="72000" rIns="180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53E15F" id="Rectangle : coins arrondis 453677622" o:spid="_x0000_s1147" style="position:absolute;left:0;text-align:left;margin-left:-.05pt;margin-top:12.55pt;width:443.95pt;height:51.6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" fillcolor="#d8d8d8 [2732]" stroked="f" strokeweight="1pt">
                <v:stroke joinstyle="miter"/>
                <v:textbox inset="5mm,2mm,5mm,1mm">
                  <w:txbxContent>
                    <w:p w14:paraId="3A6F150F" w14:textId="36B72FE5" w:rsidR="007D5F31" w:rsidRPr="007D5F31" w:rsidRDefault="009B002A" w:rsidP="00590DD1">
                      <w:pPr>
                        <w:pStyle w:val="Paragraphedeliste"/>
                        <w:numPr>
                          <w:ilvl w:val="0"/>
                          <w:numId w:val="50"/>
                        </w:numPr>
                        <w:spacing w:after="0" w:line="240" w:lineRule="auto"/>
                        <w:ind w:left="284" w:hanging="284"/>
                        <w:rPr>
                          <w:rFonts w:ascii="Source Sans Pro" w:hAnsi="Source Sans Pro" w:cstheme="minorHAnsi"/>
                          <w:sz w:val="20"/>
                          <w:szCs w:val="20"/>
                        </w:rPr>
                      </w:pPr>
                      <w:r>
                        <w:rPr>
                          <w:rFonts w:ascii="Source Sans Pro" w:hAnsi="Source Sans Pro" w:cs="Calibri"/>
                          <w:color w:val="000000"/>
                          <w:sz w:val="20"/>
                          <w:szCs w:val="20"/>
                          <w:lang w:eastAsia="fr-FR"/>
                        </w:rPr>
                        <w:t xml:space="preserve">En 2026, </w:t>
                      </w:r>
                      <w:r w:rsidR="007A59AD">
                        <w:rPr>
                          <w:rFonts w:ascii="Source Sans Pro" w:hAnsi="Source Sans Pro" w:cs="Calibri"/>
                          <w:color w:val="000000"/>
                          <w:sz w:val="20"/>
                          <w:szCs w:val="20"/>
                          <w:lang w:eastAsia="fr-FR"/>
                        </w:rPr>
                        <w:t>il est prévu</w:t>
                      </w:r>
                      <w:r>
                        <w:rPr>
                          <w:rFonts w:ascii="Source Sans Pro" w:hAnsi="Source Sans Pro" w:cs="Calibri"/>
                          <w:color w:val="000000"/>
                          <w:sz w:val="20"/>
                          <w:szCs w:val="20"/>
                          <w:lang w:eastAsia="fr-FR"/>
                        </w:rPr>
                        <w:t xml:space="preserve"> de publier </w:t>
                      </w:r>
                      <w:r w:rsidR="007A59AD">
                        <w:rPr>
                          <w:rFonts w:ascii="Source Sans Pro" w:hAnsi="Source Sans Pro" w:cs="Calibri"/>
                          <w:color w:val="000000"/>
                          <w:sz w:val="20"/>
                          <w:szCs w:val="20"/>
                          <w:lang w:eastAsia="fr-FR"/>
                        </w:rPr>
                        <w:t>la feuille de route biodiversité</w:t>
                      </w:r>
                      <w:r w:rsidR="00C50187">
                        <w:rPr>
                          <w:rFonts w:ascii="Source Sans Pro" w:hAnsi="Source Sans Pro" w:cs="Calibri"/>
                          <w:color w:val="000000"/>
                          <w:sz w:val="20"/>
                          <w:szCs w:val="20"/>
                          <w:lang w:eastAsia="fr-FR"/>
                        </w:rPr>
                        <w:t xml:space="preserve"> coconstruite avec les collaborateurs</w:t>
                      </w:r>
                      <w:r w:rsidR="007D5F31">
                        <w:rPr>
                          <w:rFonts w:ascii="Source Sans Pro" w:hAnsi="Source Sans Pro" w:cs="Calibri"/>
                          <w:color w:val="000000"/>
                          <w:sz w:val="20"/>
                          <w:szCs w:val="20"/>
                          <w:lang w:eastAsia="fr-FR"/>
                        </w:rPr>
                        <w:t xml:space="preserve"> Ofi Invest Real Estate</w:t>
                      </w:r>
                    </w:p>
                  </w:txbxContent>
                </v:textbox>
                <w10:wrap anchorx="margin"/>
              </v:roundrect>
            </w:pict>
          </mc:Fallback>
        </mc:AlternateContent>
      </w:r>
      <w:r w:rsidRPr="00A74D23">
        <w:rPr>
          <w:rFonts w:asciiTheme="minorHAnsi" w:hAnsiTheme="minorHAnsi" w:cs="Open Sans"/>
          <w:noProof/>
        </w:rPr>
        <mc:AlternateContent>
          <mc:Choice Requires="wps">
            <w:drawing>
              <wp:anchor distT="0" distB="0" distL="114300" distR="114300" simplePos="0" relativeHeight="251531264" behindDoc="0" locked="0" layoutInCell="1" allowOverlap="1" wp14:anchorId="17CE6549" wp14:editId="53A79A7A">
                <wp:simplePos x="0" y="0"/>
                <wp:positionH relativeFrom="margin">
                  <wp:posOffset>1550670</wp:posOffset>
                </wp:positionH>
                <wp:positionV relativeFrom="paragraph">
                  <wp:posOffset>13335</wp:posOffset>
                </wp:positionV>
                <wp:extent cx="2667635" cy="262255"/>
                <wp:effectExtent l="0" t="0" r="0" b="4445"/>
                <wp:wrapNone/>
                <wp:docPr id="399788774" name="Rectangle : coins arrondis 399788774"/>
                <wp:cNvGraphicFramePr/>
                <a:graphic xmlns:a="http://schemas.openxmlformats.org/drawingml/2006/main">
                  <a:graphicData uri="http://schemas.microsoft.com/office/word/2010/wordprocessingShape">
                    <wps:wsp>
                      <wps:cNvSpPr/>
                      <wps:spPr>
                        <a:xfrm>
                          <a:off x="0" y="0"/>
                          <a:ext cx="2667635" cy="262255"/>
                        </a:xfrm>
                        <a:prstGeom prst="roundRect">
                          <a:avLst>
                            <a:gd name="adj" fmla="val 0"/>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FC2271" w14:textId="34A4DA2D" w:rsidR="009B002A" w:rsidRPr="002171F8" w:rsidRDefault="009B002A" w:rsidP="009B002A">
                            <w:pPr>
                              <w:jc w:val="center"/>
                              <w:rPr>
                                <w:b/>
                                <w:bCs/>
                                <w:sz w:val="32"/>
                                <w:szCs w:val="32"/>
                                <w:lang w:val="fr-FR"/>
                              </w:rPr>
                            </w:pPr>
                            <w:r w:rsidRPr="002171F8">
                              <w:rPr>
                                <w:rFonts w:ascii="Source Sans Pro" w:hAnsi="Source Sans Pro"/>
                                <w:b/>
                                <w:bCs/>
                              </w:rPr>
                              <w:t>Plan d’amélioration</w:t>
                            </w:r>
                            <w:r w:rsidR="002171F8" w:rsidRPr="002171F8">
                              <w:rPr>
                                <w:rFonts w:ascii="Source Sans Pro" w:hAnsi="Source Sans Pro"/>
                                <w:b/>
                                <w:bCs/>
                              </w:rPr>
                              <w:t xml:space="preserve"> 2026</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CE6549" id="Rectangle : coins arrondis 399788774" o:spid="_x0000_s1148" style="position:absolute;left:0;text-align:left;margin-left:122.1pt;margin-top:1.05pt;width:210.05pt;height:20.65pt;z-index:251531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" fillcolor="#8a2c24 [3205]" stroked="f" strokeweight="1pt">
                <v:stroke joinstyle="miter"/>
                <v:textbox inset="2.5mm,1mm,2.5mm,1mm">
                  <w:txbxContent>
                    <w:p w14:paraId="5EFC2271" w14:textId="34A4DA2D" w:rsidR="009B002A" w:rsidRPr="002171F8" w:rsidRDefault="009B002A" w:rsidP="009B002A">
                      <w:pPr>
                        <w:jc w:val="center"/>
                        <w:rPr>
                          <w:b/>
                          <w:bCs/>
                          <w:sz w:val="32"/>
                          <w:szCs w:val="32"/>
                          <w:lang w:val="fr-FR"/>
                        </w:rPr>
                      </w:pPr>
                      <w:r w:rsidRPr="002171F8">
                        <w:rPr>
                          <w:rFonts w:ascii="Source Sans Pro" w:hAnsi="Source Sans Pro"/>
                          <w:b/>
                          <w:bCs/>
                        </w:rPr>
                        <w:t>Plan d’amélioration</w:t>
                      </w:r>
                      <w:r w:rsidR="002171F8" w:rsidRPr="002171F8">
                        <w:rPr>
                          <w:rFonts w:ascii="Source Sans Pro" w:hAnsi="Source Sans Pro"/>
                          <w:b/>
                          <w:bCs/>
                        </w:rPr>
                        <w:t xml:space="preserve"> 2026</w:t>
                      </w:r>
                    </w:p>
                  </w:txbxContent>
                </v:textbox>
                <w10:wrap anchorx="margin"/>
              </v:roundrect>
            </w:pict>
          </mc:Fallback>
        </mc:AlternateContent>
      </w:r>
    </w:p>
    <w:p w14:paraId="5F64EDA4" w14:textId="13D2332A" w:rsidR="000A3159" w:rsidRPr="00A74D23" w:rsidRDefault="000A3159" w:rsidP="009D6EE5">
      <w:pPr>
        <w:spacing w:line="22" w:lineRule="atLeast"/>
        <w:jc w:val="both"/>
        <w:rPr>
          <w:rFonts w:asciiTheme="minorHAnsi" w:hAnsiTheme="minorHAnsi" w:cs="Open Sans"/>
          <w:sz w:val="20"/>
          <w:lang w:val="fr-FR"/>
        </w:rPr>
      </w:pPr>
    </w:p>
    <w:p w14:paraId="7EB867BD" w14:textId="77777777" w:rsidR="00C50187" w:rsidRPr="00A74D23" w:rsidRDefault="00C50187" w:rsidP="009D6EE5">
      <w:pPr>
        <w:spacing w:line="22" w:lineRule="atLeast"/>
        <w:jc w:val="both"/>
        <w:rPr>
          <w:rFonts w:asciiTheme="minorHAnsi" w:hAnsiTheme="minorHAnsi" w:cs="Open Sans"/>
          <w:sz w:val="20"/>
          <w:lang w:val="fr-FR"/>
        </w:rPr>
      </w:pPr>
    </w:p>
    <w:p w14:paraId="34C13F77" w14:textId="77777777" w:rsidR="00C50187" w:rsidRPr="00A74D23" w:rsidRDefault="00C50187" w:rsidP="009D6EE5">
      <w:pPr>
        <w:spacing w:line="22" w:lineRule="atLeast"/>
        <w:jc w:val="both"/>
        <w:rPr>
          <w:rFonts w:asciiTheme="minorHAnsi" w:hAnsiTheme="minorHAnsi" w:cs="Open Sans"/>
          <w:sz w:val="20"/>
          <w:lang w:val="fr-FR"/>
        </w:rPr>
      </w:pPr>
    </w:p>
    <w:p w14:paraId="4AA7E316" w14:textId="77777777" w:rsidR="007D5F31" w:rsidRPr="00A74D23" w:rsidRDefault="007D5F31" w:rsidP="009D6EE5">
      <w:pPr>
        <w:spacing w:line="22" w:lineRule="atLeast"/>
        <w:jc w:val="both"/>
        <w:rPr>
          <w:rFonts w:asciiTheme="minorHAnsi" w:hAnsiTheme="minorHAnsi" w:cs="Open Sans"/>
          <w:sz w:val="20"/>
          <w:lang w:val="fr-FR"/>
        </w:rPr>
      </w:pPr>
    </w:p>
    <w:p w14:paraId="0117E849" w14:textId="77777777" w:rsidR="007D5F31" w:rsidRPr="00A74D23" w:rsidRDefault="007D5F31" w:rsidP="009D6EE5">
      <w:pPr>
        <w:spacing w:line="22" w:lineRule="atLeast"/>
        <w:jc w:val="both"/>
        <w:rPr>
          <w:rFonts w:asciiTheme="minorHAnsi" w:hAnsiTheme="minorHAnsi" w:cs="Open Sans"/>
          <w:sz w:val="20"/>
          <w:lang w:val="fr-FR"/>
        </w:rPr>
      </w:pPr>
    </w:p>
    <w:p w14:paraId="6C810EA1" w14:textId="77777777" w:rsidR="00F5390E" w:rsidRPr="00A74D23" w:rsidRDefault="00F5390E" w:rsidP="009D6EE5">
      <w:pPr>
        <w:spacing w:line="22" w:lineRule="atLeast"/>
        <w:jc w:val="both"/>
        <w:rPr>
          <w:rFonts w:asciiTheme="minorHAnsi" w:hAnsiTheme="minorHAnsi" w:cs="Open Sans"/>
          <w:sz w:val="20"/>
          <w:lang w:val="fr-FR"/>
        </w:rPr>
      </w:pPr>
    </w:p>
    <w:p w14:paraId="33A61347" w14:textId="514930AC" w:rsidR="000D2C37" w:rsidRPr="00A74D23" w:rsidRDefault="00292DF2" w:rsidP="009D6EE5">
      <w:pPr>
        <w:pStyle w:val="Style2"/>
        <w:numPr>
          <w:ilvl w:val="1"/>
          <w:numId w:val="1"/>
        </w:numPr>
        <w:spacing w:line="22" w:lineRule="atLeast"/>
        <w:jc w:val="both"/>
        <w:rPr>
          <w:rFonts w:asciiTheme="minorHAnsi" w:hAnsiTheme="minorHAnsi" w:cs="Open Sans"/>
          <w:sz w:val="36"/>
          <w:szCs w:val="36"/>
        </w:rPr>
      </w:pPr>
      <w:bookmarkStart w:id="93" w:name="_Toc129091832"/>
      <w:bookmarkStart w:id="94" w:name="_Toc128735920"/>
      <w:bookmarkStart w:id="95" w:name="_Toc231337023"/>
      <w:r w:rsidRPr="00A74D23">
        <w:rPr>
          <w:rFonts w:asciiTheme="minorHAnsi" w:hAnsiTheme="minorHAnsi" w:cs="Open Sans"/>
          <w:sz w:val="36"/>
          <w:szCs w:val="36"/>
        </w:rPr>
        <w:t xml:space="preserve">Notre </w:t>
      </w:r>
      <w:r w:rsidR="00993B87" w:rsidRPr="00A74D23">
        <w:rPr>
          <w:rFonts w:asciiTheme="minorHAnsi" w:hAnsiTheme="minorHAnsi" w:cs="Open Sans"/>
          <w:sz w:val="36"/>
          <w:szCs w:val="36"/>
        </w:rPr>
        <w:t>impact sur la</w:t>
      </w:r>
      <w:r w:rsidRPr="00A74D23">
        <w:rPr>
          <w:rFonts w:asciiTheme="minorHAnsi" w:hAnsiTheme="minorHAnsi" w:cs="Open Sans"/>
          <w:sz w:val="36"/>
          <w:szCs w:val="36"/>
        </w:rPr>
        <w:t xml:space="preserve"> biodiversité</w:t>
      </w:r>
      <w:bookmarkEnd w:id="93"/>
      <w:bookmarkEnd w:id="94"/>
      <w:bookmarkEnd w:id="95"/>
    </w:p>
    <w:p w14:paraId="5A762136" w14:textId="77777777" w:rsidR="006A2998" w:rsidRPr="00A74D23" w:rsidRDefault="006A2998" w:rsidP="009D6EE5">
      <w:pPr>
        <w:spacing w:line="22" w:lineRule="atLeast"/>
        <w:jc w:val="both"/>
        <w:rPr>
          <w:rFonts w:asciiTheme="minorHAnsi" w:hAnsiTheme="minorHAnsi"/>
        </w:rPr>
      </w:pPr>
    </w:p>
    <w:p w14:paraId="1FCAD256" w14:textId="5F781E16" w:rsidR="006A2998" w:rsidRDefault="006A2998" w:rsidP="00590DD1">
      <w:pPr>
        <w:pStyle w:val="Style3"/>
        <w:numPr>
          <w:ilvl w:val="1"/>
          <w:numId w:val="93"/>
        </w:numPr>
        <w:spacing w:after="0" w:line="22" w:lineRule="atLeast"/>
        <w:ind w:left="993"/>
        <w:jc w:val="both"/>
        <w:rPr>
          <w:rFonts w:asciiTheme="minorHAnsi" w:hAnsiTheme="minorHAnsi" w:cs="Open Sans"/>
          <w:sz w:val="32"/>
          <w:szCs w:val="32"/>
        </w:rPr>
      </w:pPr>
      <w:r w:rsidRPr="00A74D23">
        <w:rPr>
          <w:rFonts w:asciiTheme="minorHAnsi" w:hAnsiTheme="minorHAnsi" w:cs="Open Sans"/>
          <w:sz w:val="32"/>
          <w:szCs w:val="32"/>
        </w:rPr>
        <w:t xml:space="preserve">L’empreinte biodiversité de notre portefeuille d’investissements corporate </w:t>
      </w:r>
    </w:p>
    <w:p w14:paraId="601CF3E9" w14:textId="77777777" w:rsidR="008817A2" w:rsidRDefault="008817A2" w:rsidP="008817A2">
      <w:pPr>
        <w:pStyle w:val="Style3"/>
        <w:spacing w:after="0" w:line="22" w:lineRule="atLeast"/>
        <w:jc w:val="both"/>
        <w:rPr>
          <w:rFonts w:asciiTheme="minorHAnsi" w:hAnsiTheme="minorHAnsi" w:cs="Open Sans"/>
          <w:sz w:val="32"/>
          <w:szCs w:val="32"/>
        </w:rPr>
      </w:pPr>
    </w:p>
    <w:p w14:paraId="37FDCB56" w14:textId="77777777" w:rsidR="008817A2" w:rsidRDefault="008817A2" w:rsidP="008817A2">
      <w:pPr>
        <w:pStyle w:val="Style3"/>
        <w:spacing w:after="0" w:line="22" w:lineRule="atLeast"/>
        <w:jc w:val="both"/>
        <w:rPr>
          <w:rFonts w:asciiTheme="minorHAnsi" w:hAnsiTheme="minorHAnsi" w:cs="Open Sans"/>
          <w:sz w:val="32"/>
          <w:szCs w:val="32"/>
        </w:rPr>
      </w:pPr>
    </w:p>
    <w:p w14:paraId="10083E64" w14:textId="77777777" w:rsidR="008817A2" w:rsidRDefault="008817A2" w:rsidP="008817A2">
      <w:pPr>
        <w:pStyle w:val="Style3"/>
        <w:spacing w:after="0" w:line="22" w:lineRule="atLeast"/>
        <w:jc w:val="both"/>
        <w:rPr>
          <w:rFonts w:asciiTheme="minorHAnsi" w:hAnsiTheme="minorHAnsi" w:cs="Open Sans"/>
          <w:sz w:val="32"/>
          <w:szCs w:val="32"/>
        </w:rPr>
      </w:pPr>
    </w:p>
    <w:p w14:paraId="7DE8F7B6" w14:textId="77777777" w:rsidR="008817A2" w:rsidRPr="00A74D23" w:rsidRDefault="008817A2" w:rsidP="008817A2">
      <w:pPr>
        <w:pStyle w:val="Style3"/>
        <w:spacing w:after="0" w:line="22" w:lineRule="atLeast"/>
        <w:jc w:val="both"/>
        <w:rPr>
          <w:rFonts w:asciiTheme="minorHAnsi" w:hAnsiTheme="minorHAnsi" w:cs="Open Sans"/>
          <w:sz w:val="32"/>
          <w:szCs w:val="32"/>
        </w:rPr>
      </w:pPr>
    </w:p>
    <w:p w14:paraId="6FFD7ACA" w14:textId="63FE21DA" w:rsidR="00D56A4F" w:rsidRPr="00A74D23" w:rsidRDefault="002714B7" w:rsidP="003D2980">
      <w:pPr>
        <w:spacing w:after="120" w:line="22" w:lineRule="atLeast"/>
        <w:jc w:val="both"/>
        <w:rPr>
          <w:rFonts w:asciiTheme="minorHAnsi" w:hAnsiTheme="minorHAnsi" w:cs="Open Sans"/>
          <w:i/>
          <w:iCs/>
          <w:color w:val="8A2C24" w:themeColor="accent2"/>
          <w:szCs w:val="28"/>
          <w:lang w:val="fr-FR"/>
        </w:rPr>
      </w:pPr>
      <w:r w:rsidRPr="00A74D23">
        <w:rPr>
          <w:rFonts w:asciiTheme="minorHAnsi" w:hAnsiTheme="minorHAnsi" w:cs="Open Sans"/>
          <w:noProof/>
        </w:rPr>
        <mc:AlternateContent>
          <mc:Choice Requires="wps">
            <w:drawing>
              <wp:anchor distT="0" distB="0" distL="114300" distR="114300" simplePos="0" relativeHeight="251405312" behindDoc="0" locked="0" layoutInCell="1" allowOverlap="1" wp14:anchorId="0731AE56" wp14:editId="3A4672FA">
                <wp:simplePos x="0" y="0"/>
                <wp:positionH relativeFrom="margin">
                  <wp:posOffset>1117432</wp:posOffset>
                </wp:positionH>
                <wp:positionV relativeFrom="paragraph">
                  <wp:posOffset>252790</wp:posOffset>
                </wp:positionV>
                <wp:extent cx="3651695" cy="262255"/>
                <wp:effectExtent l="0" t="0" r="6350" b="4445"/>
                <wp:wrapNone/>
                <wp:docPr id="2146660148" name="Rectangle : coins arrondis 2146660148"/>
                <wp:cNvGraphicFramePr/>
                <a:graphic xmlns:a="http://schemas.openxmlformats.org/drawingml/2006/main">
                  <a:graphicData uri="http://schemas.microsoft.com/office/word/2010/wordprocessingShape">
                    <wps:wsp>
                      <wps:cNvSpPr/>
                      <wps:spPr>
                        <a:xfrm>
                          <a:off x="0" y="0"/>
                          <a:ext cx="3651695" cy="262255"/>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7EEBC3" w14:textId="403300A4" w:rsidR="00C53B22" w:rsidRPr="00A43787" w:rsidRDefault="00C53B22" w:rsidP="00C53B22">
                            <w:pPr>
                              <w:jc w:val="center"/>
                              <w:rPr>
                                <w:b/>
                                <w:bCs/>
                                <w:color w:val="000000" w:themeColor="text1"/>
                                <w:sz w:val="32"/>
                                <w:szCs w:val="32"/>
                                <w:lang w:val="fr-FR"/>
                              </w:rPr>
                            </w:pPr>
                            <w:r w:rsidRPr="00A43787">
                              <w:rPr>
                                <w:rFonts w:ascii="Source Sans Pro" w:hAnsi="Source Sans Pro"/>
                                <w:b/>
                                <w:bCs/>
                                <w:color w:val="000000" w:themeColor="text1"/>
                                <w:lang w:val="fr-FR"/>
                              </w:rPr>
                              <w:t>Notre métrique d’empreinte : le MSAppb*</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31AE56" id="Rectangle : coins arrondis 2146660148" o:spid="_x0000_s1149" style="position:absolute;left:0;text-align:left;margin-left:88pt;margin-top:19.9pt;width:287.55pt;height:20.65pt;z-index:25140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" fillcolor="#ffc000" stroked="f" strokeweight="1pt">
                <v:stroke joinstyle="miter"/>
                <v:textbox inset="2.5mm,1mm,2.5mm,1mm">
                  <w:txbxContent>
                    <w:p w14:paraId="507EEBC3" w14:textId="403300A4" w:rsidR="00C53B22" w:rsidRPr="00A43787" w:rsidRDefault="00C53B22" w:rsidP="00C53B22">
                      <w:pPr>
                        <w:jc w:val="center"/>
                        <w:rPr>
                          <w:b/>
                          <w:bCs/>
                          <w:color w:val="000000" w:themeColor="text1"/>
                          <w:sz w:val="32"/>
                          <w:szCs w:val="32"/>
                          <w:lang w:val="fr-FR"/>
                        </w:rPr>
                      </w:pPr>
                      <w:r w:rsidRPr="00A43787">
                        <w:rPr>
                          <w:rFonts w:ascii="Source Sans Pro" w:hAnsi="Source Sans Pro"/>
                          <w:b/>
                          <w:bCs/>
                          <w:color w:val="000000" w:themeColor="text1"/>
                          <w:lang w:val="fr-FR"/>
                        </w:rPr>
                        <w:t>Notre métrique d’empreinte : le MSAppb*</w:t>
                      </w:r>
                    </w:p>
                  </w:txbxContent>
                </v:textbox>
                <w10:wrap anchorx="margin"/>
              </v:roundrect>
            </w:pict>
          </mc:Fallback>
        </mc:AlternateContent>
      </w:r>
      <w:r w:rsidR="003E105E" w:rsidRPr="00A74D23">
        <w:rPr>
          <w:rFonts w:asciiTheme="minorHAnsi" w:hAnsiTheme="minorHAnsi" w:cs="Open Sans"/>
          <w:i/>
          <w:iCs/>
          <w:color w:val="8A2C24" w:themeColor="accent2"/>
          <w:szCs w:val="28"/>
          <w:lang w:val="fr-FR"/>
        </w:rPr>
        <w:t xml:space="preserve"> </w:t>
      </w:r>
    </w:p>
    <w:p w14:paraId="7A89C5C2" w14:textId="4972F67A" w:rsidR="00D56A4F" w:rsidRPr="00A74D23" w:rsidRDefault="00050CD0" w:rsidP="009D6EE5">
      <w:pPr>
        <w:spacing w:line="22" w:lineRule="atLeast"/>
        <w:jc w:val="both"/>
        <w:rPr>
          <w:rFonts w:asciiTheme="minorHAnsi" w:hAnsiTheme="minorHAnsi" w:cs="Open Sans"/>
          <w:szCs w:val="28"/>
          <w:lang w:val="fr-FR"/>
        </w:rPr>
      </w:pPr>
      <w:r w:rsidRPr="00A74D23">
        <w:rPr>
          <w:rFonts w:asciiTheme="minorHAnsi" w:hAnsiTheme="minorHAnsi" w:cs="Open Sans"/>
          <w:noProof/>
        </w:rPr>
        <mc:AlternateContent>
          <mc:Choice Requires="wps">
            <w:drawing>
              <wp:anchor distT="0" distB="0" distL="114300" distR="114300" simplePos="0" relativeHeight="251407360" behindDoc="1" locked="0" layoutInCell="1" allowOverlap="1" wp14:anchorId="63D0D04B" wp14:editId="3BB5B3D7">
                <wp:simplePos x="0" y="0"/>
                <wp:positionH relativeFrom="margin">
                  <wp:align>left</wp:align>
                </wp:positionH>
                <wp:positionV relativeFrom="paragraph">
                  <wp:posOffset>146850</wp:posOffset>
                </wp:positionV>
                <wp:extent cx="5638165" cy="1375575"/>
                <wp:effectExtent l="0" t="0" r="635" b="0"/>
                <wp:wrapNone/>
                <wp:docPr id="69383136" name="Rectangle : coins arrondis 69383136"/>
                <wp:cNvGraphicFramePr/>
                <a:graphic xmlns:a="http://schemas.openxmlformats.org/drawingml/2006/main">
                  <a:graphicData uri="http://schemas.microsoft.com/office/word/2010/wordprocessingShape">
                    <wps:wsp>
                      <wps:cNvSpPr/>
                      <wps:spPr>
                        <a:xfrm>
                          <a:off x="0" y="0"/>
                          <a:ext cx="5638165" cy="1375575"/>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46861C" w14:textId="3243114F" w:rsidR="00C53B22" w:rsidRPr="00050CD0" w:rsidRDefault="00085006" w:rsidP="00085006">
                            <w:pPr>
                              <w:spacing w:line="140" w:lineRule="atLeast"/>
                              <w:rPr>
                                <w:rFonts w:asciiTheme="minorHAnsi" w:hAnsiTheme="minorHAnsi" w:cs="Segoe UI"/>
                                <w:color w:val="000000" w:themeColor="text1"/>
                                <w:sz w:val="20"/>
                                <w:szCs w:val="20"/>
                                <w:lang w:val="fr-FR"/>
                              </w:rPr>
                            </w:pPr>
                            <w:r w:rsidRPr="00050CD0">
                              <w:rPr>
                                <w:rFonts w:asciiTheme="minorHAnsi" w:hAnsiTheme="minorHAnsi" w:cs="Segoe UI"/>
                                <w:color w:val="000000" w:themeColor="text1"/>
                                <w:sz w:val="20"/>
                                <w:szCs w:val="20"/>
                                <w:lang w:val="fr-FR"/>
                              </w:rPr>
                              <w:t xml:space="preserve">La métrique MSAppb* développée par Carbon4 Finance, en partenariat avec CDC Biodiversité, permet de mesurer et d’agréger les </w:t>
                            </w:r>
                            <w:r w:rsidRPr="00050CD0">
                              <w:rPr>
                                <w:rFonts w:asciiTheme="minorHAnsi" w:hAnsiTheme="minorHAnsi" w:cs="Segoe UI"/>
                                <w:b/>
                                <w:bCs/>
                                <w:color w:val="000000" w:themeColor="text1"/>
                                <w:sz w:val="20"/>
                                <w:szCs w:val="20"/>
                                <w:lang w:val="fr-FR"/>
                              </w:rPr>
                              <w:t>impacts sur la biodiversité terrestre et aquatique</w:t>
                            </w:r>
                            <w:r w:rsidRPr="00050CD0">
                              <w:rPr>
                                <w:rFonts w:asciiTheme="minorHAnsi" w:hAnsiTheme="minorHAnsi" w:cs="Segoe UI"/>
                                <w:color w:val="000000" w:themeColor="text1"/>
                                <w:sz w:val="20"/>
                                <w:szCs w:val="20"/>
                                <w:lang w:val="fr-FR"/>
                              </w:rPr>
                              <w:t xml:space="preserve">, en intégrant des dimensions à la fois </w:t>
                            </w:r>
                            <w:r w:rsidRPr="00050CD0">
                              <w:rPr>
                                <w:rFonts w:asciiTheme="minorHAnsi" w:hAnsiTheme="minorHAnsi" w:cs="Segoe UI"/>
                                <w:b/>
                                <w:bCs/>
                                <w:color w:val="000000" w:themeColor="text1"/>
                                <w:sz w:val="20"/>
                                <w:szCs w:val="20"/>
                                <w:lang w:val="fr-FR"/>
                              </w:rPr>
                              <w:t>statiques et dynamiques</w:t>
                            </w:r>
                            <w:r w:rsidRPr="00050CD0">
                              <w:rPr>
                                <w:rFonts w:asciiTheme="minorHAnsi" w:hAnsiTheme="minorHAnsi" w:cs="Segoe UI"/>
                                <w:color w:val="000000" w:themeColor="text1"/>
                                <w:sz w:val="20"/>
                                <w:szCs w:val="20"/>
                                <w:lang w:val="fr-FR"/>
                              </w:rPr>
                              <w:t>. Elle vise à refléter l’impact global des investissements sur la biodiversité à l’échelle du portefeuille. Notre société de gestion a retenu cette métrique comme outil de référence, tout en restant attentive aux évolutions méthodologiques du marché, afin de sélectionner, le cas échéant, les indicateurs les plus pertinents et les plus représentatifs des impacts réels du portefeuille sur la biodiversité.</w:t>
                            </w:r>
                          </w:p>
                        </w:txbxContent>
                      </wps:txbx>
                      <wps:bodyPr rot="0" spcFirstLastPara="0" vertOverflow="overflow" horzOverflow="overflow" vert="horz" wrap="square" lIns="180000" tIns="72000" rIns="180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D0D04B" id="Rectangle : coins arrondis 69383136" o:spid="_x0000_s1150" style="position:absolute;left:0;text-align:left;margin-left:0;margin-top:11.55pt;width:443.95pt;height:108.3pt;z-index:-251909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" fillcolor="#d8d8d8 [2732]" stroked="f" strokeweight="1pt">
                <v:stroke joinstyle="miter"/>
                <v:textbox inset="5mm,2mm,5mm,1mm">
                  <w:txbxContent>
                    <w:p w14:paraId="7546861C" w14:textId="3243114F" w:rsidR="00C53B22" w:rsidRPr="00050CD0" w:rsidRDefault="00085006" w:rsidP="00085006">
                      <w:pPr>
                        <w:spacing w:line="140" w:lineRule="atLeast"/>
                        <w:rPr>
                          <w:rFonts w:asciiTheme="minorHAnsi" w:hAnsiTheme="minorHAnsi" w:cs="Segoe UI"/>
                          <w:color w:val="000000" w:themeColor="text1"/>
                          <w:sz w:val="20"/>
                          <w:szCs w:val="20"/>
                          <w:lang w:val="fr-FR"/>
                        </w:rPr>
                      </w:pPr>
                      <w:r w:rsidRPr="00050CD0">
                        <w:rPr>
                          <w:rFonts w:asciiTheme="minorHAnsi" w:hAnsiTheme="minorHAnsi" w:cs="Segoe UI"/>
                          <w:color w:val="000000" w:themeColor="text1"/>
                          <w:sz w:val="20"/>
                          <w:szCs w:val="20"/>
                          <w:lang w:val="fr-FR"/>
                        </w:rPr>
                        <w:t xml:space="preserve">La métrique MSAppb* développée par Carbon4 Finance, en partenariat avec CDC Biodiversité, permet de mesurer et d’agréger les </w:t>
                      </w:r>
                      <w:r w:rsidRPr="00050CD0">
                        <w:rPr>
                          <w:rFonts w:asciiTheme="minorHAnsi" w:hAnsiTheme="minorHAnsi" w:cs="Segoe UI"/>
                          <w:b/>
                          <w:bCs/>
                          <w:color w:val="000000" w:themeColor="text1"/>
                          <w:sz w:val="20"/>
                          <w:szCs w:val="20"/>
                          <w:lang w:val="fr-FR"/>
                        </w:rPr>
                        <w:t>impacts sur la biodiversité terrestre et aquatique</w:t>
                      </w:r>
                      <w:r w:rsidRPr="00050CD0">
                        <w:rPr>
                          <w:rFonts w:asciiTheme="minorHAnsi" w:hAnsiTheme="minorHAnsi" w:cs="Segoe UI"/>
                          <w:color w:val="000000" w:themeColor="text1"/>
                          <w:sz w:val="20"/>
                          <w:szCs w:val="20"/>
                          <w:lang w:val="fr-FR"/>
                        </w:rPr>
                        <w:t xml:space="preserve">, en intégrant des dimensions à la fois </w:t>
                      </w:r>
                      <w:r w:rsidRPr="00050CD0">
                        <w:rPr>
                          <w:rFonts w:asciiTheme="minorHAnsi" w:hAnsiTheme="minorHAnsi" w:cs="Segoe UI"/>
                          <w:b/>
                          <w:bCs/>
                          <w:color w:val="000000" w:themeColor="text1"/>
                          <w:sz w:val="20"/>
                          <w:szCs w:val="20"/>
                          <w:lang w:val="fr-FR"/>
                        </w:rPr>
                        <w:t>statiques et dynamiques</w:t>
                      </w:r>
                      <w:r w:rsidRPr="00050CD0">
                        <w:rPr>
                          <w:rFonts w:asciiTheme="minorHAnsi" w:hAnsiTheme="minorHAnsi" w:cs="Segoe UI"/>
                          <w:color w:val="000000" w:themeColor="text1"/>
                          <w:sz w:val="20"/>
                          <w:szCs w:val="20"/>
                          <w:lang w:val="fr-FR"/>
                        </w:rPr>
                        <w:t>. Elle vise à refléter l’impact global des investissements sur la biodiversité à l’échelle du portefeuille. Notre société de gestion a retenu cette métrique comme outil de référence, tout en restant attentive aux évolutions méthodologiques du marché, afin de sélectionner, le cas échéant, les indicateurs les plus pertinents et les plus représentatifs des impacts réels du portefeuille sur la biodiversité.</w:t>
                      </w:r>
                    </w:p>
                  </w:txbxContent>
                </v:textbox>
                <w10:wrap anchorx="margin"/>
              </v:roundrect>
            </w:pict>
          </mc:Fallback>
        </mc:AlternateContent>
      </w:r>
    </w:p>
    <w:p w14:paraId="1CF7DBB8" w14:textId="77777777" w:rsidR="00D56A4F" w:rsidRPr="00A74D23" w:rsidRDefault="00D56A4F" w:rsidP="009D6EE5">
      <w:pPr>
        <w:spacing w:line="22" w:lineRule="atLeast"/>
        <w:jc w:val="both"/>
        <w:rPr>
          <w:rFonts w:asciiTheme="minorHAnsi" w:hAnsiTheme="minorHAnsi" w:cs="Open Sans"/>
          <w:szCs w:val="28"/>
          <w:lang w:val="fr-FR"/>
        </w:rPr>
      </w:pPr>
    </w:p>
    <w:p w14:paraId="204FD1E1" w14:textId="77777777" w:rsidR="00050CD0" w:rsidRPr="00A74D23" w:rsidRDefault="00050CD0" w:rsidP="009D6EE5">
      <w:pPr>
        <w:spacing w:line="22" w:lineRule="atLeast"/>
        <w:jc w:val="both"/>
        <w:rPr>
          <w:rFonts w:asciiTheme="minorHAnsi" w:hAnsiTheme="minorHAnsi" w:cs="Open Sans"/>
          <w:szCs w:val="28"/>
          <w:lang w:val="fr-FR"/>
        </w:rPr>
      </w:pPr>
    </w:p>
    <w:p w14:paraId="1742701B" w14:textId="77777777" w:rsidR="00D56A4F" w:rsidRPr="00A74D23" w:rsidRDefault="00D56A4F" w:rsidP="009D6EE5">
      <w:pPr>
        <w:spacing w:line="22" w:lineRule="atLeast"/>
        <w:jc w:val="both"/>
        <w:rPr>
          <w:rFonts w:asciiTheme="minorHAnsi" w:hAnsiTheme="minorHAnsi" w:cs="Open Sans"/>
          <w:szCs w:val="28"/>
          <w:lang w:val="fr-FR"/>
        </w:rPr>
      </w:pPr>
    </w:p>
    <w:p w14:paraId="01562719" w14:textId="77777777" w:rsidR="002171F8" w:rsidRPr="00A74D23" w:rsidRDefault="002171F8" w:rsidP="009D6EE5">
      <w:pPr>
        <w:spacing w:line="22" w:lineRule="atLeast"/>
        <w:jc w:val="both"/>
        <w:rPr>
          <w:rFonts w:asciiTheme="minorHAnsi" w:hAnsiTheme="minorHAnsi" w:cs="Open Sans"/>
          <w:szCs w:val="28"/>
          <w:lang w:val="fr-FR"/>
        </w:rPr>
      </w:pPr>
    </w:p>
    <w:p w14:paraId="1E696BCD" w14:textId="77777777" w:rsidR="002171F8" w:rsidRPr="00A74D23" w:rsidRDefault="002171F8" w:rsidP="009D6EE5">
      <w:pPr>
        <w:spacing w:line="22" w:lineRule="atLeast"/>
        <w:jc w:val="both"/>
        <w:rPr>
          <w:rFonts w:asciiTheme="minorHAnsi" w:hAnsiTheme="minorHAnsi" w:cs="Open Sans"/>
          <w:szCs w:val="28"/>
          <w:lang w:val="fr-FR"/>
        </w:rPr>
      </w:pPr>
    </w:p>
    <w:p w14:paraId="78859C73" w14:textId="77777777" w:rsidR="002171F8" w:rsidRPr="00A74D23" w:rsidRDefault="002171F8" w:rsidP="009D6EE5">
      <w:pPr>
        <w:spacing w:line="22" w:lineRule="atLeast"/>
        <w:jc w:val="both"/>
        <w:rPr>
          <w:rFonts w:asciiTheme="minorHAnsi" w:hAnsiTheme="minorHAnsi" w:cs="Open Sans"/>
          <w:szCs w:val="28"/>
          <w:lang w:val="fr-FR"/>
        </w:rPr>
      </w:pPr>
    </w:p>
    <w:p w14:paraId="34799F08" w14:textId="77777777" w:rsidR="00D56A4F" w:rsidRPr="00A74D23" w:rsidRDefault="00D56A4F" w:rsidP="009D6EE5">
      <w:pPr>
        <w:spacing w:line="22" w:lineRule="atLeast"/>
        <w:jc w:val="both"/>
        <w:rPr>
          <w:rFonts w:asciiTheme="minorHAnsi" w:hAnsiTheme="minorHAnsi" w:cs="Open Sans"/>
          <w:i/>
          <w:iCs/>
          <w:color w:val="8A2C24" w:themeColor="accent2"/>
          <w:szCs w:val="28"/>
          <w:lang w:val="fr-FR"/>
        </w:rPr>
      </w:pPr>
    </w:p>
    <w:p w14:paraId="584005B4" w14:textId="77777777" w:rsidR="009B327D" w:rsidRDefault="009B327D" w:rsidP="009D6EE5">
      <w:pPr>
        <w:spacing w:after="120" w:line="22" w:lineRule="atLeast"/>
        <w:jc w:val="both"/>
        <w:rPr>
          <w:rFonts w:asciiTheme="minorHAnsi" w:hAnsiTheme="minorHAnsi" w:cs="Open Sans"/>
          <w:sz w:val="20"/>
          <w:lang w:val="fr-FR"/>
        </w:rPr>
      </w:pPr>
    </w:p>
    <w:p w14:paraId="17382EF8" w14:textId="20B59EBD" w:rsidR="008817A2" w:rsidRPr="00A74D23" w:rsidRDefault="002E2E1B" w:rsidP="009D6EE5">
      <w:pPr>
        <w:spacing w:after="120" w:line="22" w:lineRule="atLeast"/>
        <w:jc w:val="both"/>
        <w:rPr>
          <w:rFonts w:asciiTheme="minorHAnsi" w:hAnsiTheme="minorHAnsi" w:cs="Open Sans"/>
          <w:sz w:val="20"/>
          <w:lang w:val="fr-FR"/>
        </w:rPr>
      </w:pPr>
      <w:r w:rsidRPr="00811BE1">
        <w:rPr>
          <w:noProof/>
          <w:sz w:val="28"/>
          <w:szCs w:val="28"/>
        </w:rPr>
        <w:drawing>
          <wp:inline distT="0" distB="0" distL="0" distR="0" wp14:anchorId="04D51C4D" wp14:editId="045539B4">
            <wp:extent cx="6300470" cy="2760345"/>
            <wp:effectExtent l="0" t="0" r="5080" b="1905"/>
            <wp:docPr id="1062881182" name="Graphique 1">
              <a:extLst xmlns:a="http://schemas.openxmlformats.org/drawingml/2006/main">
                <a:ext uri="{FF2B5EF4-FFF2-40B4-BE49-F238E27FC236}">
                  <a16:creationId xmlns:a16="http://schemas.microsoft.com/office/drawing/2014/main" id="{30848217-A3B8-45C3-8674-8CBFD20C4E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6A64171E" w14:textId="30911B58" w:rsidR="000828BA" w:rsidRPr="00A74D23" w:rsidRDefault="000828BA" w:rsidP="009D6EE5">
      <w:pPr>
        <w:pStyle w:val="pf0"/>
        <w:spacing w:before="0" w:beforeAutospacing="0" w:after="0" w:afterAutospacing="0" w:line="22" w:lineRule="atLeast"/>
        <w:jc w:val="both"/>
        <w:rPr>
          <w:rFonts w:asciiTheme="minorHAnsi" w:hAnsiTheme="minorHAnsi" w:cs="Open Sans"/>
          <w:i/>
          <w:iCs/>
          <w:sz w:val="18"/>
          <w:szCs w:val="18"/>
        </w:rPr>
      </w:pPr>
      <w:r w:rsidRPr="00A74D23">
        <w:rPr>
          <w:rFonts w:asciiTheme="minorHAnsi" w:hAnsiTheme="minorHAnsi" w:cs="Open Sans"/>
          <w:i/>
          <w:iCs/>
          <w:sz w:val="18"/>
          <w:szCs w:val="18"/>
        </w:rPr>
        <w:t xml:space="preserve">Périmètre : </w:t>
      </w:r>
      <w:r w:rsidR="0075140E">
        <w:rPr>
          <w:rFonts w:asciiTheme="minorHAnsi" w:hAnsiTheme="minorHAnsi" w:cs="Open Sans"/>
          <w:i/>
          <w:iCs/>
          <w:sz w:val="18"/>
          <w:szCs w:val="18"/>
        </w:rPr>
        <w:t xml:space="preserve">Abeille Retraite Professionnelle - </w:t>
      </w:r>
      <w:r w:rsidRPr="00A74D23">
        <w:rPr>
          <w:rFonts w:asciiTheme="minorHAnsi" w:hAnsiTheme="minorHAnsi" w:cs="Open Sans"/>
          <w:i/>
          <w:iCs/>
          <w:sz w:val="18"/>
          <w:szCs w:val="18"/>
        </w:rPr>
        <w:t>Fonds général – Actifs corporates, 31/12/2025</w:t>
      </w:r>
    </w:p>
    <w:p w14:paraId="1CD7BE3B" w14:textId="77777777" w:rsidR="000828BA" w:rsidRPr="00A74D23" w:rsidRDefault="000828BA" w:rsidP="009D6EE5">
      <w:pPr>
        <w:pStyle w:val="pf0"/>
        <w:spacing w:before="0" w:beforeAutospacing="0" w:after="0" w:afterAutospacing="0" w:line="22" w:lineRule="atLeast"/>
        <w:jc w:val="both"/>
        <w:rPr>
          <w:rFonts w:asciiTheme="minorHAnsi" w:hAnsiTheme="minorHAnsi" w:cs="Open Sans"/>
          <w:i/>
          <w:iCs/>
          <w:sz w:val="18"/>
          <w:szCs w:val="18"/>
        </w:rPr>
      </w:pPr>
      <w:r w:rsidRPr="00A74D23">
        <w:rPr>
          <w:rFonts w:asciiTheme="minorHAnsi" w:hAnsiTheme="minorHAnsi" w:cs="Open Sans"/>
          <w:i/>
          <w:iCs/>
          <w:sz w:val="18"/>
          <w:szCs w:val="18"/>
        </w:rPr>
        <w:t>Source : Ofi Invest AM</w:t>
      </w:r>
    </w:p>
    <w:p w14:paraId="6869F2A4" w14:textId="77777777" w:rsidR="009F1070" w:rsidRPr="00A74D23" w:rsidRDefault="009F1070" w:rsidP="009D6EE5">
      <w:pPr>
        <w:spacing w:after="120" w:line="22" w:lineRule="atLeast"/>
        <w:jc w:val="both"/>
        <w:rPr>
          <w:rFonts w:asciiTheme="minorHAnsi" w:hAnsiTheme="minorHAnsi" w:cs="Open Sans"/>
          <w:sz w:val="20"/>
          <w:lang w:val="fr-FR"/>
        </w:rPr>
      </w:pPr>
    </w:p>
    <w:p w14:paraId="1EC8213E" w14:textId="63F08010" w:rsidR="00BB2CA5" w:rsidRPr="00A74D23" w:rsidRDefault="00FA07EB" w:rsidP="009D6EE5">
      <w:pPr>
        <w:spacing w:after="120"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Les pressions exercées par le portefeuille sont globalement </w:t>
      </w:r>
      <w:r w:rsidR="001E6E5E">
        <w:rPr>
          <w:rFonts w:asciiTheme="minorHAnsi" w:hAnsiTheme="minorHAnsi" w:cs="Open Sans"/>
          <w:sz w:val="20"/>
          <w:lang w:val="fr-FR"/>
        </w:rPr>
        <w:t>inférieures</w:t>
      </w:r>
      <w:r w:rsidRPr="00A74D23">
        <w:rPr>
          <w:rFonts w:asciiTheme="minorHAnsi" w:hAnsiTheme="minorHAnsi" w:cs="Open Sans"/>
          <w:sz w:val="20"/>
          <w:lang w:val="fr-FR"/>
        </w:rPr>
        <w:t xml:space="preserve"> à celles de l’indice de marché de référence</w:t>
      </w:r>
      <w:r w:rsidR="001E6E5E">
        <w:rPr>
          <w:rFonts w:asciiTheme="minorHAnsi" w:hAnsiTheme="minorHAnsi" w:cs="Open Sans"/>
          <w:sz w:val="20"/>
          <w:lang w:val="fr-FR"/>
        </w:rPr>
        <w:t xml:space="preserve">. </w:t>
      </w:r>
      <w:r w:rsidRPr="00A74D23">
        <w:rPr>
          <w:rFonts w:asciiTheme="minorHAnsi" w:hAnsiTheme="minorHAnsi" w:cs="Open Sans"/>
          <w:sz w:val="20"/>
          <w:lang w:val="fr-FR"/>
        </w:rPr>
        <w:t xml:space="preserve">La pression liée au changement climatique y est </w:t>
      </w:r>
      <w:r w:rsidR="00811BE1">
        <w:rPr>
          <w:rFonts w:asciiTheme="minorHAnsi" w:hAnsiTheme="minorHAnsi" w:cs="Open Sans"/>
          <w:sz w:val="20"/>
          <w:lang w:val="fr-FR"/>
        </w:rPr>
        <w:t>la plus</w:t>
      </w:r>
      <w:r w:rsidRPr="00A74D23">
        <w:rPr>
          <w:rFonts w:asciiTheme="minorHAnsi" w:hAnsiTheme="minorHAnsi" w:cs="Open Sans"/>
          <w:sz w:val="20"/>
          <w:lang w:val="fr-FR"/>
        </w:rPr>
        <w:t xml:space="preserve"> marquée</w:t>
      </w:r>
      <w:r w:rsidR="00811BE1">
        <w:rPr>
          <w:rFonts w:asciiTheme="minorHAnsi" w:hAnsiTheme="minorHAnsi" w:cs="Open Sans"/>
          <w:sz w:val="20"/>
          <w:lang w:val="fr-FR"/>
        </w:rPr>
        <w:t>.</w:t>
      </w:r>
    </w:p>
    <w:p w14:paraId="523533C4" w14:textId="5D3529B3" w:rsidR="00D56A4F" w:rsidRPr="00A74D23" w:rsidRDefault="00BB2CA5" w:rsidP="009D6EE5">
      <w:pPr>
        <w:spacing w:line="22" w:lineRule="atLeast"/>
        <w:jc w:val="both"/>
        <w:rPr>
          <w:rFonts w:asciiTheme="minorHAnsi" w:hAnsiTheme="minorHAnsi" w:cs="Segoe UI"/>
          <w:b/>
          <w:bCs/>
          <w:color w:val="000000" w:themeColor="text1"/>
          <w:sz w:val="20"/>
          <w:szCs w:val="20"/>
          <w:lang w:val="fr-FR"/>
        </w:rPr>
      </w:pPr>
      <w:r w:rsidRPr="00A74D23">
        <w:rPr>
          <w:rFonts w:asciiTheme="minorHAnsi" w:hAnsiTheme="minorHAnsi" w:cs="Open Sans"/>
          <w:noProof/>
          <w:sz w:val="20"/>
          <w:lang w:val="fr-FR"/>
        </w:rPr>
        <mc:AlternateContent>
          <mc:Choice Requires="wps">
            <w:drawing>
              <wp:anchor distT="0" distB="0" distL="114300" distR="114300" simplePos="0" relativeHeight="251719680" behindDoc="0" locked="0" layoutInCell="1" allowOverlap="1" wp14:anchorId="213F9851" wp14:editId="595F45BF">
                <wp:simplePos x="0" y="0"/>
                <wp:positionH relativeFrom="margin">
                  <wp:align>center</wp:align>
                </wp:positionH>
                <wp:positionV relativeFrom="paragraph">
                  <wp:posOffset>35560</wp:posOffset>
                </wp:positionV>
                <wp:extent cx="6061075" cy="604299"/>
                <wp:effectExtent l="0" t="0" r="0" b="5715"/>
                <wp:wrapNone/>
                <wp:docPr id="19189874" name="Rectangle 5"/>
                <wp:cNvGraphicFramePr/>
                <a:graphic xmlns:a="http://schemas.openxmlformats.org/drawingml/2006/main">
                  <a:graphicData uri="http://schemas.microsoft.com/office/word/2010/wordprocessingShape">
                    <wps:wsp>
                      <wps:cNvSpPr/>
                      <wps:spPr>
                        <a:xfrm>
                          <a:off x="0" y="0"/>
                          <a:ext cx="6061075" cy="604299"/>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6E0DE8" w14:textId="6CC4035B" w:rsidR="00BB2CA5" w:rsidRPr="00BB2CA5" w:rsidRDefault="00BB2CA5" w:rsidP="00BB2CA5">
                            <w:pPr>
                              <w:spacing w:line="276" w:lineRule="auto"/>
                              <w:jc w:val="both"/>
                              <w:rPr>
                                <w:rFonts w:asciiTheme="minorHAnsi" w:hAnsiTheme="minorHAnsi" w:cs="Open Sans"/>
                                <w:color w:val="000000" w:themeColor="text1"/>
                                <w:sz w:val="20"/>
                                <w:lang w:val="fr-FR"/>
                              </w:rPr>
                            </w:pPr>
                            <w:r w:rsidRPr="00297463">
                              <w:rPr>
                                <w:rFonts w:asciiTheme="minorHAnsi" w:hAnsiTheme="minorHAnsi" w:cs="Open Sans"/>
                                <w:b/>
                                <w:bCs/>
                                <w:color w:val="000000" w:themeColor="text1"/>
                                <w:sz w:val="20"/>
                                <w:lang w:val="fr-FR"/>
                              </w:rPr>
                              <w:t>Sur le fonds général</w:t>
                            </w:r>
                            <w:r w:rsidR="001C352A">
                              <w:rPr>
                                <w:rFonts w:asciiTheme="minorHAnsi" w:hAnsiTheme="minorHAnsi" w:cs="Open Sans"/>
                                <w:b/>
                                <w:bCs/>
                                <w:color w:val="000000" w:themeColor="text1"/>
                                <w:sz w:val="20"/>
                                <w:lang w:val="fr-FR"/>
                              </w:rPr>
                              <w:t xml:space="preserve"> Abeille Retraite Professionnelle</w:t>
                            </w:r>
                            <w:r w:rsidRPr="00297463">
                              <w:rPr>
                                <w:rFonts w:asciiTheme="minorHAnsi" w:hAnsiTheme="minorHAnsi" w:cs="Open Sans"/>
                                <w:b/>
                                <w:bCs/>
                                <w:color w:val="000000" w:themeColor="text1"/>
                                <w:sz w:val="20"/>
                                <w:lang w:val="fr-FR"/>
                              </w:rPr>
                              <w:t xml:space="preserve"> (hors UC), l’empreinte d’artificialisation absolue est de </w:t>
                            </w:r>
                            <w:r w:rsidR="001E6E5E">
                              <w:rPr>
                                <w:rFonts w:asciiTheme="minorHAnsi" w:hAnsiTheme="minorHAnsi" w:cs="Open Sans"/>
                                <w:b/>
                                <w:bCs/>
                                <w:color w:val="000000" w:themeColor="text1"/>
                                <w:sz w:val="20"/>
                                <w:lang w:val="fr-FR"/>
                              </w:rPr>
                              <w:t>55</w:t>
                            </w:r>
                            <w:r w:rsidRPr="00297463">
                              <w:rPr>
                                <w:rFonts w:asciiTheme="minorHAnsi" w:hAnsiTheme="minorHAnsi" w:cs="Open Sans"/>
                                <w:b/>
                                <w:bCs/>
                                <w:color w:val="000000" w:themeColor="text1"/>
                                <w:sz w:val="20"/>
                                <w:lang w:val="fr-FR"/>
                              </w:rPr>
                              <w:t xml:space="preserve"> MSAppb*</w:t>
                            </w:r>
                            <w:r w:rsidRPr="00BB2CA5">
                              <w:rPr>
                                <w:rFonts w:asciiTheme="minorHAnsi" w:hAnsiTheme="minorHAnsi" w:cs="Open Sans"/>
                                <w:color w:val="000000" w:themeColor="text1"/>
                                <w:sz w:val="20"/>
                                <w:lang w:val="fr-FR"/>
                              </w:rPr>
                              <w:t xml:space="preserve"> pour l’année 2025, soit une </w:t>
                            </w:r>
                            <w:r w:rsidRPr="00BB2CA5">
                              <w:rPr>
                                <w:rFonts w:asciiTheme="minorHAnsi" w:hAnsiTheme="minorHAnsi" w:cs="Open Sans"/>
                                <w:b/>
                                <w:bCs/>
                                <w:color w:val="000000" w:themeColor="text1"/>
                                <w:sz w:val="20"/>
                                <w:lang w:val="fr-FR"/>
                              </w:rPr>
                              <w:t xml:space="preserve">hausse de </w:t>
                            </w:r>
                            <w:r w:rsidR="001E6E5E">
                              <w:rPr>
                                <w:rFonts w:asciiTheme="minorHAnsi" w:hAnsiTheme="minorHAnsi" w:cs="Open Sans"/>
                                <w:b/>
                                <w:bCs/>
                                <w:color w:val="000000" w:themeColor="text1"/>
                                <w:sz w:val="20"/>
                                <w:lang w:val="fr-FR"/>
                              </w:rPr>
                              <w:t>10</w:t>
                            </w:r>
                            <w:r w:rsidRPr="00BB2CA5">
                              <w:rPr>
                                <w:rFonts w:asciiTheme="minorHAnsi" w:hAnsiTheme="minorHAnsi" w:cs="Open Sans"/>
                                <w:b/>
                                <w:bCs/>
                                <w:color w:val="000000" w:themeColor="text1"/>
                                <w:sz w:val="20"/>
                                <w:lang w:val="fr-FR"/>
                              </w:rPr>
                              <w:t>%</w:t>
                            </w:r>
                            <w:r w:rsidRPr="00BB2CA5">
                              <w:rPr>
                                <w:rFonts w:asciiTheme="minorHAnsi" w:hAnsiTheme="minorHAnsi" w:cs="Open Sans"/>
                                <w:color w:val="000000" w:themeColor="text1"/>
                                <w:sz w:val="20"/>
                                <w:lang w:val="fr-FR"/>
                              </w:rPr>
                              <w:t xml:space="preserve"> par rapport à l’année passée (</w:t>
                            </w:r>
                            <w:r w:rsidR="001E6E5E">
                              <w:rPr>
                                <w:rFonts w:asciiTheme="minorHAnsi" w:hAnsiTheme="minorHAnsi" w:cs="Open Sans"/>
                                <w:color w:val="000000" w:themeColor="text1"/>
                                <w:sz w:val="20"/>
                                <w:lang w:val="fr-FR"/>
                              </w:rPr>
                              <w:t>50</w:t>
                            </w:r>
                            <w:r w:rsidRPr="00BB2CA5">
                              <w:rPr>
                                <w:rFonts w:asciiTheme="minorHAnsi" w:hAnsiTheme="minorHAnsi" w:cs="Open Sans"/>
                                <w:color w:val="000000" w:themeColor="text1"/>
                                <w:sz w:val="20"/>
                                <w:lang w:val="fr-FR"/>
                              </w:rPr>
                              <w:t xml:space="preserve"> MSAppb*), avec un taux de couverture de 78%.</w:t>
                            </w:r>
                          </w:p>
                          <w:p w14:paraId="37185579" w14:textId="77777777" w:rsidR="00BB2CA5" w:rsidRPr="00BB2CA5" w:rsidRDefault="00BB2CA5" w:rsidP="00BB2CA5">
                            <w:pPr>
                              <w:spacing w:line="276" w:lineRule="auto"/>
                              <w:jc w:val="both"/>
                              <w:rPr>
                                <w:rFonts w:asciiTheme="minorHAnsi" w:hAnsiTheme="minorHAnsi" w:cs="Open Sans"/>
                                <w:color w:val="000000" w:themeColor="text1"/>
                                <w:sz w:val="20"/>
                                <w:lang w:val="fr-FR"/>
                              </w:rPr>
                            </w:pPr>
                          </w:p>
                          <w:p w14:paraId="30F39310" w14:textId="2FF099E9" w:rsidR="00BB2CA5" w:rsidRPr="00BB2CA5" w:rsidRDefault="00BB2CA5" w:rsidP="00BB2CA5">
                            <w:pPr>
                              <w:spacing w:line="276" w:lineRule="auto"/>
                              <w:jc w:val="both"/>
                              <w:rPr>
                                <w:rFonts w:asciiTheme="minorHAnsi" w:hAnsiTheme="minorHAnsi" w:cs="Open Sans"/>
                                <w:color w:val="000000" w:themeColor="text1"/>
                                <w:sz w:val="20"/>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3F9851" id="_x0000_s1151" style="position:absolute;left:0;text-align:left;margin-left:0;margin-top:2.8pt;width:477.25pt;height:47.6pt;z-index:2517196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" fillcolor="#ffd400 [3204]" stroked="f" strokeweight="1pt">
                <v:textbox>
                  <w:txbxContent>
                    <w:p w14:paraId="366E0DE8" w14:textId="6CC4035B" w:rsidR="00BB2CA5" w:rsidRPr="00BB2CA5" w:rsidRDefault="00BB2CA5" w:rsidP="00BB2CA5">
                      <w:pPr>
                        <w:spacing w:line="276" w:lineRule="auto"/>
                        <w:jc w:val="both"/>
                        <w:rPr>
                          <w:rFonts w:asciiTheme="minorHAnsi" w:hAnsiTheme="minorHAnsi" w:cs="Open Sans"/>
                          <w:color w:val="000000" w:themeColor="text1"/>
                          <w:sz w:val="20"/>
                          <w:lang w:val="fr-FR"/>
                        </w:rPr>
                      </w:pPr>
                      <w:r w:rsidRPr="00297463">
                        <w:rPr>
                          <w:rFonts w:asciiTheme="minorHAnsi" w:hAnsiTheme="minorHAnsi" w:cs="Open Sans"/>
                          <w:b/>
                          <w:bCs/>
                          <w:color w:val="000000" w:themeColor="text1"/>
                          <w:sz w:val="20"/>
                          <w:lang w:val="fr-FR"/>
                        </w:rPr>
                        <w:t>Sur le fonds général</w:t>
                      </w:r>
                      <w:r w:rsidR="001C352A">
                        <w:rPr>
                          <w:rFonts w:asciiTheme="minorHAnsi" w:hAnsiTheme="minorHAnsi" w:cs="Open Sans"/>
                          <w:b/>
                          <w:bCs/>
                          <w:color w:val="000000" w:themeColor="text1"/>
                          <w:sz w:val="20"/>
                          <w:lang w:val="fr-FR"/>
                        </w:rPr>
                        <w:t xml:space="preserve"> Abeille Retraite Professionnelle</w:t>
                      </w:r>
                      <w:r w:rsidRPr="00297463">
                        <w:rPr>
                          <w:rFonts w:asciiTheme="minorHAnsi" w:hAnsiTheme="minorHAnsi" w:cs="Open Sans"/>
                          <w:b/>
                          <w:bCs/>
                          <w:color w:val="000000" w:themeColor="text1"/>
                          <w:sz w:val="20"/>
                          <w:lang w:val="fr-FR"/>
                        </w:rPr>
                        <w:t xml:space="preserve"> (hors UC), l’empreinte d’artificialisation absolue est de </w:t>
                      </w:r>
                      <w:r w:rsidR="001E6E5E">
                        <w:rPr>
                          <w:rFonts w:asciiTheme="minorHAnsi" w:hAnsiTheme="minorHAnsi" w:cs="Open Sans"/>
                          <w:b/>
                          <w:bCs/>
                          <w:color w:val="000000" w:themeColor="text1"/>
                          <w:sz w:val="20"/>
                          <w:lang w:val="fr-FR"/>
                        </w:rPr>
                        <w:t>55</w:t>
                      </w:r>
                      <w:r w:rsidRPr="00297463">
                        <w:rPr>
                          <w:rFonts w:asciiTheme="minorHAnsi" w:hAnsiTheme="minorHAnsi" w:cs="Open Sans"/>
                          <w:b/>
                          <w:bCs/>
                          <w:color w:val="000000" w:themeColor="text1"/>
                          <w:sz w:val="20"/>
                          <w:lang w:val="fr-FR"/>
                        </w:rPr>
                        <w:t xml:space="preserve"> MSAppb*</w:t>
                      </w:r>
                      <w:r w:rsidRPr="00BB2CA5">
                        <w:rPr>
                          <w:rFonts w:asciiTheme="minorHAnsi" w:hAnsiTheme="minorHAnsi" w:cs="Open Sans"/>
                          <w:color w:val="000000" w:themeColor="text1"/>
                          <w:sz w:val="20"/>
                          <w:lang w:val="fr-FR"/>
                        </w:rPr>
                        <w:t xml:space="preserve"> pour l’année 2025, soit une </w:t>
                      </w:r>
                      <w:r w:rsidRPr="00BB2CA5">
                        <w:rPr>
                          <w:rFonts w:asciiTheme="minorHAnsi" w:hAnsiTheme="minorHAnsi" w:cs="Open Sans"/>
                          <w:b/>
                          <w:bCs/>
                          <w:color w:val="000000" w:themeColor="text1"/>
                          <w:sz w:val="20"/>
                          <w:lang w:val="fr-FR"/>
                        </w:rPr>
                        <w:t xml:space="preserve">hausse de </w:t>
                      </w:r>
                      <w:r w:rsidR="001E6E5E">
                        <w:rPr>
                          <w:rFonts w:asciiTheme="minorHAnsi" w:hAnsiTheme="minorHAnsi" w:cs="Open Sans"/>
                          <w:b/>
                          <w:bCs/>
                          <w:color w:val="000000" w:themeColor="text1"/>
                          <w:sz w:val="20"/>
                          <w:lang w:val="fr-FR"/>
                        </w:rPr>
                        <w:t>10</w:t>
                      </w:r>
                      <w:r w:rsidRPr="00BB2CA5">
                        <w:rPr>
                          <w:rFonts w:asciiTheme="minorHAnsi" w:hAnsiTheme="minorHAnsi" w:cs="Open Sans"/>
                          <w:b/>
                          <w:bCs/>
                          <w:color w:val="000000" w:themeColor="text1"/>
                          <w:sz w:val="20"/>
                          <w:lang w:val="fr-FR"/>
                        </w:rPr>
                        <w:t>%</w:t>
                      </w:r>
                      <w:r w:rsidRPr="00BB2CA5">
                        <w:rPr>
                          <w:rFonts w:asciiTheme="minorHAnsi" w:hAnsiTheme="minorHAnsi" w:cs="Open Sans"/>
                          <w:color w:val="000000" w:themeColor="text1"/>
                          <w:sz w:val="20"/>
                          <w:lang w:val="fr-FR"/>
                        </w:rPr>
                        <w:t xml:space="preserve"> par rapport à l’année passée (</w:t>
                      </w:r>
                      <w:r w:rsidR="001E6E5E">
                        <w:rPr>
                          <w:rFonts w:asciiTheme="minorHAnsi" w:hAnsiTheme="minorHAnsi" w:cs="Open Sans"/>
                          <w:color w:val="000000" w:themeColor="text1"/>
                          <w:sz w:val="20"/>
                          <w:lang w:val="fr-FR"/>
                        </w:rPr>
                        <w:t>50</w:t>
                      </w:r>
                      <w:r w:rsidRPr="00BB2CA5">
                        <w:rPr>
                          <w:rFonts w:asciiTheme="minorHAnsi" w:hAnsiTheme="minorHAnsi" w:cs="Open Sans"/>
                          <w:color w:val="000000" w:themeColor="text1"/>
                          <w:sz w:val="20"/>
                          <w:lang w:val="fr-FR"/>
                        </w:rPr>
                        <w:t xml:space="preserve"> MSAppb*), avec un taux de couverture de 78%.</w:t>
                      </w:r>
                    </w:p>
                    <w:p w14:paraId="37185579" w14:textId="77777777" w:rsidR="00BB2CA5" w:rsidRPr="00BB2CA5" w:rsidRDefault="00BB2CA5" w:rsidP="00BB2CA5">
                      <w:pPr>
                        <w:spacing w:line="276" w:lineRule="auto"/>
                        <w:jc w:val="both"/>
                        <w:rPr>
                          <w:rFonts w:asciiTheme="minorHAnsi" w:hAnsiTheme="minorHAnsi" w:cs="Open Sans"/>
                          <w:color w:val="000000" w:themeColor="text1"/>
                          <w:sz w:val="20"/>
                          <w:lang w:val="fr-FR"/>
                        </w:rPr>
                      </w:pPr>
                    </w:p>
                    <w:p w14:paraId="30F39310" w14:textId="2FF099E9" w:rsidR="00BB2CA5" w:rsidRPr="00BB2CA5" w:rsidRDefault="00BB2CA5" w:rsidP="00BB2CA5">
                      <w:pPr>
                        <w:spacing w:line="276" w:lineRule="auto"/>
                        <w:jc w:val="both"/>
                        <w:rPr>
                          <w:rFonts w:asciiTheme="minorHAnsi" w:hAnsiTheme="minorHAnsi" w:cs="Open Sans"/>
                          <w:color w:val="000000" w:themeColor="text1"/>
                          <w:sz w:val="20"/>
                          <w:lang w:val="fr-FR"/>
                        </w:rPr>
                      </w:pPr>
                    </w:p>
                  </w:txbxContent>
                </v:textbox>
                <w10:wrap anchorx="margin"/>
              </v:rect>
            </w:pict>
          </mc:Fallback>
        </mc:AlternateContent>
      </w:r>
    </w:p>
    <w:p w14:paraId="1FCEB4BF" w14:textId="77777777" w:rsidR="00BB2CA5" w:rsidRPr="00A74D23" w:rsidRDefault="00BB2CA5" w:rsidP="009D6EE5">
      <w:pPr>
        <w:spacing w:line="22" w:lineRule="atLeast"/>
        <w:jc w:val="both"/>
        <w:rPr>
          <w:rFonts w:asciiTheme="minorHAnsi" w:hAnsiTheme="minorHAnsi" w:cs="Segoe UI"/>
          <w:b/>
          <w:bCs/>
          <w:color w:val="000000" w:themeColor="text1"/>
          <w:sz w:val="20"/>
          <w:szCs w:val="20"/>
          <w:lang w:val="fr-FR"/>
        </w:rPr>
      </w:pPr>
    </w:p>
    <w:p w14:paraId="7B21B2BD" w14:textId="4FF3BFB6" w:rsidR="00BB2CA5" w:rsidRPr="00A74D23" w:rsidRDefault="00BB2CA5" w:rsidP="009D6EE5">
      <w:pPr>
        <w:spacing w:line="22" w:lineRule="atLeast"/>
        <w:jc w:val="both"/>
        <w:rPr>
          <w:rFonts w:asciiTheme="minorHAnsi" w:hAnsiTheme="minorHAnsi" w:cs="Segoe UI"/>
          <w:b/>
          <w:bCs/>
          <w:color w:val="000000" w:themeColor="text1"/>
          <w:sz w:val="20"/>
          <w:szCs w:val="20"/>
          <w:lang w:val="fr-FR"/>
        </w:rPr>
      </w:pPr>
    </w:p>
    <w:p w14:paraId="7704DE69" w14:textId="77777777" w:rsidR="00BB2CA5" w:rsidRPr="00A74D23" w:rsidRDefault="00BB2CA5" w:rsidP="009D6EE5">
      <w:pPr>
        <w:spacing w:line="22" w:lineRule="atLeast"/>
        <w:jc w:val="both"/>
        <w:rPr>
          <w:rFonts w:asciiTheme="minorHAnsi" w:hAnsiTheme="minorHAnsi" w:cs="Segoe UI"/>
          <w:b/>
          <w:bCs/>
          <w:color w:val="000000" w:themeColor="text1"/>
          <w:sz w:val="20"/>
          <w:szCs w:val="20"/>
          <w:lang w:val="fr-FR"/>
        </w:rPr>
      </w:pPr>
    </w:p>
    <w:p w14:paraId="35B034A5" w14:textId="77777777" w:rsidR="003B5E3A" w:rsidRPr="00A74D23" w:rsidRDefault="003B5E3A" w:rsidP="009D6EE5">
      <w:pPr>
        <w:spacing w:line="22" w:lineRule="atLeast"/>
        <w:jc w:val="both"/>
        <w:rPr>
          <w:rFonts w:asciiTheme="minorHAnsi" w:hAnsiTheme="minorHAnsi" w:cs="Open Sans"/>
          <w:szCs w:val="28"/>
          <w:lang w:val="fr-FR"/>
        </w:rPr>
      </w:pPr>
    </w:p>
    <w:p w14:paraId="1645FAFC" w14:textId="08D38A94" w:rsidR="003B5E3A" w:rsidRPr="00A74D23" w:rsidRDefault="003B5E3A" w:rsidP="009D6EE5">
      <w:pPr>
        <w:spacing w:line="22" w:lineRule="atLeast"/>
        <w:jc w:val="both"/>
        <w:rPr>
          <w:rFonts w:asciiTheme="minorHAnsi" w:hAnsiTheme="minorHAnsi" w:cs="Open Sans"/>
          <w:szCs w:val="28"/>
          <w:lang w:val="fr-FR"/>
        </w:rPr>
      </w:pPr>
      <w:r w:rsidRPr="00A74D23">
        <w:rPr>
          <w:rFonts w:asciiTheme="minorHAnsi" w:hAnsiTheme="minorHAnsi" w:cs="Open Sans"/>
          <w:noProof/>
          <w:sz w:val="20"/>
          <w:lang w:val="fr-FR"/>
        </w:rPr>
        <mc:AlternateContent>
          <mc:Choice Requires="wps">
            <w:drawing>
              <wp:anchor distT="0" distB="0" distL="114300" distR="114300" simplePos="0" relativeHeight="251729920" behindDoc="0" locked="0" layoutInCell="1" allowOverlap="1" wp14:anchorId="3677F887" wp14:editId="16205487">
                <wp:simplePos x="0" y="0"/>
                <wp:positionH relativeFrom="margin">
                  <wp:align>left</wp:align>
                </wp:positionH>
                <wp:positionV relativeFrom="paragraph">
                  <wp:posOffset>167005</wp:posOffset>
                </wp:positionV>
                <wp:extent cx="6061075" cy="857250"/>
                <wp:effectExtent l="0" t="0" r="0" b="0"/>
                <wp:wrapNone/>
                <wp:docPr id="2125664518" name="Rectangle 5"/>
                <wp:cNvGraphicFramePr/>
                <a:graphic xmlns:a="http://schemas.openxmlformats.org/drawingml/2006/main">
                  <a:graphicData uri="http://schemas.microsoft.com/office/word/2010/wordprocessingShape">
                    <wps:wsp>
                      <wps:cNvSpPr/>
                      <wps:spPr>
                        <a:xfrm>
                          <a:off x="0" y="0"/>
                          <a:ext cx="6061075" cy="857250"/>
                        </a:xfrm>
                        <a:prstGeom prst="rect">
                          <a:avLst/>
                        </a:prstGeom>
                        <a:solidFill>
                          <a:schemeClr val="bg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3F8F26" w14:textId="3965DE90" w:rsidR="003B5E3A" w:rsidRPr="00BB2CA5" w:rsidRDefault="003B5E3A" w:rsidP="003B5E3A">
                            <w:pPr>
                              <w:spacing w:line="276" w:lineRule="auto"/>
                              <w:jc w:val="both"/>
                              <w:rPr>
                                <w:rFonts w:asciiTheme="minorHAnsi" w:hAnsiTheme="minorHAnsi" w:cs="Open Sans"/>
                                <w:color w:val="000000" w:themeColor="text1"/>
                                <w:sz w:val="20"/>
                                <w:lang w:val="fr-FR"/>
                              </w:rPr>
                            </w:pPr>
                            <w:r w:rsidRPr="003B5E3A">
                              <w:rPr>
                                <w:rFonts w:asciiTheme="minorHAnsi" w:hAnsiTheme="minorHAnsi" w:cs="Open Sans"/>
                                <w:color w:val="000000" w:themeColor="text1"/>
                                <w:sz w:val="20"/>
                                <w:lang w:val="fr-FR"/>
                              </w:rPr>
                              <w:t>Sur les Unités de Compte</w:t>
                            </w:r>
                            <w:r w:rsidR="00E02EF3">
                              <w:rPr>
                                <w:rFonts w:asciiTheme="minorHAnsi" w:hAnsiTheme="minorHAnsi" w:cs="Open Sans"/>
                                <w:color w:val="000000" w:themeColor="text1"/>
                                <w:sz w:val="20"/>
                                <w:lang w:val="fr-FR"/>
                              </w:rPr>
                              <w:t xml:space="preserve"> d’Abeille Retraite Professionnelle</w:t>
                            </w:r>
                            <w:r w:rsidRPr="003B5E3A">
                              <w:rPr>
                                <w:rFonts w:asciiTheme="minorHAnsi" w:hAnsiTheme="minorHAnsi" w:cs="Open Sans"/>
                                <w:color w:val="000000" w:themeColor="text1"/>
                                <w:sz w:val="20"/>
                                <w:lang w:val="fr-FR"/>
                              </w:rPr>
                              <w:t>, l’empreinte</w:t>
                            </w:r>
                            <w:r w:rsidRPr="00BB2CA5">
                              <w:rPr>
                                <w:rFonts w:asciiTheme="minorHAnsi" w:hAnsiTheme="minorHAnsi" w:cs="Open Sans"/>
                                <w:color w:val="000000" w:themeColor="text1"/>
                                <w:sz w:val="20"/>
                                <w:lang w:val="fr-FR"/>
                              </w:rPr>
                              <w:t xml:space="preserve"> d’artificialisation absolue est de </w:t>
                            </w:r>
                            <w:r w:rsidR="001C352A">
                              <w:rPr>
                                <w:rFonts w:asciiTheme="minorHAnsi" w:hAnsiTheme="minorHAnsi" w:cs="Open Sans"/>
                                <w:b/>
                                <w:bCs/>
                                <w:color w:val="000000" w:themeColor="text1"/>
                                <w:sz w:val="20"/>
                                <w:lang w:val="fr-FR"/>
                              </w:rPr>
                              <w:t>124</w:t>
                            </w:r>
                            <w:r w:rsidRPr="003B5E3A">
                              <w:rPr>
                                <w:rFonts w:asciiTheme="minorHAnsi" w:hAnsiTheme="minorHAnsi" w:cs="Open Sans"/>
                                <w:b/>
                                <w:bCs/>
                                <w:color w:val="000000" w:themeColor="text1"/>
                                <w:sz w:val="20"/>
                                <w:lang w:val="fr-FR"/>
                              </w:rPr>
                              <w:t xml:space="preserve"> MSAppb* </w:t>
                            </w:r>
                            <w:r w:rsidRPr="00BB2CA5">
                              <w:rPr>
                                <w:rFonts w:asciiTheme="minorHAnsi" w:hAnsiTheme="minorHAnsi" w:cs="Open Sans"/>
                                <w:color w:val="000000" w:themeColor="text1"/>
                                <w:sz w:val="20"/>
                                <w:lang w:val="fr-FR"/>
                              </w:rPr>
                              <w:t>pour l’année 2025, première année de calcul de l’empreinte biodiversité sur le portefeuille UC, avec un taux de couverture de 91%.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77F887" id="_x0000_s1152" style="position:absolute;left:0;text-align:left;margin-left:0;margin-top:13.15pt;width:477.25pt;height:67.5pt;z-index:251729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" fillcolor="#daeeec [670]" stroked="f" strokeweight="1pt">
                <v:textbox>
                  <w:txbxContent>
                    <w:p w14:paraId="3A3F8F26" w14:textId="3965DE90" w:rsidR="003B5E3A" w:rsidRPr="00BB2CA5" w:rsidRDefault="003B5E3A" w:rsidP="003B5E3A">
                      <w:pPr>
                        <w:spacing w:line="276" w:lineRule="auto"/>
                        <w:jc w:val="both"/>
                        <w:rPr>
                          <w:rFonts w:asciiTheme="minorHAnsi" w:hAnsiTheme="minorHAnsi" w:cs="Open Sans"/>
                          <w:color w:val="000000" w:themeColor="text1"/>
                          <w:sz w:val="20"/>
                          <w:lang w:val="fr-FR"/>
                        </w:rPr>
                      </w:pPr>
                      <w:r w:rsidRPr="003B5E3A">
                        <w:rPr>
                          <w:rFonts w:asciiTheme="minorHAnsi" w:hAnsiTheme="minorHAnsi" w:cs="Open Sans"/>
                          <w:color w:val="000000" w:themeColor="text1"/>
                          <w:sz w:val="20"/>
                          <w:lang w:val="fr-FR"/>
                        </w:rPr>
                        <w:t>Sur les Unités de Compte</w:t>
                      </w:r>
                      <w:r w:rsidR="00E02EF3">
                        <w:rPr>
                          <w:rFonts w:asciiTheme="minorHAnsi" w:hAnsiTheme="minorHAnsi" w:cs="Open Sans"/>
                          <w:color w:val="000000" w:themeColor="text1"/>
                          <w:sz w:val="20"/>
                          <w:lang w:val="fr-FR"/>
                        </w:rPr>
                        <w:t xml:space="preserve"> d’Abeille Retraite Professionnelle</w:t>
                      </w:r>
                      <w:r w:rsidRPr="003B5E3A">
                        <w:rPr>
                          <w:rFonts w:asciiTheme="minorHAnsi" w:hAnsiTheme="minorHAnsi" w:cs="Open Sans"/>
                          <w:color w:val="000000" w:themeColor="text1"/>
                          <w:sz w:val="20"/>
                          <w:lang w:val="fr-FR"/>
                        </w:rPr>
                        <w:t>, l’empreinte</w:t>
                      </w:r>
                      <w:r w:rsidRPr="00BB2CA5">
                        <w:rPr>
                          <w:rFonts w:asciiTheme="minorHAnsi" w:hAnsiTheme="minorHAnsi" w:cs="Open Sans"/>
                          <w:color w:val="000000" w:themeColor="text1"/>
                          <w:sz w:val="20"/>
                          <w:lang w:val="fr-FR"/>
                        </w:rPr>
                        <w:t xml:space="preserve"> d’artificialisation absolue est de </w:t>
                      </w:r>
                      <w:r w:rsidR="001C352A">
                        <w:rPr>
                          <w:rFonts w:asciiTheme="minorHAnsi" w:hAnsiTheme="minorHAnsi" w:cs="Open Sans"/>
                          <w:b/>
                          <w:bCs/>
                          <w:color w:val="000000" w:themeColor="text1"/>
                          <w:sz w:val="20"/>
                          <w:lang w:val="fr-FR"/>
                        </w:rPr>
                        <w:t>124</w:t>
                      </w:r>
                      <w:r w:rsidRPr="003B5E3A">
                        <w:rPr>
                          <w:rFonts w:asciiTheme="minorHAnsi" w:hAnsiTheme="minorHAnsi" w:cs="Open Sans"/>
                          <w:b/>
                          <w:bCs/>
                          <w:color w:val="000000" w:themeColor="text1"/>
                          <w:sz w:val="20"/>
                          <w:lang w:val="fr-FR"/>
                        </w:rPr>
                        <w:t xml:space="preserve"> MSAppb* </w:t>
                      </w:r>
                      <w:r w:rsidRPr="00BB2CA5">
                        <w:rPr>
                          <w:rFonts w:asciiTheme="minorHAnsi" w:hAnsiTheme="minorHAnsi" w:cs="Open Sans"/>
                          <w:color w:val="000000" w:themeColor="text1"/>
                          <w:sz w:val="20"/>
                          <w:lang w:val="fr-FR"/>
                        </w:rPr>
                        <w:t>pour l’année 2025, première année de calcul de l’empreinte biodiversité sur le portefeuille UC, avec un taux de couverture de 91%.</w:t>
                      </w:r>
                    </w:p>
                  </w:txbxContent>
                </v:textbox>
                <w10:wrap anchorx="margin"/>
              </v:rect>
            </w:pict>
          </mc:Fallback>
        </mc:AlternateContent>
      </w:r>
      <w:r w:rsidRPr="00A74D23">
        <w:rPr>
          <w:rFonts w:asciiTheme="minorHAnsi" w:hAnsiTheme="minorHAnsi" w:cs="Open Sans"/>
          <w:noProof/>
          <w:sz w:val="20"/>
          <w:szCs w:val="20"/>
          <w:lang w:val="fr-FR"/>
        </w:rPr>
        <mc:AlternateContent>
          <mc:Choice Requires="wps">
            <w:drawing>
              <wp:anchor distT="0" distB="0" distL="114300" distR="114300" simplePos="0" relativeHeight="251731968" behindDoc="0" locked="0" layoutInCell="1" allowOverlap="1" wp14:anchorId="3C60B830" wp14:editId="017D7C81">
                <wp:simplePos x="0" y="0"/>
                <wp:positionH relativeFrom="column">
                  <wp:posOffset>1733550</wp:posOffset>
                </wp:positionH>
                <wp:positionV relativeFrom="paragraph">
                  <wp:posOffset>-635</wp:posOffset>
                </wp:positionV>
                <wp:extent cx="2390775" cy="285750"/>
                <wp:effectExtent l="0" t="0" r="9525" b="0"/>
                <wp:wrapNone/>
                <wp:docPr id="1945577592" name="Rectangle 6"/>
                <wp:cNvGraphicFramePr/>
                <a:graphic xmlns:a="http://schemas.openxmlformats.org/drawingml/2006/main">
                  <a:graphicData uri="http://schemas.microsoft.com/office/word/2010/wordprocessingShape">
                    <wps:wsp>
                      <wps:cNvSpPr/>
                      <wps:spPr>
                        <a:xfrm>
                          <a:off x="0" y="0"/>
                          <a:ext cx="2390775" cy="28575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63702F" w14:textId="77777777" w:rsidR="003B5E3A" w:rsidRPr="004D6E4D" w:rsidRDefault="003B5E3A" w:rsidP="003B5E3A">
                            <w:pPr>
                              <w:jc w:val="center"/>
                              <w:rPr>
                                <w:rFonts w:asciiTheme="minorHAnsi" w:hAnsiTheme="minorHAnsi"/>
                                <w:b/>
                                <w:bCs/>
                                <w:color w:val="000000" w:themeColor="text1"/>
                                <w:lang w:val="fr-FR"/>
                              </w:rPr>
                            </w:pPr>
                            <w:r w:rsidRPr="004D6E4D">
                              <w:rPr>
                                <w:rFonts w:asciiTheme="minorHAnsi" w:hAnsiTheme="minorHAnsi"/>
                                <w:b/>
                                <w:bCs/>
                                <w:color w:val="000000" w:themeColor="text1"/>
                                <w:lang w:val="fr-FR"/>
                              </w:rPr>
                              <w:t>Et sur les Unités de Compte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60B830" id="_x0000_s1153" style="position:absolute;left:0;text-align:left;margin-left:136.5pt;margin-top:-.05pt;width:188.25pt;height:22.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" fillcolor="#4ca79f [3214]" stroked="f" strokeweight="1pt">
                <v:textbox>
                  <w:txbxContent>
                    <w:p w14:paraId="3363702F" w14:textId="77777777" w:rsidR="003B5E3A" w:rsidRPr="004D6E4D" w:rsidRDefault="003B5E3A" w:rsidP="003B5E3A">
                      <w:pPr>
                        <w:jc w:val="center"/>
                        <w:rPr>
                          <w:rFonts w:asciiTheme="minorHAnsi" w:hAnsiTheme="minorHAnsi"/>
                          <w:b/>
                          <w:bCs/>
                          <w:color w:val="000000" w:themeColor="text1"/>
                          <w:lang w:val="fr-FR"/>
                        </w:rPr>
                      </w:pPr>
                      <w:r w:rsidRPr="004D6E4D">
                        <w:rPr>
                          <w:rFonts w:asciiTheme="minorHAnsi" w:hAnsiTheme="minorHAnsi"/>
                          <w:b/>
                          <w:bCs/>
                          <w:color w:val="000000" w:themeColor="text1"/>
                          <w:lang w:val="fr-FR"/>
                        </w:rPr>
                        <w:t>Et sur les Unités de Compte ?</w:t>
                      </w:r>
                    </w:p>
                  </w:txbxContent>
                </v:textbox>
              </v:rect>
            </w:pict>
          </mc:Fallback>
        </mc:AlternateContent>
      </w:r>
    </w:p>
    <w:p w14:paraId="28D4E2BB" w14:textId="77777777" w:rsidR="003B5E3A" w:rsidRPr="00A74D23" w:rsidRDefault="003B5E3A" w:rsidP="009D6EE5">
      <w:pPr>
        <w:spacing w:line="22" w:lineRule="atLeast"/>
        <w:jc w:val="both"/>
        <w:rPr>
          <w:rFonts w:asciiTheme="minorHAnsi" w:hAnsiTheme="minorHAnsi" w:cs="Open Sans"/>
          <w:szCs w:val="28"/>
          <w:lang w:val="fr-FR"/>
        </w:rPr>
      </w:pPr>
    </w:p>
    <w:p w14:paraId="5E06A1AD" w14:textId="77777777" w:rsidR="003B5E3A" w:rsidRPr="00A74D23" w:rsidRDefault="003B5E3A" w:rsidP="009D6EE5">
      <w:pPr>
        <w:spacing w:line="22" w:lineRule="atLeast"/>
        <w:jc w:val="both"/>
        <w:rPr>
          <w:rFonts w:asciiTheme="minorHAnsi" w:hAnsiTheme="minorHAnsi" w:cs="Open Sans"/>
          <w:szCs w:val="28"/>
          <w:lang w:val="fr-FR"/>
        </w:rPr>
      </w:pPr>
    </w:p>
    <w:p w14:paraId="1136C2AA" w14:textId="77777777" w:rsidR="003B5E3A" w:rsidRPr="00A74D23" w:rsidRDefault="003B5E3A" w:rsidP="009D6EE5">
      <w:pPr>
        <w:spacing w:line="22" w:lineRule="atLeast"/>
        <w:jc w:val="both"/>
        <w:rPr>
          <w:rFonts w:asciiTheme="minorHAnsi" w:hAnsiTheme="minorHAnsi" w:cs="Open Sans"/>
          <w:szCs w:val="28"/>
          <w:lang w:val="fr-FR"/>
        </w:rPr>
      </w:pPr>
    </w:p>
    <w:p w14:paraId="521F775D" w14:textId="77777777" w:rsidR="003B5E3A" w:rsidRPr="00A74D23" w:rsidRDefault="003B5E3A" w:rsidP="009D6EE5">
      <w:pPr>
        <w:spacing w:line="22" w:lineRule="atLeast"/>
        <w:jc w:val="both"/>
        <w:rPr>
          <w:rFonts w:asciiTheme="minorHAnsi" w:hAnsiTheme="minorHAnsi" w:cs="Open Sans"/>
          <w:szCs w:val="28"/>
          <w:lang w:val="fr-FR"/>
        </w:rPr>
      </w:pPr>
    </w:p>
    <w:p w14:paraId="23019B89" w14:textId="77777777" w:rsidR="003B5E3A" w:rsidRPr="00A74D23" w:rsidRDefault="003B5E3A" w:rsidP="009D6EE5">
      <w:pPr>
        <w:spacing w:line="22" w:lineRule="atLeast"/>
        <w:jc w:val="both"/>
        <w:rPr>
          <w:rFonts w:asciiTheme="minorHAnsi" w:hAnsiTheme="minorHAnsi" w:cs="Open Sans"/>
          <w:szCs w:val="28"/>
          <w:lang w:val="fr-FR"/>
        </w:rPr>
      </w:pPr>
    </w:p>
    <w:p w14:paraId="75AC9005" w14:textId="1E5299E7" w:rsidR="00D264CB" w:rsidRPr="00A74D23" w:rsidRDefault="00CD5C91" w:rsidP="00DA26C0">
      <w:pPr>
        <w:spacing w:after="120" w:line="22" w:lineRule="atLeast"/>
        <w:rPr>
          <w:rFonts w:asciiTheme="minorHAnsi" w:hAnsiTheme="minorHAnsi" w:cs="Open Sans"/>
          <w:i/>
          <w:sz w:val="18"/>
          <w:szCs w:val="18"/>
          <w:lang w:val="fr-FR"/>
        </w:rPr>
      </w:pPr>
      <w:r w:rsidRPr="00A74D23">
        <w:rPr>
          <w:rFonts w:asciiTheme="minorHAnsi" w:hAnsiTheme="minorHAnsi" w:cs="Open Sans"/>
          <w:sz w:val="20"/>
          <w:szCs w:val="20"/>
          <w:lang w:val="fr-FR"/>
        </w:rPr>
        <w:t xml:space="preserve">Une analyse sectorielle permet d’identifier les secteurs exerçant les impacts les plus élevés en intensité monétaire. Le secteur des biens de grande consommation ressort comme le plus contributif, principalement en raison des besoins importants en surfaces agricoles pour la production alimentaire. </w:t>
      </w:r>
      <w:r w:rsidR="00EC3300" w:rsidRPr="00A74D23">
        <w:rPr>
          <w:rFonts w:asciiTheme="minorHAnsi" w:hAnsiTheme="minorHAnsi" w:cs="Open Sans"/>
          <w:noProof/>
        </w:rPr>
        <w:drawing>
          <wp:inline distT="0" distB="0" distL="0" distR="0" wp14:anchorId="4C8106D9" wp14:editId="01A55D38">
            <wp:extent cx="6070161" cy="2337435"/>
            <wp:effectExtent l="0" t="0" r="6985" b="5715"/>
            <wp:docPr id="65342899" name="Graphique 1">
              <a:extLst xmlns:a="http://schemas.openxmlformats.org/drawingml/2006/main">
                <a:ext uri="{FF2B5EF4-FFF2-40B4-BE49-F238E27FC236}">
                  <a16:creationId xmlns:a16="http://schemas.microsoft.com/office/drawing/2014/main" id="{1B3C2E51-14EF-45CB-BDC2-4E199250E2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62AC608" w14:textId="0F561379" w:rsidR="00E14300" w:rsidRPr="00A74D23" w:rsidRDefault="008639E5" w:rsidP="009D6EE5">
      <w:pPr>
        <w:spacing w:line="22" w:lineRule="atLeast"/>
        <w:jc w:val="both"/>
        <w:rPr>
          <w:rFonts w:asciiTheme="minorHAnsi" w:hAnsiTheme="minorHAnsi" w:cs="Open Sans"/>
          <w:i/>
          <w:iCs/>
          <w:sz w:val="18"/>
          <w:szCs w:val="20"/>
          <w:lang w:val="fr-FR"/>
        </w:rPr>
      </w:pPr>
      <w:r w:rsidRPr="00A74D23">
        <w:rPr>
          <w:rFonts w:asciiTheme="minorHAnsi" w:hAnsiTheme="minorHAnsi" w:cs="Open Sans"/>
          <w:i/>
          <w:iCs/>
          <w:sz w:val="18"/>
          <w:szCs w:val="20"/>
          <w:lang w:val="fr-FR"/>
        </w:rPr>
        <w:t xml:space="preserve">Périmètre : Abeille </w:t>
      </w:r>
      <w:r w:rsidR="00D54D70" w:rsidRPr="00A74D23">
        <w:rPr>
          <w:rFonts w:asciiTheme="minorHAnsi" w:hAnsiTheme="minorHAnsi" w:cs="Open Sans"/>
          <w:i/>
          <w:iCs/>
          <w:sz w:val="18"/>
          <w:szCs w:val="20"/>
          <w:lang w:val="fr-FR"/>
        </w:rPr>
        <w:t>Assurances</w:t>
      </w:r>
      <w:r w:rsidRPr="00A74D23">
        <w:rPr>
          <w:rFonts w:asciiTheme="minorHAnsi" w:hAnsiTheme="minorHAnsi" w:cs="Open Sans"/>
          <w:i/>
          <w:iCs/>
          <w:sz w:val="18"/>
          <w:szCs w:val="20"/>
          <w:lang w:val="fr-FR"/>
        </w:rPr>
        <w:t xml:space="preserve"> </w:t>
      </w:r>
      <w:r w:rsidR="00240DC9" w:rsidRPr="00A74D23">
        <w:rPr>
          <w:rFonts w:asciiTheme="minorHAnsi" w:hAnsiTheme="minorHAnsi" w:cs="Open Sans"/>
          <w:i/>
          <w:iCs/>
          <w:sz w:val="18"/>
          <w:szCs w:val="20"/>
          <w:lang w:val="fr-FR"/>
        </w:rPr>
        <w:t>(hors UC) au 31/12/202</w:t>
      </w:r>
      <w:r w:rsidR="006D0B0B" w:rsidRPr="00A74D23">
        <w:rPr>
          <w:rFonts w:asciiTheme="minorHAnsi" w:hAnsiTheme="minorHAnsi" w:cs="Open Sans"/>
          <w:i/>
          <w:iCs/>
          <w:sz w:val="18"/>
          <w:szCs w:val="20"/>
          <w:lang w:val="fr-FR"/>
        </w:rPr>
        <w:t>4</w:t>
      </w:r>
      <w:r w:rsidR="000862DC" w:rsidRPr="00A74D23">
        <w:rPr>
          <w:rFonts w:asciiTheme="minorHAnsi" w:hAnsiTheme="minorHAnsi" w:cs="Open Sans"/>
          <w:i/>
          <w:iCs/>
          <w:sz w:val="18"/>
          <w:szCs w:val="20"/>
          <w:lang w:val="fr-FR"/>
        </w:rPr>
        <w:t xml:space="preserve"> </w:t>
      </w:r>
    </w:p>
    <w:p w14:paraId="6ADA6796" w14:textId="1F21D729" w:rsidR="00240DC9" w:rsidRPr="00A74D23" w:rsidRDefault="00240DC9" w:rsidP="009D6EE5">
      <w:pPr>
        <w:spacing w:line="22" w:lineRule="atLeast"/>
        <w:jc w:val="both"/>
        <w:rPr>
          <w:rFonts w:asciiTheme="minorHAnsi" w:hAnsiTheme="minorHAnsi" w:cs="Open Sans"/>
          <w:i/>
          <w:iCs/>
          <w:sz w:val="18"/>
          <w:szCs w:val="20"/>
          <w:lang w:val="fr-FR"/>
        </w:rPr>
      </w:pPr>
      <w:r w:rsidRPr="00A74D23">
        <w:rPr>
          <w:rFonts w:asciiTheme="minorHAnsi" w:hAnsiTheme="minorHAnsi" w:cs="Open Sans"/>
          <w:i/>
          <w:iCs/>
          <w:sz w:val="18"/>
          <w:szCs w:val="20"/>
          <w:lang w:val="fr-FR"/>
        </w:rPr>
        <w:t xml:space="preserve">Source : </w:t>
      </w:r>
      <w:r w:rsidR="00495330" w:rsidRPr="00A74D23">
        <w:rPr>
          <w:rFonts w:asciiTheme="minorHAnsi" w:hAnsiTheme="minorHAnsi" w:cs="Open Sans"/>
          <w:i/>
          <w:iCs/>
          <w:sz w:val="18"/>
          <w:szCs w:val="20"/>
          <w:lang w:val="fr-FR"/>
        </w:rPr>
        <w:t>Ofi</w:t>
      </w:r>
      <w:r w:rsidR="00461056" w:rsidRPr="00A74D23">
        <w:rPr>
          <w:rFonts w:asciiTheme="minorHAnsi" w:hAnsiTheme="minorHAnsi" w:cs="Open Sans"/>
          <w:i/>
          <w:iCs/>
          <w:sz w:val="18"/>
          <w:szCs w:val="20"/>
          <w:lang w:val="fr-FR"/>
        </w:rPr>
        <w:t xml:space="preserve"> Invest AM</w:t>
      </w:r>
    </w:p>
    <w:p w14:paraId="719549C3" w14:textId="0BFB37AE" w:rsidR="00E155C5" w:rsidRPr="00A74D23" w:rsidRDefault="003401B1" w:rsidP="009D6EE5">
      <w:pPr>
        <w:spacing w:line="22" w:lineRule="atLeast"/>
        <w:jc w:val="both"/>
        <w:rPr>
          <w:rFonts w:asciiTheme="minorHAnsi" w:hAnsiTheme="minorHAnsi" w:cs="Open Sans"/>
          <w:sz w:val="20"/>
          <w:lang w:val="fr-FR"/>
        </w:rPr>
      </w:pPr>
      <w:r w:rsidRPr="00A74D23">
        <w:rPr>
          <w:rFonts w:asciiTheme="minorHAnsi" w:hAnsiTheme="minorHAnsi" w:cs="Open Sans"/>
          <w:i/>
          <w:iCs/>
          <w:sz w:val="18"/>
          <w:szCs w:val="20"/>
          <w:lang w:val="fr-FR"/>
        </w:rPr>
        <w:t xml:space="preserve">Couverture : </w:t>
      </w:r>
      <w:r w:rsidR="00961210" w:rsidRPr="00A74D23">
        <w:rPr>
          <w:rFonts w:asciiTheme="minorHAnsi" w:hAnsiTheme="minorHAnsi" w:cs="Open Sans"/>
          <w:i/>
          <w:iCs/>
          <w:sz w:val="18"/>
          <w:szCs w:val="20"/>
          <w:lang w:val="fr-FR"/>
        </w:rPr>
        <w:t>77</w:t>
      </w:r>
      <w:r w:rsidRPr="00A74D23">
        <w:rPr>
          <w:rFonts w:asciiTheme="minorHAnsi" w:hAnsiTheme="minorHAnsi" w:cs="Open Sans"/>
          <w:i/>
          <w:iCs/>
          <w:sz w:val="18"/>
          <w:szCs w:val="20"/>
          <w:lang w:val="fr-FR"/>
        </w:rPr>
        <w:t>% des actions et obligations d’entreprises en 2024</w:t>
      </w:r>
      <w:r w:rsidR="001B3CE9" w:rsidRPr="00A74D23">
        <w:rPr>
          <w:rFonts w:asciiTheme="minorHAnsi" w:hAnsiTheme="minorHAnsi" w:cs="Open Sans"/>
          <w:i/>
          <w:iCs/>
          <w:sz w:val="18"/>
          <w:szCs w:val="20"/>
          <w:lang w:val="fr-FR"/>
        </w:rPr>
        <w:t xml:space="preserve"> </w:t>
      </w:r>
    </w:p>
    <w:p w14:paraId="588C1AAA" w14:textId="77777777" w:rsidR="003D01C7" w:rsidRPr="00A74D23" w:rsidRDefault="003D01C7" w:rsidP="009D6EE5">
      <w:pPr>
        <w:spacing w:line="22" w:lineRule="atLeast"/>
        <w:jc w:val="both"/>
        <w:rPr>
          <w:rFonts w:asciiTheme="minorHAnsi" w:hAnsiTheme="minorHAnsi" w:cs="Open Sans"/>
          <w:sz w:val="20"/>
          <w:lang w:val="fr-FR"/>
        </w:rPr>
      </w:pPr>
    </w:p>
    <w:p w14:paraId="4220AA34" w14:textId="23B1A586" w:rsidR="003D01C7" w:rsidRPr="00A74D23" w:rsidRDefault="003D01C7" w:rsidP="009D6EE5">
      <w:pPr>
        <w:spacing w:line="22" w:lineRule="atLeast"/>
        <w:jc w:val="both"/>
        <w:rPr>
          <w:rFonts w:asciiTheme="minorHAnsi" w:hAnsiTheme="minorHAnsi" w:cs="Open Sans"/>
          <w:sz w:val="20"/>
          <w:lang w:val="fr-FR"/>
        </w:rPr>
      </w:pPr>
      <w:r w:rsidRPr="00A74D23">
        <w:rPr>
          <w:rFonts w:asciiTheme="minorHAnsi" w:hAnsiTheme="minorHAnsi" w:cs="Open Sans"/>
          <w:noProof/>
        </w:rPr>
        <mc:AlternateContent>
          <mc:Choice Requires="wps">
            <w:drawing>
              <wp:anchor distT="0" distB="0" distL="114300" distR="114300" simplePos="0" relativeHeight="251409408" behindDoc="0" locked="0" layoutInCell="1" allowOverlap="1" wp14:anchorId="170FA27D" wp14:editId="44C122D6">
                <wp:simplePos x="0" y="0"/>
                <wp:positionH relativeFrom="margin">
                  <wp:posOffset>758612</wp:posOffset>
                </wp:positionH>
                <wp:positionV relativeFrom="paragraph">
                  <wp:posOffset>88265</wp:posOffset>
                </wp:positionV>
                <wp:extent cx="4038178" cy="262255"/>
                <wp:effectExtent l="0" t="0" r="635" b="4445"/>
                <wp:wrapNone/>
                <wp:docPr id="190545219" name="Rectangle : coins arrondis 190545219"/>
                <wp:cNvGraphicFramePr/>
                <a:graphic xmlns:a="http://schemas.openxmlformats.org/drawingml/2006/main">
                  <a:graphicData uri="http://schemas.microsoft.com/office/word/2010/wordprocessingShape">
                    <wps:wsp>
                      <wps:cNvSpPr/>
                      <wps:spPr>
                        <a:xfrm>
                          <a:off x="0" y="0"/>
                          <a:ext cx="4038178" cy="262255"/>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E22021" w14:textId="546602E0" w:rsidR="003D01C7" w:rsidRPr="00E155C5" w:rsidRDefault="003D01C7" w:rsidP="003D01C7">
                            <w:pPr>
                              <w:jc w:val="center"/>
                              <w:rPr>
                                <w:b/>
                                <w:bCs/>
                                <w:color w:val="000000" w:themeColor="text1"/>
                                <w:sz w:val="32"/>
                                <w:szCs w:val="32"/>
                                <w:lang w:val="fr-FR"/>
                              </w:rPr>
                            </w:pPr>
                            <w:r w:rsidRPr="00E155C5">
                              <w:rPr>
                                <w:rFonts w:ascii="Source Sans Pro" w:hAnsi="Source Sans Pro"/>
                                <w:b/>
                                <w:bCs/>
                                <w:color w:val="000000" w:themeColor="text1"/>
                                <w:lang w:val="fr-FR"/>
                              </w:rPr>
                              <w:t>Un outil innovant : l’exposition aux limites planétaires</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0FA27D" id="Rectangle : coins arrondis 190545219" o:spid="_x0000_s1154" style="position:absolute;left:0;text-align:left;margin-left:59.75pt;margin-top:6.95pt;width:317.95pt;height:20.65pt;z-index:25140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" fillcolor="#ffc000" stroked="f" strokeweight="1pt">
                <v:stroke joinstyle="miter"/>
                <v:textbox inset="2.5mm,1mm,2.5mm,1mm">
                  <w:txbxContent>
                    <w:p w14:paraId="06E22021" w14:textId="546602E0" w:rsidR="003D01C7" w:rsidRPr="00E155C5" w:rsidRDefault="003D01C7" w:rsidP="003D01C7">
                      <w:pPr>
                        <w:jc w:val="center"/>
                        <w:rPr>
                          <w:b/>
                          <w:bCs/>
                          <w:color w:val="000000" w:themeColor="text1"/>
                          <w:sz w:val="32"/>
                          <w:szCs w:val="32"/>
                          <w:lang w:val="fr-FR"/>
                        </w:rPr>
                      </w:pPr>
                      <w:r w:rsidRPr="00E155C5">
                        <w:rPr>
                          <w:rFonts w:ascii="Source Sans Pro" w:hAnsi="Source Sans Pro"/>
                          <w:b/>
                          <w:bCs/>
                          <w:color w:val="000000" w:themeColor="text1"/>
                          <w:lang w:val="fr-FR"/>
                        </w:rPr>
                        <w:t>Un outil innovant : l’exposition aux limites planétaires</w:t>
                      </w:r>
                    </w:p>
                  </w:txbxContent>
                </v:textbox>
                <w10:wrap anchorx="margin"/>
              </v:roundrect>
            </w:pict>
          </mc:Fallback>
        </mc:AlternateContent>
      </w:r>
    </w:p>
    <w:p w14:paraId="5E39A75C" w14:textId="7127BCD3" w:rsidR="003D01C7" w:rsidRPr="00A74D23" w:rsidRDefault="003D01C7" w:rsidP="009D6EE5">
      <w:pPr>
        <w:spacing w:line="22" w:lineRule="atLeast"/>
        <w:jc w:val="both"/>
        <w:rPr>
          <w:rFonts w:asciiTheme="minorHAnsi" w:hAnsiTheme="minorHAnsi" w:cs="Open Sans"/>
          <w:sz w:val="20"/>
          <w:lang w:val="fr-FR"/>
        </w:rPr>
      </w:pPr>
      <w:r w:rsidRPr="00A74D23">
        <w:rPr>
          <w:rFonts w:asciiTheme="minorHAnsi" w:hAnsiTheme="minorHAnsi" w:cs="Open Sans"/>
          <w:noProof/>
        </w:rPr>
        <mc:AlternateContent>
          <mc:Choice Requires="wps">
            <w:drawing>
              <wp:anchor distT="0" distB="0" distL="114300" distR="114300" simplePos="0" relativeHeight="251411456" behindDoc="1" locked="0" layoutInCell="1" allowOverlap="1" wp14:anchorId="27013948" wp14:editId="40623C84">
                <wp:simplePos x="0" y="0"/>
                <wp:positionH relativeFrom="margin">
                  <wp:posOffset>17145</wp:posOffset>
                </wp:positionH>
                <wp:positionV relativeFrom="paragraph">
                  <wp:posOffset>70485</wp:posOffset>
                </wp:positionV>
                <wp:extent cx="6035665" cy="2914650"/>
                <wp:effectExtent l="0" t="0" r="3810" b="0"/>
                <wp:wrapNone/>
                <wp:docPr id="1816930650" name="Rectangle : coins arrondis 1816930650"/>
                <wp:cNvGraphicFramePr/>
                <a:graphic xmlns:a="http://schemas.openxmlformats.org/drawingml/2006/main">
                  <a:graphicData uri="http://schemas.microsoft.com/office/word/2010/wordprocessingShape">
                    <wps:wsp>
                      <wps:cNvSpPr/>
                      <wps:spPr>
                        <a:xfrm>
                          <a:off x="0" y="0"/>
                          <a:ext cx="6035665" cy="2914650"/>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6E2D49" w14:textId="5FEAF842" w:rsidR="003D01C7" w:rsidRPr="008F4D79" w:rsidRDefault="003D01C7" w:rsidP="003D01C7">
                            <w:pPr>
                              <w:spacing w:line="140" w:lineRule="atLeast"/>
                              <w:rPr>
                                <w:rFonts w:asciiTheme="minorHAnsi" w:hAnsiTheme="minorHAnsi" w:cs="Segoe UI"/>
                                <w:color w:val="000000" w:themeColor="text1"/>
                                <w:sz w:val="20"/>
                                <w:szCs w:val="20"/>
                                <w:lang w:val="fr-FR"/>
                              </w:rPr>
                            </w:pPr>
                            <w:r w:rsidRPr="008F4D79">
                              <w:rPr>
                                <w:rFonts w:asciiTheme="minorHAnsi" w:hAnsiTheme="minorHAnsi" w:cs="Segoe UI"/>
                                <w:color w:val="000000" w:themeColor="text1"/>
                                <w:sz w:val="20"/>
                                <w:szCs w:val="20"/>
                                <w:lang w:val="fr-FR"/>
                              </w:rPr>
                              <w:t xml:space="preserve">Afin de relier l’analyse du portefeuille aux objectifs internationaux de biodiversité, </w:t>
                            </w:r>
                            <w:r w:rsidR="00495330">
                              <w:rPr>
                                <w:rFonts w:asciiTheme="minorHAnsi" w:hAnsiTheme="minorHAnsi" w:cs="Segoe UI"/>
                                <w:color w:val="000000" w:themeColor="text1"/>
                                <w:sz w:val="20"/>
                                <w:szCs w:val="20"/>
                                <w:lang w:val="fr-FR"/>
                              </w:rPr>
                              <w:t>Ofi</w:t>
                            </w:r>
                            <w:r w:rsidRPr="008F4D79">
                              <w:rPr>
                                <w:rFonts w:asciiTheme="minorHAnsi" w:hAnsiTheme="minorHAnsi" w:cs="Segoe UI"/>
                                <w:color w:val="000000" w:themeColor="text1"/>
                                <w:sz w:val="20"/>
                                <w:szCs w:val="20"/>
                                <w:lang w:val="fr-FR"/>
                              </w:rPr>
                              <w:t xml:space="preserve"> Invest AM a développé un cadre d’analyse d’exposition aux limites planétaires inspiré des travaux du Stockholm Resilience Center. Ce cadre permet de décliner ces limites à l’échelle d’un portefeuille d’investissement et d’en suivre l’alignement au regard des quatre principales pressions identifiées précédemment.</w:t>
                            </w:r>
                          </w:p>
                          <w:p w14:paraId="604EA4C0" w14:textId="77777777" w:rsidR="00AC5AA0" w:rsidRPr="008F4D79" w:rsidRDefault="00AC5AA0" w:rsidP="003D01C7">
                            <w:pPr>
                              <w:spacing w:line="140" w:lineRule="atLeast"/>
                              <w:rPr>
                                <w:rFonts w:asciiTheme="minorHAnsi" w:hAnsiTheme="minorHAnsi" w:cs="Segoe UI"/>
                                <w:color w:val="000000" w:themeColor="text1"/>
                                <w:sz w:val="20"/>
                                <w:szCs w:val="20"/>
                                <w:lang w:val="fr-FR"/>
                              </w:rPr>
                            </w:pPr>
                          </w:p>
                          <w:p w14:paraId="51ED76B9" w14:textId="35A2488B" w:rsidR="00AC5AA0" w:rsidRPr="008F4D79" w:rsidRDefault="00AC5AA0" w:rsidP="00AC5AA0">
                            <w:pPr>
                              <w:spacing w:line="140" w:lineRule="atLeast"/>
                              <w:rPr>
                                <w:rFonts w:asciiTheme="minorHAnsi" w:hAnsiTheme="minorHAnsi" w:cs="Segoe UI"/>
                                <w:color w:val="000000" w:themeColor="text1"/>
                                <w:sz w:val="20"/>
                                <w:szCs w:val="20"/>
                                <w:lang w:val="fr-FR"/>
                              </w:rPr>
                            </w:pPr>
                            <w:r w:rsidRPr="008F4D79">
                              <w:rPr>
                                <w:rFonts w:asciiTheme="minorHAnsi" w:hAnsiTheme="minorHAnsi" w:cs="Segoe UI"/>
                                <w:color w:val="000000" w:themeColor="text1"/>
                                <w:sz w:val="20"/>
                                <w:szCs w:val="20"/>
                                <w:lang w:val="fr-FR"/>
                              </w:rPr>
                              <w:t>Pour analyser le positionnement du portefeuille au regard des limites planétaires, une correspondance est d’abord établie entre les seuils de dépassement définis par le Stockholm Resilience Center et leur traduction en MSAppb*, l’indicateur de pression biodiversité utilisé par Carbon4 Finance. Une référence “économie mondiale” est ensuite construite à partir d’un indice représentatif, fondé sur la pondération du PIB de chaque pays (source Banque mondiale) et sur la contribution des entreprises à ce PIB par pays. Le MSAppb* par million d’euros investis est calculé, pour chacune des quatre pressions considérées, à la fois pour cet indice mondial et pour le portefeuille d’investissement. Les niveaux de pression du portefeuille sont enfin rebasés par rapport aux limites planétaires, afin d’exprimer les dépassements relatifs et d’évaluer le positionnement du portefeuille au regard des seuils environnementaux globaux.</w:t>
                            </w:r>
                          </w:p>
                          <w:p w14:paraId="323E5C0B" w14:textId="77777777" w:rsidR="00AC5AA0" w:rsidRPr="00474EE1" w:rsidRDefault="00AC5AA0" w:rsidP="003D01C7">
                            <w:pPr>
                              <w:spacing w:line="140" w:lineRule="atLeast"/>
                              <w:rPr>
                                <w:rFonts w:cs="Segoe UI"/>
                                <w:color w:val="000000" w:themeColor="text1"/>
                                <w:sz w:val="20"/>
                                <w:szCs w:val="20"/>
                                <w:lang w:val="fr-FR"/>
                              </w:rPr>
                            </w:pPr>
                          </w:p>
                          <w:p w14:paraId="759DB5CB" w14:textId="77777777" w:rsidR="003D01C7" w:rsidRPr="00474EE1" w:rsidRDefault="003D01C7" w:rsidP="003D01C7">
                            <w:pPr>
                              <w:spacing w:line="140" w:lineRule="atLeast"/>
                              <w:rPr>
                                <w:rFonts w:cs="Segoe UI"/>
                                <w:color w:val="000000" w:themeColor="text1"/>
                                <w:sz w:val="20"/>
                                <w:szCs w:val="20"/>
                                <w:lang w:val="fr-FR"/>
                              </w:rPr>
                            </w:pPr>
                          </w:p>
                          <w:p w14:paraId="3D6D021D" w14:textId="77777777" w:rsidR="003D01C7" w:rsidRPr="00474EE1" w:rsidRDefault="003D01C7" w:rsidP="003D01C7">
                            <w:pPr>
                              <w:spacing w:line="140" w:lineRule="atLeast"/>
                              <w:rPr>
                                <w:rFonts w:cs="Segoe UI"/>
                                <w:color w:val="000000" w:themeColor="text1"/>
                                <w:sz w:val="20"/>
                                <w:szCs w:val="20"/>
                                <w:lang w:val="fr-FR"/>
                              </w:rPr>
                            </w:pPr>
                          </w:p>
                          <w:p w14:paraId="2E3EEE6C" w14:textId="77777777" w:rsidR="003D01C7" w:rsidRPr="00474EE1" w:rsidRDefault="003D01C7" w:rsidP="003D01C7">
                            <w:pPr>
                              <w:spacing w:line="140" w:lineRule="atLeast"/>
                              <w:rPr>
                                <w:rFonts w:cs="Segoe UI"/>
                                <w:color w:val="000000" w:themeColor="text1"/>
                                <w:sz w:val="16"/>
                                <w:szCs w:val="16"/>
                                <w:lang w:val="fr-FR"/>
                              </w:rPr>
                            </w:pPr>
                          </w:p>
                        </w:txbxContent>
                      </wps:txbx>
                      <wps:bodyPr rot="0" spcFirstLastPara="0" vertOverflow="overflow" horzOverflow="overflow" vert="horz" wrap="square" lIns="180000" tIns="72000" rIns="180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013948" id="Rectangle : coins arrondis 1816930650" o:spid="_x0000_s1155" style="position:absolute;left:0;text-align:left;margin-left:1.35pt;margin-top:5.55pt;width:475.25pt;height:229.5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" fillcolor="#d8d8d8 [2732]" stroked="f" strokeweight="1pt">
                <v:stroke joinstyle="miter"/>
                <v:textbox inset="5mm,2mm,5mm,1mm">
                  <w:txbxContent>
                    <w:p w14:paraId="506E2D49" w14:textId="5FEAF842" w:rsidR="003D01C7" w:rsidRPr="008F4D79" w:rsidRDefault="003D01C7" w:rsidP="003D01C7">
                      <w:pPr>
                        <w:spacing w:line="140" w:lineRule="atLeast"/>
                        <w:rPr>
                          <w:rFonts w:asciiTheme="minorHAnsi" w:hAnsiTheme="minorHAnsi" w:cs="Segoe UI"/>
                          <w:color w:val="000000" w:themeColor="text1"/>
                          <w:sz w:val="20"/>
                          <w:szCs w:val="20"/>
                          <w:lang w:val="fr-FR"/>
                        </w:rPr>
                      </w:pPr>
                      <w:r w:rsidRPr="008F4D79">
                        <w:rPr>
                          <w:rFonts w:asciiTheme="minorHAnsi" w:hAnsiTheme="minorHAnsi" w:cs="Segoe UI"/>
                          <w:color w:val="000000" w:themeColor="text1"/>
                          <w:sz w:val="20"/>
                          <w:szCs w:val="20"/>
                          <w:lang w:val="fr-FR"/>
                        </w:rPr>
                        <w:t xml:space="preserve">Afin de relier l’analyse du portefeuille aux objectifs internationaux de biodiversité, </w:t>
                      </w:r>
                      <w:r w:rsidR="00495330">
                        <w:rPr>
                          <w:rFonts w:asciiTheme="minorHAnsi" w:hAnsiTheme="minorHAnsi" w:cs="Segoe UI"/>
                          <w:color w:val="000000" w:themeColor="text1"/>
                          <w:sz w:val="20"/>
                          <w:szCs w:val="20"/>
                          <w:lang w:val="fr-FR"/>
                        </w:rPr>
                        <w:t>Ofi</w:t>
                      </w:r>
                      <w:r w:rsidRPr="008F4D79">
                        <w:rPr>
                          <w:rFonts w:asciiTheme="minorHAnsi" w:hAnsiTheme="minorHAnsi" w:cs="Segoe UI"/>
                          <w:color w:val="000000" w:themeColor="text1"/>
                          <w:sz w:val="20"/>
                          <w:szCs w:val="20"/>
                          <w:lang w:val="fr-FR"/>
                        </w:rPr>
                        <w:t xml:space="preserve"> Invest AM a développé un cadre d’analyse d’exposition aux limites planétaires inspiré des travaux du Stockholm Resilience Center. Ce cadre permet de décliner ces limites à l’échelle d’un portefeuille d’investissement et d’en suivre l’alignement au regard des quatre principales pressions identifiées précédemment.</w:t>
                      </w:r>
                    </w:p>
                    <w:p w14:paraId="604EA4C0" w14:textId="77777777" w:rsidR="00AC5AA0" w:rsidRPr="008F4D79" w:rsidRDefault="00AC5AA0" w:rsidP="003D01C7">
                      <w:pPr>
                        <w:spacing w:line="140" w:lineRule="atLeast"/>
                        <w:rPr>
                          <w:rFonts w:asciiTheme="minorHAnsi" w:hAnsiTheme="minorHAnsi" w:cs="Segoe UI"/>
                          <w:color w:val="000000" w:themeColor="text1"/>
                          <w:sz w:val="20"/>
                          <w:szCs w:val="20"/>
                          <w:lang w:val="fr-FR"/>
                        </w:rPr>
                      </w:pPr>
                    </w:p>
                    <w:p w14:paraId="51ED76B9" w14:textId="35A2488B" w:rsidR="00AC5AA0" w:rsidRPr="008F4D79" w:rsidRDefault="00AC5AA0" w:rsidP="00AC5AA0">
                      <w:pPr>
                        <w:spacing w:line="140" w:lineRule="atLeast"/>
                        <w:rPr>
                          <w:rFonts w:asciiTheme="minorHAnsi" w:hAnsiTheme="minorHAnsi" w:cs="Segoe UI"/>
                          <w:color w:val="000000" w:themeColor="text1"/>
                          <w:sz w:val="20"/>
                          <w:szCs w:val="20"/>
                          <w:lang w:val="fr-FR"/>
                        </w:rPr>
                      </w:pPr>
                      <w:r w:rsidRPr="008F4D79">
                        <w:rPr>
                          <w:rFonts w:asciiTheme="minorHAnsi" w:hAnsiTheme="minorHAnsi" w:cs="Segoe UI"/>
                          <w:color w:val="000000" w:themeColor="text1"/>
                          <w:sz w:val="20"/>
                          <w:szCs w:val="20"/>
                          <w:lang w:val="fr-FR"/>
                        </w:rPr>
                        <w:t>Pour analyser le positionnement du portefeuille au regard des limites planétaires, une correspondance est d’abord établie entre les seuils de dépassement définis par le Stockholm Resilience Center et leur traduction en MSAppb*, l’indicateur de pression biodiversité utilisé par Carbon4 Finance. Une référence “économie mondiale” est ensuite construite à partir d’un indice représentatif, fondé sur la pondération du PIB de chaque pays (source Banque mondiale) et sur la contribution des entreprises à ce PIB par pays. Le MSAppb* par million d’euros investis est calculé, pour chacune des quatre pressions considérées, à la fois pour cet indice mondial et pour le portefeuille d’investissement. Les niveaux de pression du portefeuille sont enfin rebasés par rapport aux limites planétaires, afin d’exprimer les dépassements relatifs et d’évaluer le positionnement du portefeuille au regard des seuils environnementaux globaux.</w:t>
                      </w:r>
                    </w:p>
                    <w:p w14:paraId="323E5C0B" w14:textId="77777777" w:rsidR="00AC5AA0" w:rsidRPr="00474EE1" w:rsidRDefault="00AC5AA0" w:rsidP="003D01C7">
                      <w:pPr>
                        <w:spacing w:line="140" w:lineRule="atLeast"/>
                        <w:rPr>
                          <w:rFonts w:cs="Segoe UI"/>
                          <w:color w:val="000000" w:themeColor="text1"/>
                          <w:sz w:val="20"/>
                          <w:szCs w:val="20"/>
                          <w:lang w:val="fr-FR"/>
                        </w:rPr>
                      </w:pPr>
                    </w:p>
                    <w:p w14:paraId="759DB5CB" w14:textId="77777777" w:rsidR="003D01C7" w:rsidRPr="00474EE1" w:rsidRDefault="003D01C7" w:rsidP="003D01C7">
                      <w:pPr>
                        <w:spacing w:line="140" w:lineRule="atLeast"/>
                        <w:rPr>
                          <w:rFonts w:cs="Segoe UI"/>
                          <w:color w:val="000000" w:themeColor="text1"/>
                          <w:sz w:val="20"/>
                          <w:szCs w:val="20"/>
                          <w:lang w:val="fr-FR"/>
                        </w:rPr>
                      </w:pPr>
                    </w:p>
                    <w:p w14:paraId="3D6D021D" w14:textId="77777777" w:rsidR="003D01C7" w:rsidRPr="00474EE1" w:rsidRDefault="003D01C7" w:rsidP="003D01C7">
                      <w:pPr>
                        <w:spacing w:line="140" w:lineRule="atLeast"/>
                        <w:rPr>
                          <w:rFonts w:cs="Segoe UI"/>
                          <w:color w:val="000000" w:themeColor="text1"/>
                          <w:sz w:val="20"/>
                          <w:szCs w:val="20"/>
                          <w:lang w:val="fr-FR"/>
                        </w:rPr>
                      </w:pPr>
                    </w:p>
                    <w:p w14:paraId="2E3EEE6C" w14:textId="77777777" w:rsidR="003D01C7" w:rsidRPr="00474EE1" w:rsidRDefault="003D01C7" w:rsidP="003D01C7">
                      <w:pPr>
                        <w:spacing w:line="140" w:lineRule="atLeast"/>
                        <w:rPr>
                          <w:rFonts w:cs="Segoe UI"/>
                          <w:color w:val="000000" w:themeColor="text1"/>
                          <w:sz w:val="16"/>
                          <w:szCs w:val="16"/>
                          <w:lang w:val="fr-FR"/>
                        </w:rPr>
                      </w:pPr>
                    </w:p>
                  </w:txbxContent>
                </v:textbox>
                <w10:wrap anchorx="margin"/>
              </v:roundrect>
            </w:pict>
          </mc:Fallback>
        </mc:AlternateContent>
      </w:r>
    </w:p>
    <w:p w14:paraId="0CAD7034" w14:textId="5417E653" w:rsidR="003D01C7" w:rsidRPr="00A74D23" w:rsidRDefault="003D01C7" w:rsidP="009D6EE5">
      <w:pPr>
        <w:spacing w:line="22" w:lineRule="atLeast"/>
        <w:jc w:val="both"/>
        <w:rPr>
          <w:rFonts w:asciiTheme="minorHAnsi" w:hAnsiTheme="minorHAnsi" w:cs="Open Sans"/>
          <w:sz w:val="20"/>
          <w:lang w:val="fr-FR"/>
        </w:rPr>
      </w:pPr>
    </w:p>
    <w:p w14:paraId="31A10DED" w14:textId="762E1C59" w:rsidR="003D01C7" w:rsidRPr="00A74D23" w:rsidRDefault="003D01C7" w:rsidP="009D6EE5">
      <w:pPr>
        <w:spacing w:line="22" w:lineRule="atLeast"/>
        <w:jc w:val="both"/>
        <w:rPr>
          <w:rFonts w:asciiTheme="minorHAnsi" w:hAnsiTheme="minorHAnsi" w:cs="Open Sans"/>
          <w:sz w:val="20"/>
          <w:lang w:val="fr-FR"/>
        </w:rPr>
      </w:pPr>
    </w:p>
    <w:p w14:paraId="3946B640" w14:textId="206E0D51" w:rsidR="003D01C7" w:rsidRPr="00A74D23" w:rsidRDefault="003D01C7" w:rsidP="009D6EE5">
      <w:pPr>
        <w:spacing w:line="22" w:lineRule="atLeast"/>
        <w:jc w:val="both"/>
        <w:rPr>
          <w:rFonts w:asciiTheme="minorHAnsi" w:hAnsiTheme="minorHAnsi" w:cs="Open Sans"/>
          <w:sz w:val="20"/>
          <w:lang w:val="fr-FR"/>
        </w:rPr>
      </w:pPr>
    </w:p>
    <w:p w14:paraId="3C8FE629" w14:textId="77777777" w:rsidR="003D01C7" w:rsidRPr="00A74D23" w:rsidRDefault="003D01C7" w:rsidP="009D6EE5">
      <w:pPr>
        <w:spacing w:line="22" w:lineRule="atLeast"/>
        <w:jc w:val="both"/>
        <w:rPr>
          <w:rFonts w:asciiTheme="minorHAnsi" w:hAnsiTheme="minorHAnsi" w:cs="Open Sans"/>
          <w:sz w:val="20"/>
          <w:lang w:val="fr-FR"/>
        </w:rPr>
      </w:pPr>
    </w:p>
    <w:p w14:paraId="24005754" w14:textId="4D342B94" w:rsidR="003D01C7" w:rsidRPr="00A74D23" w:rsidRDefault="003D01C7" w:rsidP="009D6EE5">
      <w:pPr>
        <w:spacing w:line="22" w:lineRule="atLeast"/>
        <w:jc w:val="both"/>
        <w:rPr>
          <w:rFonts w:asciiTheme="minorHAnsi" w:hAnsiTheme="minorHAnsi" w:cs="Open Sans"/>
          <w:sz w:val="20"/>
          <w:lang w:val="fr-FR"/>
        </w:rPr>
      </w:pPr>
    </w:p>
    <w:p w14:paraId="23DF9D1E" w14:textId="77777777" w:rsidR="003D01C7" w:rsidRPr="00A74D23" w:rsidRDefault="003D01C7" w:rsidP="009D6EE5">
      <w:pPr>
        <w:spacing w:line="22" w:lineRule="atLeast"/>
        <w:jc w:val="both"/>
        <w:rPr>
          <w:rFonts w:asciiTheme="minorHAnsi" w:hAnsiTheme="minorHAnsi" w:cs="Open Sans"/>
          <w:sz w:val="20"/>
          <w:lang w:val="fr-FR"/>
        </w:rPr>
      </w:pPr>
    </w:p>
    <w:p w14:paraId="0D81D776" w14:textId="7526C1A1" w:rsidR="003D01C7" w:rsidRPr="00A74D23" w:rsidRDefault="003D01C7" w:rsidP="009D6EE5">
      <w:pPr>
        <w:spacing w:line="22" w:lineRule="atLeast"/>
        <w:jc w:val="both"/>
        <w:rPr>
          <w:rFonts w:asciiTheme="minorHAnsi" w:hAnsiTheme="minorHAnsi" w:cs="Open Sans"/>
          <w:sz w:val="20"/>
          <w:lang w:val="fr-FR"/>
        </w:rPr>
      </w:pPr>
    </w:p>
    <w:p w14:paraId="43630577" w14:textId="77777777" w:rsidR="003D01C7" w:rsidRPr="00A74D23" w:rsidRDefault="003D01C7" w:rsidP="009D6EE5">
      <w:pPr>
        <w:spacing w:line="22" w:lineRule="atLeast"/>
        <w:jc w:val="both"/>
        <w:rPr>
          <w:rFonts w:asciiTheme="minorHAnsi" w:hAnsiTheme="minorHAnsi" w:cs="Open Sans"/>
          <w:sz w:val="20"/>
          <w:lang w:val="fr-FR"/>
        </w:rPr>
      </w:pPr>
    </w:p>
    <w:p w14:paraId="3F9F5B3B" w14:textId="77777777" w:rsidR="003D01C7" w:rsidRPr="00A74D23" w:rsidRDefault="003D01C7" w:rsidP="009D6EE5">
      <w:pPr>
        <w:spacing w:line="22" w:lineRule="atLeast"/>
        <w:jc w:val="both"/>
        <w:rPr>
          <w:rFonts w:asciiTheme="minorHAnsi" w:hAnsiTheme="minorHAnsi" w:cs="Open Sans"/>
          <w:sz w:val="20"/>
          <w:lang w:val="fr-FR"/>
        </w:rPr>
      </w:pPr>
    </w:p>
    <w:p w14:paraId="2A2D07DC" w14:textId="77777777" w:rsidR="003D01C7" w:rsidRPr="00A74D23" w:rsidRDefault="003D01C7" w:rsidP="009D6EE5">
      <w:pPr>
        <w:spacing w:line="22" w:lineRule="atLeast"/>
        <w:jc w:val="both"/>
        <w:rPr>
          <w:rFonts w:asciiTheme="minorHAnsi" w:hAnsiTheme="minorHAnsi" w:cs="Open Sans"/>
          <w:sz w:val="20"/>
          <w:lang w:val="fr-FR"/>
        </w:rPr>
      </w:pPr>
    </w:p>
    <w:p w14:paraId="52372B14" w14:textId="77777777" w:rsidR="002605D5" w:rsidRPr="00A74D23" w:rsidRDefault="002605D5" w:rsidP="009D6EE5">
      <w:pPr>
        <w:spacing w:line="22" w:lineRule="atLeast"/>
        <w:jc w:val="both"/>
        <w:rPr>
          <w:rFonts w:asciiTheme="minorHAnsi" w:hAnsiTheme="minorHAnsi" w:cs="Open Sans"/>
          <w:sz w:val="20"/>
          <w:lang w:val="fr-FR"/>
        </w:rPr>
      </w:pPr>
    </w:p>
    <w:p w14:paraId="4A0FA256" w14:textId="77777777" w:rsidR="00AC5AA0" w:rsidRPr="00A74D23" w:rsidRDefault="00AC5AA0" w:rsidP="009D6EE5">
      <w:pPr>
        <w:spacing w:line="22" w:lineRule="atLeast"/>
        <w:jc w:val="both"/>
        <w:rPr>
          <w:rFonts w:asciiTheme="minorHAnsi" w:hAnsiTheme="minorHAnsi" w:cs="Open Sans"/>
          <w:sz w:val="20"/>
          <w:lang w:val="fr-FR"/>
        </w:rPr>
      </w:pPr>
    </w:p>
    <w:p w14:paraId="571532BF" w14:textId="77777777" w:rsidR="00AC5AA0" w:rsidRPr="00A74D23" w:rsidRDefault="00AC5AA0" w:rsidP="009D6EE5">
      <w:pPr>
        <w:spacing w:line="22" w:lineRule="atLeast"/>
        <w:jc w:val="both"/>
        <w:rPr>
          <w:rFonts w:asciiTheme="minorHAnsi" w:hAnsiTheme="minorHAnsi" w:cs="Open Sans"/>
          <w:sz w:val="20"/>
          <w:lang w:val="fr-FR"/>
        </w:rPr>
      </w:pPr>
    </w:p>
    <w:p w14:paraId="7363087C" w14:textId="77777777" w:rsidR="00AC5AA0" w:rsidRPr="00A74D23" w:rsidRDefault="00AC5AA0" w:rsidP="009D6EE5">
      <w:pPr>
        <w:spacing w:line="22" w:lineRule="atLeast"/>
        <w:jc w:val="both"/>
        <w:rPr>
          <w:rFonts w:asciiTheme="minorHAnsi" w:hAnsiTheme="minorHAnsi" w:cs="Open Sans"/>
          <w:sz w:val="20"/>
          <w:lang w:val="fr-FR"/>
        </w:rPr>
      </w:pPr>
    </w:p>
    <w:p w14:paraId="4EF004B1" w14:textId="77777777" w:rsidR="00AC5AA0" w:rsidRPr="00A74D23" w:rsidRDefault="00AC5AA0" w:rsidP="009D6EE5">
      <w:pPr>
        <w:spacing w:line="22" w:lineRule="atLeast"/>
        <w:jc w:val="both"/>
        <w:rPr>
          <w:rFonts w:asciiTheme="minorHAnsi" w:hAnsiTheme="minorHAnsi" w:cs="Open Sans"/>
          <w:sz w:val="20"/>
          <w:lang w:val="fr-FR"/>
        </w:rPr>
      </w:pPr>
    </w:p>
    <w:p w14:paraId="7BA24841" w14:textId="77777777" w:rsidR="00AC5AA0" w:rsidRPr="00A74D23" w:rsidRDefault="00AC5AA0" w:rsidP="009D6EE5">
      <w:pPr>
        <w:spacing w:line="22" w:lineRule="atLeast"/>
        <w:jc w:val="both"/>
        <w:rPr>
          <w:rFonts w:asciiTheme="minorHAnsi" w:hAnsiTheme="minorHAnsi" w:cs="Open Sans"/>
          <w:sz w:val="20"/>
          <w:lang w:val="fr-FR"/>
        </w:rPr>
      </w:pPr>
    </w:p>
    <w:p w14:paraId="69EA4D4C" w14:textId="77777777" w:rsidR="00AC5AA0" w:rsidRPr="00A74D23" w:rsidRDefault="00AC5AA0" w:rsidP="009D6EE5">
      <w:pPr>
        <w:spacing w:line="22" w:lineRule="atLeast"/>
        <w:jc w:val="both"/>
        <w:rPr>
          <w:rFonts w:asciiTheme="minorHAnsi" w:hAnsiTheme="minorHAnsi" w:cs="Open Sans"/>
          <w:sz w:val="20"/>
          <w:lang w:val="fr-FR"/>
        </w:rPr>
      </w:pPr>
    </w:p>
    <w:p w14:paraId="1BB14CBA" w14:textId="77777777" w:rsidR="00AC5AA0" w:rsidRDefault="00AC5AA0" w:rsidP="009D6EE5">
      <w:pPr>
        <w:spacing w:line="22" w:lineRule="atLeast"/>
        <w:jc w:val="both"/>
        <w:rPr>
          <w:rFonts w:asciiTheme="minorHAnsi" w:hAnsiTheme="minorHAnsi" w:cs="Open Sans"/>
          <w:sz w:val="20"/>
          <w:lang w:val="fr-FR"/>
        </w:rPr>
      </w:pPr>
    </w:p>
    <w:p w14:paraId="3EA3AA3A" w14:textId="77777777" w:rsidR="001C352A" w:rsidRPr="00A74D23" w:rsidRDefault="001C352A" w:rsidP="009D6EE5">
      <w:pPr>
        <w:spacing w:line="22" w:lineRule="atLeast"/>
        <w:jc w:val="both"/>
        <w:rPr>
          <w:rFonts w:asciiTheme="minorHAnsi" w:hAnsiTheme="minorHAnsi" w:cs="Open Sans"/>
          <w:sz w:val="20"/>
          <w:lang w:val="fr-FR"/>
        </w:rPr>
      </w:pPr>
    </w:p>
    <w:p w14:paraId="4B1BBA75" w14:textId="758ACC97" w:rsidR="002605D5" w:rsidRPr="00A74D23" w:rsidRDefault="002605D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Le graphique ci</w:t>
      </w:r>
      <w:r w:rsidRPr="00A74D23">
        <w:rPr>
          <w:rFonts w:asciiTheme="minorHAnsi" w:hAnsiTheme="minorHAnsi" w:cs="Open Sans"/>
          <w:sz w:val="20"/>
          <w:lang w:val="fr-FR"/>
        </w:rPr>
        <w:noBreakHyphen/>
        <w:t xml:space="preserve">dessous présente le positionnement du portefeuille d’investissement </w:t>
      </w:r>
      <w:r w:rsidR="00B006D7" w:rsidRPr="00A74D23">
        <w:rPr>
          <w:rFonts w:asciiTheme="minorHAnsi" w:hAnsiTheme="minorHAnsi" w:cs="Open Sans"/>
          <w:sz w:val="20"/>
          <w:lang w:val="fr-FR"/>
        </w:rPr>
        <w:t xml:space="preserve">(UC et hors UC) </w:t>
      </w:r>
      <w:r w:rsidRPr="00A74D23">
        <w:rPr>
          <w:rFonts w:asciiTheme="minorHAnsi" w:hAnsiTheme="minorHAnsi" w:cs="Open Sans"/>
          <w:sz w:val="20"/>
          <w:lang w:val="fr-FR"/>
        </w:rPr>
        <w:t xml:space="preserve">d’Abeille </w:t>
      </w:r>
      <w:r w:rsidR="001D006E">
        <w:rPr>
          <w:rFonts w:asciiTheme="minorHAnsi" w:hAnsiTheme="minorHAnsi" w:cs="Open Sans"/>
          <w:sz w:val="20"/>
          <w:lang w:val="fr-FR"/>
        </w:rPr>
        <w:t xml:space="preserve">Retraite Professionnelle </w:t>
      </w:r>
      <w:r w:rsidRPr="00A74D23">
        <w:rPr>
          <w:rFonts w:asciiTheme="minorHAnsi" w:hAnsiTheme="minorHAnsi" w:cs="Open Sans"/>
          <w:sz w:val="20"/>
          <w:lang w:val="fr-FR"/>
        </w:rPr>
        <w:t>par rapport à ces limites planétaires, ainsi qu’une comparaison avec l’économie mondiale.</w:t>
      </w:r>
    </w:p>
    <w:p w14:paraId="2FB32A67" w14:textId="2ED2342C" w:rsidR="00B006D7" w:rsidRPr="00A74D23" w:rsidRDefault="00B006D7" w:rsidP="009D6EE5">
      <w:pPr>
        <w:spacing w:line="22" w:lineRule="atLeast"/>
        <w:jc w:val="both"/>
        <w:rPr>
          <w:rFonts w:asciiTheme="minorHAnsi" w:hAnsiTheme="minorHAnsi" w:cs="Open Sans"/>
          <w:sz w:val="20"/>
          <w:lang w:val="fr-FR"/>
        </w:rPr>
      </w:pPr>
    </w:p>
    <w:p w14:paraId="62CBFAE5" w14:textId="1F1FB9AD" w:rsidR="00C33D72" w:rsidRPr="00A74D23" w:rsidRDefault="001D006E" w:rsidP="009D6EE5">
      <w:pPr>
        <w:spacing w:line="22" w:lineRule="atLeast"/>
        <w:jc w:val="both"/>
        <w:rPr>
          <w:rFonts w:asciiTheme="minorHAnsi" w:hAnsiTheme="minorHAnsi" w:cs="Open Sans"/>
          <w:sz w:val="20"/>
          <w:lang w:val="fr-FR"/>
        </w:rPr>
      </w:pPr>
      <w:r>
        <w:rPr>
          <w:noProof/>
        </w:rPr>
        <w:drawing>
          <wp:inline distT="0" distB="0" distL="0" distR="0" wp14:anchorId="1F22EB34" wp14:editId="37039CA9">
            <wp:extent cx="5345547" cy="3579090"/>
            <wp:effectExtent l="0" t="0" r="7620" b="2540"/>
            <wp:docPr id="1397847214" name="Graphique 1">
              <a:extLst xmlns:a="http://schemas.openxmlformats.org/drawingml/2006/main">
                <a:ext uri="{FF2B5EF4-FFF2-40B4-BE49-F238E27FC236}">
                  <a16:creationId xmlns:a16="http://schemas.microsoft.com/office/drawing/2014/main" id="{6F3D93B7-8E2C-407F-AEA6-D07E2B4915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0F56EA86" w14:textId="41D47C44" w:rsidR="00E534EB" w:rsidRPr="00A74D23" w:rsidRDefault="00E534EB" w:rsidP="009D6EE5">
      <w:pPr>
        <w:spacing w:line="22" w:lineRule="atLeast"/>
        <w:jc w:val="both"/>
        <w:rPr>
          <w:rFonts w:asciiTheme="minorHAnsi" w:hAnsiTheme="minorHAnsi" w:cs="Open Sans"/>
          <w:i/>
          <w:iCs/>
          <w:sz w:val="20"/>
          <w:szCs w:val="20"/>
          <w:lang w:val="fr-FR"/>
        </w:rPr>
      </w:pPr>
      <w:r w:rsidRPr="00A74D23">
        <w:rPr>
          <w:rFonts w:asciiTheme="minorHAnsi" w:hAnsiTheme="minorHAnsi" w:cs="Open Sans"/>
          <w:i/>
          <w:iCs/>
          <w:sz w:val="20"/>
          <w:szCs w:val="20"/>
          <w:lang w:val="fr-FR"/>
        </w:rPr>
        <w:t xml:space="preserve">Périmètre : </w:t>
      </w:r>
      <w:r w:rsidR="005E6DAA" w:rsidRPr="00A74D23">
        <w:rPr>
          <w:rFonts w:asciiTheme="minorHAnsi" w:hAnsiTheme="minorHAnsi" w:cs="Open Sans"/>
          <w:i/>
          <w:iCs/>
          <w:sz w:val="20"/>
          <w:szCs w:val="20"/>
          <w:lang w:val="fr-FR"/>
        </w:rPr>
        <w:t xml:space="preserve">Abeille </w:t>
      </w:r>
      <w:r w:rsidR="001D006E">
        <w:rPr>
          <w:rFonts w:asciiTheme="minorHAnsi" w:hAnsiTheme="minorHAnsi" w:cs="Open Sans"/>
          <w:i/>
          <w:iCs/>
          <w:sz w:val="20"/>
          <w:szCs w:val="20"/>
          <w:lang w:val="fr-FR"/>
        </w:rPr>
        <w:t xml:space="preserve">Retraite Professionnelle </w:t>
      </w:r>
      <w:r w:rsidR="00BA5406">
        <w:rPr>
          <w:rFonts w:asciiTheme="minorHAnsi" w:hAnsiTheme="minorHAnsi" w:cs="Open Sans"/>
          <w:i/>
          <w:iCs/>
          <w:sz w:val="20"/>
          <w:szCs w:val="20"/>
          <w:lang w:val="fr-FR"/>
        </w:rPr>
        <w:t>portefeuille consolidé</w:t>
      </w:r>
      <w:r w:rsidR="005E6DAA" w:rsidRPr="00A74D23">
        <w:rPr>
          <w:rFonts w:asciiTheme="minorHAnsi" w:hAnsiTheme="minorHAnsi" w:cs="Open Sans"/>
          <w:i/>
          <w:iCs/>
          <w:sz w:val="20"/>
          <w:szCs w:val="20"/>
          <w:lang w:val="fr-FR"/>
        </w:rPr>
        <w:t xml:space="preserve"> </w:t>
      </w:r>
      <w:r w:rsidRPr="00A74D23">
        <w:rPr>
          <w:rFonts w:asciiTheme="minorHAnsi" w:hAnsiTheme="minorHAnsi" w:cs="Open Sans"/>
          <w:i/>
          <w:iCs/>
          <w:sz w:val="20"/>
          <w:szCs w:val="20"/>
          <w:lang w:val="fr-FR"/>
        </w:rPr>
        <w:t xml:space="preserve">– au 31/12/2025 </w:t>
      </w:r>
    </w:p>
    <w:p w14:paraId="16AD2BEC" w14:textId="1AC08599" w:rsidR="00E534EB" w:rsidRPr="0049459E" w:rsidRDefault="00E534EB" w:rsidP="009D6EE5">
      <w:pPr>
        <w:spacing w:line="22" w:lineRule="atLeast"/>
        <w:jc w:val="both"/>
        <w:rPr>
          <w:rFonts w:asciiTheme="minorHAnsi" w:hAnsiTheme="minorHAnsi" w:cs="Open Sans"/>
          <w:i/>
          <w:iCs/>
          <w:sz w:val="20"/>
          <w:szCs w:val="20"/>
          <w:lang w:val="fr-FR"/>
        </w:rPr>
      </w:pPr>
      <w:r w:rsidRPr="00A74D23">
        <w:rPr>
          <w:rFonts w:asciiTheme="minorHAnsi" w:hAnsiTheme="minorHAnsi" w:cs="Open Sans"/>
          <w:i/>
          <w:iCs/>
          <w:sz w:val="20"/>
          <w:szCs w:val="20"/>
          <w:lang w:val="fr-FR"/>
        </w:rPr>
        <w:t>Source</w:t>
      </w:r>
      <w:r w:rsidRPr="00A74D23">
        <w:rPr>
          <w:rFonts w:ascii="Arial" w:hAnsi="Arial" w:cs="Arial"/>
          <w:i/>
          <w:iCs/>
          <w:sz w:val="20"/>
          <w:szCs w:val="20"/>
          <w:lang w:val="fr-FR"/>
        </w:rPr>
        <w:t> </w:t>
      </w:r>
      <w:r w:rsidRPr="00A74D23">
        <w:rPr>
          <w:rFonts w:asciiTheme="minorHAnsi" w:hAnsiTheme="minorHAnsi" w:cs="Open Sans"/>
          <w:i/>
          <w:iCs/>
          <w:sz w:val="20"/>
          <w:szCs w:val="20"/>
          <w:lang w:val="fr-FR"/>
        </w:rPr>
        <w:t xml:space="preserve">: </w:t>
      </w:r>
      <w:r w:rsidR="00495330" w:rsidRPr="00A74D23">
        <w:rPr>
          <w:rFonts w:asciiTheme="minorHAnsi" w:hAnsiTheme="minorHAnsi" w:cs="Open Sans"/>
          <w:i/>
          <w:iCs/>
          <w:sz w:val="20"/>
          <w:szCs w:val="20"/>
          <w:lang w:val="fr-FR"/>
        </w:rPr>
        <w:t>Ofi</w:t>
      </w:r>
      <w:r w:rsidRPr="00A74D23">
        <w:rPr>
          <w:rFonts w:asciiTheme="minorHAnsi" w:hAnsiTheme="minorHAnsi" w:cs="Open Sans"/>
          <w:i/>
          <w:iCs/>
          <w:sz w:val="20"/>
          <w:szCs w:val="20"/>
          <w:lang w:val="fr-FR"/>
        </w:rPr>
        <w:t xml:space="preserve"> Invest </w:t>
      </w:r>
      <w:r w:rsidR="003D01C7" w:rsidRPr="00A74D23">
        <w:rPr>
          <w:rFonts w:asciiTheme="minorHAnsi" w:hAnsiTheme="minorHAnsi" w:cs="Open Sans"/>
          <w:i/>
          <w:iCs/>
          <w:sz w:val="20"/>
          <w:szCs w:val="20"/>
          <w:lang w:val="fr-FR"/>
        </w:rPr>
        <w:t>Asset Management</w:t>
      </w:r>
    </w:p>
    <w:p w14:paraId="3EE94D40" w14:textId="77777777" w:rsidR="00CD5C91" w:rsidRPr="00A74D23" w:rsidRDefault="00CD5C91" w:rsidP="009D6EE5">
      <w:pPr>
        <w:spacing w:line="22" w:lineRule="atLeast"/>
        <w:jc w:val="both"/>
        <w:rPr>
          <w:rFonts w:asciiTheme="minorHAnsi" w:hAnsiTheme="minorHAnsi" w:cs="Open Sans"/>
          <w:sz w:val="20"/>
          <w:lang w:val="fr-FR"/>
        </w:rPr>
      </w:pPr>
    </w:p>
    <w:p w14:paraId="38999339" w14:textId="6F40B00E" w:rsidR="00792EE9" w:rsidRDefault="00C33D72"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Cette analyse suggère, avec la prudence requise au regard du niveau de modélisation, que le portefeuille ne dépasse pas les limites planétaires, à l’exception du pilier Pollution, pour lequel l’impact élevé observé reflète avant tout la pression exercée par l’économie mondiale.</w:t>
      </w:r>
    </w:p>
    <w:p w14:paraId="212E64E1" w14:textId="77777777" w:rsidR="0049459E" w:rsidRPr="00A74D23" w:rsidRDefault="0049459E" w:rsidP="009D6EE5">
      <w:pPr>
        <w:spacing w:line="22" w:lineRule="atLeast"/>
        <w:jc w:val="both"/>
        <w:rPr>
          <w:rFonts w:asciiTheme="minorHAnsi" w:hAnsiTheme="minorHAnsi" w:cs="Open Sans"/>
          <w:sz w:val="20"/>
          <w:lang w:val="fr-FR"/>
        </w:rPr>
      </w:pPr>
    </w:p>
    <w:p w14:paraId="02BADF02" w14:textId="06839B39" w:rsidR="00792EE9" w:rsidRPr="00A74D23" w:rsidRDefault="00AB3F01" w:rsidP="009D6EE5">
      <w:pPr>
        <w:spacing w:line="22" w:lineRule="atLeast"/>
        <w:jc w:val="both"/>
        <w:rPr>
          <w:rFonts w:asciiTheme="minorHAnsi" w:hAnsiTheme="minorHAnsi" w:cs="Open Sans"/>
          <w:sz w:val="20"/>
          <w:lang w:val="fr-FR"/>
        </w:rPr>
      </w:pPr>
      <w:r w:rsidRPr="00A74D23">
        <w:rPr>
          <w:rFonts w:asciiTheme="minorHAnsi" w:hAnsiTheme="minorHAnsi" w:cs="Open Sans"/>
          <w:noProof/>
        </w:rPr>
        <mc:AlternateContent>
          <mc:Choice Requires="wps">
            <w:drawing>
              <wp:anchor distT="0" distB="0" distL="114300" distR="114300" simplePos="0" relativeHeight="251430912" behindDoc="0" locked="0" layoutInCell="1" allowOverlap="1" wp14:anchorId="7BED7B0B" wp14:editId="0DA844B3">
                <wp:simplePos x="0" y="0"/>
                <wp:positionH relativeFrom="margin">
                  <wp:posOffset>1663997</wp:posOffset>
                </wp:positionH>
                <wp:positionV relativeFrom="paragraph">
                  <wp:posOffset>129395</wp:posOffset>
                </wp:positionV>
                <wp:extent cx="2668138" cy="383830"/>
                <wp:effectExtent l="0" t="0" r="0" b="0"/>
                <wp:wrapNone/>
                <wp:docPr id="1257938005" name="Rectangle : coins arrondis 1257938005"/>
                <wp:cNvGraphicFramePr/>
                <a:graphic xmlns:a="http://schemas.openxmlformats.org/drawingml/2006/main">
                  <a:graphicData uri="http://schemas.microsoft.com/office/word/2010/wordprocessingShape">
                    <wps:wsp>
                      <wps:cNvSpPr/>
                      <wps:spPr>
                        <a:xfrm>
                          <a:off x="0" y="0"/>
                          <a:ext cx="2668138" cy="383830"/>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0A67AE" w14:textId="54C83907" w:rsidR="00AB3F01" w:rsidRPr="00AB3F01" w:rsidRDefault="00AB3F01" w:rsidP="00AB3F01">
                            <w:pPr>
                              <w:jc w:val="center"/>
                              <w:rPr>
                                <w:b/>
                                <w:bCs/>
                                <w:color w:val="000000" w:themeColor="text1"/>
                                <w:sz w:val="36"/>
                                <w:szCs w:val="36"/>
                              </w:rPr>
                            </w:pPr>
                            <w:r w:rsidRPr="00AB3F01">
                              <w:rPr>
                                <w:rFonts w:ascii="Source Sans Pro" w:hAnsi="Source Sans Pro"/>
                                <w:b/>
                                <w:bCs/>
                                <w:color w:val="000000" w:themeColor="text1"/>
                                <w:sz w:val="32"/>
                                <w:szCs w:val="32"/>
                              </w:rPr>
                              <w:t>En conclusion</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ED7B0B" id="Rectangle : coins arrondis 1257938005" o:spid="_x0000_s1156" style="position:absolute;left:0;text-align:left;margin-left:131pt;margin-top:10.2pt;width:210.1pt;height:30.2pt;z-index:25143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" fillcolor="#ffc000" stroked="f" strokeweight="1pt">
                <v:stroke joinstyle="miter"/>
                <v:textbox inset="2.5mm,1mm,2.5mm,1mm">
                  <w:txbxContent>
                    <w:p w14:paraId="300A67AE" w14:textId="54C83907" w:rsidR="00AB3F01" w:rsidRPr="00AB3F01" w:rsidRDefault="00AB3F01" w:rsidP="00AB3F01">
                      <w:pPr>
                        <w:jc w:val="center"/>
                        <w:rPr>
                          <w:b/>
                          <w:bCs/>
                          <w:color w:val="000000" w:themeColor="text1"/>
                          <w:sz w:val="36"/>
                          <w:szCs w:val="36"/>
                        </w:rPr>
                      </w:pPr>
                      <w:r w:rsidRPr="00AB3F01">
                        <w:rPr>
                          <w:rFonts w:ascii="Source Sans Pro" w:hAnsi="Source Sans Pro"/>
                          <w:b/>
                          <w:bCs/>
                          <w:color w:val="000000" w:themeColor="text1"/>
                          <w:sz w:val="32"/>
                          <w:szCs w:val="32"/>
                        </w:rPr>
                        <w:t>En conclusion</w:t>
                      </w:r>
                    </w:p>
                  </w:txbxContent>
                </v:textbox>
                <w10:wrap anchorx="margin"/>
              </v:roundrect>
            </w:pict>
          </mc:Fallback>
        </mc:AlternateContent>
      </w:r>
    </w:p>
    <w:p w14:paraId="19D4B405" w14:textId="78BFE711" w:rsidR="00AB3F01" w:rsidRPr="00A74D23" w:rsidRDefault="00AB3F01" w:rsidP="009D6EE5">
      <w:pPr>
        <w:spacing w:line="22" w:lineRule="atLeast"/>
        <w:jc w:val="both"/>
        <w:rPr>
          <w:rFonts w:asciiTheme="minorHAnsi" w:hAnsiTheme="minorHAnsi" w:cs="Open Sans"/>
          <w:sz w:val="20"/>
          <w:lang w:val="fr-FR"/>
        </w:rPr>
      </w:pPr>
    </w:p>
    <w:p w14:paraId="422C4D68" w14:textId="3F42D534" w:rsidR="00AB3F01" w:rsidRPr="00A74D23" w:rsidRDefault="000B48EF" w:rsidP="009D6EE5">
      <w:pPr>
        <w:pStyle w:val="Style1"/>
        <w:numPr>
          <w:ilvl w:val="0"/>
          <w:numId w:val="0"/>
        </w:numPr>
        <w:tabs>
          <w:tab w:val="clear" w:pos="2010"/>
          <w:tab w:val="left" w:pos="1134"/>
        </w:tabs>
        <w:spacing w:line="22" w:lineRule="atLeast"/>
        <w:ind w:firstLine="284"/>
        <w:jc w:val="both"/>
        <w:rPr>
          <w:rFonts w:cs="Open Sans"/>
          <w:i w:val="0"/>
          <w:color w:val="auto"/>
          <w:sz w:val="20"/>
        </w:rPr>
      </w:pPr>
      <w:r w:rsidRPr="00A74D23">
        <w:rPr>
          <w:rFonts w:cs="Open Sans"/>
          <w:noProof/>
        </w:rPr>
        <mc:AlternateContent>
          <mc:Choice Requires="wps">
            <w:drawing>
              <wp:anchor distT="0" distB="0" distL="114300" distR="114300" simplePos="0" relativeHeight="251418624" behindDoc="0" locked="0" layoutInCell="1" allowOverlap="1" wp14:anchorId="38A257C3" wp14:editId="4A9E2E46">
                <wp:simplePos x="0" y="0"/>
                <wp:positionH relativeFrom="column">
                  <wp:posOffset>525145</wp:posOffset>
                </wp:positionH>
                <wp:positionV relativeFrom="paragraph">
                  <wp:posOffset>245745</wp:posOffset>
                </wp:positionV>
                <wp:extent cx="5089525" cy="2222500"/>
                <wp:effectExtent l="0" t="0" r="0" b="6350"/>
                <wp:wrapNone/>
                <wp:docPr id="695401066" name="Zone de texte 695401066"/>
                <wp:cNvGraphicFramePr/>
                <a:graphic xmlns:a="http://schemas.openxmlformats.org/drawingml/2006/main">
                  <a:graphicData uri="http://schemas.microsoft.com/office/word/2010/wordprocessingShape">
                    <wps:wsp>
                      <wps:cNvSpPr txBox="1"/>
                      <wps:spPr>
                        <a:xfrm>
                          <a:off x="0" y="0"/>
                          <a:ext cx="5089525" cy="2222500"/>
                        </a:xfrm>
                        <a:prstGeom prst="rect">
                          <a:avLst/>
                        </a:prstGeom>
                        <a:solidFill>
                          <a:schemeClr val="lt1"/>
                        </a:solidFill>
                        <a:ln w="6350">
                          <a:noFill/>
                        </a:ln>
                      </wps:spPr>
                      <wps:txbx>
                        <w:txbxContent>
                          <w:p w14:paraId="72CDB76F" w14:textId="064148C1" w:rsidR="00AB3F01" w:rsidRPr="00511F70" w:rsidRDefault="00AB3F01" w:rsidP="00AB3F01">
                            <w:pPr>
                              <w:pStyle w:val="Style1"/>
                              <w:numPr>
                                <w:ilvl w:val="0"/>
                                <w:numId w:val="0"/>
                              </w:numPr>
                              <w:tabs>
                                <w:tab w:val="left" w:pos="426"/>
                              </w:tabs>
                              <w:jc w:val="both"/>
                              <w:rPr>
                                <w:rFonts w:ascii="Source Sans Pro" w:hAnsi="Source Sans Pro"/>
                                <w:i w:val="0"/>
                                <w:iCs w:val="0"/>
                                <w:color w:val="000000" w:themeColor="text1"/>
                                <w:sz w:val="20"/>
                              </w:rPr>
                            </w:pPr>
                            <w:r w:rsidRPr="00EA11DA">
                              <w:rPr>
                                <w:rFonts w:ascii="Source Sans Pro" w:hAnsi="Source Sans Pro"/>
                                <w:i w:val="0"/>
                                <w:iCs w:val="0"/>
                                <w:color w:val="000000" w:themeColor="text1"/>
                                <w:sz w:val="20"/>
                              </w:rPr>
                              <w:t xml:space="preserve">Nous sommes convaincus que </w:t>
                            </w:r>
                            <w:r w:rsidRPr="00EA11DA">
                              <w:rPr>
                                <w:rFonts w:ascii="Source Sans Pro" w:hAnsi="Source Sans Pro"/>
                                <w:b/>
                                <w:bCs/>
                                <w:i w:val="0"/>
                                <w:iCs w:val="0"/>
                                <w:color w:val="000000" w:themeColor="text1"/>
                                <w:sz w:val="20"/>
                              </w:rPr>
                              <w:t xml:space="preserve">l'enjeu biodiversité est </w:t>
                            </w:r>
                            <w:r>
                              <w:rPr>
                                <w:rFonts w:ascii="Source Sans Pro" w:hAnsi="Source Sans Pro"/>
                                <w:b/>
                                <w:bCs/>
                                <w:i w:val="0"/>
                                <w:iCs w:val="0"/>
                                <w:color w:val="000000" w:themeColor="text1"/>
                                <w:sz w:val="20"/>
                              </w:rPr>
                              <w:t>fondamental</w:t>
                            </w:r>
                            <w:r w:rsidRPr="00EA11DA">
                              <w:rPr>
                                <w:rFonts w:ascii="Source Sans Pro" w:hAnsi="Source Sans Pro"/>
                                <w:i w:val="0"/>
                                <w:iCs w:val="0"/>
                                <w:color w:val="000000" w:themeColor="text1"/>
                                <w:sz w:val="20"/>
                              </w:rPr>
                              <w:t xml:space="preserve">, à la fois pour la stabilité des écosystèmes et pour la résilience de nos portefeuilles. Les métriques biodiversité commencent à se </w:t>
                            </w:r>
                            <w:r>
                              <w:rPr>
                                <w:rFonts w:ascii="Source Sans Pro" w:hAnsi="Source Sans Pro"/>
                                <w:i w:val="0"/>
                                <w:iCs w:val="0"/>
                                <w:color w:val="000000" w:themeColor="text1"/>
                                <w:sz w:val="20"/>
                              </w:rPr>
                              <w:t>propager</w:t>
                            </w:r>
                            <w:r w:rsidRPr="00EA11DA">
                              <w:rPr>
                                <w:rFonts w:ascii="Source Sans Pro" w:hAnsi="Source Sans Pro"/>
                                <w:i w:val="0"/>
                                <w:iCs w:val="0"/>
                                <w:color w:val="000000" w:themeColor="text1"/>
                                <w:sz w:val="20"/>
                              </w:rPr>
                              <w:t xml:space="preserve"> dans le milieu financier, mais leur opérationnalisation concrète demeure complexe. C'est pourquoi nous avons choisi de nous engager fortement dans les initiatives de place, à l'image du fonds Objectif Biodiversité, afin de structurer l'action collective et de passer des intentions </w:t>
                            </w:r>
                            <w:r w:rsidR="00DD6C45">
                              <w:rPr>
                                <w:rFonts w:ascii="Source Sans Pro" w:hAnsi="Source Sans Pro"/>
                                <w:i w:val="0"/>
                                <w:iCs w:val="0"/>
                                <w:color w:val="000000" w:themeColor="text1"/>
                                <w:sz w:val="20"/>
                              </w:rPr>
                              <w:t xml:space="preserve">collectives </w:t>
                            </w:r>
                            <w:r w:rsidRPr="00EA11DA">
                              <w:rPr>
                                <w:rFonts w:ascii="Source Sans Pro" w:hAnsi="Source Sans Pro"/>
                                <w:i w:val="0"/>
                                <w:iCs w:val="0"/>
                                <w:color w:val="000000" w:themeColor="text1"/>
                                <w:sz w:val="20"/>
                              </w:rPr>
                              <w:t xml:space="preserve">aux investissements réels. Notre stratégie combine investissements thématiques, exclusions ciblées des secteurs les plus </w:t>
                            </w:r>
                            <w:r w:rsidR="004803A2" w:rsidRPr="00EA11DA">
                              <w:rPr>
                                <w:rFonts w:ascii="Source Sans Pro" w:hAnsi="Source Sans Pro"/>
                                <w:i w:val="0"/>
                                <w:iCs w:val="0"/>
                                <w:color w:val="000000" w:themeColor="text1"/>
                                <w:sz w:val="20"/>
                              </w:rPr>
                              <w:t>impactant</w:t>
                            </w:r>
                            <w:r w:rsidRPr="00EA11DA">
                              <w:rPr>
                                <w:rFonts w:ascii="Source Sans Pro" w:hAnsi="Source Sans Pro"/>
                                <w:i w:val="0"/>
                                <w:iCs w:val="0"/>
                                <w:color w:val="000000" w:themeColor="text1"/>
                                <w:sz w:val="20"/>
                              </w:rPr>
                              <w:t xml:space="preserve"> et </w:t>
                            </w:r>
                            <w:r w:rsidR="004803A2">
                              <w:rPr>
                                <w:rFonts w:ascii="Source Sans Pro" w:hAnsi="Source Sans Pro"/>
                                <w:i w:val="0"/>
                                <w:iCs w:val="0"/>
                                <w:color w:val="000000" w:themeColor="text1"/>
                                <w:sz w:val="20"/>
                              </w:rPr>
                              <w:t>l’</w:t>
                            </w:r>
                            <w:r w:rsidRPr="00EA11DA">
                              <w:rPr>
                                <w:rFonts w:ascii="Source Sans Pro" w:hAnsi="Source Sans Pro"/>
                                <w:i w:val="0"/>
                                <w:iCs w:val="0"/>
                                <w:color w:val="000000" w:themeColor="text1"/>
                                <w:sz w:val="20"/>
                              </w:rPr>
                              <w:t>amélioration continue de la mesure, dans le respect des recommandations scientifiques.</w:t>
                            </w:r>
                          </w:p>
                          <w:p w14:paraId="59032086" w14:textId="77777777" w:rsidR="00AB3F01" w:rsidRDefault="00AB3F01" w:rsidP="00AB3F01">
                            <w:pPr>
                              <w:pStyle w:val="Style1"/>
                              <w:numPr>
                                <w:ilvl w:val="0"/>
                                <w:numId w:val="0"/>
                              </w:numPr>
                              <w:ind w:left="26"/>
                            </w:pPr>
                            <w:r>
                              <w:rPr>
                                <w:noProof/>
                              </w:rPr>
                              <w:drawing>
                                <wp:inline distT="0" distB="0" distL="0" distR="0" wp14:anchorId="6BCFD25D" wp14:editId="1EC6393E">
                                  <wp:extent cx="683866" cy="724421"/>
                                  <wp:effectExtent l="0" t="0" r="2540" b="0"/>
                                  <wp:docPr id="1689977568" name="Image 1" descr="Une image contenant Visage humain, Front, personne, Ment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687780" name="Image 1" descr="Une image contenant Visage humain, Front, personne, Menton&#10;&#10;Le contenu généré par l’IA peut être incorrect."/>
                                          <pic:cNvPicPr/>
                                        </pic:nvPicPr>
                                        <pic:blipFill>
                                          <a:blip r:embed="rId38"/>
                                          <a:stretch>
                                            <a:fillRect/>
                                          </a:stretch>
                                        </pic:blipFill>
                                        <pic:spPr>
                                          <a:xfrm>
                                            <a:off x="0" y="0"/>
                                            <a:ext cx="697139" cy="738481"/>
                                          </a:xfrm>
                                          <a:prstGeom prst="rect">
                                            <a:avLst/>
                                          </a:prstGeom>
                                        </pic:spPr>
                                      </pic:pic>
                                    </a:graphicData>
                                  </a:graphic>
                                </wp:inline>
                              </w:drawing>
                            </w:r>
                            <w:r w:rsidRPr="00D4571A">
                              <w:rPr>
                                <w:rFonts w:ascii="Source Sans Pro" w:hAnsi="Source Sans Pro"/>
                                <w:b/>
                                <w:i w:val="0"/>
                                <w:color w:val="000000" w:themeColor="text1"/>
                                <w:sz w:val="20"/>
                              </w:rPr>
                              <w:t>Jean-François COPPENOLLE</w:t>
                            </w:r>
                            <w:r>
                              <w:rPr>
                                <w:rFonts w:ascii="Source Sans Pro" w:hAnsi="Source Sans Pro"/>
                                <w:b/>
                                <w:i w:val="0"/>
                                <w:color w:val="000000" w:themeColor="text1"/>
                                <w:sz w:val="20"/>
                              </w:rPr>
                              <w:t xml:space="preserve">, </w:t>
                            </w:r>
                            <w:r w:rsidRPr="00D4571A">
                              <w:rPr>
                                <w:rFonts w:ascii="Source Sans Pro" w:hAnsi="Source Sans Pro"/>
                                <w:b/>
                                <w:i w:val="0"/>
                                <w:color w:val="000000" w:themeColor="text1"/>
                                <w:sz w:val="20"/>
                              </w:rPr>
                              <w:t xml:space="preserve">Directeur </w:t>
                            </w:r>
                            <w:r>
                              <w:rPr>
                                <w:rFonts w:ascii="Source Sans Pro" w:hAnsi="Source Sans Pro"/>
                                <w:b/>
                                <w:i w:val="0"/>
                                <w:color w:val="000000" w:themeColor="text1"/>
                                <w:sz w:val="20"/>
                              </w:rPr>
                              <w:t xml:space="preserve">d’investissement et du pôle </w:t>
                            </w:r>
                            <w:r w:rsidRPr="00D4571A">
                              <w:rPr>
                                <w:rFonts w:ascii="Source Sans Pro" w:hAnsi="Source Sans Pro"/>
                                <w:b/>
                                <w:i w:val="0"/>
                                <w:color w:val="000000" w:themeColor="text1"/>
                                <w:sz w:val="20"/>
                              </w:rPr>
                              <w:t>ISR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257C3" id="Zone de texte 695401066" o:spid="_x0000_s1157" type="#_x0000_t202" style="position:absolute;left:0;text-align:left;margin-left:41.35pt;margin-top:19.35pt;width:400.75pt;height:175pt;z-index:2514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" fillcolor="white [3201]" stroked="f" strokeweight=".5pt">
                <v:textbox>
                  <w:txbxContent>
                    <w:p w14:paraId="72CDB76F" w14:textId="064148C1" w:rsidR="00AB3F01" w:rsidRPr="00511F70" w:rsidRDefault="00AB3F01" w:rsidP="00AB3F01">
                      <w:pPr>
                        <w:pStyle w:val="Style1"/>
                        <w:numPr>
                          <w:ilvl w:val="0"/>
                          <w:numId w:val="0"/>
                        </w:numPr>
                        <w:tabs>
                          <w:tab w:val="left" w:pos="426"/>
                        </w:tabs>
                        <w:jc w:val="both"/>
                        <w:rPr>
                          <w:rFonts w:ascii="Source Sans Pro" w:hAnsi="Source Sans Pro"/>
                          <w:i w:val="0"/>
                          <w:iCs w:val="0"/>
                          <w:color w:val="000000" w:themeColor="text1"/>
                          <w:sz w:val="20"/>
                        </w:rPr>
                      </w:pPr>
                      <w:r w:rsidRPr="00EA11DA">
                        <w:rPr>
                          <w:rFonts w:ascii="Source Sans Pro" w:hAnsi="Source Sans Pro"/>
                          <w:i w:val="0"/>
                          <w:iCs w:val="0"/>
                          <w:color w:val="000000" w:themeColor="text1"/>
                          <w:sz w:val="20"/>
                        </w:rPr>
                        <w:t xml:space="preserve">Nous sommes convaincus que </w:t>
                      </w:r>
                      <w:r w:rsidRPr="00EA11DA">
                        <w:rPr>
                          <w:rFonts w:ascii="Source Sans Pro" w:hAnsi="Source Sans Pro"/>
                          <w:b/>
                          <w:bCs/>
                          <w:i w:val="0"/>
                          <w:iCs w:val="0"/>
                          <w:color w:val="000000" w:themeColor="text1"/>
                          <w:sz w:val="20"/>
                        </w:rPr>
                        <w:t xml:space="preserve">l'enjeu biodiversité est </w:t>
                      </w:r>
                      <w:r>
                        <w:rPr>
                          <w:rFonts w:ascii="Source Sans Pro" w:hAnsi="Source Sans Pro"/>
                          <w:b/>
                          <w:bCs/>
                          <w:i w:val="0"/>
                          <w:iCs w:val="0"/>
                          <w:color w:val="000000" w:themeColor="text1"/>
                          <w:sz w:val="20"/>
                        </w:rPr>
                        <w:t>fondamental</w:t>
                      </w:r>
                      <w:r w:rsidRPr="00EA11DA">
                        <w:rPr>
                          <w:rFonts w:ascii="Source Sans Pro" w:hAnsi="Source Sans Pro"/>
                          <w:i w:val="0"/>
                          <w:iCs w:val="0"/>
                          <w:color w:val="000000" w:themeColor="text1"/>
                          <w:sz w:val="20"/>
                        </w:rPr>
                        <w:t xml:space="preserve">, à la fois pour la stabilité des écosystèmes et pour la résilience de nos portefeuilles. Les métriques biodiversité commencent à se </w:t>
                      </w:r>
                      <w:r>
                        <w:rPr>
                          <w:rFonts w:ascii="Source Sans Pro" w:hAnsi="Source Sans Pro"/>
                          <w:i w:val="0"/>
                          <w:iCs w:val="0"/>
                          <w:color w:val="000000" w:themeColor="text1"/>
                          <w:sz w:val="20"/>
                        </w:rPr>
                        <w:t>propager</w:t>
                      </w:r>
                      <w:r w:rsidRPr="00EA11DA">
                        <w:rPr>
                          <w:rFonts w:ascii="Source Sans Pro" w:hAnsi="Source Sans Pro"/>
                          <w:i w:val="0"/>
                          <w:iCs w:val="0"/>
                          <w:color w:val="000000" w:themeColor="text1"/>
                          <w:sz w:val="20"/>
                        </w:rPr>
                        <w:t xml:space="preserve"> dans le milieu financier, mais leur opérationnalisation concrète demeure complexe. C'est pourquoi nous avons choisi de nous engager fortement dans les initiatives de place, à l'image du fonds Objectif Biodiversité, afin de structurer l'action collective et de passer des intentions </w:t>
                      </w:r>
                      <w:r w:rsidR="00DD6C45">
                        <w:rPr>
                          <w:rFonts w:ascii="Source Sans Pro" w:hAnsi="Source Sans Pro"/>
                          <w:i w:val="0"/>
                          <w:iCs w:val="0"/>
                          <w:color w:val="000000" w:themeColor="text1"/>
                          <w:sz w:val="20"/>
                        </w:rPr>
                        <w:t xml:space="preserve">collectives </w:t>
                      </w:r>
                      <w:r w:rsidRPr="00EA11DA">
                        <w:rPr>
                          <w:rFonts w:ascii="Source Sans Pro" w:hAnsi="Source Sans Pro"/>
                          <w:i w:val="0"/>
                          <w:iCs w:val="0"/>
                          <w:color w:val="000000" w:themeColor="text1"/>
                          <w:sz w:val="20"/>
                        </w:rPr>
                        <w:t xml:space="preserve">aux investissements réels. Notre stratégie combine investissements thématiques, exclusions ciblées des secteurs les plus </w:t>
                      </w:r>
                      <w:r w:rsidR="004803A2" w:rsidRPr="00EA11DA">
                        <w:rPr>
                          <w:rFonts w:ascii="Source Sans Pro" w:hAnsi="Source Sans Pro"/>
                          <w:i w:val="0"/>
                          <w:iCs w:val="0"/>
                          <w:color w:val="000000" w:themeColor="text1"/>
                          <w:sz w:val="20"/>
                        </w:rPr>
                        <w:t>impactant</w:t>
                      </w:r>
                      <w:r w:rsidRPr="00EA11DA">
                        <w:rPr>
                          <w:rFonts w:ascii="Source Sans Pro" w:hAnsi="Source Sans Pro"/>
                          <w:i w:val="0"/>
                          <w:iCs w:val="0"/>
                          <w:color w:val="000000" w:themeColor="text1"/>
                          <w:sz w:val="20"/>
                        </w:rPr>
                        <w:t xml:space="preserve"> et </w:t>
                      </w:r>
                      <w:r w:rsidR="004803A2">
                        <w:rPr>
                          <w:rFonts w:ascii="Source Sans Pro" w:hAnsi="Source Sans Pro"/>
                          <w:i w:val="0"/>
                          <w:iCs w:val="0"/>
                          <w:color w:val="000000" w:themeColor="text1"/>
                          <w:sz w:val="20"/>
                        </w:rPr>
                        <w:t>l’</w:t>
                      </w:r>
                      <w:r w:rsidRPr="00EA11DA">
                        <w:rPr>
                          <w:rFonts w:ascii="Source Sans Pro" w:hAnsi="Source Sans Pro"/>
                          <w:i w:val="0"/>
                          <w:iCs w:val="0"/>
                          <w:color w:val="000000" w:themeColor="text1"/>
                          <w:sz w:val="20"/>
                        </w:rPr>
                        <w:t>amélioration continue de la mesure, dans le respect des recommandations scientifiques.</w:t>
                      </w:r>
                    </w:p>
                    <w:p w14:paraId="59032086" w14:textId="77777777" w:rsidR="00AB3F01" w:rsidRDefault="00AB3F01" w:rsidP="00AB3F01">
                      <w:pPr>
                        <w:pStyle w:val="Style1"/>
                        <w:numPr>
                          <w:ilvl w:val="0"/>
                          <w:numId w:val="0"/>
                        </w:numPr>
                        <w:ind w:left="26"/>
                      </w:pPr>
                      <w:r>
                        <w:rPr>
                          <w:noProof/>
                        </w:rPr>
                        <w:drawing>
                          <wp:inline distT="0" distB="0" distL="0" distR="0" wp14:anchorId="6BCFD25D" wp14:editId="1EC6393E">
                            <wp:extent cx="683866" cy="724421"/>
                            <wp:effectExtent l="0" t="0" r="2540" b="0"/>
                            <wp:docPr id="1689977568" name="Image 1" descr="Une image contenant Visage humain, Front, personne, Ment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687780" name="Image 1" descr="Une image contenant Visage humain, Front, personne, Menton&#10;&#10;Le contenu généré par l’IA peut être incorrect."/>
                                    <pic:cNvPicPr/>
                                  </pic:nvPicPr>
                                  <pic:blipFill>
                                    <a:blip r:embed="rId39"/>
                                    <a:stretch>
                                      <a:fillRect/>
                                    </a:stretch>
                                  </pic:blipFill>
                                  <pic:spPr>
                                    <a:xfrm>
                                      <a:off x="0" y="0"/>
                                      <a:ext cx="697139" cy="738481"/>
                                    </a:xfrm>
                                    <a:prstGeom prst="rect">
                                      <a:avLst/>
                                    </a:prstGeom>
                                  </pic:spPr>
                                </pic:pic>
                              </a:graphicData>
                            </a:graphic>
                          </wp:inline>
                        </w:drawing>
                      </w:r>
                      <w:r w:rsidRPr="00D4571A">
                        <w:rPr>
                          <w:rFonts w:ascii="Source Sans Pro" w:hAnsi="Source Sans Pro"/>
                          <w:b/>
                          <w:i w:val="0"/>
                          <w:color w:val="000000" w:themeColor="text1"/>
                          <w:sz w:val="20"/>
                        </w:rPr>
                        <w:t>Jean-François COPPENOLLE</w:t>
                      </w:r>
                      <w:r>
                        <w:rPr>
                          <w:rFonts w:ascii="Source Sans Pro" w:hAnsi="Source Sans Pro"/>
                          <w:b/>
                          <w:i w:val="0"/>
                          <w:color w:val="000000" w:themeColor="text1"/>
                          <w:sz w:val="20"/>
                        </w:rPr>
                        <w:t xml:space="preserve">, </w:t>
                      </w:r>
                      <w:r w:rsidRPr="00D4571A">
                        <w:rPr>
                          <w:rFonts w:ascii="Source Sans Pro" w:hAnsi="Source Sans Pro"/>
                          <w:b/>
                          <w:i w:val="0"/>
                          <w:color w:val="000000" w:themeColor="text1"/>
                          <w:sz w:val="20"/>
                        </w:rPr>
                        <w:t xml:space="preserve">Directeur </w:t>
                      </w:r>
                      <w:r>
                        <w:rPr>
                          <w:rFonts w:ascii="Source Sans Pro" w:hAnsi="Source Sans Pro"/>
                          <w:b/>
                          <w:i w:val="0"/>
                          <w:color w:val="000000" w:themeColor="text1"/>
                          <w:sz w:val="20"/>
                        </w:rPr>
                        <w:t xml:space="preserve">d’investissement et du pôle </w:t>
                      </w:r>
                      <w:r w:rsidRPr="00D4571A">
                        <w:rPr>
                          <w:rFonts w:ascii="Source Sans Pro" w:hAnsi="Source Sans Pro"/>
                          <w:b/>
                          <w:i w:val="0"/>
                          <w:color w:val="000000" w:themeColor="text1"/>
                          <w:sz w:val="20"/>
                        </w:rPr>
                        <w:t>ISR</w:t>
                      </w:r>
                    </w:p>
                  </w:txbxContent>
                </v:textbox>
              </v:shape>
            </w:pict>
          </mc:Fallback>
        </mc:AlternateContent>
      </w:r>
      <w:r w:rsidRPr="00A74D23">
        <w:rPr>
          <w:rFonts w:eastAsia="Calibri" w:cs="Open Sans"/>
          <w:i w:val="0"/>
          <w:iCs w:val="0"/>
          <w:noProof/>
          <w:color w:val="auto"/>
          <w:sz w:val="20"/>
          <w:szCs w:val="20"/>
          <w:lang w:eastAsia="fr-FR"/>
        </w:rPr>
        <mc:AlternateContent>
          <mc:Choice Requires="wpg">
            <w:drawing>
              <wp:anchor distT="0" distB="0" distL="114300" distR="114300" simplePos="0" relativeHeight="251424768" behindDoc="0" locked="0" layoutInCell="1" allowOverlap="1" wp14:anchorId="2D06678F" wp14:editId="51A8C442">
                <wp:simplePos x="0" y="0"/>
                <wp:positionH relativeFrom="margin">
                  <wp:posOffset>5633435</wp:posOffset>
                </wp:positionH>
                <wp:positionV relativeFrom="paragraph">
                  <wp:posOffset>2040255</wp:posOffset>
                </wp:positionV>
                <wp:extent cx="389890" cy="281305"/>
                <wp:effectExtent l="0" t="0" r="10160" b="23495"/>
                <wp:wrapNone/>
                <wp:docPr id="1900281091" name="Groupe 132"/>
                <wp:cNvGraphicFramePr/>
                <a:graphic xmlns:a="http://schemas.openxmlformats.org/drawingml/2006/main">
                  <a:graphicData uri="http://schemas.microsoft.com/office/word/2010/wordprocessingGroup">
                    <wpg:wgp>
                      <wpg:cNvGrpSpPr/>
                      <wpg:grpSpPr>
                        <a:xfrm flipH="1">
                          <a:off x="0" y="0"/>
                          <a:ext cx="389890" cy="281305"/>
                          <a:chOff x="0" y="0"/>
                          <a:chExt cx="480287" cy="346688"/>
                        </a:xfrm>
                      </wpg:grpSpPr>
                      <wps:wsp>
                        <wps:cNvPr id="1988004894"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739844414"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28DC6D58" id="Groupe 132" o:spid="_x0000_s1026" style="position:absolute;margin-left:443.6pt;margin-top:160.65pt;width:30.7pt;height:22.15pt;flip:x;z-index:251424768;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r w:rsidR="00AB3F01" w:rsidRPr="00A74D23">
        <w:rPr>
          <w:rFonts w:eastAsia="Calibri" w:cs="Open Sans"/>
          <w:i w:val="0"/>
          <w:iCs w:val="0"/>
          <w:noProof/>
          <w:color w:val="auto"/>
          <w:sz w:val="20"/>
          <w:szCs w:val="20"/>
          <w:lang w:eastAsia="fr-FR"/>
        </w:rPr>
        <mc:AlternateContent>
          <mc:Choice Requires="wpg">
            <w:drawing>
              <wp:anchor distT="0" distB="0" distL="114300" distR="114300" simplePos="0" relativeHeight="251428864" behindDoc="0" locked="0" layoutInCell="1" allowOverlap="1" wp14:anchorId="72540350" wp14:editId="20BAF407">
                <wp:simplePos x="0" y="0"/>
                <wp:positionH relativeFrom="margin">
                  <wp:posOffset>42300</wp:posOffset>
                </wp:positionH>
                <wp:positionV relativeFrom="paragraph">
                  <wp:posOffset>154305</wp:posOffset>
                </wp:positionV>
                <wp:extent cx="390025" cy="281534"/>
                <wp:effectExtent l="0" t="0" r="10160" b="23495"/>
                <wp:wrapNone/>
                <wp:docPr id="1181806471" name="Groupe 132"/>
                <wp:cNvGraphicFramePr/>
                <a:graphic xmlns:a="http://schemas.openxmlformats.org/drawingml/2006/main">
                  <a:graphicData uri="http://schemas.microsoft.com/office/word/2010/wordprocessingGroup">
                    <wpg:wgp>
                      <wpg:cNvGrpSpPr/>
                      <wpg:grpSpPr>
                        <a:xfrm>
                          <a:off x="0" y="0"/>
                          <a:ext cx="390025" cy="281534"/>
                          <a:chOff x="0" y="0"/>
                          <a:chExt cx="480287" cy="346688"/>
                        </a:xfrm>
                      </wpg:grpSpPr>
                      <wps:wsp>
                        <wps:cNvPr id="138796291"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1577796786"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5F64A203" id="Groupe 132" o:spid="_x0000_s1026" style="position:absolute;margin-left:3.35pt;margin-top:12.15pt;width:30.7pt;height:22.15pt;z-index:251428864;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r w:rsidR="00AB3F01" w:rsidRPr="00A74D23">
        <w:rPr>
          <w:rFonts w:cs="Open Sans"/>
          <w:noProof/>
        </w:rPr>
        <mc:AlternateContent>
          <mc:Choice Requires="wps">
            <w:drawing>
              <wp:inline distT="0" distB="0" distL="0" distR="0" wp14:anchorId="7854F6E8" wp14:editId="6A94877B">
                <wp:extent cx="5646039" cy="2540000"/>
                <wp:effectExtent l="0" t="0" r="12065" b="12700"/>
                <wp:docPr id="1357659465" name="Rectangle : coins arrondis 1357659465"/>
                <wp:cNvGraphicFramePr/>
                <a:graphic xmlns:a="http://schemas.openxmlformats.org/drawingml/2006/main">
                  <a:graphicData uri="http://schemas.microsoft.com/office/word/2010/wordprocessingShape">
                    <wps:wsp>
                      <wps:cNvSpPr/>
                      <wps:spPr>
                        <a:xfrm>
                          <a:off x="0" y="0"/>
                          <a:ext cx="5646039" cy="2540000"/>
                        </a:xfrm>
                        <a:prstGeom prst="roundRect">
                          <a:avLst>
                            <a:gd name="adj" fmla="val 889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8EB1F3" w14:textId="77777777" w:rsidR="00AB3F01" w:rsidRPr="006209BA" w:rsidRDefault="00AB3F01" w:rsidP="00AB3F01">
                            <w:pPr>
                              <w:pStyle w:val="Citation0"/>
                              <w:rPr>
                                <w:color w:val="auto"/>
                              </w:rPr>
                            </w:pPr>
                          </w:p>
                        </w:txbxContent>
                      </wps:txbx>
                      <wps:bodyPr rot="0" spcFirstLastPara="0" vertOverflow="overflow" horzOverflow="overflow" vert="horz" wrap="square" lIns="180000" tIns="108000" rIns="180000" bIns="108000" numCol="1" spcCol="0" rtlCol="0" fromWordArt="0" anchor="ctr" anchorCtr="0" forceAA="0" compatLnSpc="1">
                        <a:prstTxWarp prst="textNoShape">
                          <a:avLst/>
                        </a:prstTxWarp>
                        <a:noAutofit/>
                      </wps:bodyPr>
                    </wps:wsp>
                  </a:graphicData>
                </a:graphic>
              </wp:inline>
            </w:drawing>
          </mc:Choice>
          <mc:Fallback>
            <w:pict>
              <v:roundrect w14:anchorId="7854F6E8" id="Rectangle : coins arrondis 1357659465" o:spid="_x0000_s1158" style="width:444.55pt;height:200pt;visibility:visible;mso-wrap-style:square;mso-left-percent:-10001;mso-top-percent:-10001;mso-position-horizontal:absolute;mso-position-horizontal-relative:char;mso-position-vertical:absolute;mso-position-vertical-relative:line;mso-left-percent:-10001;mso-top-percent:-10001;v-text-anchor:middle" arcsize="58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" fillcolor="white [3212]" strokecolor="black [3213]" strokeweight="1pt">
                <v:stroke joinstyle="miter"/>
                <v:textbox inset="5mm,3mm,5mm,3mm">
                  <w:txbxContent>
                    <w:p w14:paraId="358EB1F3" w14:textId="77777777" w:rsidR="00AB3F01" w:rsidRPr="006209BA" w:rsidRDefault="00AB3F01" w:rsidP="00AB3F01">
                      <w:pPr>
                        <w:pStyle w:val="Citation0"/>
                        <w:rPr>
                          <w:color w:val="auto"/>
                        </w:rPr>
                      </w:pPr>
                    </w:p>
                  </w:txbxContent>
                </v:textbox>
                <w10:anchorlock/>
              </v:roundrect>
            </w:pict>
          </mc:Fallback>
        </mc:AlternateContent>
      </w:r>
    </w:p>
    <w:p w14:paraId="66B4B736" w14:textId="77777777" w:rsidR="005E6E94" w:rsidRPr="00A74D23" w:rsidRDefault="005E6E94" w:rsidP="009D6EE5">
      <w:pPr>
        <w:spacing w:line="22" w:lineRule="atLeast"/>
        <w:jc w:val="both"/>
        <w:rPr>
          <w:rFonts w:asciiTheme="minorHAnsi" w:hAnsiTheme="minorHAnsi" w:cs="Open Sans"/>
          <w:sz w:val="20"/>
          <w:lang w:val="fr-FR"/>
        </w:rPr>
      </w:pPr>
    </w:p>
    <w:p w14:paraId="03857BBE" w14:textId="77777777" w:rsidR="00DA26C0" w:rsidRPr="00A74D23" w:rsidRDefault="00DA26C0" w:rsidP="009D6EE5">
      <w:pPr>
        <w:spacing w:line="22" w:lineRule="atLeast"/>
        <w:jc w:val="both"/>
        <w:rPr>
          <w:rFonts w:asciiTheme="minorHAnsi" w:hAnsiTheme="minorHAnsi" w:cs="Open Sans"/>
          <w:sz w:val="20"/>
          <w:lang w:val="fr-FR"/>
        </w:rPr>
      </w:pPr>
    </w:p>
    <w:p w14:paraId="29C3B47A" w14:textId="77777777" w:rsidR="00DA26C0" w:rsidRPr="00A74D23" w:rsidRDefault="00DA26C0" w:rsidP="009D6EE5">
      <w:pPr>
        <w:spacing w:line="22" w:lineRule="atLeast"/>
        <w:jc w:val="both"/>
        <w:rPr>
          <w:rFonts w:asciiTheme="minorHAnsi" w:hAnsiTheme="minorHAnsi" w:cs="Open Sans"/>
          <w:sz w:val="20"/>
          <w:lang w:val="fr-FR"/>
        </w:rPr>
      </w:pPr>
    </w:p>
    <w:p w14:paraId="237CACCA" w14:textId="77777777" w:rsidR="00DA26C0" w:rsidRPr="00A74D23" w:rsidRDefault="00DA26C0" w:rsidP="009D6EE5">
      <w:pPr>
        <w:spacing w:line="22" w:lineRule="atLeast"/>
        <w:jc w:val="both"/>
        <w:rPr>
          <w:rFonts w:asciiTheme="minorHAnsi" w:hAnsiTheme="minorHAnsi" w:cs="Open Sans"/>
          <w:sz w:val="20"/>
          <w:lang w:val="fr-FR"/>
        </w:rPr>
      </w:pPr>
    </w:p>
    <w:p w14:paraId="18C07358" w14:textId="77777777" w:rsidR="00DA26C0" w:rsidRPr="00A74D23" w:rsidRDefault="00DA26C0" w:rsidP="009D6EE5">
      <w:pPr>
        <w:spacing w:line="22" w:lineRule="atLeast"/>
        <w:jc w:val="both"/>
        <w:rPr>
          <w:rFonts w:asciiTheme="minorHAnsi" w:hAnsiTheme="minorHAnsi" w:cs="Open Sans"/>
          <w:sz w:val="20"/>
          <w:lang w:val="fr-FR"/>
        </w:rPr>
      </w:pPr>
    </w:p>
    <w:p w14:paraId="1D440890" w14:textId="77777777" w:rsidR="00DA26C0" w:rsidRPr="00A74D23" w:rsidRDefault="00DA26C0" w:rsidP="009D6EE5">
      <w:pPr>
        <w:spacing w:line="22" w:lineRule="atLeast"/>
        <w:jc w:val="both"/>
        <w:rPr>
          <w:rFonts w:asciiTheme="minorHAnsi" w:hAnsiTheme="minorHAnsi" w:cs="Open Sans"/>
          <w:sz w:val="20"/>
          <w:lang w:val="fr-FR"/>
        </w:rPr>
      </w:pPr>
    </w:p>
    <w:p w14:paraId="52C49C29" w14:textId="77777777" w:rsidR="005E6E94" w:rsidRPr="00A74D23" w:rsidRDefault="005E6E94" w:rsidP="009D6EE5">
      <w:pPr>
        <w:spacing w:line="22" w:lineRule="atLeast"/>
        <w:jc w:val="both"/>
        <w:rPr>
          <w:rFonts w:asciiTheme="minorHAnsi" w:hAnsiTheme="minorHAnsi" w:cs="Open Sans"/>
          <w:sz w:val="20"/>
          <w:lang w:val="fr-FR"/>
        </w:rPr>
      </w:pPr>
    </w:p>
    <w:p w14:paraId="0469EBD5" w14:textId="211934E1" w:rsidR="00FF3AED" w:rsidRPr="000B48EF" w:rsidRDefault="00A17CAB" w:rsidP="009D6EE5">
      <w:pPr>
        <w:pStyle w:val="Titre10"/>
        <w:numPr>
          <w:ilvl w:val="0"/>
          <w:numId w:val="8"/>
        </w:numPr>
        <w:spacing w:line="22" w:lineRule="atLeast"/>
        <w:ind w:left="426" w:hanging="426"/>
        <w:jc w:val="both"/>
        <w:rPr>
          <w:rFonts w:asciiTheme="minorHAnsi" w:hAnsiTheme="minorHAnsi" w:cs="Open Sans"/>
          <w:b w:val="0"/>
          <w:bCs/>
          <w:sz w:val="44"/>
          <w:szCs w:val="44"/>
        </w:rPr>
      </w:pPr>
      <w:bookmarkStart w:id="96" w:name="_Toc129091834"/>
      <w:bookmarkStart w:id="97" w:name="_Toc128735922"/>
      <w:bookmarkStart w:id="98" w:name="_Toc231337024"/>
      <w:r w:rsidRPr="000B48EF">
        <w:rPr>
          <w:rFonts w:asciiTheme="minorHAnsi" w:hAnsiTheme="minorHAnsi" w:cs="Open Sans"/>
          <w:b w:val="0"/>
          <w:bCs/>
          <w:sz w:val="44"/>
          <w:szCs w:val="44"/>
        </w:rPr>
        <w:t xml:space="preserve">Démarche de prise en compte des critères </w:t>
      </w:r>
      <w:r w:rsidR="005E642A" w:rsidRPr="000B48EF">
        <w:rPr>
          <w:rFonts w:asciiTheme="minorHAnsi" w:hAnsiTheme="minorHAnsi" w:cs="Open Sans"/>
          <w:b w:val="0"/>
          <w:bCs/>
          <w:sz w:val="44"/>
          <w:szCs w:val="44"/>
        </w:rPr>
        <w:t>ESG</w:t>
      </w:r>
      <w:r w:rsidRPr="000B48EF">
        <w:rPr>
          <w:rFonts w:asciiTheme="minorHAnsi" w:hAnsiTheme="minorHAnsi" w:cs="Open Sans"/>
          <w:b w:val="0"/>
          <w:bCs/>
          <w:sz w:val="44"/>
          <w:szCs w:val="44"/>
        </w:rPr>
        <w:t xml:space="preserve"> dans la gestion des risque</w:t>
      </w:r>
      <w:bookmarkEnd w:id="96"/>
      <w:bookmarkEnd w:id="97"/>
      <w:r w:rsidR="00BD685E" w:rsidRPr="000B48EF">
        <w:rPr>
          <w:rFonts w:asciiTheme="minorHAnsi" w:hAnsiTheme="minorHAnsi" w:cs="Open Sans"/>
          <w:b w:val="0"/>
          <w:bCs/>
          <w:sz w:val="44"/>
          <w:szCs w:val="44"/>
        </w:rPr>
        <w:t>s</w:t>
      </w:r>
      <w:bookmarkEnd w:id="98"/>
    </w:p>
    <w:p w14:paraId="153B628A" w14:textId="77777777" w:rsidR="00AA59E5" w:rsidRPr="00A74D23" w:rsidRDefault="00AA59E5" w:rsidP="009D6EE5">
      <w:pPr>
        <w:spacing w:line="22" w:lineRule="atLeast"/>
        <w:jc w:val="both"/>
        <w:rPr>
          <w:rFonts w:asciiTheme="minorHAnsi" w:hAnsiTheme="minorHAnsi"/>
          <w:lang w:val="fr-FR"/>
        </w:rPr>
      </w:pPr>
    </w:p>
    <w:p w14:paraId="5B79DCCF" w14:textId="6BA71B8D" w:rsidR="003672A7" w:rsidRPr="00A74D23" w:rsidRDefault="00325C6B" w:rsidP="009D6EE5">
      <w:pPr>
        <w:spacing w:line="22" w:lineRule="atLeast"/>
        <w:jc w:val="both"/>
        <w:rPr>
          <w:rFonts w:asciiTheme="minorHAnsi" w:hAnsiTheme="minorHAnsi"/>
          <w:sz w:val="20"/>
          <w:szCs w:val="20"/>
          <w:lang w:val="fr-FR"/>
        </w:rPr>
      </w:pPr>
      <w:r w:rsidRPr="00A74D23">
        <w:rPr>
          <w:rFonts w:asciiTheme="minorHAnsi" w:hAnsiTheme="minorHAnsi"/>
          <w:sz w:val="20"/>
          <w:szCs w:val="20"/>
          <w:lang w:val="fr-FR"/>
        </w:rPr>
        <w:t>Cette partie I présente la gestion des risques de durabilité d’Abeille Assurances sous l’angle de leur matérialité financière. Elle n’a pas vocation à reprendre l’ensemble des informations de durabilité du groupe Aéma, lesquelles sont détaillées dans le rapport de durabilité CSRD 2025 du groupe, mais se concentre sur l’identification, l’évaluation et la gestion des risques environnementaux, sociaux et de gouvernance (ESG) susceptibles d’affecter la situation financière et la solvabilité d’Abeille Assurances, notamment au regard de son portefeuille d’investissements.</w:t>
      </w:r>
    </w:p>
    <w:p w14:paraId="0CA14FFE" w14:textId="77777777" w:rsidR="00433F6A" w:rsidRPr="00A74D23" w:rsidRDefault="00433F6A" w:rsidP="009D6EE5">
      <w:pPr>
        <w:spacing w:line="22" w:lineRule="atLeast"/>
        <w:jc w:val="both"/>
        <w:rPr>
          <w:rFonts w:asciiTheme="minorHAnsi" w:hAnsiTheme="minorHAnsi"/>
          <w:sz w:val="20"/>
          <w:szCs w:val="20"/>
          <w:lang w:val="fr-FR"/>
        </w:rPr>
      </w:pPr>
    </w:p>
    <w:p w14:paraId="79CB46CE" w14:textId="4025C0E7" w:rsidR="00433F6A" w:rsidRPr="00A74D23" w:rsidRDefault="0030723A" w:rsidP="009D6EE5">
      <w:pPr>
        <w:spacing w:line="22" w:lineRule="atLeast"/>
        <w:jc w:val="both"/>
        <w:rPr>
          <w:rFonts w:asciiTheme="minorHAnsi" w:hAnsiTheme="minorHAnsi"/>
          <w:sz w:val="20"/>
          <w:szCs w:val="20"/>
          <w:lang w:val="fr-FR"/>
        </w:rPr>
      </w:pPr>
      <w:r w:rsidRPr="00A74D23">
        <w:rPr>
          <w:rFonts w:asciiTheme="minorHAnsi" w:hAnsiTheme="minorHAnsi" w:cs="Open Sans"/>
          <w:noProof/>
        </w:rPr>
        <mc:AlternateContent>
          <mc:Choice Requires="wps">
            <w:drawing>
              <wp:anchor distT="0" distB="0" distL="114300" distR="114300" simplePos="0" relativeHeight="251443200" behindDoc="1" locked="0" layoutInCell="1" allowOverlap="1" wp14:anchorId="246F9EEE" wp14:editId="31E9037A">
                <wp:simplePos x="0" y="0"/>
                <wp:positionH relativeFrom="margin">
                  <wp:align>left</wp:align>
                </wp:positionH>
                <wp:positionV relativeFrom="paragraph">
                  <wp:posOffset>150949</wp:posOffset>
                </wp:positionV>
                <wp:extent cx="5937069" cy="2242868"/>
                <wp:effectExtent l="0" t="0" r="6985" b="5080"/>
                <wp:wrapNone/>
                <wp:docPr id="64797369" name="Rectangle : coins arrondis 64797369"/>
                <wp:cNvGraphicFramePr/>
                <a:graphic xmlns:a="http://schemas.openxmlformats.org/drawingml/2006/main">
                  <a:graphicData uri="http://schemas.microsoft.com/office/word/2010/wordprocessingShape">
                    <wps:wsp>
                      <wps:cNvSpPr/>
                      <wps:spPr>
                        <a:xfrm>
                          <a:off x="0" y="0"/>
                          <a:ext cx="5937069" cy="2242868"/>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0B2BCC" w14:textId="77777777" w:rsidR="0030723A" w:rsidRPr="0030723A" w:rsidRDefault="0030723A" w:rsidP="0030723A">
                            <w:pPr>
                              <w:ind w:right="335"/>
                              <w:jc w:val="both"/>
                              <w:rPr>
                                <w:rFonts w:asciiTheme="minorHAnsi" w:hAnsiTheme="minorHAnsi"/>
                                <w:color w:val="000000" w:themeColor="text1"/>
                                <w:sz w:val="20"/>
                                <w:szCs w:val="20"/>
                                <w:lang w:val="fr-FR"/>
                              </w:rPr>
                            </w:pPr>
                            <w:r w:rsidRPr="0030723A">
                              <w:rPr>
                                <w:rFonts w:asciiTheme="minorHAnsi" w:hAnsiTheme="minorHAnsi"/>
                                <w:color w:val="000000" w:themeColor="text1"/>
                                <w:sz w:val="20"/>
                                <w:szCs w:val="20"/>
                                <w:lang w:val="fr-FR"/>
                              </w:rPr>
                              <w:t>L’importance des risques de durabilité pour le secteur de l’assurance ne fait désormais plus aucun doute. La directive Solvabilité II révisée, adoptée par l’Union européenne en janvier 2025, marque une étape décisive. L’introduction du nouvel article 45bis impose aux assureurs et réassureurs d’intégrer les risques de durabilité, en particulier climatiques, dans leur système de gestion des risques ainsi que dans leur évaluation interne des risques et de la solvabilité (ORSA), selon une approche proportionnée, prospective et cohérente avec la stratégie et le modèle économique de l’entreprise.</w:t>
                            </w:r>
                          </w:p>
                          <w:p w14:paraId="0CC09E33" w14:textId="639BEA55" w:rsidR="00637462" w:rsidRPr="00FC28EF" w:rsidRDefault="0030723A" w:rsidP="0030723A">
                            <w:pPr>
                              <w:ind w:right="335"/>
                              <w:jc w:val="both"/>
                              <w:rPr>
                                <w:rFonts w:asciiTheme="minorHAnsi" w:hAnsiTheme="minorHAnsi"/>
                                <w:color w:val="000000" w:themeColor="text1"/>
                                <w:sz w:val="20"/>
                                <w:szCs w:val="20"/>
                                <w:lang w:val="fr-FR"/>
                              </w:rPr>
                            </w:pPr>
                            <w:r w:rsidRPr="0030723A">
                              <w:rPr>
                                <w:rFonts w:asciiTheme="minorHAnsi" w:hAnsiTheme="minorHAnsi"/>
                                <w:color w:val="000000" w:themeColor="text1"/>
                                <w:sz w:val="20"/>
                                <w:szCs w:val="20"/>
                                <w:lang w:val="fr-FR"/>
                              </w:rPr>
                              <w:t>Cette obligation s’accompagne de l’élaboration d’un plan de gestion des risques de durabilité (Sustainability Risk Plan), dont les modalités opérationnelles ainsi que le calendrier de transmission au superviseur seront précisées dans le cadre de la transposition de la directive et des travaux d’application en cours au niveau européen, avec un premier exercice attendu à horizon 2027.</w:t>
                            </w:r>
                          </w:p>
                        </w:txbxContent>
                      </wps:txbx>
                      <wps:bodyPr rot="0" spcFirstLastPara="0" vertOverflow="overflow" horzOverflow="overflow" vert="horz" wrap="square" lIns="180000" tIns="72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6F9EEE" id="Rectangle : coins arrondis 64797369" o:spid="_x0000_s1159" style="position:absolute;left:0;text-align:left;margin-left:0;margin-top:11.9pt;width:467.5pt;height:176.6pt;z-index:-251873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" fillcolor="#d8d8d8 [2732]" stroked="f" strokeweight="1pt">
                <v:stroke joinstyle="miter"/>
                <v:textbox inset="5mm,2mm,5mm,3mm">
                  <w:txbxContent>
                    <w:p w14:paraId="390B2BCC" w14:textId="77777777" w:rsidR="0030723A" w:rsidRPr="0030723A" w:rsidRDefault="0030723A" w:rsidP="0030723A">
                      <w:pPr>
                        <w:ind w:right="335"/>
                        <w:jc w:val="both"/>
                        <w:rPr>
                          <w:rFonts w:asciiTheme="minorHAnsi" w:hAnsiTheme="minorHAnsi"/>
                          <w:color w:val="000000" w:themeColor="text1"/>
                          <w:sz w:val="20"/>
                          <w:szCs w:val="20"/>
                          <w:lang w:val="fr-FR"/>
                        </w:rPr>
                      </w:pPr>
                      <w:r w:rsidRPr="0030723A">
                        <w:rPr>
                          <w:rFonts w:asciiTheme="minorHAnsi" w:hAnsiTheme="minorHAnsi"/>
                          <w:color w:val="000000" w:themeColor="text1"/>
                          <w:sz w:val="20"/>
                          <w:szCs w:val="20"/>
                          <w:lang w:val="fr-FR"/>
                        </w:rPr>
                        <w:t>L’importance des risques de durabilité pour le secteur de l’assurance ne fait désormais plus aucun doute. La directive Solvabilité II révisée, adoptée par l’Union européenne en janvier 2025, marque une étape décisive. L’introduction du nouvel article 45bis impose aux assureurs et réassureurs d’intégrer les risques de durabilité, en particulier climatiques, dans leur système de gestion des risques ainsi que dans leur évaluation interne des risques et de la solvabilité (ORSA), selon une approche proportionnée, prospective et cohérente avec la stratégie et le modèle économique de l’entreprise.</w:t>
                      </w:r>
                    </w:p>
                    <w:p w14:paraId="0CC09E33" w14:textId="639BEA55" w:rsidR="00637462" w:rsidRPr="00FC28EF" w:rsidRDefault="0030723A" w:rsidP="0030723A">
                      <w:pPr>
                        <w:ind w:right="335"/>
                        <w:jc w:val="both"/>
                        <w:rPr>
                          <w:rFonts w:asciiTheme="minorHAnsi" w:hAnsiTheme="minorHAnsi"/>
                          <w:color w:val="000000" w:themeColor="text1"/>
                          <w:sz w:val="20"/>
                          <w:szCs w:val="20"/>
                          <w:lang w:val="fr-FR"/>
                        </w:rPr>
                      </w:pPr>
                      <w:r w:rsidRPr="0030723A">
                        <w:rPr>
                          <w:rFonts w:asciiTheme="minorHAnsi" w:hAnsiTheme="minorHAnsi"/>
                          <w:color w:val="000000" w:themeColor="text1"/>
                          <w:sz w:val="20"/>
                          <w:szCs w:val="20"/>
                          <w:lang w:val="fr-FR"/>
                        </w:rPr>
                        <w:t>Cette obligation s’accompagne de l’élaboration d’un plan de gestion des risques de durabilité (Sustainability Risk Plan), dont les modalités opérationnelles ainsi que le calendrier de transmission au superviseur seront précisées dans le cadre de la transposition de la directive et des travaux d’application en cours au niveau européen, avec un premier exercice attendu à horizon 2027.</w:t>
                      </w:r>
                    </w:p>
                  </w:txbxContent>
                </v:textbox>
                <w10:wrap anchorx="margin"/>
              </v:roundrect>
            </w:pict>
          </mc:Fallback>
        </mc:AlternateContent>
      </w:r>
      <w:r w:rsidR="00D80B16" w:rsidRPr="00A74D23">
        <w:rPr>
          <w:rFonts w:asciiTheme="minorHAnsi" w:hAnsiTheme="minorHAnsi" w:cs="Open Sans"/>
          <w:noProof/>
        </w:rPr>
        <mc:AlternateContent>
          <mc:Choice Requires="wps">
            <w:drawing>
              <wp:anchor distT="0" distB="0" distL="114300" distR="114300" simplePos="0" relativeHeight="251439104" behindDoc="0" locked="0" layoutInCell="1" allowOverlap="1" wp14:anchorId="2F5C39DF" wp14:editId="23B5FBF1">
                <wp:simplePos x="0" y="0"/>
                <wp:positionH relativeFrom="margin">
                  <wp:posOffset>1554933</wp:posOffset>
                </wp:positionH>
                <wp:positionV relativeFrom="paragraph">
                  <wp:posOffset>6531</wp:posOffset>
                </wp:positionV>
                <wp:extent cx="2668138" cy="260350"/>
                <wp:effectExtent l="0" t="0" r="0" b="0"/>
                <wp:wrapNone/>
                <wp:docPr id="1254051337" name="Rectangle : coins arrondis 1254051337"/>
                <wp:cNvGraphicFramePr/>
                <a:graphic xmlns:a="http://schemas.openxmlformats.org/drawingml/2006/main">
                  <a:graphicData uri="http://schemas.microsoft.com/office/word/2010/wordprocessingShape">
                    <wps:wsp>
                      <wps:cNvSpPr/>
                      <wps:spPr>
                        <a:xfrm>
                          <a:off x="0" y="0"/>
                          <a:ext cx="2668138" cy="260350"/>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B53ABE" w14:textId="14C0C257" w:rsidR="00637462" w:rsidRPr="00376AD0" w:rsidRDefault="005448D4" w:rsidP="00637462">
                            <w:pPr>
                              <w:jc w:val="center"/>
                              <w:rPr>
                                <w:b/>
                                <w:bCs/>
                                <w:color w:val="000000" w:themeColor="text1"/>
                                <w:sz w:val="32"/>
                                <w:szCs w:val="32"/>
                                <w:lang w:val="fr-FR"/>
                              </w:rPr>
                            </w:pPr>
                            <w:r w:rsidRPr="00376AD0">
                              <w:rPr>
                                <w:rFonts w:ascii="Source Sans Pro" w:hAnsi="Source Sans Pro"/>
                                <w:b/>
                                <w:bCs/>
                                <w:color w:val="000000" w:themeColor="text1"/>
                                <w:lang w:val="fr-FR"/>
                              </w:rPr>
                              <w:t>Réforme de la directive Solvabilité II</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roundrect w14:anchorId="2F5C39DF" id="Rectangle : coins arrondis 1254051337" o:spid="_x0000_s1160" style="position:absolute;left:0;text-align:left;margin-left:122.45pt;margin-top:.5pt;width:210.1pt;height:20.5pt;z-index:2514391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" fillcolor="#ffc000" stroked="f" strokeweight="1pt">
                <v:stroke joinstyle="miter"/>
                <v:textbox style="mso-fit-shape-to-text:t" inset="2.5mm,1mm,2.5mm,1mm">
                  <w:txbxContent>
                    <w:p w14:paraId="5EB53ABE" w14:textId="14C0C257" w:rsidR="00637462" w:rsidRPr="00376AD0" w:rsidRDefault="005448D4" w:rsidP="00637462">
                      <w:pPr>
                        <w:jc w:val="center"/>
                        <w:rPr>
                          <w:b/>
                          <w:bCs/>
                          <w:color w:val="000000" w:themeColor="text1"/>
                          <w:sz w:val="32"/>
                          <w:szCs w:val="32"/>
                          <w:lang w:val="fr-FR"/>
                        </w:rPr>
                      </w:pPr>
                      <w:r w:rsidRPr="00376AD0">
                        <w:rPr>
                          <w:rFonts w:ascii="Source Sans Pro" w:hAnsi="Source Sans Pro"/>
                          <w:b/>
                          <w:bCs/>
                          <w:color w:val="000000" w:themeColor="text1"/>
                          <w:lang w:val="fr-FR"/>
                        </w:rPr>
                        <w:t>Réforme de la directive Solvabilité II</w:t>
                      </w:r>
                    </w:p>
                  </w:txbxContent>
                </v:textbox>
                <w10:wrap anchorx="margin"/>
              </v:roundrect>
            </w:pict>
          </mc:Fallback>
        </mc:AlternateContent>
      </w:r>
    </w:p>
    <w:p w14:paraId="1333F9EA" w14:textId="77777777" w:rsidR="007A4E29" w:rsidRPr="00A74D23" w:rsidRDefault="007A4E29" w:rsidP="009D6EE5">
      <w:pPr>
        <w:pStyle w:val="Style5"/>
        <w:numPr>
          <w:ilvl w:val="0"/>
          <w:numId w:val="0"/>
        </w:numPr>
        <w:spacing w:line="22" w:lineRule="atLeast"/>
        <w:jc w:val="both"/>
        <w:rPr>
          <w:b/>
          <w:bCs/>
          <w:sz w:val="32"/>
          <w:szCs w:val="32"/>
        </w:rPr>
      </w:pPr>
    </w:p>
    <w:p w14:paraId="75D9C72F" w14:textId="77777777" w:rsidR="00637462" w:rsidRPr="00A74D23" w:rsidRDefault="00637462" w:rsidP="009D6EE5">
      <w:pPr>
        <w:pStyle w:val="Style5"/>
        <w:numPr>
          <w:ilvl w:val="0"/>
          <w:numId w:val="0"/>
        </w:numPr>
        <w:spacing w:line="22" w:lineRule="atLeast"/>
        <w:jc w:val="both"/>
        <w:rPr>
          <w:b/>
          <w:bCs/>
          <w:sz w:val="32"/>
          <w:szCs w:val="32"/>
        </w:rPr>
      </w:pPr>
    </w:p>
    <w:p w14:paraId="69202AAB" w14:textId="77777777" w:rsidR="00637462" w:rsidRPr="00A74D23" w:rsidRDefault="00637462" w:rsidP="009D6EE5">
      <w:pPr>
        <w:pStyle w:val="Style5"/>
        <w:numPr>
          <w:ilvl w:val="0"/>
          <w:numId w:val="0"/>
        </w:numPr>
        <w:spacing w:line="22" w:lineRule="atLeast"/>
        <w:jc w:val="both"/>
        <w:rPr>
          <w:b/>
          <w:bCs/>
          <w:sz w:val="32"/>
          <w:szCs w:val="32"/>
        </w:rPr>
      </w:pPr>
    </w:p>
    <w:p w14:paraId="60CC1FF7" w14:textId="77777777" w:rsidR="00C82DE4" w:rsidRPr="00A74D23" w:rsidRDefault="00C82DE4" w:rsidP="009D6EE5">
      <w:pPr>
        <w:pStyle w:val="Style5"/>
        <w:numPr>
          <w:ilvl w:val="0"/>
          <w:numId w:val="0"/>
        </w:numPr>
        <w:spacing w:line="22" w:lineRule="atLeast"/>
        <w:jc w:val="both"/>
        <w:rPr>
          <w:sz w:val="20"/>
          <w:szCs w:val="20"/>
        </w:rPr>
      </w:pPr>
    </w:p>
    <w:p w14:paraId="2EEB49BE" w14:textId="77777777" w:rsidR="00637462" w:rsidRPr="00A74D23" w:rsidRDefault="00637462" w:rsidP="009D6EE5">
      <w:pPr>
        <w:pStyle w:val="Style5"/>
        <w:numPr>
          <w:ilvl w:val="0"/>
          <w:numId w:val="0"/>
        </w:numPr>
        <w:spacing w:line="22" w:lineRule="atLeast"/>
        <w:jc w:val="both"/>
        <w:rPr>
          <w:sz w:val="20"/>
          <w:szCs w:val="20"/>
        </w:rPr>
      </w:pPr>
    </w:p>
    <w:p w14:paraId="192CE271" w14:textId="77777777" w:rsidR="00637462" w:rsidRPr="00A74D23" w:rsidRDefault="00637462" w:rsidP="009D6EE5">
      <w:pPr>
        <w:pStyle w:val="Style5"/>
        <w:numPr>
          <w:ilvl w:val="0"/>
          <w:numId w:val="0"/>
        </w:numPr>
        <w:spacing w:line="22" w:lineRule="atLeast"/>
        <w:jc w:val="both"/>
        <w:rPr>
          <w:sz w:val="20"/>
          <w:szCs w:val="20"/>
        </w:rPr>
      </w:pPr>
    </w:p>
    <w:p w14:paraId="6072B3EE" w14:textId="77777777" w:rsidR="00637462" w:rsidRPr="00A74D23" w:rsidRDefault="00637462" w:rsidP="009D6EE5">
      <w:pPr>
        <w:pStyle w:val="Style5"/>
        <w:numPr>
          <w:ilvl w:val="0"/>
          <w:numId w:val="0"/>
        </w:numPr>
        <w:spacing w:line="22" w:lineRule="atLeast"/>
        <w:jc w:val="both"/>
        <w:rPr>
          <w:sz w:val="20"/>
          <w:szCs w:val="20"/>
        </w:rPr>
      </w:pPr>
    </w:p>
    <w:p w14:paraId="2499F9BE" w14:textId="77777777" w:rsidR="00637462" w:rsidRPr="00A74D23" w:rsidRDefault="00637462" w:rsidP="009D6EE5">
      <w:pPr>
        <w:pStyle w:val="Style5"/>
        <w:numPr>
          <w:ilvl w:val="0"/>
          <w:numId w:val="0"/>
        </w:numPr>
        <w:spacing w:line="22" w:lineRule="atLeast"/>
        <w:jc w:val="both"/>
        <w:rPr>
          <w:sz w:val="20"/>
          <w:szCs w:val="20"/>
        </w:rPr>
      </w:pPr>
    </w:p>
    <w:p w14:paraId="47B24D86" w14:textId="77777777" w:rsidR="00637462" w:rsidRPr="00A74D23" w:rsidRDefault="00637462" w:rsidP="009D6EE5">
      <w:pPr>
        <w:pStyle w:val="Style5"/>
        <w:numPr>
          <w:ilvl w:val="0"/>
          <w:numId w:val="0"/>
        </w:numPr>
        <w:spacing w:line="22" w:lineRule="atLeast"/>
        <w:jc w:val="both"/>
        <w:rPr>
          <w:sz w:val="20"/>
          <w:szCs w:val="20"/>
        </w:rPr>
      </w:pPr>
    </w:p>
    <w:p w14:paraId="3A344BA3" w14:textId="77777777" w:rsidR="00637462" w:rsidRPr="00A74D23" w:rsidRDefault="00637462" w:rsidP="009D6EE5">
      <w:pPr>
        <w:pStyle w:val="Style5"/>
        <w:numPr>
          <w:ilvl w:val="0"/>
          <w:numId w:val="0"/>
        </w:numPr>
        <w:spacing w:line="22" w:lineRule="atLeast"/>
        <w:jc w:val="both"/>
        <w:rPr>
          <w:sz w:val="20"/>
          <w:szCs w:val="20"/>
        </w:rPr>
      </w:pPr>
    </w:p>
    <w:p w14:paraId="61140C47" w14:textId="77777777" w:rsidR="005405E6" w:rsidRPr="00A74D23" w:rsidRDefault="005405E6" w:rsidP="009D6EE5">
      <w:pPr>
        <w:pStyle w:val="Style5"/>
        <w:numPr>
          <w:ilvl w:val="0"/>
          <w:numId w:val="0"/>
        </w:numPr>
        <w:spacing w:line="22" w:lineRule="atLeast"/>
        <w:jc w:val="both"/>
        <w:rPr>
          <w:b/>
          <w:bCs/>
          <w:sz w:val="20"/>
          <w:szCs w:val="20"/>
        </w:rPr>
      </w:pPr>
    </w:p>
    <w:p w14:paraId="0330E242" w14:textId="77777777" w:rsidR="0030723A" w:rsidRDefault="0030723A" w:rsidP="009D6EE5">
      <w:pPr>
        <w:pStyle w:val="Style5"/>
        <w:numPr>
          <w:ilvl w:val="0"/>
          <w:numId w:val="0"/>
        </w:numPr>
        <w:spacing w:line="22" w:lineRule="atLeast"/>
        <w:jc w:val="both"/>
        <w:rPr>
          <w:sz w:val="20"/>
          <w:szCs w:val="20"/>
        </w:rPr>
      </w:pPr>
    </w:p>
    <w:p w14:paraId="09B25EE5" w14:textId="77777777" w:rsidR="0030723A" w:rsidRDefault="0030723A" w:rsidP="009D6EE5">
      <w:pPr>
        <w:pStyle w:val="Style5"/>
        <w:numPr>
          <w:ilvl w:val="0"/>
          <w:numId w:val="0"/>
        </w:numPr>
        <w:spacing w:line="22" w:lineRule="atLeast"/>
        <w:jc w:val="both"/>
        <w:rPr>
          <w:sz w:val="20"/>
          <w:szCs w:val="20"/>
        </w:rPr>
      </w:pPr>
    </w:p>
    <w:p w14:paraId="34B65A20" w14:textId="53374080" w:rsidR="00D94C35" w:rsidRPr="00A74D23" w:rsidRDefault="00D94C35" w:rsidP="009D6EE5">
      <w:pPr>
        <w:pStyle w:val="Style5"/>
        <w:numPr>
          <w:ilvl w:val="0"/>
          <w:numId w:val="0"/>
        </w:numPr>
        <w:spacing w:line="22" w:lineRule="atLeast"/>
        <w:jc w:val="both"/>
        <w:rPr>
          <w:sz w:val="20"/>
          <w:szCs w:val="20"/>
        </w:rPr>
      </w:pPr>
      <w:r w:rsidRPr="00A74D23">
        <w:rPr>
          <w:sz w:val="20"/>
          <w:szCs w:val="20"/>
        </w:rPr>
        <w:t xml:space="preserve">Abeille Assurances a développé un cadre de gestion des risques intégrant les enjeux de durabilité à l’ensemble de son dispositif de gestion des risques, en cohérence avec les exigences de Solvabilité II et les pratiques existantes </w:t>
      </w:r>
      <w:r w:rsidR="00BA6ED2" w:rsidRPr="00A74D23">
        <w:rPr>
          <w:sz w:val="20"/>
          <w:szCs w:val="20"/>
        </w:rPr>
        <w:t xml:space="preserve">du Groupe Aéma : </w:t>
      </w:r>
    </w:p>
    <w:p w14:paraId="384B25EA" w14:textId="77777777" w:rsidR="00D94C35" w:rsidRPr="00A74D23" w:rsidRDefault="00D94C35" w:rsidP="009D6EE5">
      <w:pPr>
        <w:pStyle w:val="Style5"/>
        <w:numPr>
          <w:ilvl w:val="0"/>
          <w:numId w:val="0"/>
        </w:numPr>
        <w:spacing w:line="22" w:lineRule="atLeast"/>
        <w:jc w:val="both"/>
        <w:rPr>
          <w:sz w:val="20"/>
          <w:szCs w:val="20"/>
        </w:rPr>
      </w:pPr>
    </w:p>
    <w:p w14:paraId="7A3115BD" w14:textId="77777777" w:rsidR="00B07971" w:rsidRPr="009D6EE5" w:rsidRDefault="00B07971" w:rsidP="00590DD1">
      <w:pPr>
        <w:pStyle w:val="Style5"/>
        <w:numPr>
          <w:ilvl w:val="0"/>
          <w:numId w:val="57"/>
        </w:numPr>
        <w:spacing w:line="22" w:lineRule="atLeast"/>
        <w:jc w:val="both"/>
        <w:rPr>
          <w:sz w:val="20"/>
          <w:szCs w:val="20"/>
        </w:rPr>
      </w:pPr>
      <w:r w:rsidRPr="009D6EE5">
        <w:rPr>
          <w:b/>
          <w:bCs/>
          <w:sz w:val="20"/>
          <w:szCs w:val="20"/>
        </w:rPr>
        <w:t xml:space="preserve">L’identification des risques de durabilité </w:t>
      </w:r>
      <w:r w:rsidRPr="009D6EE5">
        <w:rPr>
          <w:sz w:val="20"/>
          <w:szCs w:val="20"/>
        </w:rPr>
        <w:t>(sous-partie 1) s’appuie sur des travaux conduits de manière transversale avec les différentes directions concernées. Elle repose notamment sur les analyses existantes menées dans le cadre du rapport CSRD du groupe Aéma, les analyses de scénarios prospectifs, ainsi que la veille réglementaire et sectorielle. Ces travaux permettent d’identifier les principaux risques environnementaux, sociaux et de gouvernance susceptible d’affecter l’activité d’Abeille Assurances et d’en établir une cartographie détaillée.</w:t>
      </w:r>
    </w:p>
    <w:p w14:paraId="481BF104" w14:textId="77777777" w:rsidR="00B07971" w:rsidRPr="009D6EE5" w:rsidRDefault="00B07971" w:rsidP="00590DD1">
      <w:pPr>
        <w:pStyle w:val="Style5"/>
        <w:numPr>
          <w:ilvl w:val="0"/>
          <w:numId w:val="57"/>
        </w:numPr>
        <w:spacing w:line="22" w:lineRule="atLeast"/>
        <w:jc w:val="both"/>
        <w:rPr>
          <w:sz w:val="20"/>
          <w:szCs w:val="20"/>
        </w:rPr>
      </w:pPr>
      <w:r w:rsidRPr="009D6EE5">
        <w:rPr>
          <w:b/>
          <w:bCs/>
          <w:sz w:val="20"/>
          <w:szCs w:val="20"/>
        </w:rPr>
        <w:t>L’évaluation des risques de durabilité</w:t>
      </w:r>
      <w:r w:rsidRPr="009D6EE5">
        <w:rPr>
          <w:sz w:val="20"/>
          <w:szCs w:val="20"/>
        </w:rPr>
        <w:t> (sous-partie 2) :  les risques identifiés font ensuite l’objet d’une évaluation associant l’ensemble des directions concernées afin d’apprécier l’exposition de l’entreprise aux différents risques de durabilité. Cette évaluation repose sur une combinaison d’éléments qualitatifs et quantitatifs, notamment à travers des indicateurs de suivi (</w:t>
      </w:r>
      <w:r w:rsidRPr="009D6EE5">
        <w:rPr>
          <w:b/>
          <w:bCs/>
          <w:sz w:val="20"/>
          <w:szCs w:val="20"/>
        </w:rPr>
        <w:t>Key Risk Indicators</w:t>
      </w:r>
      <w:r w:rsidRPr="009D6EE5">
        <w:rPr>
          <w:sz w:val="20"/>
          <w:szCs w:val="20"/>
        </w:rPr>
        <w:t xml:space="preserve">) permettant d’apprécier les niveaux d’exposition. Le risque de durabilité </w:t>
      </w:r>
      <w:r>
        <w:rPr>
          <w:sz w:val="20"/>
          <w:szCs w:val="20"/>
        </w:rPr>
        <w:t xml:space="preserve">est </w:t>
      </w:r>
      <w:r w:rsidRPr="009D6EE5">
        <w:rPr>
          <w:sz w:val="20"/>
          <w:szCs w:val="20"/>
        </w:rPr>
        <w:t xml:space="preserve">évalué </w:t>
      </w:r>
      <w:r>
        <w:rPr>
          <w:sz w:val="20"/>
          <w:szCs w:val="20"/>
        </w:rPr>
        <w:t>et</w:t>
      </w:r>
      <w:r w:rsidRPr="009D6EE5">
        <w:rPr>
          <w:sz w:val="20"/>
          <w:szCs w:val="20"/>
        </w:rPr>
        <w:t xml:space="preserve"> intégré dans la cartographie générale des risques d’Abeille Assurances, aux côtés des autres risques financiers et assurantiels.</w:t>
      </w:r>
    </w:p>
    <w:p w14:paraId="72F9FBF2" w14:textId="1108D2FB" w:rsidR="00B07971" w:rsidRPr="009D6EE5" w:rsidRDefault="00B07971" w:rsidP="00590DD1">
      <w:pPr>
        <w:pStyle w:val="Style5"/>
        <w:numPr>
          <w:ilvl w:val="0"/>
          <w:numId w:val="57"/>
        </w:numPr>
        <w:spacing w:line="22" w:lineRule="atLeast"/>
        <w:jc w:val="both"/>
        <w:rPr>
          <w:sz w:val="20"/>
          <w:szCs w:val="20"/>
        </w:rPr>
      </w:pPr>
      <w:r w:rsidRPr="009D6EE5">
        <w:rPr>
          <w:b/>
          <w:bCs/>
          <w:sz w:val="20"/>
          <w:szCs w:val="20"/>
        </w:rPr>
        <w:t>La gestion des risques de durabilité</w:t>
      </w:r>
      <w:r w:rsidRPr="009D6EE5">
        <w:rPr>
          <w:sz w:val="20"/>
          <w:szCs w:val="20"/>
        </w:rPr>
        <w:t xml:space="preserve"> (sous-partie 3) s’inscrit dans les politiques écrites existantes de l’entreprise</w:t>
      </w:r>
      <w:r>
        <w:rPr>
          <w:sz w:val="20"/>
          <w:szCs w:val="20"/>
        </w:rPr>
        <w:t xml:space="preserve">. </w:t>
      </w:r>
      <w:r w:rsidRPr="009D6EE5">
        <w:rPr>
          <w:sz w:val="20"/>
          <w:szCs w:val="20"/>
        </w:rPr>
        <w:t>Ces politiques définissent un ensemble de principes et de règles visant à maîtriser les expositions aux risques de durabilité, ainsi que les outils opérationnels mis en œuvre au sein des différentes activités et métiers.</w:t>
      </w:r>
    </w:p>
    <w:p w14:paraId="6B57BF2F" w14:textId="77777777" w:rsidR="005D47AA" w:rsidRDefault="005D47AA" w:rsidP="009D6EE5">
      <w:pPr>
        <w:pStyle w:val="Style5"/>
        <w:numPr>
          <w:ilvl w:val="0"/>
          <w:numId w:val="0"/>
        </w:numPr>
        <w:spacing w:line="22" w:lineRule="atLeast"/>
        <w:ind w:left="720"/>
        <w:jc w:val="both"/>
        <w:rPr>
          <w:sz w:val="20"/>
          <w:szCs w:val="20"/>
        </w:rPr>
      </w:pPr>
    </w:p>
    <w:p w14:paraId="77540D60" w14:textId="77777777" w:rsidR="00B07971" w:rsidRPr="00A74D23" w:rsidRDefault="00B07971" w:rsidP="009D6EE5">
      <w:pPr>
        <w:pStyle w:val="Style5"/>
        <w:numPr>
          <w:ilvl w:val="0"/>
          <w:numId w:val="0"/>
        </w:numPr>
        <w:spacing w:line="22" w:lineRule="atLeast"/>
        <w:ind w:left="720"/>
        <w:jc w:val="both"/>
        <w:rPr>
          <w:sz w:val="20"/>
          <w:szCs w:val="20"/>
        </w:rPr>
      </w:pPr>
    </w:p>
    <w:p w14:paraId="164F3E5D" w14:textId="263BF5DA" w:rsidR="006D0663" w:rsidRPr="00A74D23" w:rsidRDefault="00A53899" w:rsidP="009D6EE5">
      <w:pPr>
        <w:pStyle w:val="Style5"/>
        <w:numPr>
          <w:ilvl w:val="0"/>
          <w:numId w:val="0"/>
        </w:numPr>
        <w:spacing w:line="22" w:lineRule="atLeast"/>
        <w:jc w:val="both"/>
        <w:rPr>
          <w:sz w:val="20"/>
          <w:szCs w:val="20"/>
        </w:rPr>
      </w:pPr>
      <w:r w:rsidRPr="00A74D23">
        <w:rPr>
          <w:sz w:val="20"/>
          <w:szCs w:val="20"/>
        </w:rPr>
        <w:t>L’ensemble de ce dispositif est étroitement articulé avec le processus d’évaluation interne des risques et de la solvabilité (ORSA), qui intègre une dimension relative aux risques de durabilité. Il est complété par une gouvernance dédiée, décrite dans la partie D du présent rapport.</w:t>
      </w:r>
    </w:p>
    <w:p w14:paraId="5486AC8E" w14:textId="10B18E21" w:rsidR="00530040" w:rsidRPr="00A74D23" w:rsidRDefault="00225D0E" w:rsidP="00590DD1">
      <w:pPr>
        <w:pStyle w:val="Style2"/>
        <w:numPr>
          <w:ilvl w:val="0"/>
          <w:numId w:val="67"/>
        </w:numPr>
        <w:spacing w:line="22" w:lineRule="atLeast"/>
        <w:jc w:val="both"/>
        <w:rPr>
          <w:rFonts w:asciiTheme="minorHAnsi" w:hAnsiTheme="minorHAnsi" w:cs="Open Sans"/>
          <w:sz w:val="36"/>
          <w:szCs w:val="36"/>
        </w:rPr>
      </w:pPr>
      <w:bookmarkStart w:id="99" w:name="_Toc231337025"/>
      <w:r w:rsidRPr="00A74D23">
        <w:rPr>
          <w:rFonts w:asciiTheme="minorHAnsi" w:hAnsiTheme="minorHAnsi" w:cs="Open Sans"/>
          <w:sz w:val="36"/>
          <w:szCs w:val="36"/>
        </w:rPr>
        <w:t>Identifier les risques de durabilité</w:t>
      </w:r>
      <w:bookmarkEnd w:id="99"/>
      <w:r w:rsidRPr="00A74D23">
        <w:rPr>
          <w:rFonts w:asciiTheme="minorHAnsi" w:hAnsiTheme="minorHAnsi" w:cs="Open Sans"/>
          <w:sz w:val="36"/>
          <w:szCs w:val="36"/>
        </w:rPr>
        <w:t xml:space="preserve"> </w:t>
      </w:r>
    </w:p>
    <w:p w14:paraId="3471BCD0" w14:textId="77777777" w:rsidR="00530040" w:rsidRPr="00A74D23" w:rsidRDefault="00530040" w:rsidP="009D6EE5">
      <w:pPr>
        <w:spacing w:line="22" w:lineRule="atLeast"/>
        <w:jc w:val="both"/>
        <w:rPr>
          <w:rFonts w:asciiTheme="minorHAnsi" w:hAnsiTheme="minorHAnsi"/>
        </w:rPr>
      </w:pPr>
    </w:p>
    <w:p w14:paraId="31A79C0B" w14:textId="77777777" w:rsidR="00AF382A" w:rsidRDefault="00AF382A" w:rsidP="009D6EE5">
      <w:pPr>
        <w:pStyle w:val="Style5"/>
        <w:numPr>
          <w:ilvl w:val="0"/>
          <w:numId w:val="0"/>
        </w:numPr>
        <w:spacing w:line="22" w:lineRule="atLeast"/>
        <w:jc w:val="both"/>
        <w:rPr>
          <w:sz w:val="20"/>
          <w:szCs w:val="20"/>
        </w:rPr>
      </w:pPr>
    </w:p>
    <w:p w14:paraId="74A86396" w14:textId="2D40A3F7" w:rsidR="00AF382A" w:rsidRDefault="00AF382A" w:rsidP="00AF382A">
      <w:pPr>
        <w:pStyle w:val="Style5"/>
        <w:numPr>
          <w:ilvl w:val="0"/>
          <w:numId w:val="0"/>
        </w:numPr>
        <w:spacing w:line="22" w:lineRule="atLeast"/>
        <w:jc w:val="both"/>
        <w:rPr>
          <w:sz w:val="20"/>
          <w:szCs w:val="20"/>
        </w:rPr>
      </w:pPr>
      <w:r w:rsidRPr="009D6EE5">
        <w:rPr>
          <w:sz w:val="20"/>
          <w:szCs w:val="20"/>
        </w:rPr>
        <w:t>Le risque de durabilité est pris en compte dans l</w:t>
      </w:r>
      <w:r>
        <w:rPr>
          <w:sz w:val="20"/>
          <w:szCs w:val="20"/>
        </w:rPr>
        <w:t>e cadre de la</w:t>
      </w:r>
      <w:r w:rsidRPr="009D6EE5">
        <w:rPr>
          <w:sz w:val="20"/>
          <w:szCs w:val="20"/>
        </w:rPr>
        <w:t xml:space="preserve"> cartographie des risques</w:t>
      </w:r>
      <w:r>
        <w:rPr>
          <w:sz w:val="20"/>
          <w:szCs w:val="20"/>
        </w:rPr>
        <w:t xml:space="preserve">, au sein de la famille des </w:t>
      </w:r>
      <w:r w:rsidRPr="009D6EE5">
        <w:rPr>
          <w:sz w:val="20"/>
          <w:szCs w:val="20"/>
        </w:rPr>
        <w:t>risques stratégiques.</w:t>
      </w:r>
      <w:r w:rsidR="009E2427">
        <w:rPr>
          <w:sz w:val="20"/>
          <w:szCs w:val="20"/>
        </w:rPr>
        <w:t xml:space="preserve"> </w:t>
      </w:r>
      <w:r>
        <w:rPr>
          <w:sz w:val="20"/>
          <w:szCs w:val="20"/>
        </w:rPr>
        <w:t>L’analyse de double matérialité conduite dans le cadre du rapport CSRD Groupe auquel Abeille contribue permet de décliner les impacts, risques et opportunités en matière de durabilité.</w:t>
      </w:r>
    </w:p>
    <w:p w14:paraId="18742EB0" w14:textId="77777777" w:rsidR="000361DB" w:rsidRDefault="000361DB" w:rsidP="00AF382A">
      <w:pPr>
        <w:pStyle w:val="Style5"/>
        <w:numPr>
          <w:ilvl w:val="0"/>
          <w:numId w:val="0"/>
        </w:numPr>
        <w:spacing w:line="22" w:lineRule="atLeast"/>
        <w:jc w:val="both"/>
        <w:rPr>
          <w:sz w:val="20"/>
          <w:szCs w:val="20"/>
        </w:rPr>
      </w:pPr>
    </w:p>
    <w:p w14:paraId="35022310" w14:textId="14750116" w:rsidR="00AF382A" w:rsidRDefault="00AF382A" w:rsidP="009D6EE5">
      <w:pPr>
        <w:pStyle w:val="Style5"/>
        <w:numPr>
          <w:ilvl w:val="0"/>
          <w:numId w:val="0"/>
        </w:numPr>
        <w:spacing w:line="22" w:lineRule="atLeast"/>
        <w:jc w:val="both"/>
        <w:rPr>
          <w:sz w:val="20"/>
          <w:szCs w:val="20"/>
        </w:rPr>
      </w:pPr>
    </w:p>
    <w:p w14:paraId="47066205" w14:textId="4629C445" w:rsidR="000361DB" w:rsidRDefault="000361DB" w:rsidP="009D6EE5">
      <w:pPr>
        <w:pStyle w:val="Style5"/>
        <w:numPr>
          <w:ilvl w:val="0"/>
          <w:numId w:val="0"/>
        </w:numPr>
        <w:spacing w:line="22" w:lineRule="atLeast"/>
        <w:jc w:val="both"/>
        <w:rPr>
          <w:b/>
          <w:bCs/>
          <w:sz w:val="20"/>
          <w:szCs w:val="20"/>
        </w:rPr>
      </w:pPr>
      <w:r w:rsidRPr="000361DB">
        <w:rPr>
          <w:b/>
          <w:bCs/>
          <w:sz w:val="20"/>
          <w:szCs w:val="20"/>
        </w:rPr>
        <w:t xml:space="preserve">Extrait </w:t>
      </w:r>
      <w:r>
        <w:rPr>
          <w:b/>
          <w:bCs/>
          <w:sz w:val="20"/>
          <w:szCs w:val="20"/>
        </w:rPr>
        <w:t>de la cartographie des impacts et risques issus de l’analyse de double matérialité d’Abeille Assurances</w:t>
      </w:r>
    </w:p>
    <w:p w14:paraId="0E15349E" w14:textId="77777777" w:rsidR="000361DB" w:rsidRPr="000361DB" w:rsidRDefault="000361DB" w:rsidP="009D6EE5">
      <w:pPr>
        <w:pStyle w:val="Style5"/>
        <w:numPr>
          <w:ilvl w:val="0"/>
          <w:numId w:val="0"/>
        </w:numPr>
        <w:spacing w:line="22" w:lineRule="atLeast"/>
        <w:jc w:val="both"/>
        <w:rPr>
          <w:b/>
          <w:bCs/>
          <w:sz w:val="20"/>
          <w:szCs w:val="20"/>
        </w:rPr>
      </w:pPr>
    </w:p>
    <w:p w14:paraId="10F8518D" w14:textId="26C80441" w:rsidR="000361DB" w:rsidRDefault="000361DB" w:rsidP="009D6EE5">
      <w:pPr>
        <w:pStyle w:val="Style5"/>
        <w:numPr>
          <w:ilvl w:val="0"/>
          <w:numId w:val="0"/>
        </w:numPr>
        <w:spacing w:line="22" w:lineRule="atLeast"/>
        <w:jc w:val="both"/>
        <w:rPr>
          <w:sz w:val="20"/>
          <w:szCs w:val="20"/>
        </w:rPr>
      </w:pPr>
      <w:r>
        <w:rPr>
          <w:noProof/>
          <w:sz w:val="20"/>
          <w:szCs w:val="20"/>
        </w:rPr>
        <w:drawing>
          <wp:inline distT="0" distB="0" distL="0" distR="0" wp14:anchorId="6257FC3D" wp14:editId="58D381D8">
            <wp:extent cx="6211676" cy="4733925"/>
            <wp:effectExtent l="0" t="0" r="0" b="0"/>
            <wp:docPr id="1271552635" name="Imag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552635" name="Image 1271552635"/>
                    <pic:cNvPicPr/>
                  </pic:nvPicPr>
                  <pic:blipFill>
                    <a:blip r:embed="rId87">
                      <a:extLst>
                        <a:ext uri="{28A0092B-C50C-407E-A947-70E740481C1C}">
                          <a14:useLocalDpi xmlns:a14="http://schemas.microsoft.com/office/drawing/2010/main" val="0"/>
                        </a:ext>
                      </a:extLst>
                    </a:blip>
                    <a:stretch>
                      <a:fillRect/>
                    </a:stretch>
                  </pic:blipFill>
                  <pic:spPr>
                    <a:xfrm>
                      <a:off x="0" y="0"/>
                      <a:ext cx="6217353" cy="4738252"/>
                    </a:xfrm>
                    <a:prstGeom prst="rect">
                      <a:avLst/>
                    </a:prstGeom>
                  </pic:spPr>
                </pic:pic>
              </a:graphicData>
            </a:graphic>
          </wp:inline>
        </w:drawing>
      </w:r>
    </w:p>
    <w:p w14:paraId="16694472" w14:textId="77777777" w:rsidR="003A32FB" w:rsidRDefault="003A32FB" w:rsidP="009D6EE5">
      <w:pPr>
        <w:pStyle w:val="Style5"/>
        <w:numPr>
          <w:ilvl w:val="0"/>
          <w:numId w:val="0"/>
        </w:numPr>
        <w:spacing w:line="22" w:lineRule="atLeast"/>
        <w:jc w:val="both"/>
        <w:rPr>
          <w:sz w:val="20"/>
          <w:szCs w:val="20"/>
        </w:rPr>
      </w:pPr>
    </w:p>
    <w:p w14:paraId="445ABCB2" w14:textId="77777777" w:rsidR="005D47AA" w:rsidRPr="00A74D23" w:rsidRDefault="005D47AA" w:rsidP="0001147F">
      <w:pPr>
        <w:pStyle w:val="Style5"/>
        <w:numPr>
          <w:ilvl w:val="0"/>
          <w:numId w:val="0"/>
        </w:numPr>
        <w:spacing w:line="22" w:lineRule="atLeast"/>
        <w:jc w:val="both"/>
        <w:rPr>
          <w:b/>
          <w:bCs/>
          <w:sz w:val="32"/>
          <w:szCs w:val="32"/>
        </w:rPr>
      </w:pPr>
    </w:p>
    <w:p w14:paraId="083CEB7C" w14:textId="3C557CB1" w:rsidR="00225D0E" w:rsidRPr="00A74D23" w:rsidRDefault="00225D0E" w:rsidP="00590DD1">
      <w:pPr>
        <w:pStyle w:val="Style2"/>
        <w:numPr>
          <w:ilvl w:val="0"/>
          <w:numId w:val="67"/>
        </w:numPr>
        <w:spacing w:line="22" w:lineRule="atLeast"/>
        <w:jc w:val="both"/>
        <w:rPr>
          <w:rFonts w:asciiTheme="minorHAnsi" w:hAnsiTheme="minorHAnsi" w:cs="Open Sans"/>
          <w:sz w:val="36"/>
          <w:szCs w:val="36"/>
        </w:rPr>
      </w:pPr>
      <w:bookmarkStart w:id="100" w:name="_Toc231337026"/>
      <w:r w:rsidRPr="00A74D23">
        <w:rPr>
          <w:rFonts w:asciiTheme="minorHAnsi" w:hAnsiTheme="minorHAnsi" w:cs="Open Sans"/>
          <w:sz w:val="36"/>
          <w:szCs w:val="36"/>
        </w:rPr>
        <w:t>Evaluation de l’exposition des investissements aux risques de durabilité</w:t>
      </w:r>
      <w:bookmarkEnd w:id="100"/>
      <w:r w:rsidRPr="00A74D23">
        <w:rPr>
          <w:rFonts w:asciiTheme="minorHAnsi" w:hAnsiTheme="minorHAnsi" w:cs="Open Sans"/>
          <w:sz w:val="36"/>
          <w:szCs w:val="36"/>
        </w:rPr>
        <w:t xml:space="preserve"> </w:t>
      </w:r>
    </w:p>
    <w:p w14:paraId="1EA992C1" w14:textId="5F992EE3" w:rsidR="00044A33" w:rsidRPr="00A74D23" w:rsidRDefault="00044A33" w:rsidP="009D6EE5">
      <w:pPr>
        <w:pStyle w:val="Style5"/>
        <w:numPr>
          <w:ilvl w:val="0"/>
          <w:numId w:val="0"/>
        </w:numPr>
        <w:spacing w:line="22" w:lineRule="atLeast"/>
        <w:jc w:val="both"/>
        <w:rPr>
          <w:b/>
          <w:bCs/>
          <w:sz w:val="32"/>
          <w:szCs w:val="32"/>
        </w:rPr>
      </w:pPr>
    </w:p>
    <w:p w14:paraId="7DE0241F" w14:textId="77777777" w:rsidR="00517D5B" w:rsidRPr="00A74D23" w:rsidRDefault="00517D5B" w:rsidP="009D6EE5">
      <w:pPr>
        <w:pStyle w:val="Style5"/>
        <w:numPr>
          <w:ilvl w:val="0"/>
          <w:numId w:val="0"/>
        </w:numPr>
        <w:spacing w:line="22" w:lineRule="atLeast"/>
        <w:jc w:val="both"/>
        <w:rPr>
          <w:sz w:val="20"/>
          <w:szCs w:val="20"/>
        </w:rPr>
      </w:pPr>
      <w:r w:rsidRPr="00A74D23">
        <w:rPr>
          <w:sz w:val="20"/>
          <w:szCs w:val="20"/>
        </w:rPr>
        <w:t>Le score ESG constitue un outil central d’appréciation des risques de durabilité « as a whole ». Il permet d’évaluer de manière transversale l’exposition des actifs aux enjeux environnementaux, sociaux et de gouvernance, en pondérant les différents piliers en fonction de leur matérialité sectorielle. À ce titre, le score ESG contribue notamment à l’identification et à l’évaluation des risques sociaux et de gouvernance, en complément des analyses spécifiques dédiées aux risques environnementaux.</w:t>
      </w:r>
    </w:p>
    <w:p w14:paraId="64988E62" w14:textId="77777777" w:rsidR="00517D5B" w:rsidRPr="00A74D23" w:rsidRDefault="00517D5B" w:rsidP="009D6EE5">
      <w:pPr>
        <w:pStyle w:val="Style5"/>
        <w:numPr>
          <w:ilvl w:val="0"/>
          <w:numId w:val="0"/>
        </w:numPr>
        <w:spacing w:line="22" w:lineRule="atLeast"/>
        <w:jc w:val="both"/>
        <w:rPr>
          <w:b/>
          <w:bCs/>
          <w:sz w:val="32"/>
          <w:szCs w:val="32"/>
        </w:rPr>
      </w:pPr>
    </w:p>
    <w:p w14:paraId="1CCC58CA" w14:textId="77777777" w:rsidR="00517D5B" w:rsidRPr="00A74D23" w:rsidRDefault="00517D5B" w:rsidP="009D6EE5">
      <w:pPr>
        <w:pStyle w:val="Style5"/>
        <w:numPr>
          <w:ilvl w:val="0"/>
          <w:numId w:val="0"/>
        </w:numPr>
        <w:spacing w:line="22" w:lineRule="atLeast"/>
        <w:jc w:val="both"/>
        <w:rPr>
          <w:b/>
          <w:bCs/>
          <w:sz w:val="32"/>
          <w:szCs w:val="32"/>
        </w:rPr>
      </w:pPr>
    </w:p>
    <w:p w14:paraId="32CD9711" w14:textId="692A27C2" w:rsidR="00517D5B" w:rsidRPr="00A74D23" w:rsidRDefault="00543AE4" w:rsidP="00590DD1">
      <w:pPr>
        <w:pStyle w:val="Style5"/>
        <w:numPr>
          <w:ilvl w:val="1"/>
          <w:numId w:val="67"/>
        </w:numPr>
        <w:spacing w:line="22" w:lineRule="atLeast"/>
        <w:jc w:val="both"/>
        <w:rPr>
          <w:b/>
          <w:bCs/>
          <w:sz w:val="32"/>
          <w:szCs w:val="32"/>
        </w:rPr>
      </w:pPr>
      <w:r w:rsidRPr="00A74D23">
        <w:rPr>
          <w:b/>
          <w:bCs/>
          <w:sz w:val="32"/>
          <w:szCs w:val="32"/>
        </w:rPr>
        <w:t xml:space="preserve">Portefeuille d’investissement corporate </w:t>
      </w:r>
    </w:p>
    <w:p w14:paraId="165C8F2A" w14:textId="77777777" w:rsidR="00517D5B" w:rsidRPr="00A74D23" w:rsidRDefault="00517D5B" w:rsidP="009D6EE5">
      <w:pPr>
        <w:pStyle w:val="Style5"/>
        <w:numPr>
          <w:ilvl w:val="0"/>
          <w:numId w:val="0"/>
        </w:numPr>
        <w:spacing w:line="22" w:lineRule="atLeast"/>
        <w:jc w:val="both"/>
        <w:rPr>
          <w:sz w:val="20"/>
          <w:szCs w:val="20"/>
        </w:rPr>
      </w:pPr>
    </w:p>
    <w:p w14:paraId="2EF999DD" w14:textId="77777777" w:rsidR="00B83597" w:rsidRPr="00A74D23" w:rsidRDefault="00B83597" w:rsidP="009D6EE5">
      <w:pPr>
        <w:pStyle w:val="Style5"/>
        <w:numPr>
          <w:ilvl w:val="0"/>
          <w:numId w:val="0"/>
        </w:numPr>
        <w:spacing w:line="22" w:lineRule="atLeast"/>
        <w:jc w:val="both"/>
        <w:rPr>
          <w:sz w:val="20"/>
          <w:szCs w:val="20"/>
        </w:rPr>
      </w:pPr>
    </w:p>
    <w:p w14:paraId="64BEEFC4" w14:textId="44BDA4C8" w:rsidR="00A73093" w:rsidRPr="00A74D23" w:rsidRDefault="00A73093" w:rsidP="00590DD1">
      <w:pPr>
        <w:pStyle w:val="Style5"/>
        <w:numPr>
          <w:ilvl w:val="0"/>
          <w:numId w:val="94"/>
        </w:numPr>
        <w:spacing w:line="22" w:lineRule="atLeast"/>
        <w:jc w:val="both"/>
        <w:rPr>
          <w:b/>
          <w:bCs/>
        </w:rPr>
      </w:pPr>
      <w:r w:rsidRPr="00A74D23">
        <w:rPr>
          <w:b/>
          <w:bCs/>
          <w:sz w:val="24"/>
          <w:szCs w:val="24"/>
        </w:rPr>
        <w:t>Comparaison des catégories ISR avec l’indice</w:t>
      </w:r>
    </w:p>
    <w:p w14:paraId="3C5CF385" w14:textId="763CCDED" w:rsidR="00915F94" w:rsidRPr="00A74D23" w:rsidRDefault="00915F94" w:rsidP="009D6EE5">
      <w:pPr>
        <w:pStyle w:val="Style5"/>
        <w:numPr>
          <w:ilvl w:val="0"/>
          <w:numId w:val="0"/>
        </w:numPr>
        <w:spacing w:line="22" w:lineRule="atLeast"/>
        <w:jc w:val="both"/>
        <w:rPr>
          <w:sz w:val="20"/>
          <w:szCs w:val="20"/>
        </w:rPr>
      </w:pPr>
      <w:r w:rsidRPr="00A74D23">
        <w:rPr>
          <w:sz w:val="20"/>
          <w:szCs w:val="20"/>
        </w:rPr>
        <w:t xml:space="preserve">Une analyse ESG spécifique est réalisée par </w:t>
      </w:r>
      <w:r w:rsidR="00495330" w:rsidRPr="00A74D23">
        <w:rPr>
          <w:sz w:val="20"/>
          <w:szCs w:val="20"/>
        </w:rPr>
        <w:t>Ofi</w:t>
      </w:r>
      <w:r w:rsidRPr="00A74D23">
        <w:rPr>
          <w:sz w:val="20"/>
          <w:szCs w:val="20"/>
        </w:rPr>
        <w:t xml:space="preserve"> Invest AM selon une méthodologie propriétaire reposant sur une approche sectorielle. Celle</w:t>
      </w:r>
      <w:r w:rsidRPr="00A74D23">
        <w:rPr>
          <w:sz w:val="20"/>
          <w:szCs w:val="20"/>
        </w:rPr>
        <w:noBreakHyphen/>
        <w:t>ci vise à identifier les enjeux environnementaux, sociaux et de gouvernance les plus significatifs pour chaque émetteur, avec une pondération différenciée des piliers E, S et G en fonction de la matérialité sectorielle. Une note ESG absolue, comprise entre 0 et 10, est attribuée à chaque émetteur afin de refléter son positionnement ESG au sein de son secteur. Cette notation est ensuite transposée selon une approche « Best</w:t>
      </w:r>
      <w:r w:rsidRPr="00A74D23">
        <w:rPr>
          <w:sz w:val="20"/>
          <w:szCs w:val="20"/>
        </w:rPr>
        <w:noBreakHyphen/>
        <w:t>in</w:t>
      </w:r>
      <w:r w:rsidRPr="00A74D23">
        <w:rPr>
          <w:sz w:val="20"/>
          <w:szCs w:val="20"/>
        </w:rPr>
        <w:noBreakHyphen/>
        <w:t>Class », permettant d’évaluer le positionnement relatif des émetteurs par rapport à leurs pairs (classification ICB niveau 2). Le score ISR ainsi obtenu, sur une échelle de 0,5 à 5, permet de classer les entreprises en quintiles, des émetteurs « Leaders » aux émetteurs « sous surveillance ».</w:t>
      </w:r>
    </w:p>
    <w:p w14:paraId="7D3C8C45" w14:textId="77777777" w:rsidR="00915F94" w:rsidRPr="00A74D23" w:rsidRDefault="00915F94" w:rsidP="009D6EE5">
      <w:pPr>
        <w:pStyle w:val="Style5"/>
        <w:numPr>
          <w:ilvl w:val="0"/>
          <w:numId w:val="0"/>
        </w:numPr>
        <w:spacing w:line="22" w:lineRule="atLeast"/>
        <w:jc w:val="both"/>
        <w:rPr>
          <w:sz w:val="20"/>
          <w:szCs w:val="20"/>
        </w:rPr>
      </w:pPr>
    </w:p>
    <w:tbl>
      <w:tblPr>
        <w:tblStyle w:val="TableauListe3-Accentuation6"/>
        <w:tblW w:w="9713" w:type="dxa"/>
        <w:jc w:val="center"/>
        <w:tblLook w:val="04A0" w:firstRow="1" w:lastRow="0" w:firstColumn="1" w:lastColumn="0" w:noHBand="0" w:noVBand="1"/>
      </w:tblPr>
      <w:tblGrid>
        <w:gridCol w:w="2547"/>
        <w:gridCol w:w="4984"/>
        <w:gridCol w:w="2182"/>
      </w:tblGrid>
      <w:tr w:rsidR="00915F94" w:rsidRPr="00A74D23" w14:paraId="0E1FE97C" w14:textId="77777777" w:rsidTr="005D1AA5">
        <w:trPr>
          <w:cnfStyle w:val="100000000000" w:firstRow="1" w:lastRow="0" w:firstColumn="0" w:lastColumn="0" w:oddVBand="0" w:evenVBand="0" w:oddHBand="0" w:evenHBand="0" w:firstRowFirstColumn="0" w:firstRowLastColumn="0" w:lastRowFirstColumn="0" w:lastRowLastColumn="0"/>
          <w:trHeight w:val="328"/>
          <w:jc w:val="center"/>
        </w:trPr>
        <w:tc>
          <w:tcPr>
            <w:cnfStyle w:val="001000000100" w:firstRow="0" w:lastRow="0" w:firstColumn="1" w:lastColumn="0" w:oddVBand="0" w:evenVBand="0" w:oddHBand="0" w:evenHBand="0" w:firstRowFirstColumn="1" w:firstRowLastColumn="0" w:lastRowFirstColumn="0" w:lastRowLastColumn="0"/>
            <w:tcW w:w="2547" w:type="dxa"/>
            <w:shd w:val="clear" w:color="auto" w:fill="FFD400" w:themeFill="accent1"/>
          </w:tcPr>
          <w:p w14:paraId="063F9C2E" w14:textId="77777777" w:rsidR="00915F94" w:rsidRPr="00A74D23" w:rsidRDefault="00915F94" w:rsidP="009D6EE5">
            <w:pPr>
              <w:spacing w:line="22" w:lineRule="atLeast"/>
              <w:jc w:val="both"/>
              <w:rPr>
                <w:rFonts w:asciiTheme="minorHAnsi" w:hAnsiTheme="minorHAnsi" w:cs="Open Sans"/>
                <w:color w:val="auto"/>
                <w:sz w:val="20"/>
                <w:szCs w:val="20"/>
              </w:rPr>
            </w:pPr>
            <w:r w:rsidRPr="00A74D23">
              <w:rPr>
                <w:rFonts w:asciiTheme="minorHAnsi" w:hAnsiTheme="minorHAnsi" w:cs="Open Sans"/>
                <w:color w:val="auto"/>
                <w:sz w:val="20"/>
                <w:szCs w:val="20"/>
              </w:rPr>
              <w:t>Catégorie de notation ISR</w:t>
            </w:r>
          </w:p>
        </w:tc>
        <w:tc>
          <w:tcPr>
            <w:tcW w:w="4984" w:type="dxa"/>
            <w:shd w:val="clear" w:color="auto" w:fill="FFD400" w:themeFill="accent1"/>
          </w:tcPr>
          <w:p w14:paraId="515740D0" w14:textId="77777777" w:rsidR="00915F94" w:rsidRPr="00A74D23" w:rsidRDefault="00915F94" w:rsidP="009D6EE5">
            <w:pPr>
              <w:spacing w:line="22" w:lineRule="atLeast"/>
              <w:jc w:val="both"/>
              <w:cnfStyle w:val="100000000000" w:firstRow="1" w:lastRow="0" w:firstColumn="0" w:lastColumn="0" w:oddVBand="0" w:evenVBand="0" w:oddHBand="0" w:evenHBand="0" w:firstRowFirstColumn="0" w:firstRowLastColumn="0" w:lastRowFirstColumn="0" w:lastRowLastColumn="0"/>
              <w:rPr>
                <w:rFonts w:asciiTheme="minorHAnsi" w:hAnsiTheme="minorHAnsi" w:cs="Open Sans"/>
                <w:color w:val="auto"/>
                <w:sz w:val="20"/>
                <w:szCs w:val="20"/>
              </w:rPr>
            </w:pPr>
            <w:r w:rsidRPr="00A74D23">
              <w:rPr>
                <w:rFonts w:asciiTheme="minorHAnsi" w:hAnsiTheme="minorHAnsi" w:cs="Open Sans"/>
                <w:color w:val="auto"/>
                <w:sz w:val="20"/>
                <w:szCs w:val="20"/>
              </w:rPr>
              <w:t>Détail</w:t>
            </w:r>
          </w:p>
        </w:tc>
        <w:tc>
          <w:tcPr>
            <w:tcW w:w="2182" w:type="dxa"/>
            <w:shd w:val="clear" w:color="auto" w:fill="FFD400" w:themeFill="accent1"/>
          </w:tcPr>
          <w:p w14:paraId="1B5E5CEE" w14:textId="77777777" w:rsidR="00915F94" w:rsidRPr="00A74D23" w:rsidRDefault="00915F94" w:rsidP="009D6EE5">
            <w:pPr>
              <w:spacing w:line="22" w:lineRule="atLeast"/>
              <w:jc w:val="both"/>
              <w:cnfStyle w:val="100000000000" w:firstRow="1" w:lastRow="0" w:firstColumn="0" w:lastColumn="0" w:oddVBand="0" w:evenVBand="0" w:oddHBand="0" w:evenHBand="0" w:firstRowFirstColumn="0" w:firstRowLastColumn="0" w:lastRowFirstColumn="0" w:lastRowLastColumn="0"/>
              <w:rPr>
                <w:rFonts w:asciiTheme="minorHAnsi" w:hAnsiTheme="minorHAnsi" w:cs="Open Sans"/>
                <w:color w:val="auto"/>
                <w:sz w:val="20"/>
                <w:szCs w:val="20"/>
              </w:rPr>
            </w:pPr>
            <w:r w:rsidRPr="00A74D23">
              <w:rPr>
                <w:rFonts w:asciiTheme="minorHAnsi" w:hAnsiTheme="minorHAnsi" w:cs="Open Sans"/>
                <w:color w:val="auto"/>
                <w:sz w:val="20"/>
                <w:szCs w:val="20"/>
              </w:rPr>
              <w:t>Notation quantitative</w:t>
            </w:r>
          </w:p>
        </w:tc>
      </w:tr>
      <w:tr w:rsidR="00915F94" w:rsidRPr="00A74D23" w14:paraId="0F0FA9BA" w14:textId="77777777" w:rsidTr="005D1AA5">
        <w:trPr>
          <w:cnfStyle w:val="000000100000" w:firstRow="0" w:lastRow="0" w:firstColumn="0" w:lastColumn="0" w:oddVBand="0" w:evenVBand="0" w:oddHBand="1" w:evenHBand="0" w:firstRowFirstColumn="0" w:firstRowLastColumn="0" w:lastRowFirstColumn="0" w:lastRowLastColumn="0"/>
          <w:trHeight w:val="328"/>
          <w:jc w:val="center"/>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94CF769" w14:textId="77777777" w:rsidR="00915F94" w:rsidRPr="00A74D23" w:rsidRDefault="00915F94" w:rsidP="009D6EE5">
            <w:pPr>
              <w:spacing w:line="22" w:lineRule="atLeast"/>
              <w:jc w:val="both"/>
              <w:rPr>
                <w:rFonts w:asciiTheme="minorHAnsi" w:hAnsiTheme="minorHAnsi" w:cs="Open Sans"/>
                <w:sz w:val="20"/>
                <w:szCs w:val="20"/>
              </w:rPr>
            </w:pPr>
            <w:r w:rsidRPr="00A74D23">
              <w:rPr>
                <w:rFonts w:asciiTheme="minorHAnsi" w:hAnsiTheme="minorHAnsi" w:cs="Open Sans"/>
                <w:sz w:val="20"/>
                <w:szCs w:val="20"/>
              </w:rPr>
              <w:t>Leaders</w:t>
            </w:r>
          </w:p>
        </w:tc>
        <w:tc>
          <w:tcPr>
            <w:tcW w:w="4984" w:type="dxa"/>
          </w:tcPr>
          <w:p w14:paraId="18BC6E49" w14:textId="77777777" w:rsidR="00915F94" w:rsidRPr="00A74D23" w:rsidRDefault="00915F94" w:rsidP="009D6EE5">
            <w:pPr>
              <w:spacing w:line="22" w:lineRule="atLeast"/>
              <w:jc w:val="both"/>
              <w:cnfStyle w:val="000000100000" w:firstRow="0" w:lastRow="0" w:firstColumn="0" w:lastColumn="0" w:oddVBand="0" w:evenVBand="0" w:oddHBand="1" w:evenHBand="0" w:firstRowFirstColumn="0" w:firstRowLastColumn="0" w:lastRowFirstColumn="0" w:lastRowLastColumn="0"/>
              <w:rPr>
                <w:rFonts w:asciiTheme="minorHAnsi" w:hAnsiTheme="minorHAnsi" w:cs="Open Sans"/>
                <w:sz w:val="20"/>
                <w:szCs w:val="20"/>
                <w:lang w:val="fr-FR"/>
              </w:rPr>
            </w:pPr>
            <w:r w:rsidRPr="00A74D23">
              <w:rPr>
                <w:rFonts w:asciiTheme="minorHAnsi" w:hAnsiTheme="minorHAnsi" w:cs="Open Sans"/>
                <w:sz w:val="20"/>
                <w:szCs w:val="20"/>
                <w:lang w:val="fr-FR"/>
              </w:rPr>
              <w:t>Entreprises les plus avancés dans la prise en compte des enjeux ESG</w:t>
            </w:r>
          </w:p>
        </w:tc>
        <w:tc>
          <w:tcPr>
            <w:tcW w:w="2182" w:type="dxa"/>
          </w:tcPr>
          <w:p w14:paraId="0FDF92CE" w14:textId="20E9F3BE" w:rsidR="00915F94" w:rsidRPr="00A74D23" w:rsidRDefault="00915F94" w:rsidP="009D6EE5">
            <w:pPr>
              <w:spacing w:line="22" w:lineRule="atLeast"/>
              <w:jc w:val="both"/>
              <w:cnfStyle w:val="000000100000" w:firstRow="0" w:lastRow="0" w:firstColumn="0" w:lastColumn="0" w:oddVBand="0" w:evenVBand="0" w:oddHBand="1" w:evenHBand="0" w:firstRowFirstColumn="0" w:firstRowLastColumn="0" w:lastRowFirstColumn="0" w:lastRowLastColumn="0"/>
              <w:rPr>
                <w:rFonts w:asciiTheme="minorHAnsi" w:hAnsiTheme="minorHAnsi" w:cs="Open Sans"/>
                <w:sz w:val="20"/>
                <w:szCs w:val="20"/>
              </w:rPr>
            </w:pPr>
            <w:r w:rsidRPr="00A74D23">
              <w:rPr>
                <w:rFonts w:asciiTheme="minorHAnsi" w:hAnsiTheme="minorHAnsi" w:cs="Open Sans"/>
                <w:sz w:val="20"/>
                <w:szCs w:val="20"/>
              </w:rPr>
              <w:t>Premier</w:t>
            </w:r>
            <w:r w:rsidR="00DA26C0" w:rsidRPr="00A74D23">
              <w:rPr>
                <w:rFonts w:asciiTheme="minorHAnsi" w:hAnsiTheme="minorHAnsi" w:cs="Open Sans"/>
                <w:sz w:val="20"/>
                <w:szCs w:val="20"/>
              </w:rPr>
              <w:t xml:space="preserve"> q</w:t>
            </w:r>
            <w:r w:rsidRPr="00A74D23">
              <w:rPr>
                <w:rFonts w:asciiTheme="minorHAnsi" w:hAnsiTheme="minorHAnsi" w:cs="Open Sans"/>
                <w:sz w:val="20"/>
                <w:szCs w:val="20"/>
              </w:rPr>
              <w:t>uintile (4&lt;x&lt;5)</w:t>
            </w:r>
          </w:p>
        </w:tc>
      </w:tr>
      <w:tr w:rsidR="00915F94" w:rsidRPr="00A74D23" w14:paraId="086DB324" w14:textId="77777777" w:rsidTr="005D1AA5">
        <w:trPr>
          <w:trHeight w:val="390"/>
          <w:jc w:val="center"/>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6EF0395" w14:textId="77777777" w:rsidR="00915F94" w:rsidRPr="00A74D23" w:rsidRDefault="00915F94" w:rsidP="009D6EE5">
            <w:pPr>
              <w:spacing w:line="22" w:lineRule="atLeast"/>
              <w:jc w:val="both"/>
              <w:rPr>
                <w:rFonts w:asciiTheme="minorHAnsi" w:hAnsiTheme="minorHAnsi" w:cs="Open Sans"/>
                <w:sz w:val="20"/>
                <w:szCs w:val="20"/>
              </w:rPr>
            </w:pPr>
            <w:r w:rsidRPr="00A74D23">
              <w:rPr>
                <w:rFonts w:asciiTheme="minorHAnsi" w:hAnsiTheme="minorHAnsi" w:cs="Open Sans"/>
                <w:sz w:val="20"/>
                <w:szCs w:val="20"/>
              </w:rPr>
              <w:t>Impliqués</w:t>
            </w:r>
          </w:p>
        </w:tc>
        <w:tc>
          <w:tcPr>
            <w:tcW w:w="4984" w:type="dxa"/>
          </w:tcPr>
          <w:p w14:paraId="7A69621D" w14:textId="77777777" w:rsidR="00915F94" w:rsidRPr="00A74D23" w:rsidRDefault="00915F94" w:rsidP="009D6EE5">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sz w:val="20"/>
                <w:szCs w:val="20"/>
                <w:lang w:val="fr-FR"/>
              </w:rPr>
            </w:pPr>
            <w:r w:rsidRPr="00A74D23">
              <w:rPr>
                <w:rFonts w:asciiTheme="minorHAnsi" w:hAnsiTheme="minorHAnsi" w:cs="Open Sans"/>
                <w:sz w:val="20"/>
                <w:szCs w:val="20"/>
                <w:lang w:val="fr-FR"/>
              </w:rPr>
              <w:t>Entreprises actives dans la prise en compte des enjeux ESG</w:t>
            </w:r>
          </w:p>
        </w:tc>
        <w:tc>
          <w:tcPr>
            <w:tcW w:w="2182" w:type="dxa"/>
          </w:tcPr>
          <w:p w14:paraId="37E5DD75" w14:textId="77777777" w:rsidR="00915F94" w:rsidRPr="00A74D23" w:rsidRDefault="00915F94" w:rsidP="009D6EE5">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sz w:val="20"/>
                <w:szCs w:val="20"/>
              </w:rPr>
            </w:pPr>
            <w:r w:rsidRPr="00A74D23">
              <w:rPr>
                <w:rFonts w:asciiTheme="minorHAnsi" w:hAnsiTheme="minorHAnsi" w:cs="Open Sans"/>
                <w:sz w:val="20"/>
                <w:szCs w:val="20"/>
              </w:rPr>
              <w:t>3 &lt; x &lt; 4</w:t>
            </w:r>
          </w:p>
        </w:tc>
      </w:tr>
      <w:tr w:rsidR="00915F94" w:rsidRPr="00A74D23" w14:paraId="2A27F7CA" w14:textId="77777777" w:rsidTr="005D1AA5">
        <w:trPr>
          <w:cnfStyle w:val="000000100000" w:firstRow="0" w:lastRow="0" w:firstColumn="0" w:lastColumn="0" w:oddVBand="0" w:evenVBand="0" w:oddHBand="1" w:evenHBand="0" w:firstRowFirstColumn="0" w:firstRowLastColumn="0" w:lastRowFirstColumn="0" w:lastRowLastColumn="0"/>
          <w:trHeight w:val="390"/>
          <w:jc w:val="center"/>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737E1330" w14:textId="77777777" w:rsidR="00915F94" w:rsidRPr="00A74D23" w:rsidRDefault="00915F94" w:rsidP="009D6EE5">
            <w:pPr>
              <w:spacing w:line="22" w:lineRule="atLeast"/>
              <w:jc w:val="both"/>
              <w:rPr>
                <w:rFonts w:asciiTheme="minorHAnsi" w:hAnsiTheme="minorHAnsi" w:cs="Open Sans"/>
                <w:sz w:val="20"/>
                <w:szCs w:val="20"/>
              </w:rPr>
            </w:pPr>
            <w:r w:rsidRPr="00A74D23">
              <w:rPr>
                <w:rFonts w:asciiTheme="minorHAnsi" w:hAnsiTheme="minorHAnsi" w:cs="Open Sans"/>
                <w:sz w:val="20"/>
                <w:szCs w:val="20"/>
              </w:rPr>
              <w:t>Suiveurs</w:t>
            </w:r>
          </w:p>
        </w:tc>
        <w:tc>
          <w:tcPr>
            <w:tcW w:w="4984" w:type="dxa"/>
          </w:tcPr>
          <w:p w14:paraId="46B31199" w14:textId="77777777" w:rsidR="00915F94" w:rsidRPr="00A74D23" w:rsidRDefault="00915F94" w:rsidP="009D6EE5">
            <w:pPr>
              <w:spacing w:line="22" w:lineRule="atLeast"/>
              <w:jc w:val="both"/>
              <w:cnfStyle w:val="000000100000" w:firstRow="0" w:lastRow="0" w:firstColumn="0" w:lastColumn="0" w:oddVBand="0" w:evenVBand="0" w:oddHBand="1" w:evenHBand="0" w:firstRowFirstColumn="0" w:firstRowLastColumn="0" w:lastRowFirstColumn="0" w:lastRowLastColumn="0"/>
              <w:rPr>
                <w:rFonts w:asciiTheme="minorHAnsi" w:hAnsiTheme="minorHAnsi" w:cs="Open Sans"/>
                <w:sz w:val="20"/>
                <w:szCs w:val="20"/>
                <w:lang w:val="fr-FR"/>
              </w:rPr>
            </w:pPr>
            <w:r w:rsidRPr="00A74D23">
              <w:rPr>
                <w:rFonts w:asciiTheme="minorHAnsi" w:hAnsiTheme="minorHAnsi" w:cs="Open Sans"/>
                <w:sz w:val="20"/>
                <w:szCs w:val="20"/>
                <w:lang w:val="fr-FR"/>
              </w:rPr>
              <w:t>Entreprises avec une gestion moyenne des enjeux ESG</w:t>
            </w:r>
          </w:p>
        </w:tc>
        <w:tc>
          <w:tcPr>
            <w:tcW w:w="2182" w:type="dxa"/>
          </w:tcPr>
          <w:p w14:paraId="5EB6E97B" w14:textId="77777777" w:rsidR="00915F94" w:rsidRPr="00A74D23" w:rsidRDefault="00915F94" w:rsidP="009D6EE5">
            <w:pPr>
              <w:spacing w:line="22" w:lineRule="atLeast"/>
              <w:jc w:val="both"/>
              <w:cnfStyle w:val="000000100000" w:firstRow="0" w:lastRow="0" w:firstColumn="0" w:lastColumn="0" w:oddVBand="0" w:evenVBand="0" w:oddHBand="1" w:evenHBand="0" w:firstRowFirstColumn="0" w:firstRowLastColumn="0" w:lastRowFirstColumn="0" w:lastRowLastColumn="0"/>
              <w:rPr>
                <w:rFonts w:asciiTheme="minorHAnsi" w:hAnsiTheme="minorHAnsi" w:cs="Open Sans"/>
                <w:sz w:val="20"/>
                <w:szCs w:val="20"/>
              </w:rPr>
            </w:pPr>
            <w:r w:rsidRPr="00A74D23">
              <w:rPr>
                <w:rFonts w:asciiTheme="minorHAnsi" w:hAnsiTheme="minorHAnsi" w:cs="Open Sans"/>
                <w:sz w:val="20"/>
                <w:szCs w:val="20"/>
              </w:rPr>
              <w:t>2 &lt; x &lt; 3</w:t>
            </w:r>
          </w:p>
        </w:tc>
      </w:tr>
      <w:tr w:rsidR="00915F94" w:rsidRPr="00A74D23" w14:paraId="2B5164A6" w14:textId="77777777" w:rsidTr="005D1AA5">
        <w:trPr>
          <w:trHeight w:val="376"/>
          <w:jc w:val="center"/>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5A59CDA2" w14:textId="77777777" w:rsidR="00915F94" w:rsidRPr="00A74D23" w:rsidRDefault="00915F94" w:rsidP="009D6EE5">
            <w:pPr>
              <w:spacing w:line="22" w:lineRule="atLeast"/>
              <w:jc w:val="both"/>
              <w:rPr>
                <w:rFonts w:asciiTheme="minorHAnsi" w:hAnsiTheme="minorHAnsi" w:cs="Open Sans"/>
                <w:sz w:val="20"/>
                <w:szCs w:val="20"/>
              </w:rPr>
            </w:pPr>
            <w:r w:rsidRPr="00A74D23">
              <w:rPr>
                <w:rFonts w:asciiTheme="minorHAnsi" w:hAnsiTheme="minorHAnsi" w:cs="Open Sans"/>
                <w:sz w:val="20"/>
                <w:szCs w:val="20"/>
              </w:rPr>
              <w:t>Incertains</w:t>
            </w:r>
          </w:p>
        </w:tc>
        <w:tc>
          <w:tcPr>
            <w:tcW w:w="4984" w:type="dxa"/>
          </w:tcPr>
          <w:p w14:paraId="4232A41B" w14:textId="77777777" w:rsidR="00915F94" w:rsidRPr="00A74D23" w:rsidRDefault="00915F94" w:rsidP="009D6EE5">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sz w:val="20"/>
                <w:szCs w:val="20"/>
                <w:lang w:val="fr-FR"/>
              </w:rPr>
            </w:pPr>
            <w:r w:rsidRPr="00A74D23">
              <w:rPr>
                <w:rFonts w:asciiTheme="minorHAnsi" w:hAnsiTheme="minorHAnsi" w:cs="Open Sans"/>
                <w:sz w:val="20"/>
                <w:szCs w:val="20"/>
                <w:lang w:val="fr-FR"/>
              </w:rPr>
              <w:t>Entreprises avec une gestion faible des enjeux ESG</w:t>
            </w:r>
          </w:p>
        </w:tc>
        <w:tc>
          <w:tcPr>
            <w:tcW w:w="2182" w:type="dxa"/>
          </w:tcPr>
          <w:p w14:paraId="2BCE7AFF" w14:textId="77777777" w:rsidR="00915F94" w:rsidRPr="00A74D23" w:rsidRDefault="00915F94" w:rsidP="009D6EE5">
            <w:pPr>
              <w:spacing w:line="22" w:lineRule="atLeas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Open Sans"/>
                <w:sz w:val="20"/>
                <w:szCs w:val="20"/>
              </w:rPr>
            </w:pPr>
            <w:r w:rsidRPr="00A74D23">
              <w:rPr>
                <w:rFonts w:asciiTheme="minorHAnsi" w:hAnsiTheme="minorHAnsi" w:cs="Open Sans"/>
                <w:sz w:val="20"/>
                <w:szCs w:val="20"/>
              </w:rPr>
              <w:t>1 &lt; x &lt; 2</w:t>
            </w:r>
          </w:p>
        </w:tc>
      </w:tr>
      <w:tr w:rsidR="00915F94" w:rsidRPr="00A74D23" w14:paraId="78E2EFBD" w14:textId="77777777" w:rsidTr="005D1AA5">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547" w:type="dxa"/>
            <w:vAlign w:val="center"/>
          </w:tcPr>
          <w:p w14:paraId="6C8F103D" w14:textId="77777777" w:rsidR="00915F94" w:rsidRPr="00A74D23" w:rsidRDefault="00915F94" w:rsidP="009D6EE5">
            <w:pPr>
              <w:spacing w:line="22" w:lineRule="atLeast"/>
              <w:jc w:val="both"/>
              <w:rPr>
                <w:rFonts w:asciiTheme="minorHAnsi" w:hAnsiTheme="minorHAnsi" w:cs="Open Sans"/>
                <w:sz w:val="20"/>
                <w:szCs w:val="20"/>
              </w:rPr>
            </w:pPr>
            <w:r w:rsidRPr="00A74D23">
              <w:rPr>
                <w:rFonts w:asciiTheme="minorHAnsi" w:hAnsiTheme="minorHAnsi" w:cs="Open Sans"/>
                <w:sz w:val="20"/>
                <w:szCs w:val="20"/>
              </w:rPr>
              <w:t>Sous surveillance</w:t>
            </w:r>
          </w:p>
        </w:tc>
        <w:tc>
          <w:tcPr>
            <w:tcW w:w="4984" w:type="dxa"/>
          </w:tcPr>
          <w:p w14:paraId="476EEF7E" w14:textId="77777777" w:rsidR="00915F94" w:rsidRPr="00A74D23" w:rsidRDefault="00915F94" w:rsidP="009D6EE5">
            <w:pPr>
              <w:spacing w:line="22" w:lineRule="atLeast"/>
              <w:jc w:val="both"/>
              <w:cnfStyle w:val="000000100000" w:firstRow="0" w:lastRow="0" w:firstColumn="0" w:lastColumn="0" w:oddVBand="0" w:evenVBand="0" w:oddHBand="1" w:evenHBand="0" w:firstRowFirstColumn="0" w:firstRowLastColumn="0" w:lastRowFirstColumn="0" w:lastRowLastColumn="0"/>
              <w:rPr>
                <w:rFonts w:asciiTheme="minorHAnsi" w:hAnsiTheme="minorHAnsi" w:cs="Open Sans"/>
                <w:sz w:val="20"/>
                <w:szCs w:val="20"/>
                <w:lang w:val="fr-FR"/>
              </w:rPr>
            </w:pPr>
            <w:r w:rsidRPr="00A74D23">
              <w:rPr>
                <w:rFonts w:asciiTheme="minorHAnsi" w:hAnsiTheme="minorHAnsi" w:cs="Open Sans"/>
                <w:sz w:val="20"/>
                <w:szCs w:val="20"/>
                <w:lang w:val="fr-FR"/>
              </w:rPr>
              <w:t>Entreprises qui sont en retard dans la prise en compte des enjeux ESG</w:t>
            </w:r>
          </w:p>
        </w:tc>
        <w:tc>
          <w:tcPr>
            <w:tcW w:w="2182" w:type="dxa"/>
          </w:tcPr>
          <w:p w14:paraId="05E68E04" w14:textId="77777777" w:rsidR="00915F94" w:rsidRPr="00A74D23" w:rsidRDefault="00915F94" w:rsidP="009D6EE5">
            <w:pPr>
              <w:spacing w:line="22" w:lineRule="atLeast"/>
              <w:jc w:val="both"/>
              <w:cnfStyle w:val="000000100000" w:firstRow="0" w:lastRow="0" w:firstColumn="0" w:lastColumn="0" w:oddVBand="0" w:evenVBand="0" w:oddHBand="1" w:evenHBand="0" w:firstRowFirstColumn="0" w:firstRowLastColumn="0" w:lastRowFirstColumn="0" w:lastRowLastColumn="0"/>
              <w:rPr>
                <w:rFonts w:asciiTheme="minorHAnsi" w:hAnsiTheme="minorHAnsi" w:cs="Open Sans"/>
                <w:sz w:val="20"/>
                <w:szCs w:val="20"/>
              </w:rPr>
            </w:pPr>
            <w:r w:rsidRPr="00A74D23">
              <w:rPr>
                <w:rFonts w:asciiTheme="minorHAnsi" w:hAnsiTheme="minorHAnsi" w:cs="Open Sans"/>
                <w:sz w:val="20"/>
                <w:szCs w:val="20"/>
              </w:rPr>
              <w:t>Dernier quintile (0,5 &lt; x &lt; 1)</w:t>
            </w:r>
          </w:p>
        </w:tc>
      </w:tr>
    </w:tbl>
    <w:p w14:paraId="7A4D46E3" w14:textId="77777777" w:rsidR="00A73093" w:rsidRPr="00A74D23" w:rsidRDefault="00A73093" w:rsidP="009D6EE5">
      <w:pPr>
        <w:pStyle w:val="Style5"/>
        <w:numPr>
          <w:ilvl w:val="0"/>
          <w:numId w:val="0"/>
        </w:numPr>
        <w:spacing w:line="22" w:lineRule="atLeast"/>
        <w:jc w:val="both"/>
        <w:rPr>
          <w:sz w:val="20"/>
          <w:szCs w:val="20"/>
        </w:rPr>
      </w:pPr>
    </w:p>
    <w:p w14:paraId="3FC3032F" w14:textId="77777777" w:rsidR="00A73093" w:rsidRPr="00A74D23" w:rsidRDefault="00A73093" w:rsidP="009D6EE5">
      <w:pPr>
        <w:pStyle w:val="Style5"/>
        <w:numPr>
          <w:ilvl w:val="0"/>
          <w:numId w:val="0"/>
        </w:numPr>
        <w:spacing w:line="22" w:lineRule="atLeast"/>
        <w:jc w:val="both"/>
        <w:rPr>
          <w:sz w:val="20"/>
          <w:szCs w:val="20"/>
        </w:rPr>
      </w:pPr>
    </w:p>
    <w:p w14:paraId="0FE1292C" w14:textId="6C13A33B" w:rsidR="005D1AA5" w:rsidRPr="00A74D23" w:rsidRDefault="005D1AA5" w:rsidP="009D6EE5">
      <w:pPr>
        <w:pStyle w:val="Style5"/>
        <w:numPr>
          <w:ilvl w:val="0"/>
          <w:numId w:val="0"/>
        </w:numPr>
        <w:spacing w:line="22" w:lineRule="atLeast"/>
        <w:jc w:val="both"/>
        <w:rPr>
          <w:sz w:val="20"/>
          <w:szCs w:val="20"/>
        </w:rPr>
      </w:pPr>
      <w:r w:rsidRPr="00A74D23">
        <w:rPr>
          <w:rFonts w:cs="Open Sans"/>
          <w:noProof/>
          <w:sz w:val="20"/>
        </w:rPr>
        <mc:AlternateContent>
          <mc:Choice Requires="wps">
            <w:drawing>
              <wp:anchor distT="0" distB="0" distL="114300" distR="114300" simplePos="0" relativeHeight="251734016" behindDoc="0" locked="0" layoutInCell="1" allowOverlap="1" wp14:anchorId="54F0FC2B" wp14:editId="461E0CD9">
                <wp:simplePos x="0" y="0"/>
                <wp:positionH relativeFrom="margin">
                  <wp:align>left</wp:align>
                </wp:positionH>
                <wp:positionV relativeFrom="paragraph">
                  <wp:posOffset>87630</wp:posOffset>
                </wp:positionV>
                <wp:extent cx="6061075" cy="514350"/>
                <wp:effectExtent l="0" t="0" r="0" b="0"/>
                <wp:wrapNone/>
                <wp:docPr id="2008940269" name="Rectangle 5"/>
                <wp:cNvGraphicFramePr/>
                <a:graphic xmlns:a="http://schemas.openxmlformats.org/drawingml/2006/main">
                  <a:graphicData uri="http://schemas.microsoft.com/office/word/2010/wordprocessingShape">
                    <wps:wsp>
                      <wps:cNvSpPr/>
                      <wps:spPr>
                        <a:xfrm>
                          <a:off x="0" y="0"/>
                          <a:ext cx="6061075" cy="51435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0E6F47" w14:textId="38647FA5" w:rsidR="005D1AA5" w:rsidRPr="005D1AA5" w:rsidRDefault="005D1AA5" w:rsidP="005D1AA5">
                            <w:pPr>
                              <w:pStyle w:val="Style5"/>
                              <w:numPr>
                                <w:ilvl w:val="0"/>
                                <w:numId w:val="0"/>
                              </w:numPr>
                              <w:spacing w:line="276" w:lineRule="auto"/>
                              <w:rPr>
                                <w:b/>
                                <w:bCs/>
                                <w:color w:val="000000" w:themeColor="text1"/>
                                <w:sz w:val="20"/>
                                <w:szCs w:val="20"/>
                              </w:rPr>
                            </w:pPr>
                            <w:r w:rsidRPr="005D1AA5">
                              <w:rPr>
                                <w:b/>
                                <w:bCs/>
                                <w:color w:val="000000" w:themeColor="text1"/>
                                <w:sz w:val="20"/>
                                <w:szCs w:val="20"/>
                              </w:rPr>
                              <w:t>5</w:t>
                            </w:r>
                            <w:r w:rsidR="00A605BB">
                              <w:rPr>
                                <w:b/>
                                <w:bCs/>
                                <w:color w:val="000000" w:themeColor="text1"/>
                                <w:sz w:val="20"/>
                                <w:szCs w:val="20"/>
                              </w:rPr>
                              <w:t>5</w:t>
                            </w:r>
                            <w:r w:rsidRPr="005D1AA5">
                              <w:rPr>
                                <w:b/>
                                <w:bCs/>
                                <w:color w:val="000000" w:themeColor="text1"/>
                                <w:sz w:val="20"/>
                                <w:szCs w:val="20"/>
                              </w:rPr>
                              <w:t xml:space="preserve">% des encours du portefeuille </w:t>
                            </w:r>
                            <w:r w:rsidR="00A605BB">
                              <w:rPr>
                                <w:b/>
                                <w:bCs/>
                                <w:color w:val="000000" w:themeColor="text1"/>
                                <w:sz w:val="20"/>
                                <w:szCs w:val="20"/>
                              </w:rPr>
                              <w:t xml:space="preserve">Abeille Retraite Professionnelle </w:t>
                            </w:r>
                            <w:r w:rsidRPr="005D1AA5">
                              <w:rPr>
                                <w:b/>
                                <w:bCs/>
                                <w:color w:val="000000" w:themeColor="text1"/>
                                <w:sz w:val="20"/>
                                <w:szCs w:val="20"/>
                              </w:rPr>
                              <w:t xml:space="preserve">consolidé (UC et hors UC) est composé d’entreprises leader ou impliquées, en ligne avec l’indice. </w:t>
                            </w:r>
                          </w:p>
                          <w:p w14:paraId="1F515BF3" w14:textId="77777777" w:rsidR="005D1AA5" w:rsidRPr="00BB2CA5" w:rsidRDefault="005D1AA5" w:rsidP="005D1AA5">
                            <w:pPr>
                              <w:spacing w:line="276" w:lineRule="auto"/>
                              <w:jc w:val="both"/>
                              <w:rPr>
                                <w:rFonts w:asciiTheme="minorHAnsi" w:hAnsiTheme="minorHAnsi" w:cs="Open Sans"/>
                                <w:color w:val="000000" w:themeColor="text1"/>
                                <w:sz w:val="20"/>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F0FC2B" id="_x0000_s1161" style="position:absolute;left:0;text-align:left;margin-left:0;margin-top:6.9pt;width:477.25pt;height:40.5pt;z-index:251734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" fillcolor="#ffd400 [3204]" stroked="f" strokeweight="1pt">
                <v:textbox>
                  <w:txbxContent>
                    <w:p w14:paraId="1A0E6F47" w14:textId="38647FA5" w:rsidR="005D1AA5" w:rsidRPr="005D1AA5" w:rsidRDefault="005D1AA5" w:rsidP="005D1AA5">
                      <w:pPr>
                        <w:pStyle w:val="Style5"/>
                        <w:numPr>
                          <w:ilvl w:val="0"/>
                          <w:numId w:val="0"/>
                        </w:numPr>
                        <w:spacing w:line="276" w:lineRule="auto"/>
                        <w:rPr>
                          <w:b/>
                          <w:bCs/>
                          <w:color w:val="000000" w:themeColor="text1"/>
                          <w:sz w:val="20"/>
                          <w:szCs w:val="20"/>
                        </w:rPr>
                      </w:pPr>
                      <w:r w:rsidRPr="005D1AA5">
                        <w:rPr>
                          <w:b/>
                          <w:bCs/>
                          <w:color w:val="000000" w:themeColor="text1"/>
                          <w:sz w:val="20"/>
                          <w:szCs w:val="20"/>
                        </w:rPr>
                        <w:t>5</w:t>
                      </w:r>
                      <w:r w:rsidR="00A605BB">
                        <w:rPr>
                          <w:b/>
                          <w:bCs/>
                          <w:color w:val="000000" w:themeColor="text1"/>
                          <w:sz w:val="20"/>
                          <w:szCs w:val="20"/>
                        </w:rPr>
                        <w:t>5</w:t>
                      </w:r>
                      <w:r w:rsidRPr="005D1AA5">
                        <w:rPr>
                          <w:b/>
                          <w:bCs/>
                          <w:color w:val="000000" w:themeColor="text1"/>
                          <w:sz w:val="20"/>
                          <w:szCs w:val="20"/>
                        </w:rPr>
                        <w:t xml:space="preserve">% des encours du portefeuille </w:t>
                      </w:r>
                      <w:r w:rsidR="00A605BB">
                        <w:rPr>
                          <w:b/>
                          <w:bCs/>
                          <w:color w:val="000000" w:themeColor="text1"/>
                          <w:sz w:val="20"/>
                          <w:szCs w:val="20"/>
                        </w:rPr>
                        <w:t xml:space="preserve">Abeille Retraite Professionnelle </w:t>
                      </w:r>
                      <w:r w:rsidRPr="005D1AA5">
                        <w:rPr>
                          <w:b/>
                          <w:bCs/>
                          <w:color w:val="000000" w:themeColor="text1"/>
                          <w:sz w:val="20"/>
                          <w:szCs w:val="20"/>
                        </w:rPr>
                        <w:t xml:space="preserve">consolidé (UC et hors UC) est composé d’entreprises leader ou impliquées, en ligne avec l’indice. </w:t>
                      </w:r>
                    </w:p>
                    <w:p w14:paraId="1F515BF3" w14:textId="77777777" w:rsidR="005D1AA5" w:rsidRPr="00BB2CA5" w:rsidRDefault="005D1AA5" w:rsidP="005D1AA5">
                      <w:pPr>
                        <w:spacing w:line="276" w:lineRule="auto"/>
                        <w:jc w:val="both"/>
                        <w:rPr>
                          <w:rFonts w:asciiTheme="minorHAnsi" w:hAnsiTheme="minorHAnsi" w:cs="Open Sans"/>
                          <w:color w:val="000000" w:themeColor="text1"/>
                          <w:sz w:val="20"/>
                          <w:lang w:val="fr-FR"/>
                        </w:rPr>
                      </w:pPr>
                    </w:p>
                  </w:txbxContent>
                </v:textbox>
                <w10:wrap anchorx="margin"/>
              </v:rect>
            </w:pict>
          </mc:Fallback>
        </mc:AlternateContent>
      </w:r>
    </w:p>
    <w:p w14:paraId="18ACEC67" w14:textId="29C0FF6C" w:rsidR="005D1AA5" w:rsidRPr="00A74D23" w:rsidRDefault="005D1AA5" w:rsidP="009D6EE5">
      <w:pPr>
        <w:pStyle w:val="Style5"/>
        <w:numPr>
          <w:ilvl w:val="0"/>
          <w:numId w:val="0"/>
        </w:numPr>
        <w:spacing w:line="22" w:lineRule="atLeast"/>
        <w:jc w:val="both"/>
        <w:rPr>
          <w:sz w:val="20"/>
          <w:szCs w:val="20"/>
        </w:rPr>
      </w:pPr>
    </w:p>
    <w:p w14:paraId="429F6465" w14:textId="77777777" w:rsidR="005D1AA5" w:rsidRPr="00A74D23" w:rsidRDefault="005D1AA5" w:rsidP="009D6EE5">
      <w:pPr>
        <w:pStyle w:val="Style5"/>
        <w:numPr>
          <w:ilvl w:val="0"/>
          <w:numId w:val="0"/>
        </w:numPr>
        <w:spacing w:line="22" w:lineRule="atLeast"/>
        <w:jc w:val="both"/>
        <w:rPr>
          <w:sz w:val="20"/>
          <w:szCs w:val="20"/>
        </w:rPr>
      </w:pPr>
    </w:p>
    <w:p w14:paraId="31ECD741" w14:textId="77777777" w:rsidR="005D1AA5" w:rsidRPr="00A74D23" w:rsidRDefault="005D1AA5" w:rsidP="009D6EE5">
      <w:pPr>
        <w:pStyle w:val="Style5"/>
        <w:numPr>
          <w:ilvl w:val="0"/>
          <w:numId w:val="0"/>
        </w:numPr>
        <w:spacing w:line="22" w:lineRule="atLeast"/>
        <w:jc w:val="both"/>
        <w:rPr>
          <w:sz w:val="20"/>
          <w:szCs w:val="20"/>
        </w:rPr>
      </w:pPr>
    </w:p>
    <w:p w14:paraId="16C34F19" w14:textId="55ACEA88" w:rsidR="00915F94" w:rsidRPr="00A74D23" w:rsidRDefault="00915F94" w:rsidP="009D6EE5">
      <w:pPr>
        <w:pStyle w:val="Style5"/>
        <w:numPr>
          <w:ilvl w:val="0"/>
          <w:numId w:val="0"/>
        </w:numPr>
        <w:spacing w:line="22" w:lineRule="atLeast"/>
        <w:jc w:val="both"/>
        <w:rPr>
          <w:sz w:val="20"/>
          <w:szCs w:val="20"/>
        </w:rPr>
      </w:pPr>
    </w:p>
    <w:p w14:paraId="7375A50A" w14:textId="3B16F88B" w:rsidR="005D1AA5" w:rsidRPr="00A74D23" w:rsidRDefault="00A605BB" w:rsidP="00A605BB">
      <w:pPr>
        <w:pStyle w:val="Style5"/>
        <w:numPr>
          <w:ilvl w:val="0"/>
          <w:numId w:val="0"/>
        </w:numPr>
        <w:tabs>
          <w:tab w:val="left" w:pos="7230"/>
        </w:tabs>
        <w:spacing w:line="22" w:lineRule="atLeast"/>
        <w:jc w:val="both"/>
        <w:rPr>
          <w:sz w:val="20"/>
          <w:szCs w:val="20"/>
        </w:rPr>
      </w:pPr>
      <w:r>
        <w:rPr>
          <w:noProof/>
        </w:rPr>
        <w:drawing>
          <wp:inline distT="0" distB="0" distL="0" distR="0" wp14:anchorId="7B49AECE" wp14:editId="2B2E1597">
            <wp:extent cx="5786894" cy="2985770"/>
            <wp:effectExtent l="0" t="0" r="4445" b="5080"/>
            <wp:docPr id="1206504844" name="Graphique 1">
              <a:extLst xmlns:a="http://schemas.openxmlformats.org/drawingml/2006/main">
                <a:ext uri="{FF2B5EF4-FFF2-40B4-BE49-F238E27FC236}">
                  <a16:creationId xmlns:a16="http://schemas.microsoft.com/office/drawing/2014/main" id="{6BF5082E-BAAC-448A-8394-9EEE315CE1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344C69F9" w14:textId="77777777" w:rsidR="005D1AA5" w:rsidRPr="00A74D23" w:rsidRDefault="005D1AA5" w:rsidP="009D6EE5">
      <w:pPr>
        <w:pStyle w:val="Style5"/>
        <w:numPr>
          <w:ilvl w:val="0"/>
          <w:numId w:val="0"/>
        </w:numPr>
        <w:spacing w:line="22" w:lineRule="atLeast"/>
        <w:jc w:val="both"/>
        <w:rPr>
          <w:sz w:val="20"/>
          <w:szCs w:val="20"/>
        </w:rPr>
      </w:pPr>
    </w:p>
    <w:p w14:paraId="3C28BC3E" w14:textId="25675302" w:rsidR="0093708B" w:rsidRPr="00A74D23" w:rsidRDefault="0093708B" w:rsidP="009D6EE5">
      <w:pPr>
        <w:pStyle w:val="Style5"/>
        <w:numPr>
          <w:ilvl w:val="0"/>
          <w:numId w:val="0"/>
        </w:numPr>
        <w:spacing w:line="22" w:lineRule="atLeast"/>
        <w:jc w:val="both"/>
        <w:rPr>
          <w:i/>
          <w:iCs/>
          <w:sz w:val="18"/>
          <w:szCs w:val="18"/>
        </w:rPr>
      </w:pPr>
      <w:r w:rsidRPr="00A74D23">
        <w:rPr>
          <w:i/>
          <w:iCs/>
          <w:sz w:val="18"/>
          <w:szCs w:val="18"/>
        </w:rPr>
        <w:t xml:space="preserve">Source : </w:t>
      </w:r>
      <w:r w:rsidR="00100B62">
        <w:rPr>
          <w:i/>
          <w:iCs/>
          <w:sz w:val="18"/>
          <w:szCs w:val="18"/>
        </w:rPr>
        <w:t>Ofi</w:t>
      </w:r>
      <w:r w:rsidRPr="00A74D23">
        <w:rPr>
          <w:i/>
          <w:iCs/>
          <w:sz w:val="18"/>
          <w:szCs w:val="18"/>
        </w:rPr>
        <w:t xml:space="preserve"> Invest AM</w:t>
      </w:r>
    </w:p>
    <w:p w14:paraId="6F450C64" w14:textId="599CA8B2" w:rsidR="00327168" w:rsidRPr="00A74D23" w:rsidRDefault="00327168" w:rsidP="009D6EE5">
      <w:pPr>
        <w:pStyle w:val="Style5"/>
        <w:numPr>
          <w:ilvl w:val="0"/>
          <w:numId w:val="0"/>
        </w:numPr>
        <w:spacing w:line="22" w:lineRule="atLeast"/>
        <w:jc w:val="both"/>
        <w:rPr>
          <w:i/>
          <w:iCs/>
          <w:sz w:val="18"/>
          <w:szCs w:val="18"/>
        </w:rPr>
      </w:pPr>
      <w:r w:rsidRPr="00A74D23">
        <w:rPr>
          <w:i/>
          <w:iCs/>
          <w:sz w:val="18"/>
          <w:szCs w:val="18"/>
        </w:rPr>
        <w:t xml:space="preserve">Périmètre : Abeille </w:t>
      </w:r>
      <w:r w:rsidR="00A605BB">
        <w:rPr>
          <w:i/>
          <w:iCs/>
          <w:sz w:val="18"/>
          <w:szCs w:val="18"/>
        </w:rPr>
        <w:t>Retraite Professionnelle</w:t>
      </w:r>
      <w:r w:rsidRPr="00A74D23">
        <w:rPr>
          <w:i/>
          <w:iCs/>
          <w:sz w:val="18"/>
          <w:szCs w:val="18"/>
        </w:rPr>
        <w:t xml:space="preserve"> consolidé – 31/12/2025</w:t>
      </w:r>
    </w:p>
    <w:p w14:paraId="7CFC272A" w14:textId="508500C2" w:rsidR="00E17B8A" w:rsidRPr="00A74D23" w:rsidRDefault="00327168" w:rsidP="009D6EE5">
      <w:pPr>
        <w:pStyle w:val="Style5"/>
        <w:numPr>
          <w:ilvl w:val="0"/>
          <w:numId w:val="0"/>
        </w:numPr>
        <w:spacing w:line="22" w:lineRule="atLeast"/>
        <w:jc w:val="both"/>
        <w:rPr>
          <w:i/>
          <w:iCs/>
          <w:sz w:val="18"/>
          <w:szCs w:val="18"/>
        </w:rPr>
      </w:pPr>
      <w:r w:rsidRPr="00A74D23">
        <w:rPr>
          <w:i/>
          <w:iCs/>
          <w:sz w:val="18"/>
          <w:szCs w:val="18"/>
        </w:rPr>
        <w:t xml:space="preserve">Taux de couverture : </w:t>
      </w:r>
      <w:r w:rsidR="00AE5C04" w:rsidRPr="00A74D23">
        <w:rPr>
          <w:i/>
          <w:iCs/>
          <w:sz w:val="18"/>
          <w:szCs w:val="18"/>
        </w:rPr>
        <w:t>90%</w:t>
      </w:r>
    </w:p>
    <w:p w14:paraId="0825E8A5" w14:textId="77777777" w:rsidR="00327168" w:rsidRPr="00A74D23" w:rsidRDefault="00327168" w:rsidP="009D6EE5">
      <w:pPr>
        <w:pStyle w:val="Style5"/>
        <w:numPr>
          <w:ilvl w:val="0"/>
          <w:numId w:val="0"/>
        </w:numPr>
        <w:spacing w:line="22" w:lineRule="atLeast"/>
        <w:jc w:val="both"/>
        <w:rPr>
          <w:sz w:val="20"/>
          <w:szCs w:val="20"/>
        </w:rPr>
      </w:pPr>
    </w:p>
    <w:p w14:paraId="2905BD02" w14:textId="4AEAAAF0" w:rsidR="00A73093" w:rsidRPr="00A74D23" w:rsidRDefault="00D21829" w:rsidP="009D6EE5">
      <w:pPr>
        <w:pStyle w:val="Style5"/>
        <w:numPr>
          <w:ilvl w:val="0"/>
          <w:numId w:val="0"/>
        </w:numPr>
        <w:spacing w:line="22" w:lineRule="atLeast"/>
        <w:jc w:val="both"/>
        <w:rPr>
          <w:sz w:val="20"/>
          <w:szCs w:val="20"/>
        </w:rPr>
      </w:pPr>
      <w:r w:rsidRPr="00A74D23">
        <w:rPr>
          <w:sz w:val="20"/>
          <w:szCs w:val="20"/>
        </w:rPr>
        <w:t xml:space="preserve">*L’indice est le </w:t>
      </w:r>
      <w:r w:rsidR="0093357A" w:rsidRPr="00A74D23">
        <w:rPr>
          <w:sz w:val="20"/>
          <w:szCs w:val="20"/>
        </w:rPr>
        <w:t>Bank of America Merrill Lynch Euro Corporate Index, composé d’obligations investment grade libellé en euros émis par des émetteurs privés</w:t>
      </w:r>
      <w:r w:rsidRPr="00A74D23">
        <w:rPr>
          <w:sz w:val="20"/>
          <w:szCs w:val="20"/>
        </w:rPr>
        <w:t>.</w:t>
      </w:r>
    </w:p>
    <w:p w14:paraId="57024612" w14:textId="77777777" w:rsidR="00A73093" w:rsidRPr="00A74D23" w:rsidRDefault="00A73093" w:rsidP="009D6EE5">
      <w:pPr>
        <w:pStyle w:val="Style5"/>
        <w:numPr>
          <w:ilvl w:val="0"/>
          <w:numId w:val="0"/>
        </w:numPr>
        <w:spacing w:line="22" w:lineRule="atLeast"/>
        <w:jc w:val="both"/>
        <w:rPr>
          <w:sz w:val="20"/>
          <w:szCs w:val="20"/>
        </w:rPr>
      </w:pPr>
    </w:p>
    <w:p w14:paraId="3819BE3E" w14:textId="1C455A5C" w:rsidR="00A73093" w:rsidRPr="00A74D23" w:rsidRDefault="00A73093" w:rsidP="009D6EE5">
      <w:pPr>
        <w:pStyle w:val="Style5"/>
        <w:numPr>
          <w:ilvl w:val="0"/>
          <w:numId w:val="0"/>
        </w:numPr>
        <w:spacing w:line="22" w:lineRule="atLeast"/>
        <w:jc w:val="both"/>
        <w:rPr>
          <w:sz w:val="20"/>
          <w:szCs w:val="20"/>
        </w:rPr>
      </w:pPr>
    </w:p>
    <w:p w14:paraId="0808E558" w14:textId="77777777" w:rsidR="00A73093" w:rsidRPr="00A74D23" w:rsidRDefault="00A73093" w:rsidP="009D6EE5">
      <w:pPr>
        <w:pStyle w:val="Style5"/>
        <w:numPr>
          <w:ilvl w:val="0"/>
          <w:numId w:val="0"/>
        </w:numPr>
        <w:spacing w:line="22" w:lineRule="atLeast"/>
        <w:jc w:val="both"/>
        <w:rPr>
          <w:sz w:val="20"/>
          <w:szCs w:val="20"/>
        </w:rPr>
      </w:pPr>
    </w:p>
    <w:p w14:paraId="0707A24C" w14:textId="77777777" w:rsidR="00A73093" w:rsidRPr="00A74D23" w:rsidRDefault="00A73093" w:rsidP="009D6EE5">
      <w:pPr>
        <w:pStyle w:val="Style5"/>
        <w:numPr>
          <w:ilvl w:val="0"/>
          <w:numId w:val="0"/>
        </w:numPr>
        <w:spacing w:line="22" w:lineRule="atLeast"/>
        <w:jc w:val="both"/>
        <w:rPr>
          <w:sz w:val="20"/>
          <w:szCs w:val="20"/>
        </w:rPr>
      </w:pPr>
    </w:p>
    <w:p w14:paraId="0A00FF9E" w14:textId="77777777" w:rsidR="00A73093" w:rsidRPr="00A74D23" w:rsidRDefault="00A73093" w:rsidP="009D6EE5">
      <w:pPr>
        <w:pStyle w:val="Style5"/>
        <w:numPr>
          <w:ilvl w:val="0"/>
          <w:numId w:val="0"/>
        </w:numPr>
        <w:spacing w:line="22" w:lineRule="atLeast"/>
        <w:jc w:val="both"/>
        <w:rPr>
          <w:sz w:val="20"/>
          <w:szCs w:val="20"/>
        </w:rPr>
      </w:pPr>
    </w:p>
    <w:p w14:paraId="32AE36B6" w14:textId="0165FCA7" w:rsidR="006F7774" w:rsidRPr="00A74D23" w:rsidRDefault="006F7774" w:rsidP="00590DD1">
      <w:pPr>
        <w:pStyle w:val="Style5"/>
        <w:numPr>
          <w:ilvl w:val="1"/>
          <w:numId w:val="67"/>
        </w:numPr>
        <w:spacing w:line="22" w:lineRule="atLeast"/>
        <w:jc w:val="both"/>
        <w:rPr>
          <w:b/>
          <w:bCs/>
          <w:sz w:val="32"/>
          <w:szCs w:val="32"/>
        </w:rPr>
      </w:pPr>
      <w:r w:rsidRPr="00A74D23">
        <w:rPr>
          <w:b/>
          <w:bCs/>
          <w:sz w:val="32"/>
          <w:szCs w:val="32"/>
        </w:rPr>
        <w:t>Portefeuille d’investissement</w:t>
      </w:r>
      <w:r w:rsidR="007968D5" w:rsidRPr="00A74D23">
        <w:rPr>
          <w:b/>
          <w:bCs/>
          <w:sz w:val="32"/>
          <w:szCs w:val="32"/>
        </w:rPr>
        <w:t>s</w:t>
      </w:r>
      <w:r w:rsidRPr="00A74D23">
        <w:rPr>
          <w:b/>
          <w:bCs/>
          <w:sz w:val="32"/>
          <w:szCs w:val="32"/>
        </w:rPr>
        <w:t xml:space="preserve"> souverain</w:t>
      </w:r>
      <w:r w:rsidR="007968D5" w:rsidRPr="00A74D23">
        <w:rPr>
          <w:b/>
          <w:bCs/>
          <w:sz w:val="32"/>
          <w:szCs w:val="32"/>
        </w:rPr>
        <w:t>s</w:t>
      </w:r>
      <w:r w:rsidRPr="00A74D23">
        <w:rPr>
          <w:b/>
          <w:bCs/>
          <w:sz w:val="32"/>
          <w:szCs w:val="32"/>
        </w:rPr>
        <w:t xml:space="preserve"> </w:t>
      </w:r>
    </w:p>
    <w:p w14:paraId="1E6117AF" w14:textId="77777777" w:rsidR="006F7774" w:rsidRPr="00A74D23" w:rsidRDefault="006F7774" w:rsidP="009D6EE5">
      <w:pPr>
        <w:pStyle w:val="Style5"/>
        <w:numPr>
          <w:ilvl w:val="0"/>
          <w:numId w:val="0"/>
        </w:numPr>
        <w:spacing w:line="22" w:lineRule="atLeast"/>
        <w:ind w:left="1440" w:hanging="360"/>
        <w:jc w:val="both"/>
        <w:rPr>
          <w:b/>
          <w:bCs/>
          <w:sz w:val="32"/>
          <w:szCs w:val="32"/>
        </w:rPr>
      </w:pPr>
    </w:p>
    <w:p w14:paraId="4C43DCA2" w14:textId="7B10BA36" w:rsidR="001D3460" w:rsidRPr="00A74D23" w:rsidRDefault="001D3460" w:rsidP="00590DD1">
      <w:pPr>
        <w:pStyle w:val="Style5"/>
        <w:numPr>
          <w:ilvl w:val="0"/>
          <w:numId w:val="94"/>
        </w:numPr>
        <w:spacing w:line="22" w:lineRule="atLeast"/>
        <w:jc w:val="both"/>
        <w:rPr>
          <w:b/>
          <w:bCs/>
        </w:rPr>
      </w:pPr>
      <w:r w:rsidRPr="00A74D23">
        <w:rPr>
          <w:b/>
          <w:bCs/>
          <w:sz w:val="24"/>
          <w:szCs w:val="24"/>
        </w:rPr>
        <w:t xml:space="preserve">Analyse des catégories ISR </w:t>
      </w:r>
    </w:p>
    <w:p w14:paraId="0695787D" w14:textId="50585515" w:rsidR="004154F0" w:rsidRPr="00A74D23" w:rsidRDefault="004154F0" w:rsidP="009D6EE5">
      <w:pPr>
        <w:pStyle w:val="Style5"/>
        <w:numPr>
          <w:ilvl w:val="0"/>
          <w:numId w:val="0"/>
        </w:numPr>
        <w:spacing w:line="22" w:lineRule="atLeast"/>
        <w:jc w:val="both"/>
        <w:rPr>
          <w:sz w:val="20"/>
          <w:szCs w:val="20"/>
        </w:rPr>
      </w:pPr>
      <w:r w:rsidRPr="00A74D23">
        <w:rPr>
          <w:sz w:val="20"/>
          <w:szCs w:val="20"/>
        </w:rPr>
        <w:t>À partir de standards internationaux et des objectifs de développement durable, l’équipe d’analyse ESG d’</w:t>
      </w:r>
      <w:r w:rsidR="00495330" w:rsidRPr="00A74D23">
        <w:rPr>
          <w:sz w:val="20"/>
          <w:szCs w:val="20"/>
        </w:rPr>
        <w:t>Ofi</w:t>
      </w:r>
      <w:r w:rsidRPr="00A74D23">
        <w:rPr>
          <w:sz w:val="20"/>
          <w:szCs w:val="20"/>
        </w:rPr>
        <w:t xml:space="preserve"> Invest AM a construit un référentiel en confrontant ces enjeux aux différents risques financiers et extra-financiers, prenant en compte : </w:t>
      </w:r>
    </w:p>
    <w:p w14:paraId="7AC614DC" w14:textId="2A018D8A" w:rsidR="004154F0" w:rsidRPr="00A74D23" w:rsidRDefault="004154F0" w:rsidP="00590DD1">
      <w:pPr>
        <w:pStyle w:val="Style5"/>
        <w:numPr>
          <w:ilvl w:val="0"/>
          <w:numId w:val="58"/>
        </w:numPr>
        <w:spacing w:line="22" w:lineRule="atLeast"/>
        <w:jc w:val="both"/>
        <w:rPr>
          <w:sz w:val="20"/>
          <w:szCs w:val="20"/>
        </w:rPr>
      </w:pPr>
      <w:r w:rsidRPr="00A74D23">
        <w:rPr>
          <w:b/>
          <w:bCs/>
          <w:sz w:val="20"/>
          <w:szCs w:val="20"/>
        </w:rPr>
        <w:t>Les risques économiques et financiers</w:t>
      </w:r>
      <w:r w:rsidRPr="00A74D23">
        <w:rPr>
          <w:sz w:val="20"/>
          <w:szCs w:val="20"/>
        </w:rPr>
        <w:t xml:space="preserve"> : risque d’altération de la croissance d’un pays, en raison de faiblesses dans les conditions créées par l’État pour soutenir les activités économiques.</w:t>
      </w:r>
    </w:p>
    <w:p w14:paraId="5BB90B20" w14:textId="4B74D2C5" w:rsidR="004154F0" w:rsidRPr="00A74D23" w:rsidRDefault="004154F0" w:rsidP="00590DD1">
      <w:pPr>
        <w:pStyle w:val="Style5"/>
        <w:numPr>
          <w:ilvl w:val="0"/>
          <w:numId w:val="58"/>
        </w:numPr>
        <w:spacing w:line="22" w:lineRule="atLeast"/>
        <w:jc w:val="both"/>
        <w:rPr>
          <w:sz w:val="20"/>
          <w:szCs w:val="20"/>
        </w:rPr>
      </w:pPr>
      <w:r w:rsidRPr="00A74D23">
        <w:rPr>
          <w:b/>
          <w:bCs/>
          <w:sz w:val="20"/>
          <w:szCs w:val="20"/>
        </w:rPr>
        <w:t>Les risques sur la stabilité politique</w:t>
      </w:r>
      <w:r w:rsidRPr="00A74D23">
        <w:rPr>
          <w:sz w:val="20"/>
          <w:szCs w:val="20"/>
        </w:rPr>
        <w:t xml:space="preserve"> : risque d’altération de la croissance, en raison de conflits internes.</w:t>
      </w:r>
    </w:p>
    <w:p w14:paraId="4C2EF56E" w14:textId="5BC6A702" w:rsidR="004154F0" w:rsidRPr="00A74D23" w:rsidRDefault="004154F0" w:rsidP="00590DD1">
      <w:pPr>
        <w:pStyle w:val="Style5"/>
        <w:numPr>
          <w:ilvl w:val="0"/>
          <w:numId w:val="58"/>
        </w:numPr>
        <w:spacing w:line="22" w:lineRule="atLeast"/>
        <w:jc w:val="both"/>
        <w:rPr>
          <w:sz w:val="20"/>
          <w:szCs w:val="20"/>
        </w:rPr>
      </w:pPr>
      <w:r w:rsidRPr="00A74D23">
        <w:rPr>
          <w:b/>
          <w:bCs/>
          <w:sz w:val="20"/>
          <w:szCs w:val="20"/>
        </w:rPr>
        <w:t>Les risques sur la cohésion sociale</w:t>
      </w:r>
      <w:r w:rsidRPr="00A74D23">
        <w:rPr>
          <w:sz w:val="20"/>
          <w:szCs w:val="20"/>
        </w:rPr>
        <w:t xml:space="preserve"> : risque d’altération de la croissance d’un pays, en raison du partage contestable des ressources ou de l’organisation non équitable de l’accès aux services.</w:t>
      </w:r>
    </w:p>
    <w:p w14:paraId="6617B456" w14:textId="6F01D097" w:rsidR="004154F0" w:rsidRPr="00A74D23" w:rsidRDefault="004154F0" w:rsidP="00590DD1">
      <w:pPr>
        <w:pStyle w:val="Style5"/>
        <w:numPr>
          <w:ilvl w:val="0"/>
          <w:numId w:val="58"/>
        </w:numPr>
        <w:spacing w:line="22" w:lineRule="atLeast"/>
        <w:jc w:val="both"/>
        <w:rPr>
          <w:sz w:val="20"/>
          <w:szCs w:val="20"/>
        </w:rPr>
      </w:pPr>
      <w:r w:rsidRPr="00A74D23">
        <w:rPr>
          <w:b/>
          <w:bCs/>
          <w:sz w:val="20"/>
          <w:szCs w:val="20"/>
        </w:rPr>
        <w:t>Les risques sur les ressources naturelles</w:t>
      </w:r>
      <w:r w:rsidRPr="00A74D23">
        <w:rPr>
          <w:sz w:val="20"/>
          <w:szCs w:val="20"/>
        </w:rPr>
        <w:t xml:space="preserve"> : risque d’altération de la croissance, en raison d’une faible protection ou d’une mauvaise gestion des ressources naturelles. </w:t>
      </w:r>
    </w:p>
    <w:p w14:paraId="3F0E19B7" w14:textId="77777777" w:rsidR="004154F0" w:rsidRPr="00A74D23" w:rsidRDefault="004154F0" w:rsidP="009D6EE5">
      <w:pPr>
        <w:pStyle w:val="Style5"/>
        <w:numPr>
          <w:ilvl w:val="0"/>
          <w:numId w:val="0"/>
        </w:numPr>
        <w:spacing w:line="22" w:lineRule="atLeast"/>
        <w:jc w:val="both"/>
        <w:rPr>
          <w:sz w:val="20"/>
          <w:szCs w:val="20"/>
        </w:rPr>
      </w:pPr>
    </w:p>
    <w:p w14:paraId="2F5B9C04" w14:textId="366E4306" w:rsidR="009D7A88" w:rsidRPr="00A74D23" w:rsidRDefault="004154F0" w:rsidP="009D6EE5">
      <w:pPr>
        <w:pStyle w:val="Style5"/>
        <w:numPr>
          <w:ilvl w:val="0"/>
          <w:numId w:val="0"/>
        </w:numPr>
        <w:spacing w:line="22" w:lineRule="atLeast"/>
        <w:jc w:val="both"/>
        <w:rPr>
          <w:sz w:val="20"/>
          <w:szCs w:val="20"/>
        </w:rPr>
      </w:pPr>
      <w:r w:rsidRPr="00A74D23">
        <w:rPr>
          <w:sz w:val="20"/>
          <w:szCs w:val="20"/>
        </w:rPr>
        <w:t>À la suite de cette approche, une note qui s’échelonne sur une échelle de 0 à 10, le niveau 10 correspondant à la meilleure note ESG, pour l’ensemble des États analysés. La note ESG est ensuite rebasée sur une échelle de 0,5 à 5, le niveau 5 correspondant au meilleur, pour obtenir le score ISR. Les États sont enfin répartis au sein de quintiles sur la base du score ISR afin d’obtenir la catégorie ISR.</w:t>
      </w:r>
    </w:p>
    <w:p w14:paraId="591A502F" w14:textId="157FBFDD" w:rsidR="00357580" w:rsidRPr="00A74D23" w:rsidRDefault="001514DA" w:rsidP="009D6EE5">
      <w:pPr>
        <w:pStyle w:val="Style5"/>
        <w:numPr>
          <w:ilvl w:val="0"/>
          <w:numId w:val="0"/>
        </w:numPr>
        <w:spacing w:line="22" w:lineRule="atLeast"/>
        <w:jc w:val="both"/>
        <w:rPr>
          <w:b/>
          <w:bCs/>
          <w:sz w:val="32"/>
          <w:szCs w:val="32"/>
        </w:rPr>
      </w:pPr>
      <w:r w:rsidRPr="00A74D23">
        <w:rPr>
          <w:rFonts w:cs="Open Sans"/>
          <w:noProof/>
          <w:sz w:val="20"/>
        </w:rPr>
        <mc:AlternateContent>
          <mc:Choice Requires="wps">
            <w:drawing>
              <wp:anchor distT="0" distB="0" distL="114300" distR="114300" simplePos="0" relativeHeight="251736064" behindDoc="0" locked="0" layoutInCell="1" allowOverlap="1" wp14:anchorId="6DB91F3B" wp14:editId="09DFAC37">
                <wp:simplePos x="0" y="0"/>
                <wp:positionH relativeFrom="margin">
                  <wp:align>left</wp:align>
                </wp:positionH>
                <wp:positionV relativeFrom="paragraph">
                  <wp:posOffset>138292</wp:posOffset>
                </wp:positionV>
                <wp:extent cx="6061075" cy="477078"/>
                <wp:effectExtent l="0" t="0" r="0" b="0"/>
                <wp:wrapNone/>
                <wp:docPr id="459556323" name="Rectangle 5"/>
                <wp:cNvGraphicFramePr/>
                <a:graphic xmlns:a="http://schemas.openxmlformats.org/drawingml/2006/main">
                  <a:graphicData uri="http://schemas.microsoft.com/office/word/2010/wordprocessingShape">
                    <wps:wsp>
                      <wps:cNvSpPr/>
                      <wps:spPr>
                        <a:xfrm>
                          <a:off x="0" y="0"/>
                          <a:ext cx="6061075" cy="477078"/>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ACBE20" w14:textId="197D1518" w:rsidR="001514DA" w:rsidRPr="00BB2CA5" w:rsidRDefault="001514DA" w:rsidP="001514DA">
                            <w:pPr>
                              <w:spacing w:line="276" w:lineRule="auto"/>
                              <w:jc w:val="both"/>
                              <w:rPr>
                                <w:rFonts w:asciiTheme="minorHAnsi" w:hAnsiTheme="minorHAnsi" w:cs="Open Sans"/>
                                <w:color w:val="000000" w:themeColor="text1"/>
                                <w:sz w:val="20"/>
                                <w:lang w:val="fr-FR"/>
                              </w:rPr>
                            </w:pPr>
                            <w:r w:rsidRPr="001514DA">
                              <w:rPr>
                                <w:rFonts w:asciiTheme="minorHAnsi" w:eastAsiaTheme="minorHAnsi" w:hAnsiTheme="minorHAnsi" w:cstheme="minorBidi"/>
                                <w:b/>
                                <w:bCs/>
                                <w:color w:val="000000" w:themeColor="text1"/>
                                <w:sz w:val="20"/>
                                <w:szCs w:val="20"/>
                                <w:lang w:val="fr-FR"/>
                              </w:rPr>
                              <w:t>7</w:t>
                            </w:r>
                            <w:r w:rsidR="00A605BB">
                              <w:rPr>
                                <w:rFonts w:asciiTheme="minorHAnsi" w:eastAsiaTheme="minorHAnsi" w:hAnsiTheme="minorHAnsi" w:cstheme="minorBidi"/>
                                <w:b/>
                                <w:bCs/>
                                <w:color w:val="000000" w:themeColor="text1"/>
                                <w:sz w:val="20"/>
                                <w:szCs w:val="20"/>
                                <w:lang w:val="fr-FR"/>
                              </w:rPr>
                              <w:t>5</w:t>
                            </w:r>
                            <w:r w:rsidRPr="001514DA">
                              <w:rPr>
                                <w:rFonts w:asciiTheme="minorHAnsi" w:eastAsiaTheme="minorHAnsi" w:hAnsiTheme="minorHAnsi" w:cstheme="minorBidi"/>
                                <w:b/>
                                <w:bCs/>
                                <w:color w:val="000000" w:themeColor="text1"/>
                                <w:sz w:val="20"/>
                                <w:szCs w:val="20"/>
                                <w:lang w:val="fr-FR"/>
                              </w:rPr>
                              <w:t>% des encours du portefeuille</w:t>
                            </w:r>
                            <w:r w:rsidR="00A605BB">
                              <w:rPr>
                                <w:rFonts w:asciiTheme="minorHAnsi" w:eastAsiaTheme="minorHAnsi" w:hAnsiTheme="minorHAnsi" w:cstheme="minorBidi"/>
                                <w:b/>
                                <w:bCs/>
                                <w:color w:val="000000" w:themeColor="text1"/>
                                <w:sz w:val="20"/>
                                <w:szCs w:val="20"/>
                                <w:lang w:val="fr-FR"/>
                              </w:rPr>
                              <w:t xml:space="preserve"> Abeille Retraite Professionnelle</w:t>
                            </w:r>
                            <w:r w:rsidRPr="001514DA">
                              <w:rPr>
                                <w:rFonts w:asciiTheme="minorHAnsi" w:eastAsiaTheme="minorHAnsi" w:hAnsiTheme="minorHAnsi" w:cstheme="minorBidi"/>
                                <w:b/>
                                <w:bCs/>
                                <w:color w:val="000000" w:themeColor="text1"/>
                                <w:sz w:val="20"/>
                                <w:szCs w:val="20"/>
                                <w:lang w:val="fr-FR"/>
                              </w:rPr>
                              <w:t xml:space="preserve"> consolidé (UC et hors UC) est composé d’émetteurs leaders ou impliquées.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B91F3B" id="_x0000_s1162" style="position:absolute;left:0;text-align:left;margin-left:0;margin-top:10.9pt;width:477.25pt;height:37.55pt;z-index:2517360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" fillcolor="#ffd400 [3204]" stroked="f" strokeweight="1pt">
                <v:textbox>
                  <w:txbxContent>
                    <w:p w14:paraId="25ACBE20" w14:textId="197D1518" w:rsidR="001514DA" w:rsidRPr="00BB2CA5" w:rsidRDefault="001514DA" w:rsidP="001514DA">
                      <w:pPr>
                        <w:spacing w:line="276" w:lineRule="auto"/>
                        <w:jc w:val="both"/>
                        <w:rPr>
                          <w:rFonts w:asciiTheme="minorHAnsi" w:hAnsiTheme="minorHAnsi" w:cs="Open Sans"/>
                          <w:color w:val="000000" w:themeColor="text1"/>
                          <w:sz w:val="20"/>
                          <w:lang w:val="fr-FR"/>
                        </w:rPr>
                      </w:pPr>
                      <w:r w:rsidRPr="001514DA">
                        <w:rPr>
                          <w:rFonts w:asciiTheme="minorHAnsi" w:eastAsiaTheme="minorHAnsi" w:hAnsiTheme="minorHAnsi" w:cstheme="minorBidi"/>
                          <w:b/>
                          <w:bCs/>
                          <w:color w:val="000000" w:themeColor="text1"/>
                          <w:sz w:val="20"/>
                          <w:szCs w:val="20"/>
                          <w:lang w:val="fr-FR"/>
                        </w:rPr>
                        <w:t>7</w:t>
                      </w:r>
                      <w:r w:rsidR="00A605BB">
                        <w:rPr>
                          <w:rFonts w:asciiTheme="minorHAnsi" w:eastAsiaTheme="minorHAnsi" w:hAnsiTheme="minorHAnsi" w:cstheme="minorBidi"/>
                          <w:b/>
                          <w:bCs/>
                          <w:color w:val="000000" w:themeColor="text1"/>
                          <w:sz w:val="20"/>
                          <w:szCs w:val="20"/>
                          <w:lang w:val="fr-FR"/>
                        </w:rPr>
                        <w:t>5</w:t>
                      </w:r>
                      <w:r w:rsidRPr="001514DA">
                        <w:rPr>
                          <w:rFonts w:asciiTheme="minorHAnsi" w:eastAsiaTheme="minorHAnsi" w:hAnsiTheme="minorHAnsi" w:cstheme="minorBidi"/>
                          <w:b/>
                          <w:bCs/>
                          <w:color w:val="000000" w:themeColor="text1"/>
                          <w:sz w:val="20"/>
                          <w:szCs w:val="20"/>
                          <w:lang w:val="fr-FR"/>
                        </w:rPr>
                        <w:t>% des encours du portefeuille</w:t>
                      </w:r>
                      <w:r w:rsidR="00A605BB">
                        <w:rPr>
                          <w:rFonts w:asciiTheme="minorHAnsi" w:eastAsiaTheme="minorHAnsi" w:hAnsiTheme="minorHAnsi" w:cstheme="minorBidi"/>
                          <w:b/>
                          <w:bCs/>
                          <w:color w:val="000000" w:themeColor="text1"/>
                          <w:sz w:val="20"/>
                          <w:szCs w:val="20"/>
                          <w:lang w:val="fr-FR"/>
                        </w:rPr>
                        <w:t xml:space="preserve"> Abeille Retraite Professionnelle</w:t>
                      </w:r>
                      <w:r w:rsidRPr="001514DA">
                        <w:rPr>
                          <w:rFonts w:asciiTheme="minorHAnsi" w:eastAsiaTheme="minorHAnsi" w:hAnsiTheme="minorHAnsi" w:cstheme="minorBidi"/>
                          <w:b/>
                          <w:bCs/>
                          <w:color w:val="000000" w:themeColor="text1"/>
                          <w:sz w:val="20"/>
                          <w:szCs w:val="20"/>
                          <w:lang w:val="fr-FR"/>
                        </w:rPr>
                        <w:t xml:space="preserve"> consolidé (UC et hors UC) est composé d’émetteurs leaders ou impliquées.</w:t>
                      </w:r>
                    </w:p>
                  </w:txbxContent>
                </v:textbox>
                <w10:wrap anchorx="margin"/>
              </v:rect>
            </w:pict>
          </mc:Fallback>
        </mc:AlternateContent>
      </w:r>
    </w:p>
    <w:p w14:paraId="585CFB86" w14:textId="0D5BCACD" w:rsidR="001514DA" w:rsidRPr="00A74D23" w:rsidRDefault="001514DA" w:rsidP="009D6EE5">
      <w:pPr>
        <w:pStyle w:val="Style5"/>
        <w:numPr>
          <w:ilvl w:val="0"/>
          <w:numId w:val="0"/>
        </w:numPr>
        <w:spacing w:line="22" w:lineRule="atLeast"/>
        <w:jc w:val="both"/>
        <w:rPr>
          <w:b/>
          <w:bCs/>
          <w:sz w:val="32"/>
          <w:szCs w:val="32"/>
        </w:rPr>
      </w:pPr>
    </w:p>
    <w:p w14:paraId="7C80F28F" w14:textId="77777777" w:rsidR="00357580" w:rsidRPr="00A74D23" w:rsidRDefault="00357580" w:rsidP="009D6EE5">
      <w:pPr>
        <w:pStyle w:val="Style5"/>
        <w:numPr>
          <w:ilvl w:val="0"/>
          <w:numId w:val="0"/>
        </w:numPr>
        <w:spacing w:line="22" w:lineRule="atLeast"/>
        <w:jc w:val="both"/>
        <w:rPr>
          <w:b/>
          <w:bCs/>
          <w:sz w:val="32"/>
          <w:szCs w:val="32"/>
        </w:rPr>
      </w:pPr>
    </w:p>
    <w:p w14:paraId="0E552A18" w14:textId="20C87302" w:rsidR="006F7774" w:rsidRPr="00A74D23" w:rsidRDefault="00A605BB" w:rsidP="009D6EE5">
      <w:pPr>
        <w:pStyle w:val="Style5"/>
        <w:numPr>
          <w:ilvl w:val="0"/>
          <w:numId w:val="0"/>
        </w:numPr>
        <w:spacing w:line="22" w:lineRule="atLeast"/>
        <w:jc w:val="both"/>
        <w:rPr>
          <w:b/>
          <w:bCs/>
          <w:sz w:val="32"/>
          <w:szCs w:val="32"/>
        </w:rPr>
      </w:pPr>
      <w:r>
        <w:rPr>
          <w:noProof/>
        </w:rPr>
        <w:drawing>
          <wp:inline distT="0" distB="0" distL="0" distR="0" wp14:anchorId="684484B4" wp14:editId="429F25DE">
            <wp:extent cx="3220278" cy="2990850"/>
            <wp:effectExtent l="0" t="0" r="18415" b="0"/>
            <wp:docPr id="977538761" name="Graphique 1">
              <a:extLst xmlns:a="http://schemas.openxmlformats.org/drawingml/2006/main">
                <a:ext uri="{FF2B5EF4-FFF2-40B4-BE49-F238E27FC236}">
                  <a16:creationId xmlns:a16="http://schemas.microsoft.com/office/drawing/2014/main" id="{DE036B5A-6650-4648-94F6-532BA23E73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3B31E4C9" w14:textId="077106EF" w:rsidR="0093708B" w:rsidRPr="006E4B0F" w:rsidRDefault="0093708B" w:rsidP="009D6EE5">
      <w:pPr>
        <w:pStyle w:val="Style5"/>
        <w:numPr>
          <w:ilvl w:val="0"/>
          <w:numId w:val="0"/>
        </w:numPr>
        <w:spacing w:line="22" w:lineRule="atLeast"/>
        <w:jc w:val="both"/>
        <w:rPr>
          <w:i/>
          <w:iCs/>
          <w:sz w:val="18"/>
          <w:szCs w:val="18"/>
        </w:rPr>
      </w:pPr>
      <w:r w:rsidRPr="006E4B0F">
        <w:rPr>
          <w:i/>
          <w:iCs/>
          <w:sz w:val="18"/>
          <w:szCs w:val="18"/>
        </w:rPr>
        <w:t xml:space="preserve">Source : </w:t>
      </w:r>
      <w:r w:rsidR="00495330" w:rsidRPr="006E4B0F">
        <w:rPr>
          <w:i/>
          <w:iCs/>
          <w:sz w:val="18"/>
          <w:szCs w:val="18"/>
        </w:rPr>
        <w:t>OFI</w:t>
      </w:r>
      <w:r w:rsidRPr="006E4B0F">
        <w:rPr>
          <w:i/>
          <w:iCs/>
          <w:sz w:val="18"/>
          <w:szCs w:val="18"/>
        </w:rPr>
        <w:t xml:space="preserve"> Invest AM</w:t>
      </w:r>
    </w:p>
    <w:p w14:paraId="385A4883" w14:textId="77777777" w:rsidR="00A605BB" w:rsidRPr="00A74D23" w:rsidRDefault="00A605BB" w:rsidP="00A605BB">
      <w:pPr>
        <w:pStyle w:val="Style5"/>
        <w:numPr>
          <w:ilvl w:val="0"/>
          <w:numId w:val="0"/>
        </w:numPr>
        <w:spacing w:line="22" w:lineRule="atLeast"/>
        <w:jc w:val="both"/>
        <w:rPr>
          <w:i/>
          <w:iCs/>
          <w:sz w:val="18"/>
          <w:szCs w:val="18"/>
        </w:rPr>
      </w:pPr>
      <w:r w:rsidRPr="00A74D23">
        <w:rPr>
          <w:i/>
          <w:iCs/>
          <w:sz w:val="18"/>
          <w:szCs w:val="18"/>
        </w:rPr>
        <w:t xml:space="preserve">Périmètre : Abeille </w:t>
      </w:r>
      <w:r>
        <w:rPr>
          <w:i/>
          <w:iCs/>
          <w:sz w:val="18"/>
          <w:szCs w:val="18"/>
        </w:rPr>
        <w:t>Retraite Professionnelle</w:t>
      </w:r>
      <w:r w:rsidRPr="00A74D23">
        <w:rPr>
          <w:i/>
          <w:iCs/>
          <w:sz w:val="18"/>
          <w:szCs w:val="18"/>
        </w:rPr>
        <w:t xml:space="preserve"> consolidé – 31/12/2025</w:t>
      </w:r>
    </w:p>
    <w:p w14:paraId="03EC9B1E" w14:textId="34DC26E3" w:rsidR="0093708B" w:rsidRPr="006E4B0F" w:rsidRDefault="0093708B" w:rsidP="009D6EE5">
      <w:pPr>
        <w:pStyle w:val="Style5"/>
        <w:numPr>
          <w:ilvl w:val="0"/>
          <w:numId w:val="0"/>
        </w:numPr>
        <w:spacing w:line="22" w:lineRule="atLeast"/>
        <w:jc w:val="both"/>
        <w:rPr>
          <w:i/>
          <w:iCs/>
          <w:sz w:val="18"/>
          <w:szCs w:val="18"/>
        </w:rPr>
      </w:pPr>
      <w:r w:rsidRPr="006E4B0F">
        <w:rPr>
          <w:i/>
          <w:iCs/>
          <w:sz w:val="18"/>
          <w:szCs w:val="18"/>
        </w:rPr>
        <w:t>Taux de couverture : 9</w:t>
      </w:r>
      <w:r w:rsidR="00A839D2" w:rsidRPr="006E4B0F">
        <w:rPr>
          <w:i/>
          <w:iCs/>
          <w:sz w:val="18"/>
          <w:szCs w:val="18"/>
        </w:rPr>
        <w:t>8</w:t>
      </w:r>
      <w:r w:rsidRPr="006E4B0F">
        <w:rPr>
          <w:i/>
          <w:iCs/>
          <w:sz w:val="18"/>
          <w:szCs w:val="18"/>
        </w:rPr>
        <w:t>%</w:t>
      </w:r>
    </w:p>
    <w:p w14:paraId="7589FB1F" w14:textId="77777777" w:rsidR="00240D78" w:rsidRPr="00A74D23" w:rsidRDefault="00240D78" w:rsidP="009D6EE5">
      <w:pPr>
        <w:pStyle w:val="Style5"/>
        <w:numPr>
          <w:ilvl w:val="0"/>
          <w:numId w:val="0"/>
        </w:numPr>
        <w:spacing w:line="22" w:lineRule="atLeast"/>
        <w:jc w:val="both"/>
        <w:rPr>
          <w:b/>
          <w:bCs/>
          <w:sz w:val="32"/>
          <w:szCs w:val="32"/>
        </w:rPr>
      </w:pPr>
    </w:p>
    <w:p w14:paraId="6FCFA38C" w14:textId="25889A84" w:rsidR="006F7774" w:rsidRPr="00A74D23" w:rsidRDefault="006F7774" w:rsidP="00590DD1">
      <w:pPr>
        <w:pStyle w:val="Style5"/>
        <w:numPr>
          <w:ilvl w:val="1"/>
          <w:numId w:val="67"/>
        </w:numPr>
        <w:spacing w:line="22" w:lineRule="atLeast"/>
        <w:ind w:left="993" w:hanging="207"/>
        <w:jc w:val="both"/>
        <w:rPr>
          <w:b/>
          <w:bCs/>
          <w:sz w:val="32"/>
          <w:szCs w:val="32"/>
        </w:rPr>
      </w:pPr>
      <w:r w:rsidRPr="00A74D23">
        <w:rPr>
          <w:b/>
          <w:bCs/>
          <w:sz w:val="32"/>
          <w:szCs w:val="32"/>
        </w:rPr>
        <w:t>Portefeuille d’investissements immobiliers</w:t>
      </w:r>
    </w:p>
    <w:p w14:paraId="322FE89F" w14:textId="77777777" w:rsidR="00867DBF" w:rsidRPr="00A74D23" w:rsidRDefault="00867DBF" w:rsidP="009D6EE5">
      <w:pPr>
        <w:pStyle w:val="Style5"/>
        <w:numPr>
          <w:ilvl w:val="0"/>
          <w:numId w:val="0"/>
        </w:numPr>
        <w:spacing w:line="22" w:lineRule="atLeast"/>
        <w:jc w:val="both"/>
        <w:rPr>
          <w:sz w:val="20"/>
          <w:szCs w:val="20"/>
        </w:rPr>
      </w:pPr>
    </w:p>
    <w:p w14:paraId="2DD76C34" w14:textId="77777777" w:rsidR="00520AF9" w:rsidRPr="00A74D23" w:rsidRDefault="00520AF9" w:rsidP="009D6EE5">
      <w:pPr>
        <w:pStyle w:val="Style5"/>
        <w:numPr>
          <w:ilvl w:val="0"/>
          <w:numId w:val="0"/>
        </w:numPr>
        <w:spacing w:line="22" w:lineRule="atLeast"/>
        <w:jc w:val="both"/>
        <w:rPr>
          <w:sz w:val="20"/>
          <w:szCs w:val="20"/>
        </w:rPr>
      </w:pPr>
    </w:p>
    <w:p w14:paraId="19B8D26C" w14:textId="114B936A" w:rsidR="001D3460" w:rsidRPr="00A74D23" w:rsidRDefault="001D3460" w:rsidP="009D6EE5">
      <w:pPr>
        <w:pStyle w:val="Style5"/>
        <w:numPr>
          <w:ilvl w:val="0"/>
          <w:numId w:val="0"/>
        </w:numPr>
        <w:spacing w:line="22" w:lineRule="atLeast"/>
        <w:jc w:val="both"/>
        <w:rPr>
          <w:sz w:val="20"/>
        </w:rPr>
      </w:pPr>
      <w:r w:rsidRPr="00A74D23">
        <w:rPr>
          <w:sz w:val="20"/>
        </w:rPr>
        <w:t>La méthodologie de notation ESG sur le portefeuille immobilier est disponible en annexe</w:t>
      </w:r>
      <w:r w:rsidR="00B47DCA">
        <w:rPr>
          <w:sz w:val="20"/>
        </w:rPr>
        <w:t>.</w:t>
      </w:r>
    </w:p>
    <w:p w14:paraId="12F0C35E" w14:textId="77777777" w:rsidR="001D3460" w:rsidRPr="00A74D23" w:rsidRDefault="001D3460" w:rsidP="009D6EE5">
      <w:pPr>
        <w:pStyle w:val="Style5"/>
        <w:numPr>
          <w:ilvl w:val="0"/>
          <w:numId w:val="0"/>
        </w:numPr>
        <w:spacing w:line="22" w:lineRule="atLeast"/>
        <w:jc w:val="both"/>
        <w:rPr>
          <w:sz w:val="20"/>
          <w:szCs w:val="20"/>
        </w:rPr>
      </w:pPr>
    </w:p>
    <w:p w14:paraId="3D777E26" w14:textId="77777777" w:rsidR="0028022E" w:rsidRPr="00A74D23" w:rsidRDefault="0028022E" w:rsidP="009D6EE5">
      <w:pPr>
        <w:spacing w:line="22" w:lineRule="atLeast"/>
        <w:jc w:val="both"/>
        <w:rPr>
          <w:rFonts w:asciiTheme="minorHAnsi" w:hAnsiTheme="minorHAnsi"/>
          <w:b/>
          <w:bCs/>
          <w:sz w:val="20"/>
          <w:lang w:val="fr-FR"/>
        </w:rPr>
      </w:pPr>
      <w:r w:rsidRPr="00A74D23">
        <w:rPr>
          <w:rFonts w:asciiTheme="minorHAnsi" w:hAnsiTheme="minorHAnsi"/>
          <w:b/>
          <w:bCs/>
          <w:sz w:val="20"/>
          <w:lang w:val="fr-FR"/>
        </w:rPr>
        <w:t>Performance ESG (sur 100) de notre portefeuille immobilier Abeille Assurances sous mandat de gestion</w:t>
      </w:r>
    </w:p>
    <w:tbl>
      <w:tblPr>
        <w:tblpPr w:leftFromText="141" w:rightFromText="141" w:vertAnchor="text" w:horzAnchor="margin" w:tblpY="125"/>
        <w:tblW w:w="5000" w:type="pct"/>
        <w:tblLayout w:type="fixed"/>
        <w:tblCellMar>
          <w:left w:w="70" w:type="dxa"/>
          <w:right w:w="70" w:type="dxa"/>
        </w:tblCellMar>
        <w:tblLook w:val="04A0" w:firstRow="1" w:lastRow="0" w:firstColumn="1" w:lastColumn="0" w:noHBand="0" w:noVBand="1"/>
      </w:tblPr>
      <w:tblGrid>
        <w:gridCol w:w="3218"/>
        <w:gridCol w:w="3352"/>
        <w:gridCol w:w="3352"/>
      </w:tblGrid>
      <w:tr w:rsidR="002A4612" w:rsidRPr="009508AF" w14:paraId="4303AB8E" w14:textId="77777777" w:rsidTr="002A4612">
        <w:trPr>
          <w:trHeight w:val="321"/>
        </w:trPr>
        <w:tc>
          <w:tcPr>
            <w:tcW w:w="1621" w:type="pct"/>
            <w:shd w:val="clear" w:color="auto" w:fill="FFD400" w:themeFill="accent1"/>
          </w:tcPr>
          <w:p w14:paraId="2C2F44D6" w14:textId="77777777" w:rsidR="002A4612" w:rsidRPr="00A74D23" w:rsidRDefault="002A4612" w:rsidP="00B47DCA">
            <w:pPr>
              <w:spacing w:line="22" w:lineRule="atLeast"/>
              <w:jc w:val="center"/>
              <w:rPr>
                <w:rFonts w:asciiTheme="minorHAnsi" w:hAnsiTheme="minorHAnsi" w:cs="Calibri"/>
                <w:b/>
                <w:bCs/>
                <w:sz w:val="20"/>
                <w:szCs w:val="20"/>
                <w:lang w:val="fr-FR" w:eastAsia="fr-FR"/>
              </w:rPr>
            </w:pPr>
            <w:r w:rsidRPr="00A74D23">
              <w:rPr>
                <w:rFonts w:asciiTheme="minorHAnsi" w:hAnsiTheme="minorHAnsi" w:cs="Calibri"/>
                <w:b/>
                <w:bCs/>
                <w:sz w:val="20"/>
                <w:szCs w:val="20"/>
                <w:lang w:val="fr-FR" w:eastAsia="fr-FR"/>
              </w:rPr>
              <w:t>Score ESG moyen 2023</w:t>
            </w:r>
          </w:p>
          <w:p w14:paraId="2C7085BC" w14:textId="77777777" w:rsidR="002A4612" w:rsidRPr="00A74D23" w:rsidRDefault="002A4612" w:rsidP="00B47DCA">
            <w:pPr>
              <w:spacing w:line="22" w:lineRule="atLeast"/>
              <w:jc w:val="center"/>
              <w:rPr>
                <w:rFonts w:asciiTheme="minorHAnsi" w:hAnsiTheme="minorHAnsi" w:cs="Calibri"/>
                <w:b/>
                <w:bCs/>
                <w:sz w:val="20"/>
                <w:szCs w:val="20"/>
                <w:lang w:val="fr-FR" w:eastAsia="fr-FR"/>
              </w:rPr>
            </w:pPr>
            <w:r w:rsidRPr="00A74D23">
              <w:rPr>
                <w:rFonts w:asciiTheme="minorHAnsi" w:hAnsiTheme="minorHAnsi" w:cs="Calibri"/>
                <w:sz w:val="20"/>
                <w:szCs w:val="20"/>
                <w:lang w:val="fr-FR" w:eastAsia="fr-FR"/>
              </w:rPr>
              <w:t>(Évalué au 31/12/2024)</w:t>
            </w:r>
          </w:p>
        </w:tc>
        <w:tc>
          <w:tcPr>
            <w:tcW w:w="1689" w:type="pct"/>
            <w:shd w:val="clear" w:color="auto" w:fill="FFD400" w:themeFill="accent1"/>
          </w:tcPr>
          <w:p w14:paraId="1E9E66A5" w14:textId="70FD5FDA" w:rsidR="002A4612" w:rsidRPr="00A74D23" w:rsidRDefault="002A4612" w:rsidP="00B47DCA">
            <w:pPr>
              <w:spacing w:line="22" w:lineRule="atLeast"/>
              <w:jc w:val="center"/>
              <w:rPr>
                <w:rFonts w:asciiTheme="minorHAnsi" w:hAnsiTheme="minorHAnsi" w:cs="Calibri"/>
                <w:b/>
                <w:bCs/>
                <w:sz w:val="20"/>
                <w:szCs w:val="20"/>
                <w:lang w:val="fr-FR" w:eastAsia="fr-FR"/>
              </w:rPr>
            </w:pPr>
            <w:r w:rsidRPr="00A74D23">
              <w:rPr>
                <w:rFonts w:asciiTheme="minorHAnsi" w:hAnsiTheme="minorHAnsi" w:cs="Calibri"/>
                <w:b/>
                <w:bCs/>
                <w:sz w:val="20"/>
                <w:szCs w:val="20"/>
                <w:lang w:val="fr-FR" w:eastAsia="fr-FR"/>
              </w:rPr>
              <w:t>Score ESG moyen 2024</w:t>
            </w:r>
          </w:p>
          <w:p w14:paraId="7A2443C6" w14:textId="5B220610" w:rsidR="002A4612" w:rsidRPr="00A74D23" w:rsidRDefault="002A4612" w:rsidP="00B47DCA">
            <w:pPr>
              <w:spacing w:line="22" w:lineRule="atLeast"/>
              <w:jc w:val="center"/>
              <w:rPr>
                <w:rFonts w:asciiTheme="minorHAnsi" w:hAnsiTheme="minorHAnsi" w:cs="Calibri"/>
                <w:b/>
                <w:bCs/>
                <w:sz w:val="20"/>
                <w:szCs w:val="20"/>
                <w:lang w:val="fr-FR" w:eastAsia="fr-FR"/>
              </w:rPr>
            </w:pPr>
            <w:r w:rsidRPr="00A74D23">
              <w:rPr>
                <w:rFonts w:asciiTheme="minorHAnsi" w:hAnsiTheme="minorHAnsi" w:cs="Calibri"/>
                <w:sz w:val="20"/>
                <w:szCs w:val="20"/>
                <w:lang w:val="fr-FR" w:eastAsia="fr-FR"/>
              </w:rPr>
              <w:t>(Évalué au 31/12/2025)</w:t>
            </w:r>
          </w:p>
        </w:tc>
        <w:tc>
          <w:tcPr>
            <w:tcW w:w="1689" w:type="pct"/>
            <w:shd w:val="clear" w:color="auto" w:fill="FFD400" w:themeFill="accent1"/>
            <w:noWrap/>
            <w:hideMark/>
          </w:tcPr>
          <w:p w14:paraId="73C7356A" w14:textId="781B249E" w:rsidR="002A4612" w:rsidRPr="00A74D23" w:rsidRDefault="002A4612" w:rsidP="00B47DCA">
            <w:pPr>
              <w:spacing w:line="22" w:lineRule="atLeast"/>
              <w:jc w:val="center"/>
              <w:rPr>
                <w:rFonts w:asciiTheme="minorHAnsi" w:hAnsiTheme="minorHAnsi" w:cs="Calibri"/>
                <w:b/>
                <w:bCs/>
                <w:sz w:val="20"/>
                <w:szCs w:val="20"/>
                <w:lang w:val="fr-FR" w:eastAsia="fr-FR"/>
              </w:rPr>
            </w:pPr>
            <w:r w:rsidRPr="00A74D23">
              <w:rPr>
                <w:rFonts w:asciiTheme="minorHAnsi" w:hAnsiTheme="minorHAnsi" w:cs="Calibri"/>
                <w:b/>
                <w:bCs/>
                <w:sz w:val="20"/>
                <w:szCs w:val="20"/>
                <w:lang w:val="fr-FR" w:eastAsia="fr-FR"/>
              </w:rPr>
              <w:t>Score ESG cible du portefeuille (en prenant en compte l’ensemble des plans d’actions ESG)</w:t>
            </w:r>
          </w:p>
          <w:p w14:paraId="3C592595" w14:textId="77777777" w:rsidR="002A4612" w:rsidRPr="00A74D23" w:rsidRDefault="002A4612" w:rsidP="00B47DCA">
            <w:pPr>
              <w:spacing w:line="22" w:lineRule="atLeast"/>
              <w:jc w:val="center"/>
              <w:rPr>
                <w:rFonts w:asciiTheme="minorHAnsi" w:hAnsiTheme="minorHAnsi" w:cs="Calibri"/>
                <w:b/>
                <w:bCs/>
                <w:sz w:val="20"/>
                <w:szCs w:val="20"/>
                <w:lang w:val="fr-FR" w:eastAsia="fr-FR"/>
              </w:rPr>
            </w:pPr>
          </w:p>
        </w:tc>
      </w:tr>
      <w:tr w:rsidR="002A4612" w:rsidRPr="00A74D23" w14:paraId="49EDB895" w14:textId="77777777" w:rsidTr="002A4612">
        <w:trPr>
          <w:trHeight w:val="321"/>
        </w:trPr>
        <w:tc>
          <w:tcPr>
            <w:tcW w:w="1621" w:type="pct"/>
            <w:vAlign w:val="bottom"/>
          </w:tcPr>
          <w:p w14:paraId="7ED94C09" w14:textId="410D6CDE" w:rsidR="002A4612" w:rsidRPr="00A74D23" w:rsidRDefault="0013492F" w:rsidP="00B47DCA">
            <w:pPr>
              <w:spacing w:line="22" w:lineRule="atLeast"/>
              <w:jc w:val="center"/>
              <w:rPr>
                <w:rFonts w:asciiTheme="minorHAnsi" w:hAnsiTheme="minorHAnsi" w:cs="Calibri"/>
                <w:color w:val="000000"/>
                <w:sz w:val="20"/>
                <w:szCs w:val="20"/>
              </w:rPr>
            </w:pPr>
            <w:r>
              <w:rPr>
                <w:rFonts w:asciiTheme="minorHAnsi" w:hAnsiTheme="minorHAnsi" w:cs="Calibri"/>
                <w:color w:val="000000"/>
                <w:sz w:val="20"/>
                <w:szCs w:val="20"/>
              </w:rPr>
              <w:t>44</w:t>
            </w:r>
          </w:p>
        </w:tc>
        <w:tc>
          <w:tcPr>
            <w:tcW w:w="1689" w:type="pct"/>
          </w:tcPr>
          <w:p w14:paraId="70E89D04" w14:textId="4B7FDCAA" w:rsidR="002A4612" w:rsidRPr="00A74D23" w:rsidRDefault="0013492F" w:rsidP="00B47DCA">
            <w:pPr>
              <w:spacing w:line="22" w:lineRule="atLeast"/>
              <w:jc w:val="center"/>
              <w:rPr>
                <w:rFonts w:asciiTheme="minorHAnsi" w:hAnsiTheme="minorHAnsi" w:cs="Calibri"/>
                <w:color w:val="000000"/>
                <w:sz w:val="20"/>
                <w:szCs w:val="20"/>
              </w:rPr>
            </w:pPr>
            <w:r>
              <w:rPr>
                <w:rFonts w:asciiTheme="minorHAnsi" w:hAnsiTheme="minorHAnsi" w:cs="Calibri"/>
                <w:color w:val="000000"/>
                <w:sz w:val="20"/>
                <w:szCs w:val="20"/>
              </w:rPr>
              <w:t>55</w:t>
            </w:r>
          </w:p>
        </w:tc>
        <w:tc>
          <w:tcPr>
            <w:tcW w:w="1689" w:type="pct"/>
            <w:noWrap/>
            <w:vAlign w:val="bottom"/>
            <w:hideMark/>
          </w:tcPr>
          <w:p w14:paraId="7146F339" w14:textId="277A53CC" w:rsidR="002A4612" w:rsidRPr="00A74D23" w:rsidRDefault="002A4612" w:rsidP="00B47DCA">
            <w:pPr>
              <w:spacing w:line="22" w:lineRule="atLeast"/>
              <w:jc w:val="center"/>
              <w:rPr>
                <w:rFonts w:asciiTheme="minorHAnsi" w:hAnsiTheme="minorHAnsi" w:cs="Calibri"/>
                <w:color w:val="000000"/>
                <w:sz w:val="20"/>
                <w:szCs w:val="20"/>
                <w:lang w:eastAsia="fr-FR"/>
              </w:rPr>
            </w:pPr>
            <w:r w:rsidRPr="00A74D23">
              <w:rPr>
                <w:rFonts w:asciiTheme="minorHAnsi" w:hAnsiTheme="minorHAnsi" w:cs="Calibri"/>
                <w:color w:val="000000"/>
                <w:sz w:val="20"/>
                <w:szCs w:val="20"/>
              </w:rPr>
              <w:t>7</w:t>
            </w:r>
            <w:r w:rsidR="003054A6" w:rsidRPr="00A74D23">
              <w:rPr>
                <w:rFonts w:asciiTheme="minorHAnsi" w:hAnsiTheme="minorHAnsi" w:cs="Calibri"/>
                <w:color w:val="000000"/>
                <w:sz w:val="20"/>
                <w:szCs w:val="20"/>
              </w:rPr>
              <w:t>3</w:t>
            </w:r>
          </w:p>
        </w:tc>
      </w:tr>
    </w:tbl>
    <w:p w14:paraId="066972A5" w14:textId="599E177C" w:rsidR="0028022E" w:rsidRPr="00A74D23" w:rsidRDefault="0028022E" w:rsidP="009D6EE5">
      <w:pPr>
        <w:spacing w:line="22" w:lineRule="atLeast"/>
        <w:jc w:val="both"/>
        <w:rPr>
          <w:rFonts w:asciiTheme="minorHAnsi" w:hAnsiTheme="minorHAnsi"/>
          <w:i/>
          <w:iCs/>
          <w:sz w:val="20"/>
          <w:lang w:val="fr-FR"/>
        </w:rPr>
      </w:pPr>
      <w:r w:rsidRPr="00A74D23">
        <w:rPr>
          <w:rFonts w:asciiTheme="minorHAnsi" w:hAnsiTheme="minorHAnsi"/>
          <w:i/>
          <w:iCs/>
          <w:sz w:val="20"/>
          <w:lang w:val="fr-FR"/>
        </w:rPr>
        <w:t xml:space="preserve">Périmètre :  Portefeuille de mandats immobiliers </w:t>
      </w:r>
      <w:r w:rsidR="0013492F">
        <w:rPr>
          <w:rFonts w:asciiTheme="minorHAnsi" w:hAnsiTheme="minorHAnsi"/>
          <w:i/>
          <w:iCs/>
          <w:sz w:val="20"/>
          <w:lang w:val="fr-FR"/>
        </w:rPr>
        <w:t>Abeille Retraite Professionnelle</w:t>
      </w:r>
    </w:p>
    <w:p w14:paraId="165FE282" w14:textId="77777777" w:rsidR="0028022E" w:rsidRDefault="0028022E" w:rsidP="009D6EE5">
      <w:pPr>
        <w:spacing w:line="22" w:lineRule="atLeast"/>
        <w:jc w:val="both"/>
        <w:rPr>
          <w:rFonts w:asciiTheme="minorHAnsi" w:hAnsiTheme="minorHAnsi"/>
          <w:i/>
          <w:iCs/>
          <w:sz w:val="20"/>
          <w:lang w:val="fr-FR"/>
        </w:rPr>
      </w:pPr>
      <w:r w:rsidRPr="00A74D23">
        <w:rPr>
          <w:rFonts w:asciiTheme="minorHAnsi" w:hAnsiTheme="minorHAnsi"/>
          <w:i/>
          <w:iCs/>
          <w:sz w:val="20"/>
          <w:lang w:val="fr-FR"/>
        </w:rPr>
        <w:t xml:space="preserve">Source : Abeille Assurances </w:t>
      </w:r>
    </w:p>
    <w:p w14:paraId="237C1B83" w14:textId="77777777" w:rsidR="00B47DCA" w:rsidRDefault="00B47DCA" w:rsidP="009D6EE5">
      <w:pPr>
        <w:spacing w:line="22" w:lineRule="atLeast"/>
        <w:jc w:val="both"/>
        <w:rPr>
          <w:rFonts w:asciiTheme="minorHAnsi" w:hAnsiTheme="minorHAnsi"/>
          <w:i/>
          <w:iCs/>
          <w:sz w:val="20"/>
          <w:lang w:val="fr-FR"/>
        </w:rPr>
      </w:pPr>
    </w:p>
    <w:p w14:paraId="0BA3A69B" w14:textId="77777777" w:rsidR="003054A6" w:rsidRPr="00A74D23" w:rsidRDefault="003054A6" w:rsidP="009D6EE5">
      <w:pPr>
        <w:spacing w:line="22" w:lineRule="atLeast"/>
        <w:jc w:val="both"/>
        <w:rPr>
          <w:rFonts w:asciiTheme="minorHAnsi" w:hAnsiTheme="minorHAnsi"/>
          <w:i/>
          <w:iCs/>
          <w:sz w:val="20"/>
          <w:lang w:val="fr-FR"/>
        </w:rPr>
      </w:pPr>
    </w:p>
    <w:p w14:paraId="19BC735A" w14:textId="21E4AC17" w:rsidR="003054A6" w:rsidRPr="00A74D23" w:rsidRDefault="008E3EEE" w:rsidP="009D6EE5">
      <w:pPr>
        <w:spacing w:line="22" w:lineRule="atLeast"/>
        <w:jc w:val="both"/>
        <w:rPr>
          <w:rFonts w:asciiTheme="minorHAnsi" w:hAnsiTheme="minorHAnsi"/>
          <w:sz w:val="20"/>
          <w:lang w:val="fr-FR"/>
        </w:rPr>
      </w:pPr>
      <w:r w:rsidRPr="00A74D23">
        <w:rPr>
          <w:rFonts w:asciiTheme="minorHAnsi" w:hAnsiTheme="minorHAnsi"/>
          <w:sz w:val="20"/>
          <w:lang w:val="fr-FR"/>
        </w:rPr>
        <w:t xml:space="preserve">Le score </w:t>
      </w:r>
      <w:r w:rsidR="0028314F" w:rsidRPr="00A74D23">
        <w:rPr>
          <w:rFonts w:asciiTheme="minorHAnsi" w:hAnsiTheme="minorHAnsi"/>
          <w:sz w:val="20"/>
          <w:lang w:val="fr-FR"/>
        </w:rPr>
        <w:t xml:space="preserve">ESG </w:t>
      </w:r>
      <w:r w:rsidRPr="00A74D23">
        <w:rPr>
          <w:rFonts w:asciiTheme="minorHAnsi" w:hAnsiTheme="minorHAnsi"/>
          <w:sz w:val="20"/>
          <w:lang w:val="fr-FR"/>
        </w:rPr>
        <w:t>a a</w:t>
      </w:r>
      <w:r w:rsidR="0028314F" w:rsidRPr="00A74D23">
        <w:rPr>
          <w:rFonts w:asciiTheme="minorHAnsi" w:hAnsiTheme="minorHAnsi"/>
          <w:sz w:val="20"/>
          <w:lang w:val="fr-FR"/>
        </w:rPr>
        <w:t xml:space="preserve">ugmenté depuis l’année dernière. </w:t>
      </w:r>
    </w:p>
    <w:p w14:paraId="77816266" w14:textId="77777777" w:rsidR="0028022E" w:rsidRPr="00A74D23" w:rsidRDefault="0028022E" w:rsidP="009D6EE5">
      <w:pPr>
        <w:spacing w:line="22" w:lineRule="atLeast"/>
        <w:jc w:val="both"/>
        <w:rPr>
          <w:rFonts w:asciiTheme="minorHAnsi" w:hAnsiTheme="minorHAnsi" w:cstheme="minorHAnsi"/>
          <w:sz w:val="20"/>
          <w:szCs w:val="20"/>
          <w:lang w:val="fr-FR"/>
        </w:rPr>
      </w:pPr>
    </w:p>
    <w:p w14:paraId="39A8E6B4" w14:textId="24E23DEC" w:rsidR="0028022E" w:rsidRPr="00A74D23" w:rsidRDefault="0028022E" w:rsidP="009D6EE5">
      <w:pPr>
        <w:spacing w:line="22" w:lineRule="atLeast"/>
        <w:jc w:val="both"/>
        <w:rPr>
          <w:rFonts w:asciiTheme="minorHAnsi" w:hAnsiTheme="minorHAnsi"/>
          <w:sz w:val="20"/>
          <w:lang w:val="fr-FR"/>
        </w:rPr>
      </w:pPr>
      <w:r w:rsidRPr="00A74D23">
        <w:rPr>
          <w:rFonts w:asciiTheme="minorHAnsi" w:hAnsiTheme="minorHAnsi"/>
          <w:sz w:val="20"/>
          <w:lang w:val="fr-FR"/>
        </w:rPr>
        <w:t>Au 31/12/2024, 9</w:t>
      </w:r>
      <w:r w:rsidR="00311687" w:rsidRPr="00A74D23">
        <w:rPr>
          <w:rFonts w:asciiTheme="minorHAnsi" w:hAnsiTheme="minorHAnsi"/>
          <w:sz w:val="20"/>
          <w:lang w:val="fr-FR"/>
        </w:rPr>
        <w:t>9</w:t>
      </w:r>
      <w:r w:rsidRPr="00A74D23">
        <w:rPr>
          <w:rFonts w:asciiTheme="minorHAnsi" w:hAnsiTheme="minorHAnsi"/>
          <w:sz w:val="20"/>
          <w:lang w:val="fr-FR"/>
        </w:rPr>
        <w:t>% du portefeuille de mandats immobiliers</w:t>
      </w:r>
      <w:r w:rsidR="0013492F">
        <w:rPr>
          <w:rFonts w:asciiTheme="minorHAnsi" w:hAnsiTheme="minorHAnsi"/>
          <w:sz w:val="20"/>
          <w:lang w:val="fr-FR"/>
        </w:rPr>
        <w:t xml:space="preserve"> Abeille Retraite Professionnelle</w:t>
      </w:r>
      <w:r w:rsidRPr="00A74D23">
        <w:rPr>
          <w:rFonts w:asciiTheme="minorHAnsi" w:hAnsiTheme="minorHAnsi"/>
          <w:sz w:val="20"/>
          <w:lang w:val="fr-FR"/>
        </w:rPr>
        <w:t xml:space="preserve"> était couvert par cette notation, les actifs n’étant pas couverts étant principalement des forêts, des parkings et les quelques actifs allant être cédés prochainement. Pour chaque actif évalué, une cible à atteindre a été établie avec des axes d’amélioration identifiés sur chaque pilier E, S et G</w:t>
      </w:r>
      <w:r w:rsidRPr="00A74D23">
        <w:rPr>
          <w:rFonts w:asciiTheme="minorHAnsi" w:hAnsiTheme="minorHAnsi" w:cstheme="minorHAnsi"/>
          <w:lang w:val="fr-FR"/>
        </w:rPr>
        <w:t xml:space="preserve">. </w:t>
      </w:r>
    </w:p>
    <w:p w14:paraId="2ED021AA" w14:textId="77777777" w:rsidR="00520AF9" w:rsidRPr="00A74D23" w:rsidRDefault="00520AF9" w:rsidP="009D6EE5">
      <w:pPr>
        <w:pStyle w:val="Style5"/>
        <w:numPr>
          <w:ilvl w:val="0"/>
          <w:numId w:val="0"/>
        </w:numPr>
        <w:spacing w:line="22" w:lineRule="atLeast"/>
        <w:jc w:val="both"/>
        <w:rPr>
          <w:sz w:val="20"/>
          <w:szCs w:val="20"/>
        </w:rPr>
      </w:pPr>
    </w:p>
    <w:p w14:paraId="1CE12CC7" w14:textId="77777777" w:rsidR="00520AF9" w:rsidRPr="00A74D23" w:rsidRDefault="00520AF9" w:rsidP="009D6EE5">
      <w:pPr>
        <w:pStyle w:val="Style5"/>
        <w:numPr>
          <w:ilvl w:val="0"/>
          <w:numId w:val="0"/>
        </w:numPr>
        <w:spacing w:line="22" w:lineRule="atLeast"/>
        <w:jc w:val="both"/>
        <w:rPr>
          <w:sz w:val="20"/>
          <w:szCs w:val="20"/>
        </w:rPr>
      </w:pPr>
    </w:p>
    <w:p w14:paraId="766CC03D" w14:textId="53983802" w:rsidR="008D3A44" w:rsidRPr="00A74D23" w:rsidRDefault="008D3A44" w:rsidP="00590DD1">
      <w:pPr>
        <w:pStyle w:val="Style2"/>
        <w:numPr>
          <w:ilvl w:val="0"/>
          <w:numId w:val="67"/>
        </w:numPr>
        <w:spacing w:line="22" w:lineRule="atLeast"/>
        <w:ind w:left="426"/>
        <w:jc w:val="both"/>
        <w:rPr>
          <w:rFonts w:asciiTheme="minorHAnsi" w:hAnsiTheme="minorHAnsi" w:cs="Open Sans"/>
          <w:sz w:val="36"/>
          <w:szCs w:val="36"/>
        </w:rPr>
      </w:pPr>
      <w:bookmarkStart w:id="101" w:name="_Toc231337027"/>
      <w:r w:rsidRPr="00A74D23">
        <w:rPr>
          <w:rFonts w:asciiTheme="minorHAnsi" w:hAnsiTheme="minorHAnsi" w:cs="Open Sans"/>
          <w:sz w:val="36"/>
          <w:szCs w:val="36"/>
        </w:rPr>
        <w:t xml:space="preserve">Evaluation </w:t>
      </w:r>
      <w:r w:rsidR="00BB19B6" w:rsidRPr="00A74D23">
        <w:rPr>
          <w:rFonts w:asciiTheme="minorHAnsi" w:hAnsiTheme="minorHAnsi" w:cs="Open Sans"/>
          <w:sz w:val="36"/>
          <w:szCs w:val="36"/>
        </w:rPr>
        <w:t xml:space="preserve">de l’exposition des investissements aux risques </w:t>
      </w:r>
      <w:r w:rsidR="00AD41C1" w:rsidRPr="00A74D23">
        <w:rPr>
          <w:rFonts w:asciiTheme="minorHAnsi" w:hAnsiTheme="minorHAnsi" w:cs="Open Sans"/>
          <w:sz w:val="36"/>
          <w:szCs w:val="36"/>
        </w:rPr>
        <w:t>liés à la nature</w:t>
      </w:r>
      <w:bookmarkEnd w:id="101"/>
    </w:p>
    <w:p w14:paraId="3F75B597" w14:textId="2D5A610B" w:rsidR="00576F1C" w:rsidRPr="00A74D23" w:rsidRDefault="00576F1C" w:rsidP="00AD41C1">
      <w:pPr>
        <w:pStyle w:val="Style5"/>
        <w:numPr>
          <w:ilvl w:val="0"/>
          <w:numId w:val="0"/>
        </w:numPr>
        <w:spacing w:line="22" w:lineRule="atLeast"/>
        <w:ind w:left="709"/>
        <w:jc w:val="both"/>
        <w:rPr>
          <w:b/>
          <w:bCs/>
          <w:sz w:val="32"/>
          <w:szCs w:val="32"/>
        </w:rPr>
      </w:pPr>
    </w:p>
    <w:p w14:paraId="514DACF8" w14:textId="6DEBE288" w:rsidR="0019275C" w:rsidRPr="00A74D23" w:rsidRDefault="0019275C" w:rsidP="00590DD1">
      <w:pPr>
        <w:pStyle w:val="Style5"/>
        <w:numPr>
          <w:ilvl w:val="1"/>
          <w:numId w:val="67"/>
        </w:numPr>
        <w:spacing w:line="22" w:lineRule="atLeast"/>
        <w:ind w:left="709"/>
        <w:jc w:val="both"/>
        <w:rPr>
          <w:b/>
          <w:bCs/>
          <w:sz w:val="32"/>
          <w:szCs w:val="32"/>
        </w:rPr>
      </w:pPr>
      <w:r w:rsidRPr="00A74D23">
        <w:rPr>
          <w:b/>
          <w:bCs/>
          <w:sz w:val="32"/>
          <w:szCs w:val="32"/>
        </w:rPr>
        <w:t xml:space="preserve">Portefeuille d’investissement corporate </w:t>
      </w:r>
    </w:p>
    <w:p w14:paraId="17A8CF63" w14:textId="77777777" w:rsidR="00F20322" w:rsidRPr="00A74D23" w:rsidRDefault="00F20322" w:rsidP="00AD41C1">
      <w:pPr>
        <w:pStyle w:val="Style5"/>
        <w:numPr>
          <w:ilvl w:val="0"/>
          <w:numId w:val="0"/>
        </w:numPr>
        <w:spacing w:line="22" w:lineRule="atLeast"/>
        <w:ind w:left="709"/>
        <w:jc w:val="both"/>
        <w:rPr>
          <w:b/>
          <w:bCs/>
          <w:sz w:val="32"/>
          <w:szCs w:val="32"/>
        </w:rPr>
      </w:pPr>
    </w:p>
    <w:p w14:paraId="23A04A56" w14:textId="6CA7F87C" w:rsidR="00CD6AB9" w:rsidRPr="00A74D23" w:rsidRDefault="00F20322" w:rsidP="00590DD1">
      <w:pPr>
        <w:pStyle w:val="Style5"/>
        <w:numPr>
          <w:ilvl w:val="2"/>
          <w:numId w:val="67"/>
        </w:numPr>
        <w:spacing w:line="22" w:lineRule="atLeast"/>
        <w:ind w:left="709" w:hanging="774"/>
        <w:jc w:val="both"/>
        <w:rPr>
          <w:i/>
          <w:iCs/>
          <w:color w:val="8A2C24" w:themeColor="accent2"/>
          <w:sz w:val="28"/>
          <w:szCs w:val="28"/>
        </w:rPr>
      </w:pPr>
      <w:r w:rsidRPr="00A74D23">
        <w:rPr>
          <w:i/>
          <w:iCs/>
          <w:color w:val="8A2C24" w:themeColor="accent2"/>
          <w:sz w:val="28"/>
          <w:szCs w:val="28"/>
        </w:rPr>
        <w:t xml:space="preserve">Les risques </w:t>
      </w:r>
      <w:r w:rsidR="00AF428D" w:rsidRPr="00A74D23">
        <w:rPr>
          <w:i/>
          <w:iCs/>
          <w:color w:val="8A2C24" w:themeColor="accent2"/>
          <w:sz w:val="28"/>
          <w:szCs w:val="28"/>
        </w:rPr>
        <w:t>liés au changement climatique</w:t>
      </w:r>
    </w:p>
    <w:p w14:paraId="696E0080" w14:textId="77777777" w:rsidR="006155DA" w:rsidRPr="00A74D23" w:rsidRDefault="006155DA" w:rsidP="009D6EE5">
      <w:pPr>
        <w:pStyle w:val="Style5"/>
        <w:numPr>
          <w:ilvl w:val="0"/>
          <w:numId w:val="0"/>
        </w:numPr>
        <w:spacing w:line="22" w:lineRule="atLeast"/>
        <w:jc w:val="both"/>
        <w:rPr>
          <w:b/>
          <w:bCs/>
          <w:sz w:val="28"/>
          <w:szCs w:val="28"/>
        </w:rPr>
      </w:pPr>
    </w:p>
    <w:p w14:paraId="0C788409" w14:textId="4AC6E967" w:rsidR="00445235" w:rsidRPr="00A74D23" w:rsidRDefault="000707FF" w:rsidP="00590DD1">
      <w:pPr>
        <w:pStyle w:val="Style5"/>
        <w:numPr>
          <w:ilvl w:val="0"/>
          <w:numId w:val="99"/>
        </w:numPr>
        <w:spacing w:line="22" w:lineRule="atLeast"/>
        <w:jc w:val="both"/>
        <w:rPr>
          <w:b/>
          <w:bCs/>
          <w:sz w:val="28"/>
          <w:szCs w:val="28"/>
        </w:rPr>
      </w:pPr>
      <w:r w:rsidRPr="00A74D23">
        <w:rPr>
          <w:b/>
          <w:bCs/>
          <w:sz w:val="28"/>
          <w:szCs w:val="28"/>
        </w:rPr>
        <w:t>Risques de transition</w:t>
      </w:r>
      <w:r w:rsidR="00EB4EE5" w:rsidRPr="00A74D23">
        <w:rPr>
          <w:b/>
          <w:bCs/>
          <w:sz w:val="28"/>
          <w:szCs w:val="28"/>
        </w:rPr>
        <w:t xml:space="preserve"> climatique</w:t>
      </w:r>
    </w:p>
    <w:p w14:paraId="05042D0E" w14:textId="47C6EF31" w:rsidR="009300DA" w:rsidRPr="00A74D23" w:rsidRDefault="00B208DD" w:rsidP="009D6EE5">
      <w:pPr>
        <w:pStyle w:val="Style5"/>
        <w:numPr>
          <w:ilvl w:val="0"/>
          <w:numId w:val="0"/>
        </w:numPr>
        <w:spacing w:line="22" w:lineRule="atLeast"/>
        <w:jc w:val="both"/>
        <w:rPr>
          <w:sz w:val="20"/>
          <w:szCs w:val="20"/>
        </w:rPr>
      </w:pPr>
      <w:r w:rsidRPr="00A74D23">
        <w:rPr>
          <w:sz w:val="20"/>
          <w:szCs w:val="20"/>
        </w:rPr>
        <w:t>Les risques de transition liés au changement climatique dépendent étroitement des trajectoires de transition retenues. Les coûts associés résultent de facteurs exogènes multiples, notamment l’évolution des politiques publiques, des cadres réglementaires, des technologies et du comportement des investisseurs, et varient en fonction des scénarios prospectifs considérés.</w:t>
      </w:r>
    </w:p>
    <w:p w14:paraId="07FA4867" w14:textId="77777777" w:rsidR="00703933" w:rsidRPr="00A74D23" w:rsidRDefault="00703933" w:rsidP="009D6EE5">
      <w:pPr>
        <w:pStyle w:val="Style5"/>
        <w:numPr>
          <w:ilvl w:val="0"/>
          <w:numId w:val="0"/>
        </w:numPr>
        <w:spacing w:line="22" w:lineRule="atLeast"/>
        <w:jc w:val="both"/>
        <w:rPr>
          <w:sz w:val="20"/>
          <w:szCs w:val="20"/>
        </w:rPr>
      </w:pPr>
    </w:p>
    <w:p w14:paraId="58A35EEB" w14:textId="6BAE2C18" w:rsidR="00703933" w:rsidRPr="00A74D23" w:rsidRDefault="00915449" w:rsidP="00AD41C1">
      <w:pPr>
        <w:pStyle w:val="Style5"/>
        <w:numPr>
          <w:ilvl w:val="0"/>
          <w:numId w:val="0"/>
        </w:numPr>
        <w:spacing w:line="22" w:lineRule="atLeast"/>
        <w:rPr>
          <w:b/>
          <w:bCs/>
          <w:u w:val="single"/>
          <w:lang w:val="en-US"/>
        </w:rPr>
      </w:pPr>
      <w:r w:rsidRPr="00A74D23">
        <w:rPr>
          <w:b/>
          <w:bCs/>
          <w:u w:val="single"/>
          <w:lang w:val="en-US"/>
        </w:rPr>
        <w:t>Scénarios du Network for Greening the Financial System (NGFS)</w:t>
      </w:r>
    </w:p>
    <w:p w14:paraId="47B668DD" w14:textId="1717468B" w:rsidR="00703933" w:rsidRPr="00A74D23" w:rsidRDefault="00AD41C1" w:rsidP="009D6EE5">
      <w:pPr>
        <w:pStyle w:val="Style5"/>
        <w:numPr>
          <w:ilvl w:val="0"/>
          <w:numId w:val="0"/>
        </w:numPr>
        <w:spacing w:line="22" w:lineRule="atLeast"/>
        <w:jc w:val="both"/>
        <w:rPr>
          <w:sz w:val="20"/>
          <w:szCs w:val="20"/>
          <w:lang w:val="en-US"/>
        </w:rPr>
      </w:pPr>
      <w:r w:rsidRPr="00A74D23">
        <w:rPr>
          <w:rFonts w:cs="Open Sans"/>
          <w:noProof/>
        </w:rPr>
        <w:drawing>
          <wp:anchor distT="0" distB="0" distL="114300" distR="114300" simplePos="0" relativeHeight="251840512" behindDoc="0" locked="0" layoutInCell="1" allowOverlap="1" wp14:anchorId="3DE8F64B" wp14:editId="72FA101E">
            <wp:simplePos x="0" y="0"/>
            <wp:positionH relativeFrom="margin">
              <wp:align>left</wp:align>
            </wp:positionH>
            <wp:positionV relativeFrom="paragraph">
              <wp:posOffset>9525</wp:posOffset>
            </wp:positionV>
            <wp:extent cx="2943860" cy="2814320"/>
            <wp:effectExtent l="0" t="0" r="8890" b="5080"/>
            <wp:wrapSquare wrapText="bothSides"/>
            <wp:docPr id="501801702" name="Image 6" descr="Une image contenant texte, capture d’écran, Police, diagramme&#10;&#10;Le contenu généré par l’IA peut être incorrect.">
              <a:extLst xmlns:a="http://schemas.openxmlformats.org/drawingml/2006/main">
                <a:ext uri="{FF2B5EF4-FFF2-40B4-BE49-F238E27FC236}">
                  <a16:creationId xmlns:a16="http://schemas.microsoft.com/office/drawing/2014/main" id="{90C9D63C-7AE1-C3B1-9C0E-E1079EF8D8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descr="Une image contenant texte, capture d’écran, Police, diagramme&#10;&#10;Le contenu généré par l’IA peut être incorrect.">
                      <a:extLst>
                        <a:ext uri="{FF2B5EF4-FFF2-40B4-BE49-F238E27FC236}">
                          <a16:creationId xmlns:a16="http://schemas.microsoft.com/office/drawing/2014/main" id="{90C9D63C-7AE1-C3B1-9C0E-E1079EF8D89A}"/>
                        </a:ext>
                      </a:extLst>
                    </pic:cNvPr>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2943860" cy="2814320"/>
                    </a:xfrm>
                    <a:prstGeom prst="rect">
                      <a:avLst/>
                    </a:prstGeom>
                  </pic:spPr>
                </pic:pic>
              </a:graphicData>
            </a:graphic>
            <wp14:sizeRelH relativeFrom="margin">
              <wp14:pctWidth>0</wp14:pctWidth>
            </wp14:sizeRelH>
            <wp14:sizeRelV relativeFrom="margin">
              <wp14:pctHeight>0</wp14:pctHeight>
            </wp14:sizeRelV>
          </wp:anchor>
        </w:drawing>
      </w:r>
    </w:p>
    <w:p w14:paraId="5CA71DD4" w14:textId="3F77B9FA" w:rsidR="00AD41C1" w:rsidRPr="00A74D23" w:rsidRDefault="00AD41C1" w:rsidP="009D6EE5">
      <w:pPr>
        <w:pStyle w:val="Style5"/>
        <w:numPr>
          <w:ilvl w:val="0"/>
          <w:numId w:val="0"/>
        </w:numPr>
        <w:spacing w:line="22" w:lineRule="atLeast"/>
        <w:jc w:val="both"/>
        <w:rPr>
          <w:sz w:val="20"/>
          <w:szCs w:val="20"/>
          <w:lang w:val="en-US"/>
        </w:rPr>
      </w:pPr>
    </w:p>
    <w:p w14:paraId="110E609C" w14:textId="10B2D3B0" w:rsidR="00AD41C1" w:rsidRPr="00A74D23" w:rsidRDefault="00AD41C1" w:rsidP="009D6EE5">
      <w:pPr>
        <w:pStyle w:val="Style5"/>
        <w:numPr>
          <w:ilvl w:val="0"/>
          <w:numId w:val="0"/>
        </w:numPr>
        <w:spacing w:line="22" w:lineRule="atLeast"/>
        <w:jc w:val="both"/>
        <w:rPr>
          <w:sz w:val="20"/>
          <w:szCs w:val="20"/>
          <w:lang w:val="en-US"/>
        </w:rPr>
      </w:pPr>
    </w:p>
    <w:p w14:paraId="73520758" w14:textId="312C99DB" w:rsidR="00AD41C1" w:rsidRPr="00A74D23" w:rsidRDefault="00AD41C1" w:rsidP="009D6EE5">
      <w:pPr>
        <w:pStyle w:val="Style5"/>
        <w:numPr>
          <w:ilvl w:val="0"/>
          <w:numId w:val="0"/>
        </w:numPr>
        <w:spacing w:line="22" w:lineRule="atLeast"/>
        <w:jc w:val="both"/>
        <w:rPr>
          <w:sz w:val="20"/>
          <w:szCs w:val="20"/>
          <w:lang w:val="en-US"/>
        </w:rPr>
      </w:pPr>
    </w:p>
    <w:p w14:paraId="299CE07E" w14:textId="77777777" w:rsidR="00AD41C1" w:rsidRPr="00A74D23" w:rsidRDefault="00AD41C1" w:rsidP="009D6EE5">
      <w:pPr>
        <w:pStyle w:val="Style5"/>
        <w:numPr>
          <w:ilvl w:val="0"/>
          <w:numId w:val="0"/>
        </w:numPr>
        <w:spacing w:line="22" w:lineRule="atLeast"/>
        <w:jc w:val="both"/>
        <w:rPr>
          <w:sz w:val="20"/>
          <w:szCs w:val="20"/>
          <w:lang w:val="en-US"/>
        </w:rPr>
      </w:pPr>
    </w:p>
    <w:p w14:paraId="46C2E12F" w14:textId="77777777" w:rsidR="00AD41C1" w:rsidRPr="00A74D23" w:rsidRDefault="00AD41C1" w:rsidP="009D6EE5">
      <w:pPr>
        <w:pStyle w:val="Style5"/>
        <w:numPr>
          <w:ilvl w:val="0"/>
          <w:numId w:val="0"/>
        </w:numPr>
        <w:spacing w:line="22" w:lineRule="atLeast"/>
        <w:jc w:val="both"/>
        <w:rPr>
          <w:sz w:val="20"/>
          <w:szCs w:val="20"/>
          <w:lang w:val="en-US"/>
        </w:rPr>
      </w:pPr>
    </w:p>
    <w:p w14:paraId="343ECCBA" w14:textId="77777777" w:rsidR="00AD41C1" w:rsidRPr="00A74D23" w:rsidRDefault="00AD41C1" w:rsidP="009D6EE5">
      <w:pPr>
        <w:pStyle w:val="Style5"/>
        <w:numPr>
          <w:ilvl w:val="0"/>
          <w:numId w:val="0"/>
        </w:numPr>
        <w:spacing w:line="22" w:lineRule="atLeast"/>
        <w:jc w:val="both"/>
        <w:rPr>
          <w:sz w:val="20"/>
          <w:szCs w:val="20"/>
          <w:lang w:val="en-US"/>
        </w:rPr>
      </w:pPr>
    </w:p>
    <w:p w14:paraId="174B5138" w14:textId="77777777" w:rsidR="00AD41C1" w:rsidRPr="00A74D23" w:rsidRDefault="00AD41C1" w:rsidP="009D6EE5">
      <w:pPr>
        <w:pStyle w:val="Style5"/>
        <w:numPr>
          <w:ilvl w:val="0"/>
          <w:numId w:val="0"/>
        </w:numPr>
        <w:spacing w:line="22" w:lineRule="atLeast"/>
        <w:jc w:val="both"/>
        <w:rPr>
          <w:sz w:val="20"/>
          <w:szCs w:val="20"/>
          <w:lang w:val="en-US"/>
        </w:rPr>
      </w:pPr>
    </w:p>
    <w:p w14:paraId="6A6B18B6" w14:textId="77777777" w:rsidR="00AD41C1" w:rsidRPr="00A74D23" w:rsidRDefault="00AD41C1" w:rsidP="009D6EE5">
      <w:pPr>
        <w:pStyle w:val="Style5"/>
        <w:numPr>
          <w:ilvl w:val="0"/>
          <w:numId w:val="0"/>
        </w:numPr>
        <w:spacing w:line="22" w:lineRule="atLeast"/>
        <w:jc w:val="both"/>
        <w:rPr>
          <w:sz w:val="20"/>
          <w:szCs w:val="20"/>
          <w:lang w:val="en-US"/>
        </w:rPr>
      </w:pPr>
    </w:p>
    <w:p w14:paraId="7A371E18" w14:textId="77777777" w:rsidR="00AD41C1" w:rsidRPr="00A74D23" w:rsidRDefault="00AD41C1" w:rsidP="009D6EE5">
      <w:pPr>
        <w:pStyle w:val="Style5"/>
        <w:numPr>
          <w:ilvl w:val="0"/>
          <w:numId w:val="0"/>
        </w:numPr>
        <w:spacing w:line="22" w:lineRule="atLeast"/>
        <w:jc w:val="both"/>
        <w:rPr>
          <w:sz w:val="20"/>
          <w:szCs w:val="20"/>
          <w:lang w:val="en-US"/>
        </w:rPr>
      </w:pPr>
    </w:p>
    <w:p w14:paraId="7053688C" w14:textId="77777777" w:rsidR="00AD41C1" w:rsidRPr="00A74D23" w:rsidRDefault="00AD41C1" w:rsidP="009D6EE5">
      <w:pPr>
        <w:pStyle w:val="Style5"/>
        <w:numPr>
          <w:ilvl w:val="0"/>
          <w:numId w:val="0"/>
        </w:numPr>
        <w:spacing w:line="22" w:lineRule="atLeast"/>
        <w:jc w:val="both"/>
        <w:rPr>
          <w:sz w:val="20"/>
          <w:szCs w:val="20"/>
          <w:lang w:val="en-US"/>
        </w:rPr>
      </w:pPr>
    </w:p>
    <w:p w14:paraId="5BA3D486" w14:textId="77777777" w:rsidR="00AD41C1" w:rsidRPr="00A74D23" w:rsidRDefault="00AD41C1" w:rsidP="009D6EE5">
      <w:pPr>
        <w:pStyle w:val="Style5"/>
        <w:numPr>
          <w:ilvl w:val="0"/>
          <w:numId w:val="0"/>
        </w:numPr>
        <w:spacing w:line="22" w:lineRule="atLeast"/>
        <w:jc w:val="both"/>
        <w:rPr>
          <w:sz w:val="20"/>
          <w:szCs w:val="20"/>
          <w:lang w:val="en-US"/>
        </w:rPr>
      </w:pPr>
    </w:p>
    <w:p w14:paraId="71509348" w14:textId="77777777" w:rsidR="00AD41C1" w:rsidRPr="00A74D23" w:rsidRDefault="00AD41C1" w:rsidP="009D6EE5">
      <w:pPr>
        <w:pStyle w:val="Style5"/>
        <w:numPr>
          <w:ilvl w:val="0"/>
          <w:numId w:val="0"/>
        </w:numPr>
        <w:spacing w:line="22" w:lineRule="atLeast"/>
        <w:jc w:val="both"/>
        <w:rPr>
          <w:sz w:val="20"/>
          <w:szCs w:val="20"/>
          <w:lang w:val="en-US"/>
        </w:rPr>
      </w:pPr>
    </w:p>
    <w:p w14:paraId="19ED65F8" w14:textId="77777777" w:rsidR="00AD41C1" w:rsidRPr="00A74D23" w:rsidRDefault="00AD41C1" w:rsidP="009D6EE5">
      <w:pPr>
        <w:pStyle w:val="Style5"/>
        <w:numPr>
          <w:ilvl w:val="0"/>
          <w:numId w:val="0"/>
        </w:numPr>
        <w:spacing w:line="22" w:lineRule="atLeast"/>
        <w:jc w:val="both"/>
        <w:rPr>
          <w:sz w:val="20"/>
          <w:szCs w:val="20"/>
          <w:lang w:val="en-US"/>
        </w:rPr>
      </w:pPr>
    </w:p>
    <w:p w14:paraId="61A0B38E" w14:textId="77777777" w:rsidR="00AD41C1" w:rsidRPr="00A74D23" w:rsidRDefault="00AD41C1" w:rsidP="009D6EE5">
      <w:pPr>
        <w:pStyle w:val="Style5"/>
        <w:numPr>
          <w:ilvl w:val="0"/>
          <w:numId w:val="0"/>
        </w:numPr>
        <w:spacing w:line="22" w:lineRule="atLeast"/>
        <w:jc w:val="both"/>
        <w:rPr>
          <w:sz w:val="20"/>
          <w:szCs w:val="20"/>
          <w:lang w:val="en-US"/>
        </w:rPr>
      </w:pPr>
    </w:p>
    <w:p w14:paraId="648DD7C9" w14:textId="77777777" w:rsidR="00AD41C1" w:rsidRPr="00A74D23" w:rsidRDefault="00AD41C1" w:rsidP="009D6EE5">
      <w:pPr>
        <w:pStyle w:val="Style5"/>
        <w:numPr>
          <w:ilvl w:val="0"/>
          <w:numId w:val="0"/>
        </w:numPr>
        <w:spacing w:line="22" w:lineRule="atLeast"/>
        <w:jc w:val="both"/>
        <w:rPr>
          <w:sz w:val="20"/>
          <w:szCs w:val="20"/>
          <w:lang w:val="en-US"/>
        </w:rPr>
      </w:pPr>
    </w:p>
    <w:p w14:paraId="73E87495" w14:textId="77777777" w:rsidR="00AD41C1" w:rsidRPr="00A74D23" w:rsidRDefault="00AD41C1" w:rsidP="009D6EE5">
      <w:pPr>
        <w:pStyle w:val="Style5"/>
        <w:numPr>
          <w:ilvl w:val="0"/>
          <w:numId w:val="0"/>
        </w:numPr>
        <w:spacing w:line="22" w:lineRule="atLeast"/>
        <w:jc w:val="both"/>
        <w:rPr>
          <w:sz w:val="20"/>
          <w:szCs w:val="20"/>
          <w:lang w:val="en-US"/>
        </w:rPr>
      </w:pPr>
    </w:p>
    <w:p w14:paraId="6162DD0E" w14:textId="77777777" w:rsidR="00AD41C1" w:rsidRPr="00A74D23" w:rsidRDefault="00AD41C1" w:rsidP="009D6EE5">
      <w:pPr>
        <w:pStyle w:val="Style5"/>
        <w:numPr>
          <w:ilvl w:val="0"/>
          <w:numId w:val="0"/>
        </w:numPr>
        <w:spacing w:line="22" w:lineRule="atLeast"/>
        <w:jc w:val="both"/>
        <w:rPr>
          <w:sz w:val="20"/>
          <w:szCs w:val="20"/>
          <w:lang w:val="en-US"/>
        </w:rPr>
      </w:pPr>
    </w:p>
    <w:p w14:paraId="7F979627" w14:textId="77777777" w:rsidR="00AD41C1" w:rsidRPr="00A74D23" w:rsidRDefault="00AD41C1" w:rsidP="009D6EE5">
      <w:pPr>
        <w:pStyle w:val="Style5"/>
        <w:numPr>
          <w:ilvl w:val="0"/>
          <w:numId w:val="0"/>
        </w:numPr>
        <w:spacing w:line="22" w:lineRule="atLeast"/>
        <w:jc w:val="both"/>
        <w:rPr>
          <w:sz w:val="20"/>
          <w:szCs w:val="20"/>
          <w:lang w:val="en-US"/>
        </w:rPr>
      </w:pPr>
    </w:p>
    <w:p w14:paraId="1D23A4B5" w14:textId="7E4955FE" w:rsidR="00B208DD" w:rsidRPr="00A74D23" w:rsidRDefault="00765954" w:rsidP="009D6EE5">
      <w:pPr>
        <w:pStyle w:val="Style5"/>
        <w:numPr>
          <w:ilvl w:val="0"/>
          <w:numId w:val="0"/>
        </w:numPr>
        <w:spacing w:line="22" w:lineRule="atLeast"/>
        <w:ind w:left="142"/>
        <w:jc w:val="both"/>
        <w:rPr>
          <w:sz w:val="20"/>
          <w:szCs w:val="20"/>
        </w:rPr>
      </w:pPr>
      <w:r w:rsidRPr="00A74D23">
        <w:rPr>
          <w:sz w:val="20"/>
          <w:szCs w:val="20"/>
        </w:rPr>
        <w:t xml:space="preserve">Les scénarios développés par le Network for Greening the Financial System (NGFS) mettent en évidence des </w:t>
      </w:r>
      <w:r w:rsidR="00445235" w:rsidRPr="00A74D23">
        <w:rPr>
          <w:sz w:val="20"/>
          <w:szCs w:val="20"/>
        </w:rPr>
        <w:t>profils</w:t>
      </w:r>
      <w:r w:rsidRPr="00A74D23">
        <w:rPr>
          <w:sz w:val="20"/>
          <w:szCs w:val="20"/>
        </w:rPr>
        <w:t xml:space="preserve"> de risques contrastés à horizon 2030 :</w:t>
      </w:r>
      <w:r w:rsidR="00915449" w:rsidRPr="00A74D23">
        <w:rPr>
          <w:sz w:val="20"/>
          <w:szCs w:val="20"/>
        </w:rPr>
        <w:t xml:space="preserve"> </w:t>
      </w:r>
      <w:r w:rsidRPr="00A74D23">
        <w:rPr>
          <w:sz w:val="20"/>
          <w:szCs w:val="20"/>
        </w:rPr>
        <w:t>un scénario de transition retardée implique des coûts de transition limités à court terme pour les entreprises ;</w:t>
      </w:r>
      <w:r w:rsidR="00915449" w:rsidRPr="00A74D23">
        <w:rPr>
          <w:sz w:val="20"/>
          <w:szCs w:val="20"/>
        </w:rPr>
        <w:t xml:space="preserve"> </w:t>
      </w:r>
      <w:r w:rsidRPr="00A74D23">
        <w:rPr>
          <w:sz w:val="20"/>
          <w:szCs w:val="20"/>
        </w:rPr>
        <w:t>un scénario de type Net Zero se traduit par des ajustements plus rapides et plus significatifs, susceptibles d’entraîner des impacts financiers plus marqués.</w:t>
      </w:r>
    </w:p>
    <w:p w14:paraId="3535C61F" w14:textId="23C9AF6C" w:rsidR="003F0A19" w:rsidRPr="00A74D23" w:rsidRDefault="003F0A19" w:rsidP="009D6EE5">
      <w:pPr>
        <w:pStyle w:val="Style5"/>
        <w:numPr>
          <w:ilvl w:val="0"/>
          <w:numId w:val="0"/>
        </w:numPr>
        <w:spacing w:line="22" w:lineRule="atLeast"/>
        <w:ind w:left="142"/>
        <w:jc w:val="both"/>
        <w:rPr>
          <w:sz w:val="20"/>
          <w:szCs w:val="20"/>
        </w:rPr>
      </w:pPr>
      <w:r w:rsidRPr="00A74D23">
        <w:rPr>
          <w:sz w:val="20"/>
          <w:szCs w:val="20"/>
        </w:rPr>
        <w:t xml:space="preserve">Dans ce contexte, Abeille Assurances s’attache à identifier le scénario de transition jugé le plus plausible afin d’estimer de manière appropriée les pertes potentielles associées à son portefeuille d’investissements corporate et d’éclairer ses décisions stratégiques. Cette analyse prospective constitue un élément structurant de la démarche présentée dans la partie </w:t>
      </w:r>
      <w:r w:rsidR="00B00E8E" w:rsidRPr="00A74D23">
        <w:rPr>
          <w:sz w:val="20"/>
          <w:szCs w:val="20"/>
        </w:rPr>
        <w:t>G</w:t>
      </w:r>
      <w:r w:rsidRPr="00A74D23">
        <w:rPr>
          <w:sz w:val="20"/>
          <w:szCs w:val="20"/>
        </w:rPr>
        <w:t xml:space="preserve"> « Alignement » du présent rapport.</w:t>
      </w:r>
    </w:p>
    <w:p w14:paraId="594BA01F" w14:textId="77777777" w:rsidR="005E2395" w:rsidRPr="00A74D23" w:rsidRDefault="005E2395" w:rsidP="009D6EE5">
      <w:pPr>
        <w:pStyle w:val="Style5"/>
        <w:numPr>
          <w:ilvl w:val="0"/>
          <w:numId w:val="0"/>
        </w:numPr>
        <w:spacing w:line="22" w:lineRule="atLeast"/>
        <w:ind w:left="142"/>
        <w:jc w:val="both"/>
        <w:rPr>
          <w:sz w:val="20"/>
          <w:szCs w:val="20"/>
        </w:rPr>
      </w:pPr>
    </w:p>
    <w:p w14:paraId="3D02B7BF" w14:textId="77777777" w:rsidR="003F0A19" w:rsidRPr="00A74D23" w:rsidRDefault="003F0A19" w:rsidP="009D6EE5">
      <w:pPr>
        <w:pStyle w:val="Style5"/>
        <w:numPr>
          <w:ilvl w:val="0"/>
          <w:numId w:val="0"/>
        </w:numPr>
        <w:spacing w:line="22" w:lineRule="atLeast"/>
        <w:jc w:val="both"/>
        <w:rPr>
          <w:sz w:val="20"/>
          <w:szCs w:val="20"/>
        </w:rPr>
      </w:pPr>
    </w:p>
    <w:p w14:paraId="19572A19" w14:textId="7D4F6D14" w:rsidR="003F0A19" w:rsidRPr="00A74D23" w:rsidRDefault="003F0A19" w:rsidP="009D6EE5">
      <w:pPr>
        <w:pStyle w:val="Style5"/>
        <w:numPr>
          <w:ilvl w:val="0"/>
          <w:numId w:val="0"/>
        </w:numPr>
        <w:spacing w:line="22" w:lineRule="atLeast"/>
        <w:ind w:left="142"/>
        <w:jc w:val="both"/>
        <w:rPr>
          <w:i/>
          <w:iCs/>
        </w:rPr>
      </w:pPr>
      <w:r w:rsidRPr="00A74D23">
        <w:rPr>
          <w:b/>
          <w:bCs/>
          <w:i/>
          <w:iCs/>
        </w:rPr>
        <w:t>Indicateurs mobilisés</w:t>
      </w:r>
      <w:r w:rsidR="002D2F05" w:rsidRPr="00A74D23">
        <w:rPr>
          <w:b/>
          <w:bCs/>
          <w:i/>
          <w:iCs/>
        </w:rPr>
        <w:t xml:space="preserve"> (KRI)</w:t>
      </w:r>
    </w:p>
    <w:p w14:paraId="1C1A1CB1" w14:textId="5D08EC22" w:rsidR="003F0A19" w:rsidRPr="00A74D23" w:rsidRDefault="003F0A19" w:rsidP="009D6EE5">
      <w:pPr>
        <w:pStyle w:val="Style5"/>
        <w:numPr>
          <w:ilvl w:val="0"/>
          <w:numId w:val="0"/>
        </w:numPr>
        <w:spacing w:line="22" w:lineRule="atLeast"/>
        <w:ind w:left="142"/>
        <w:jc w:val="both"/>
        <w:rPr>
          <w:sz w:val="20"/>
          <w:szCs w:val="20"/>
        </w:rPr>
      </w:pPr>
      <w:r w:rsidRPr="00A74D23">
        <w:rPr>
          <w:sz w:val="20"/>
          <w:szCs w:val="20"/>
        </w:rPr>
        <w:t>L’évaluation des risques de transition climatique repose sur plusieurs indicateurs de suivi, parmi lesquels :</w:t>
      </w:r>
    </w:p>
    <w:p w14:paraId="30CB7537" w14:textId="5EEDDE81" w:rsidR="003F0A19" w:rsidRPr="00A74D23" w:rsidRDefault="003F0A19" w:rsidP="00590DD1">
      <w:pPr>
        <w:pStyle w:val="Style5"/>
        <w:numPr>
          <w:ilvl w:val="0"/>
          <w:numId w:val="59"/>
        </w:numPr>
        <w:spacing w:line="22" w:lineRule="atLeast"/>
        <w:jc w:val="both"/>
        <w:rPr>
          <w:sz w:val="20"/>
          <w:szCs w:val="20"/>
        </w:rPr>
      </w:pPr>
      <w:r w:rsidRPr="00A74D23">
        <w:rPr>
          <w:sz w:val="20"/>
          <w:szCs w:val="20"/>
        </w:rPr>
        <w:t xml:space="preserve">l’intensité carbone </w:t>
      </w:r>
      <w:r w:rsidR="00AD41C1" w:rsidRPr="00A74D23">
        <w:rPr>
          <w:sz w:val="20"/>
          <w:szCs w:val="20"/>
        </w:rPr>
        <w:t xml:space="preserve">moyenne </w:t>
      </w:r>
      <w:r w:rsidRPr="00A74D23">
        <w:rPr>
          <w:sz w:val="20"/>
          <w:szCs w:val="20"/>
        </w:rPr>
        <w:t xml:space="preserve">des </w:t>
      </w:r>
      <w:r w:rsidR="00445235" w:rsidRPr="00A74D23">
        <w:rPr>
          <w:sz w:val="20"/>
          <w:szCs w:val="20"/>
        </w:rPr>
        <w:t>portefeuilles</w:t>
      </w:r>
      <w:r w:rsidRPr="00A74D23">
        <w:rPr>
          <w:sz w:val="20"/>
          <w:szCs w:val="20"/>
        </w:rPr>
        <w:t>* ;</w:t>
      </w:r>
    </w:p>
    <w:p w14:paraId="085C7A54" w14:textId="75C7736E" w:rsidR="003F0A19" w:rsidRPr="00A74D23" w:rsidRDefault="003F0A19" w:rsidP="00590DD1">
      <w:pPr>
        <w:pStyle w:val="Style5"/>
        <w:numPr>
          <w:ilvl w:val="0"/>
          <w:numId w:val="59"/>
        </w:numPr>
        <w:spacing w:line="22" w:lineRule="atLeast"/>
        <w:jc w:val="both"/>
        <w:rPr>
          <w:sz w:val="20"/>
          <w:szCs w:val="20"/>
        </w:rPr>
      </w:pPr>
      <w:r w:rsidRPr="00A74D23">
        <w:rPr>
          <w:sz w:val="20"/>
          <w:szCs w:val="20"/>
        </w:rPr>
        <w:t>les indicateurs d’alignement climatique (</w:t>
      </w:r>
      <w:r w:rsidR="00445235" w:rsidRPr="00A74D23">
        <w:rPr>
          <w:sz w:val="20"/>
          <w:szCs w:val="20"/>
        </w:rPr>
        <w:t>%</w:t>
      </w:r>
      <w:r w:rsidRPr="00A74D23">
        <w:rPr>
          <w:sz w:val="20"/>
          <w:szCs w:val="20"/>
        </w:rPr>
        <w:t xml:space="preserve"> d’actifs alignés sur des trajectoires Net Zero, indicateurs de température implicite)* ;</w:t>
      </w:r>
    </w:p>
    <w:p w14:paraId="5ECD9698" w14:textId="4D7ACBB4" w:rsidR="003F0A19" w:rsidRPr="00A74D23" w:rsidRDefault="003F0A19" w:rsidP="00590DD1">
      <w:pPr>
        <w:pStyle w:val="Style5"/>
        <w:numPr>
          <w:ilvl w:val="0"/>
          <w:numId w:val="59"/>
        </w:numPr>
        <w:spacing w:line="22" w:lineRule="atLeast"/>
        <w:jc w:val="both"/>
        <w:rPr>
          <w:sz w:val="20"/>
          <w:szCs w:val="20"/>
        </w:rPr>
      </w:pPr>
      <w:r w:rsidRPr="00A74D23">
        <w:rPr>
          <w:sz w:val="20"/>
          <w:szCs w:val="20"/>
        </w:rPr>
        <w:t>le niveau d’exposition aux industries fossiles</w:t>
      </w:r>
      <w:r w:rsidR="00AD41C1" w:rsidRPr="00A74D23">
        <w:rPr>
          <w:sz w:val="20"/>
          <w:szCs w:val="20"/>
        </w:rPr>
        <w:t> ;</w:t>
      </w:r>
    </w:p>
    <w:p w14:paraId="10173A43" w14:textId="0CF9570F" w:rsidR="003F0A19" w:rsidRPr="00A74D23" w:rsidRDefault="003F0A19" w:rsidP="00590DD1">
      <w:pPr>
        <w:pStyle w:val="Style5"/>
        <w:numPr>
          <w:ilvl w:val="0"/>
          <w:numId w:val="59"/>
        </w:numPr>
        <w:spacing w:line="22" w:lineRule="atLeast"/>
        <w:jc w:val="both"/>
        <w:rPr>
          <w:sz w:val="20"/>
          <w:szCs w:val="20"/>
        </w:rPr>
      </w:pPr>
      <w:r w:rsidRPr="00A74D23">
        <w:rPr>
          <w:sz w:val="20"/>
          <w:szCs w:val="20"/>
        </w:rPr>
        <w:t>les résultats de la Climate Value at Risk</w:t>
      </w:r>
      <w:r w:rsidR="00EB4EE5" w:rsidRPr="00A74D23">
        <w:rPr>
          <w:sz w:val="20"/>
          <w:szCs w:val="20"/>
        </w:rPr>
        <w:t>, partie spécifique aux</w:t>
      </w:r>
      <w:r w:rsidRPr="00A74D23">
        <w:rPr>
          <w:sz w:val="20"/>
          <w:szCs w:val="20"/>
        </w:rPr>
        <w:t xml:space="preserve"> risques de transition.</w:t>
      </w:r>
    </w:p>
    <w:p w14:paraId="2C19D1CC" w14:textId="77777777" w:rsidR="003F0A19" w:rsidRPr="00A74D23" w:rsidRDefault="003F0A19" w:rsidP="009D6EE5">
      <w:pPr>
        <w:pStyle w:val="Style5"/>
        <w:numPr>
          <w:ilvl w:val="0"/>
          <w:numId w:val="0"/>
        </w:numPr>
        <w:spacing w:line="22" w:lineRule="atLeast"/>
        <w:ind w:left="1080"/>
        <w:jc w:val="both"/>
        <w:rPr>
          <w:i/>
          <w:iCs/>
          <w:sz w:val="20"/>
          <w:szCs w:val="20"/>
        </w:rPr>
      </w:pPr>
    </w:p>
    <w:p w14:paraId="08296DF3" w14:textId="28735403" w:rsidR="003F0A19" w:rsidRPr="00A74D23" w:rsidRDefault="00F42DFB" w:rsidP="009D6EE5">
      <w:pPr>
        <w:pStyle w:val="Style5"/>
        <w:numPr>
          <w:ilvl w:val="0"/>
          <w:numId w:val="0"/>
        </w:numPr>
        <w:spacing w:line="22" w:lineRule="atLeast"/>
        <w:jc w:val="both"/>
        <w:rPr>
          <w:sz w:val="20"/>
          <w:szCs w:val="20"/>
        </w:rPr>
      </w:pPr>
      <w:r w:rsidRPr="00A74D23">
        <w:rPr>
          <w:sz w:val="20"/>
          <w:szCs w:val="20"/>
        </w:rPr>
        <w:t>*</w:t>
      </w:r>
      <w:r w:rsidRPr="00A74D23">
        <w:t xml:space="preserve"> </w:t>
      </w:r>
      <w:r w:rsidRPr="00A74D23">
        <w:rPr>
          <w:sz w:val="20"/>
          <w:szCs w:val="20"/>
        </w:rPr>
        <w:t xml:space="preserve">Les résultats relatifs aux indicateurs directement associés à la stratégie </w:t>
      </w:r>
      <w:r w:rsidR="00AD41C1" w:rsidRPr="00A74D23">
        <w:rPr>
          <w:sz w:val="20"/>
          <w:szCs w:val="20"/>
        </w:rPr>
        <w:t>d’alignement Net Zero</w:t>
      </w:r>
      <w:r w:rsidRPr="00A74D23">
        <w:rPr>
          <w:sz w:val="20"/>
          <w:szCs w:val="20"/>
        </w:rPr>
        <w:t xml:space="preserve"> sont présentés dans la partie </w:t>
      </w:r>
      <w:r w:rsidR="00B00E8E" w:rsidRPr="00A74D23">
        <w:rPr>
          <w:sz w:val="20"/>
          <w:szCs w:val="20"/>
        </w:rPr>
        <w:t>G</w:t>
      </w:r>
      <w:r w:rsidRPr="00A74D23">
        <w:rPr>
          <w:sz w:val="20"/>
          <w:szCs w:val="20"/>
        </w:rPr>
        <w:t xml:space="preserve"> du rapport.</w:t>
      </w:r>
    </w:p>
    <w:p w14:paraId="18D71E2A" w14:textId="77777777" w:rsidR="001D159C" w:rsidRPr="00A74D23" w:rsidRDefault="001D159C" w:rsidP="009D6EE5">
      <w:pPr>
        <w:pStyle w:val="Style5"/>
        <w:numPr>
          <w:ilvl w:val="0"/>
          <w:numId w:val="0"/>
        </w:numPr>
        <w:spacing w:line="22" w:lineRule="atLeast"/>
        <w:jc w:val="both"/>
        <w:rPr>
          <w:sz w:val="20"/>
          <w:szCs w:val="20"/>
        </w:rPr>
      </w:pPr>
    </w:p>
    <w:p w14:paraId="65FBF3B4" w14:textId="77777777" w:rsidR="003F0A19" w:rsidRPr="00A74D23" w:rsidRDefault="003F0A19" w:rsidP="009D6EE5">
      <w:pPr>
        <w:pStyle w:val="Style5"/>
        <w:numPr>
          <w:ilvl w:val="0"/>
          <w:numId w:val="0"/>
        </w:numPr>
        <w:spacing w:line="22" w:lineRule="atLeast"/>
        <w:ind w:left="1080"/>
        <w:jc w:val="both"/>
        <w:rPr>
          <w:i/>
          <w:iCs/>
          <w:sz w:val="20"/>
          <w:szCs w:val="20"/>
        </w:rPr>
      </w:pPr>
    </w:p>
    <w:p w14:paraId="2AE1174E" w14:textId="4814BD68" w:rsidR="00445235" w:rsidRPr="00A74D23" w:rsidRDefault="00622D1E" w:rsidP="00590DD1">
      <w:pPr>
        <w:pStyle w:val="Style5"/>
        <w:numPr>
          <w:ilvl w:val="0"/>
          <w:numId w:val="113"/>
        </w:numPr>
        <w:spacing w:line="22" w:lineRule="atLeast"/>
        <w:ind w:left="709"/>
        <w:jc w:val="both"/>
        <w:rPr>
          <w:b/>
          <w:bCs/>
          <w:sz w:val="28"/>
          <w:szCs w:val="28"/>
        </w:rPr>
      </w:pPr>
      <w:r w:rsidRPr="00A74D23">
        <w:rPr>
          <w:b/>
          <w:bCs/>
          <w:sz w:val="28"/>
          <w:szCs w:val="28"/>
        </w:rPr>
        <w:t>Risques physiques du changement climatique</w:t>
      </w:r>
    </w:p>
    <w:p w14:paraId="72532D0C" w14:textId="1F48A30D" w:rsidR="00B208DD" w:rsidRPr="00A74D23" w:rsidRDefault="00622D1E" w:rsidP="009D6EE5">
      <w:pPr>
        <w:pStyle w:val="Style5"/>
        <w:numPr>
          <w:ilvl w:val="0"/>
          <w:numId w:val="0"/>
        </w:numPr>
        <w:spacing w:line="22" w:lineRule="atLeast"/>
        <w:jc w:val="both"/>
        <w:rPr>
          <w:sz w:val="20"/>
          <w:szCs w:val="20"/>
        </w:rPr>
      </w:pPr>
      <w:r w:rsidRPr="00A74D23">
        <w:rPr>
          <w:sz w:val="20"/>
          <w:szCs w:val="20"/>
        </w:rPr>
        <w:t>Comme pour le</w:t>
      </w:r>
      <w:r w:rsidR="00306636" w:rsidRPr="00A74D23">
        <w:rPr>
          <w:sz w:val="20"/>
          <w:szCs w:val="20"/>
        </w:rPr>
        <w:t xml:space="preserve">s risques de transition, les risques physiques sont directement liés au scénario de réchauffement retenu. </w:t>
      </w:r>
    </w:p>
    <w:p w14:paraId="07899E07" w14:textId="77777777" w:rsidR="002D2F05" w:rsidRPr="00A74D23" w:rsidRDefault="002D2F05" w:rsidP="009D6EE5">
      <w:pPr>
        <w:pStyle w:val="Style5"/>
        <w:numPr>
          <w:ilvl w:val="0"/>
          <w:numId w:val="0"/>
        </w:numPr>
        <w:spacing w:line="22" w:lineRule="atLeast"/>
        <w:jc w:val="both"/>
        <w:rPr>
          <w:sz w:val="20"/>
          <w:szCs w:val="20"/>
        </w:rPr>
      </w:pPr>
    </w:p>
    <w:p w14:paraId="629264B7" w14:textId="77777777" w:rsidR="002D2F05" w:rsidRPr="00A74D23" w:rsidRDefault="002D2F05" w:rsidP="009D6EE5">
      <w:pPr>
        <w:pStyle w:val="Style5"/>
        <w:numPr>
          <w:ilvl w:val="0"/>
          <w:numId w:val="0"/>
        </w:numPr>
        <w:spacing w:line="22" w:lineRule="atLeast"/>
        <w:jc w:val="both"/>
        <w:rPr>
          <w:sz w:val="20"/>
          <w:szCs w:val="20"/>
        </w:rPr>
      </w:pPr>
    </w:p>
    <w:p w14:paraId="78E5BC77" w14:textId="77777777" w:rsidR="00711558" w:rsidRPr="00A74D23" w:rsidRDefault="00711558" w:rsidP="009D6EE5">
      <w:pPr>
        <w:pStyle w:val="Style5"/>
        <w:numPr>
          <w:ilvl w:val="0"/>
          <w:numId w:val="0"/>
        </w:numPr>
        <w:spacing w:line="22" w:lineRule="atLeast"/>
        <w:jc w:val="both"/>
        <w:rPr>
          <w:i/>
          <w:iCs/>
        </w:rPr>
      </w:pPr>
      <w:r w:rsidRPr="00A74D23">
        <w:rPr>
          <w:b/>
          <w:bCs/>
          <w:i/>
          <w:iCs/>
        </w:rPr>
        <w:t>Indicateurs mobilisés (KRI)</w:t>
      </w:r>
    </w:p>
    <w:p w14:paraId="63FBE7E4" w14:textId="5BF06FBC" w:rsidR="00711558" w:rsidRPr="00A74D23" w:rsidRDefault="00711558" w:rsidP="009D6EE5">
      <w:pPr>
        <w:pStyle w:val="Style5"/>
        <w:numPr>
          <w:ilvl w:val="0"/>
          <w:numId w:val="0"/>
        </w:numPr>
        <w:spacing w:line="22" w:lineRule="atLeast"/>
        <w:jc w:val="both"/>
        <w:rPr>
          <w:sz w:val="20"/>
          <w:szCs w:val="20"/>
        </w:rPr>
      </w:pPr>
      <w:r w:rsidRPr="00A74D23">
        <w:rPr>
          <w:sz w:val="20"/>
          <w:szCs w:val="20"/>
        </w:rPr>
        <w:t xml:space="preserve">L’évaluation des risques physiques du changement climatique repose </w:t>
      </w:r>
      <w:r w:rsidR="00470CF6" w:rsidRPr="00A74D23">
        <w:rPr>
          <w:sz w:val="20"/>
          <w:szCs w:val="20"/>
        </w:rPr>
        <w:t>principalement sur</w:t>
      </w:r>
      <w:r w:rsidR="001D159C" w:rsidRPr="00A74D23">
        <w:rPr>
          <w:sz w:val="20"/>
          <w:szCs w:val="20"/>
        </w:rPr>
        <w:t> :</w:t>
      </w:r>
    </w:p>
    <w:p w14:paraId="2133C042" w14:textId="55C5304A" w:rsidR="00EF1E7C" w:rsidRPr="00A74D23" w:rsidRDefault="00EF1E7C" w:rsidP="00590DD1">
      <w:pPr>
        <w:pStyle w:val="Style5"/>
        <w:numPr>
          <w:ilvl w:val="0"/>
          <w:numId w:val="59"/>
        </w:numPr>
        <w:spacing w:line="22" w:lineRule="atLeast"/>
        <w:jc w:val="both"/>
        <w:rPr>
          <w:sz w:val="20"/>
          <w:szCs w:val="20"/>
        </w:rPr>
      </w:pPr>
      <w:r w:rsidRPr="00A74D23">
        <w:rPr>
          <w:sz w:val="20"/>
          <w:szCs w:val="20"/>
        </w:rPr>
        <w:t>Les</w:t>
      </w:r>
      <w:r w:rsidR="00711558" w:rsidRPr="00A74D23">
        <w:rPr>
          <w:sz w:val="20"/>
          <w:szCs w:val="20"/>
        </w:rPr>
        <w:t xml:space="preserve"> résultats de la Climate Value at Risk, partie spécifique aux risques physiques.</w:t>
      </w:r>
    </w:p>
    <w:p w14:paraId="7800ED44" w14:textId="616FCA2F" w:rsidR="002D2F05" w:rsidRPr="00A74D23" w:rsidRDefault="00EF1E7C" w:rsidP="00590DD1">
      <w:pPr>
        <w:pStyle w:val="Style5"/>
        <w:numPr>
          <w:ilvl w:val="0"/>
          <w:numId w:val="59"/>
        </w:numPr>
        <w:spacing w:line="22" w:lineRule="atLeast"/>
        <w:jc w:val="both"/>
        <w:rPr>
          <w:sz w:val="20"/>
          <w:szCs w:val="20"/>
        </w:rPr>
      </w:pPr>
      <w:r w:rsidRPr="00A74D23">
        <w:rPr>
          <w:sz w:val="20"/>
          <w:szCs w:val="20"/>
        </w:rPr>
        <w:t xml:space="preserve">Le </w:t>
      </w:r>
      <w:r w:rsidR="008F3169" w:rsidRPr="00A74D23">
        <w:rPr>
          <w:sz w:val="20"/>
          <w:szCs w:val="20"/>
        </w:rPr>
        <w:t>pourcentage</w:t>
      </w:r>
      <w:r w:rsidRPr="00A74D23">
        <w:rPr>
          <w:sz w:val="20"/>
          <w:szCs w:val="20"/>
        </w:rPr>
        <w:t xml:space="preserve"> moyen des activités des entreprises du portefeuille exposées à des zones présentant un niveau élevé de stress hydrique</w:t>
      </w:r>
    </w:p>
    <w:p w14:paraId="19D3C6C7" w14:textId="77777777" w:rsidR="001D159C" w:rsidRPr="00A74D23" w:rsidRDefault="001D159C" w:rsidP="001D159C">
      <w:pPr>
        <w:pStyle w:val="Style5"/>
        <w:numPr>
          <w:ilvl w:val="0"/>
          <w:numId w:val="0"/>
        </w:numPr>
        <w:spacing w:line="22" w:lineRule="atLeast"/>
        <w:jc w:val="both"/>
        <w:rPr>
          <w:sz w:val="20"/>
          <w:szCs w:val="20"/>
        </w:rPr>
      </w:pPr>
    </w:p>
    <w:p w14:paraId="23D54A06" w14:textId="57026497" w:rsidR="001D159C" w:rsidRPr="00A74D23" w:rsidRDefault="001D159C" w:rsidP="001D159C">
      <w:pPr>
        <w:pStyle w:val="Style5"/>
        <w:numPr>
          <w:ilvl w:val="0"/>
          <w:numId w:val="0"/>
        </w:numPr>
        <w:spacing w:line="22" w:lineRule="atLeast"/>
        <w:jc w:val="both"/>
        <w:rPr>
          <w:b/>
          <w:bCs/>
          <w:sz w:val="24"/>
          <w:szCs w:val="24"/>
          <w:lang w:val="en-US"/>
        </w:rPr>
      </w:pPr>
      <w:r w:rsidRPr="00A74D23">
        <w:rPr>
          <w:b/>
          <w:bCs/>
          <w:sz w:val="24"/>
          <w:szCs w:val="24"/>
          <w:lang w:val="en-US"/>
        </w:rPr>
        <w:t>Climate Value at Risk- risques physiques</w:t>
      </w:r>
    </w:p>
    <w:p w14:paraId="20F590B8" w14:textId="77777777" w:rsidR="00AA7C4F" w:rsidRPr="00A74D23" w:rsidRDefault="00AA7C4F" w:rsidP="009D6EE5">
      <w:pPr>
        <w:pStyle w:val="Style5"/>
        <w:numPr>
          <w:ilvl w:val="0"/>
          <w:numId w:val="0"/>
        </w:numPr>
        <w:spacing w:line="22" w:lineRule="atLeast"/>
        <w:jc w:val="both"/>
        <w:rPr>
          <w:sz w:val="20"/>
          <w:szCs w:val="20"/>
          <w:lang w:val="en-US"/>
        </w:rPr>
      </w:pPr>
    </w:p>
    <w:p w14:paraId="50FD02B3" w14:textId="397F03C2" w:rsidR="00C603F8" w:rsidRPr="00A74D23" w:rsidRDefault="0064724D" w:rsidP="009D6EE5">
      <w:pPr>
        <w:pStyle w:val="Style5"/>
        <w:numPr>
          <w:ilvl w:val="0"/>
          <w:numId w:val="0"/>
        </w:numPr>
        <w:spacing w:line="22" w:lineRule="atLeast"/>
        <w:jc w:val="both"/>
        <w:rPr>
          <w:sz w:val="20"/>
          <w:szCs w:val="20"/>
        </w:rPr>
      </w:pPr>
      <w:r w:rsidRPr="00A74D23">
        <w:rPr>
          <w:noProof/>
        </w:rPr>
        <w:drawing>
          <wp:inline distT="0" distB="0" distL="0" distR="0" wp14:anchorId="58BFF753" wp14:editId="09C72F3E">
            <wp:extent cx="5761355" cy="3009900"/>
            <wp:effectExtent l="0" t="0" r="10795" b="0"/>
            <wp:docPr id="958858828" name="Graphique 1">
              <a:extLst xmlns:a="http://schemas.openxmlformats.org/drawingml/2006/main">
                <a:ext uri="{FF2B5EF4-FFF2-40B4-BE49-F238E27FC236}">
                  <a16:creationId xmlns:a16="http://schemas.microsoft.com/office/drawing/2014/main" id="{8D867D08-099B-426B-8407-040B380F6C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0A1F8379" w14:textId="77777777" w:rsidR="008D0AA7" w:rsidRPr="00A74D23" w:rsidRDefault="008D0AA7" w:rsidP="009D6EE5">
      <w:pPr>
        <w:pStyle w:val="Style5"/>
        <w:numPr>
          <w:ilvl w:val="0"/>
          <w:numId w:val="0"/>
        </w:numPr>
        <w:spacing w:line="22" w:lineRule="atLeast"/>
        <w:jc w:val="both"/>
        <w:rPr>
          <w:i/>
          <w:iCs/>
          <w:sz w:val="18"/>
          <w:szCs w:val="18"/>
        </w:rPr>
      </w:pPr>
      <w:r w:rsidRPr="00A74D23">
        <w:rPr>
          <w:i/>
          <w:iCs/>
          <w:sz w:val="18"/>
          <w:szCs w:val="18"/>
        </w:rPr>
        <w:t>Source : MSCI</w:t>
      </w:r>
    </w:p>
    <w:p w14:paraId="76035C2C" w14:textId="6F8CC7EE" w:rsidR="008D0AA7" w:rsidRPr="00A74D23" w:rsidRDefault="008D0AA7" w:rsidP="009D6EE5">
      <w:pPr>
        <w:pStyle w:val="Style5"/>
        <w:numPr>
          <w:ilvl w:val="0"/>
          <w:numId w:val="0"/>
        </w:numPr>
        <w:spacing w:line="22" w:lineRule="atLeast"/>
        <w:jc w:val="both"/>
        <w:rPr>
          <w:i/>
          <w:iCs/>
          <w:sz w:val="18"/>
          <w:szCs w:val="18"/>
        </w:rPr>
      </w:pPr>
      <w:r w:rsidRPr="00A74D23">
        <w:rPr>
          <w:i/>
          <w:iCs/>
          <w:sz w:val="18"/>
          <w:szCs w:val="18"/>
        </w:rPr>
        <w:t xml:space="preserve">Périmètre : </w:t>
      </w:r>
      <w:r w:rsidR="009A4D40" w:rsidRPr="00A74D23">
        <w:rPr>
          <w:i/>
          <w:iCs/>
          <w:sz w:val="18"/>
          <w:szCs w:val="18"/>
        </w:rPr>
        <w:t>Abeille Assurances actif consolidé – investissements corporate</w:t>
      </w:r>
    </w:p>
    <w:p w14:paraId="79F3EC0E" w14:textId="77777777" w:rsidR="008D0AA7" w:rsidRPr="00A74D23" w:rsidRDefault="008D0AA7" w:rsidP="009D6EE5">
      <w:pPr>
        <w:pStyle w:val="Style5"/>
        <w:numPr>
          <w:ilvl w:val="0"/>
          <w:numId w:val="0"/>
        </w:numPr>
        <w:spacing w:line="22" w:lineRule="atLeast"/>
        <w:jc w:val="both"/>
        <w:rPr>
          <w:i/>
          <w:iCs/>
          <w:sz w:val="18"/>
          <w:szCs w:val="18"/>
        </w:rPr>
      </w:pPr>
      <w:r w:rsidRPr="00A74D23">
        <w:rPr>
          <w:i/>
          <w:iCs/>
          <w:sz w:val="18"/>
          <w:szCs w:val="18"/>
        </w:rPr>
        <w:t>Scénario de risque physique agressif</w:t>
      </w:r>
    </w:p>
    <w:p w14:paraId="1DB3E0D4" w14:textId="77777777" w:rsidR="008D0AA7" w:rsidRPr="00A74D23" w:rsidRDefault="008D0AA7" w:rsidP="009D6EE5">
      <w:pPr>
        <w:pStyle w:val="Style5"/>
        <w:numPr>
          <w:ilvl w:val="0"/>
          <w:numId w:val="0"/>
        </w:numPr>
        <w:spacing w:line="22" w:lineRule="atLeast"/>
        <w:jc w:val="both"/>
        <w:rPr>
          <w:i/>
          <w:iCs/>
          <w:sz w:val="18"/>
          <w:szCs w:val="18"/>
        </w:rPr>
      </w:pPr>
      <w:r w:rsidRPr="00A74D23">
        <w:rPr>
          <w:i/>
          <w:iCs/>
          <w:sz w:val="18"/>
          <w:szCs w:val="18"/>
        </w:rPr>
        <w:t>31/12/2025</w:t>
      </w:r>
    </w:p>
    <w:p w14:paraId="29742FAC" w14:textId="77777777" w:rsidR="007115AC" w:rsidRPr="00A74D23" w:rsidRDefault="007115AC" w:rsidP="009D6EE5">
      <w:pPr>
        <w:pStyle w:val="Style5"/>
        <w:numPr>
          <w:ilvl w:val="0"/>
          <w:numId w:val="0"/>
        </w:numPr>
        <w:spacing w:line="22" w:lineRule="atLeast"/>
        <w:jc w:val="both"/>
        <w:rPr>
          <w:sz w:val="20"/>
          <w:szCs w:val="20"/>
        </w:rPr>
      </w:pPr>
    </w:p>
    <w:p w14:paraId="5FDD4FA9" w14:textId="39A00702" w:rsidR="00B576AF" w:rsidRPr="00A74D23" w:rsidRDefault="00AB170C" w:rsidP="009D6EE5">
      <w:pPr>
        <w:pStyle w:val="Style5"/>
        <w:numPr>
          <w:ilvl w:val="0"/>
          <w:numId w:val="0"/>
        </w:numPr>
        <w:spacing w:line="22" w:lineRule="atLeast"/>
        <w:jc w:val="both"/>
        <w:rPr>
          <w:sz w:val="20"/>
          <w:szCs w:val="20"/>
        </w:rPr>
      </w:pPr>
      <w:r w:rsidRPr="00A74D23">
        <w:rPr>
          <w:sz w:val="20"/>
          <w:szCs w:val="20"/>
        </w:rPr>
        <w:t xml:space="preserve">Le portefeuille est principalement exposé aux vagues de chaleur extrême et au faible débit des rivières. </w:t>
      </w:r>
      <w:r w:rsidR="00A02F3D" w:rsidRPr="00A74D23">
        <w:rPr>
          <w:sz w:val="20"/>
          <w:szCs w:val="20"/>
        </w:rPr>
        <w:t>Les résultats de l’analyse des risques climatiques physiques indiquent que le portefeuille corporate est, à ce stade, relativement peu exposé aux principaux aléas physiques, avec des pertes estimées actuellement limitées.</w:t>
      </w:r>
      <w:r w:rsidR="00B576AF" w:rsidRPr="00A74D23">
        <w:rPr>
          <w:sz w:val="20"/>
          <w:szCs w:val="20"/>
        </w:rPr>
        <w:t xml:space="preserve"> Ces résultats doivent toutefois être interprétés avec prudence. Les risques climatiques physiques restent complexes à quantifier et certaines dynamiques ne sont pas pleinement intégrées dans les modèles existants.</w:t>
      </w:r>
    </w:p>
    <w:p w14:paraId="6D143397" w14:textId="77777777" w:rsidR="00CA3022" w:rsidRDefault="00CA3022" w:rsidP="009D6EE5">
      <w:pPr>
        <w:pStyle w:val="Style5"/>
        <w:numPr>
          <w:ilvl w:val="0"/>
          <w:numId w:val="0"/>
        </w:numPr>
        <w:spacing w:line="22" w:lineRule="atLeast"/>
        <w:jc w:val="both"/>
        <w:rPr>
          <w:sz w:val="20"/>
          <w:szCs w:val="20"/>
        </w:rPr>
      </w:pPr>
    </w:p>
    <w:p w14:paraId="5B418671" w14:textId="77777777" w:rsidR="00CA3022" w:rsidRDefault="00CA3022" w:rsidP="009D6EE5">
      <w:pPr>
        <w:pStyle w:val="Style5"/>
        <w:numPr>
          <w:ilvl w:val="0"/>
          <w:numId w:val="0"/>
        </w:numPr>
        <w:spacing w:line="22" w:lineRule="atLeast"/>
        <w:jc w:val="both"/>
        <w:rPr>
          <w:sz w:val="20"/>
          <w:szCs w:val="20"/>
        </w:rPr>
      </w:pPr>
    </w:p>
    <w:p w14:paraId="5D180366" w14:textId="77777777" w:rsidR="00CA3022" w:rsidRPr="00A74D23" w:rsidRDefault="00CA3022" w:rsidP="009D6EE5">
      <w:pPr>
        <w:pStyle w:val="Style5"/>
        <w:numPr>
          <w:ilvl w:val="0"/>
          <w:numId w:val="0"/>
        </w:numPr>
        <w:spacing w:line="22" w:lineRule="atLeast"/>
        <w:jc w:val="both"/>
        <w:rPr>
          <w:sz w:val="20"/>
          <w:szCs w:val="20"/>
        </w:rPr>
      </w:pPr>
    </w:p>
    <w:p w14:paraId="24BDACE5" w14:textId="5184A9E2" w:rsidR="001718D5" w:rsidRPr="00A74D23" w:rsidRDefault="00AA7C4F" w:rsidP="009D6EE5">
      <w:pPr>
        <w:pStyle w:val="Style5"/>
        <w:numPr>
          <w:ilvl w:val="0"/>
          <w:numId w:val="0"/>
        </w:numPr>
        <w:spacing w:line="22" w:lineRule="atLeast"/>
        <w:jc w:val="both"/>
        <w:rPr>
          <w:sz w:val="20"/>
          <w:szCs w:val="20"/>
        </w:rPr>
      </w:pPr>
      <w:r w:rsidRPr="00A74D23">
        <w:rPr>
          <w:rFonts w:cs="Open Sans"/>
          <w:noProof/>
        </w:rPr>
        <mc:AlternateContent>
          <mc:Choice Requires="wps">
            <w:drawing>
              <wp:anchor distT="0" distB="0" distL="114300" distR="114300" simplePos="0" relativeHeight="251539456" behindDoc="0" locked="0" layoutInCell="1" allowOverlap="1" wp14:anchorId="74C3DAC8" wp14:editId="0CCA84CB">
                <wp:simplePos x="0" y="0"/>
                <wp:positionH relativeFrom="page">
                  <wp:posOffset>1735200</wp:posOffset>
                </wp:positionH>
                <wp:positionV relativeFrom="paragraph">
                  <wp:posOffset>138586</wp:posOffset>
                </wp:positionV>
                <wp:extent cx="3902149" cy="260350"/>
                <wp:effectExtent l="0" t="0" r="3175" b="8890"/>
                <wp:wrapNone/>
                <wp:docPr id="807400431" name="Rectangle : coins arrondis 807400431"/>
                <wp:cNvGraphicFramePr/>
                <a:graphic xmlns:a="http://schemas.openxmlformats.org/drawingml/2006/main">
                  <a:graphicData uri="http://schemas.microsoft.com/office/word/2010/wordprocessingShape">
                    <wps:wsp>
                      <wps:cNvSpPr/>
                      <wps:spPr>
                        <a:xfrm>
                          <a:off x="0" y="0"/>
                          <a:ext cx="3902149" cy="260350"/>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229650" w14:textId="01EACEFB" w:rsidR="00FE2D28" w:rsidRPr="00AA7C4F" w:rsidRDefault="00AA7C4F" w:rsidP="00FE2D28">
                            <w:pPr>
                              <w:jc w:val="center"/>
                              <w:rPr>
                                <w:b/>
                                <w:bCs/>
                                <w:color w:val="000000" w:themeColor="text1"/>
                                <w:sz w:val="32"/>
                                <w:szCs w:val="32"/>
                                <w:lang w:val="fr-FR"/>
                              </w:rPr>
                            </w:pPr>
                            <w:r w:rsidRPr="00AA7C4F">
                              <w:rPr>
                                <w:rFonts w:ascii="Source Sans Pro" w:hAnsi="Source Sans Pro"/>
                                <w:b/>
                                <w:bCs/>
                                <w:color w:val="000000" w:themeColor="text1"/>
                                <w:lang w:val="fr-FR"/>
                              </w:rPr>
                              <w:t xml:space="preserve">Des risques physiques </w:t>
                            </w:r>
                            <w:r w:rsidR="00393E69">
                              <w:rPr>
                                <w:rFonts w:ascii="Source Sans Pro" w:hAnsi="Source Sans Pro"/>
                                <w:b/>
                                <w:bCs/>
                                <w:color w:val="000000" w:themeColor="text1"/>
                                <w:lang w:val="fr-FR"/>
                              </w:rPr>
                              <w:t>probablement</w:t>
                            </w:r>
                            <w:r w:rsidRPr="00AA7C4F">
                              <w:rPr>
                                <w:rFonts w:ascii="Source Sans Pro" w:hAnsi="Source Sans Pro"/>
                                <w:b/>
                                <w:bCs/>
                                <w:color w:val="000000" w:themeColor="text1"/>
                                <w:lang w:val="fr-FR"/>
                              </w:rPr>
                              <w:t xml:space="preserve"> sous-estimés</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spAutoFit/>
                      </wps:bodyPr>
                    </wps:wsp>
                  </a:graphicData>
                </a:graphic>
                <wp14:sizeRelH relativeFrom="margin">
                  <wp14:pctWidth>0</wp14:pctWidth>
                </wp14:sizeRelH>
              </wp:anchor>
            </w:drawing>
          </mc:Choice>
          <mc:Fallback>
            <w:pict>
              <v:roundrect w14:anchorId="74C3DAC8" id="Rectangle : coins arrondis 807400431" o:spid="_x0000_s1163" style="position:absolute;left:0;text-align:left;margin-left:136.65pt;margin-top:10.9pt;width:307.25pt;height:20.5pt;z-index:25153945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" fillcolor="#ffc000" stroked="f" strokeweight="1pt">
                <v:stroke joinstyle="miter"/>
                <v:textbox style="mso-fit-shape-to-text:t" inset="2.5mm,1mm,2.5mm,1mm">
                  <w:txbxContent>
                    <w:p w14:paraId="5A229650" w14:textId="01EACEFB" w:rsidR="00FE2D28" w:rsidRPr="00AA7C4F" w:rsidRDefault="00AA7C4F" w:rsidP="00FE2D28">
                      <w:pPr>
                        <w:jc w:val="center"/>
                        <w:rPr>
                          <w:b/>
                          <w:bCs/>
                          <w:color w:val="000000" w:themeColor="text1"/>
                          <w:sz w:val="32"/>
                          <w:szCs w:val="32"/>
                          <w:lang w:val="fr-FR"/>
                        </w:rPr>
                      </w:pPr>
                      <w:r w:rsidRPr="00AA7C4F">
                        <w:rPr>
                          <w:rFonts w:ascii="Source Sans Pro" w:hAnsi="Source Sans Pro"/>
                          <w:b/>
                          <w:bCs/>
                          <w:color w:val="000000" w:themeColor="text1"/>
                          <w:lang w:val="fr-FR"/>
                        </w:rPr>
                        <w:t xml:space="preserve">Des risques physiques </w:t>
                      </w:r>
                      <w:r w:rsidR="00393E69">
                        <w:rPr>
                          <w:rFonts w:ascii="Source Sans Pro" w:hAnsi="Source Sans Pro"/>
                          <w:b/>
                          <w:bCs/>
                          <w:color w:val="000000" w:themeColor="text1"/>
                          <w:lang w:val="fr-FR"/>
                        </w:rPr>
                        <w:t>probablement</w:t>
                      </w:r>
                      <w:r w:rsidRPr="00AA7C4F">
                        <w:rPr>
                          <w:rFonts w:ascii="Source Sans Pro" w:hAnsi="Source Sans Pro"/>
                          <w:b/>
                          <w:bCs/>
                          <w:color w:val="000000" w:themeColor="text1"/>
                          <w:lang w:val="fr-FR"/>
                        </w:rPr>
                        <w:t xml:space="preserve"> sous-estimés</w:t>
                      </w:r>
                    </w:p>
                  </w:txbxContent>
                </v:textbox>
                <w10:wrap anchorx="page"/>
              </v:roundrect>
            </w:pict>
          </mc:Fallback>
        </mc:AlternateContent>
      </w:r>
    </w:p>
    <w:p w14:paraId="2E920591" w14:textId="218C561A" w:rsidR="001718D5" w:rsidRPr="00A74D23" w:rsidRDefault="00C14E97" w:rsidP="009D6EE5">
      <w:pPr>
        <w:pStyle w:val="Style5"/>
        <w:numPr>
          <w:ilvl w:val="0"/>
          <w:numId w:val="0"/>
        </w:numPr>
        <w:spacing w:line="22" w:lineRule="atLeast"/>
        <w:jc w:val="both"/>
        <w:rPr>
          <w:sz w:val="20"/>
          <w:szCs w:val="20"/>
        </w:rPr>
      </w:pPr>
      <w:r w:rsidRPr="00A74D23">
        <w:rPr>
          <w:rFonts w:cs="Open Sans"/>
          <w:noProof/>
        </w:rPr>
        <mc:AlternateContent>
          <mc:Choice Requires="wps">
            <w:drawing>
              <wp:anchor distT="0" distB="0" distL="114300" distR="114300" simplePos="0" relativeHeight="251541504" behindDoc="1" locked="0" layoutInCell="1" allowOverlap="1" wp14:anchorId="46AB27BC" wp14:editId="50550AD4">
                <wp:simplePos x="0" y="0"/>
                <wp:positionH relativeFrom="margin">
                  <wp:posOffset>-199234</wp:posOffset>
                </wp:positionH>
                <wp:positionV relativeFrom="paragraph">
                  <wp:posOffset>99802</wp:posOffset>
                </wp:positionV>
                <wp:extent cx="6280030" cy="3554083"/>
                <wp:effectExtent l="0" t="0" r="6985" b="8890"/>
                <wp:wrapNone/>
                <wp:docPr id="762243263" name="Rectangle : coins arrondis 762243263"/>
                <wp:cNvGraphicFramePr/>
                <a:graphic xmlns:a="http://schemas.openxmlformats.org/drawingml/2006/main">
                  <a:graphicData uri="http://schemas.microsoft.com/office/word/2010/wordprocessingShape">
                    <wps:wsp>
                      <wps:cNvSpPr/>
                      <wps:spPr>
                        <a:xfrm>
                          <a:off x="0" y="0"/>
                          <a:ext cx="6280030" cy="3554083"/>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EDB1E4" w14:textId="77777777" w:rsidR="00AA7C4F" w:rsidRPr="005B523A" w:rsidRDefault="00AA7C4F" w:rsidP="00590DD1">
                            <w:pPr>
                              <w:pStyle w:val="Paragraphedeliste"/>
                              <w:numPr>
                                <w:ilvl w:val="0"/>
                                <w:numId w:val="42"/>
                              </w:numPr>
                              <w:ind w:left="284" w:right="335"/>
                              <w:jc w:val="both"/>
                              <w:rPr>
                                <w:color w:val="000000" w:themeColor="text1"/>
                                <w:sz w:val="20"/>
                                <w:szCs w:val="20"/>
                              </w:rPr>
                            </w:pPr>
                            <w:r w:rsidRPr="005B523A">
                              <w:rPr>
                                <w:color w:val="000000" w:themeColor="text1"/>
                                <w:sz w:val="20"/>
                                <w:szCs w:val="20"/>
                              </w:rPr>
                              <w:t>Les résultats sur les risques climatiques physiques doivent être interprétés avec prudence. Les modèles actuellement utilisés dans les services financiers présentent des limites structurelles bien documentées.</w:t>
                            </w:r>
                          </w:p>
                          <w:p w14:paraId="2B9C8FF4" w14:textId="77777777" w:rsidR="000730D9" w:rsidRPr="005B523A" w:rsidRDefault="000730D9" w:rsidP="000730D9">
                            <w:pPr>
                              <w:pStyle w:val="Paragraphedeliste"/>
                              <w:ind w:left="284" w:right="335"/>
                              <w:jc w:val="both"/>
                              <w:rPr>
                                <w:color w:val="000000" w:themeColor="text1"/>
                                <w:sz w:val="20"/>
                                <w:szCs w:val="20"/>
                              </w:rPr>
                            </w:pPr>
                          </w:p>
                          <w:p w14:paraId="05726C95" w14:textId="6C21F08A" w:rsidR="000730D9" w:rsidRPr="005B523A" w:rsidRDefault="00AA7C4F" w:rsidP="00590DD1">
                            <w:pPr>
                              <w:pStyle w:val="Paragraphedeliste"/>
                              <w:numPr>
                                <w:ilvl w:val="0"/>
                                <w:numId w:val="42"/>
                              </w:numPr>
                              <w:ind w:left="284" w:right="335"/>
                              <w:jc w:val="both"/>
                              <w:rPr>
                                <w:color w:val="000000" w:themeColor="text1"/>
                                <w:sz w:val="20"/>
                                <w:szCs w:val="20"/>
                              </w:rPr>
                            </w:pPr>
                            <w:r w:rsidRPr="005B523A">
                              <w:rPr>
                                <w:color w:val="000000" w:themeColor="text1"/>
                                <w:sz w:val="20"/>
                                <w:szCs w:val="20"/>
                              </w:rPr>
                              <w:t>L’étude The Emperor’s New Climate Scenarios (Institute and Faculty of Actuaries &amp; University of Exeter, 2023) montre que de nombreux modèles sous estiment les risques physiques en excluant des dynamiques clés, notamment les effets non linéaires, les impacts de second ordre et les points de bascule climatiques, qui ne sont pas intégrés dans les chaînes de modélisation économiques.</w:t>
                            </w:r>
                          </w:p>
                          <w:p w14:paraId="52E7108A" w14:textId="77777777" w:rsidR="000730D9" w:rsidRPr="005B523A" w:rsidRDefault="000730D9" w:rsidP="000730D9">
                            <w:pPr>
                              <w:pStyle w:val="Paragraphedeliste"/>
                              <w:ind w:left="284" w:right="335"/>
                              <w:jc w:val="both"/>
                              <w:rPr>
                                <w:color w:val="000000" w:themeColor="text1"/>
                                <w:sz w:val="20"/>
                                <w:szCs w:val="20"/>
                              </w:rPr>
                            </w:pPr>
                          </w:p>
                          <w:p w14:paraId="4B2964AC" w14:textId="77777777" w:rsidR="000730D9" w:rsidRPr="005B523A" w:rsidRDefault="00AA7C4F" w:rsidP="00590DD1">
                            <w:pPr>
                              <w:pStyle w:val="Paragraphedeliste"/>
                              <w:numPr>
                                <w:ilvl w:val="0"/>
                                <w:numId w:val="42"/>
                              </w:numPr>
                              <w:ind w:left="284" w:right="335"/>
                              <w:jc w:val="both"/>
                              <w:rPr>
                                <w:color w:val="000000" w:themeColor="text1"/>
                                <w:sz w:val="20"/>
                                <w:szCs w:val="20"/>
                              </w:rPr>
                            </w:pPr>
                            <w:r w:rsidRPr="005B523A">
                              <w:rPr>
                                <w:color w:val="000000" w:themeColor="text1"/>
                                <w:sz w:val="20"/>
                                <w:szCs w:val="20"/>
                              </w:rPr>
                              <w:t>Le franchissement de certains seuils critiques (calottes glaciaires, AMOC, Amazonie, pergélisol) est susceptible d’entraîner des effets irréversibles et amplificateurs, dont la probabilité augmente à mesure que le réchauffement dépasse 1,5 °C. Ces mécanismes restent imparfaitement pris en compte dans les modèles utilisés par les institutions financières et dans les estimations de référence du GIEC.</w:t>
                            </w:r>
                          </w:p>
                          <w:p w14:paraId="0E0804BC" w14:textId="77777777" w:rsidR="000730D9" w:rsidRPr="005B523A" w:rsidRDefault="000730D9" w:rsidP="000730D9">
                            <w:pPr>
                              <w:pStyle w:val="Paragraphedeliste"/>
                              <w:rPr>
                                <w:color w:val="000000" w:themeColor="text1"/>
                                <w:sz w:val="20"/>
                                <w:szCs w:val="20"/>
                              </w:rPr>
                            </w:pPr>
                          </w:p>
                          <w:p w14:paraId="7BED6708" w14:textId="21BF60C6" w:rsidR="00FE2D28" w:rsidRPr="005B523A" w:rsidRDefault="000730D9" w:rsidP="00590DD1">
                            <w:pPr>
                              <w:pStyle w:val="Paragraphedeliste"/>
                              <w:numPr>
                                <w:ilvl w:val="0"/>
                                <w:numId w:val="42"/>
                              </w:numPr>
                              <w:ind w:left="284" w:right="335"/>
                              <w:jc w:val="both"/>
                              <w:rPr>
                                <w:color w:val="000000" w:themeColor="text1"/>
                                <w:sz w:val="20"/>
                                <w:szCs w:val="20"/>
                              </w:rPr>
                            </w:pPr>
                            <w:r w:rsidRPr="005B523A">
                              <w:rPr>
                                <w:color w:val="000000" w:themeColor="text1"/>
                                <w:sz w:val="20"/>
                                <w:szCs w:val="20"/>
                              </w:rPr>
                              <w:t xml:space="preserve">Par </w:t>
                            </w:r>
                            <w:r w:rsidR="00AA7C4F" w:rsidRPr="005B523A">
                              <w:rPr>
                                <w:color w:val="000000" w:themeColor="text1"/>
                                <w:sz w:val="20"/>
                                <w:szCs w:val="20"/>
                              </w:rPr>
                              <w:t xml:space="preserve">ailleurs, plusieurs travaux académiques et financiers soulignent que les impacts climatiques physiques peuvent évoluer de manière non linéaire, voire exponentielle, ce qui implique que les pertes </w:t>
                            </w:r>
                            <w:r w:rsidR="001D159C">
                              <w:rPr>
                                <w:color w:val="000000" w:themeColor="text1"/>
                                <w:sz w:val="20"/>
                                <w:szCs w:val="20"/>
                              </w:rPr>
                              <w:t>sont actuellement sous-estimées.</w:t>
                            </w:r>
                          </w:p>
                        </w:txbxContent>
                      </wps:txbx>
                      <wps:bodyPr rot="0" spcFirstLastPara="0" vertOverflow="overflow" horzOverflow="overflow" vert="horz" wrap="square" lIns="180000" tIns="72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AB27BC" id="Rectangle : coins arrondis 762243263" o:spid="_x0000_s1164" style="position:absolute;left:0;text-align:left;margin-left:-15.7pt;margin-top:7.85pt;width:494.5pt;height:279.85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" fillcolor="#d8d8d8 [2732]" stroked="f" strokeweight="1pt">
                <v:stroke joinstyle="miter"/>
                <v:textbox inset="5mm,2mm,5mm,3mm">
                  <w:txbxContent>
                    <w:p w14:paraId="12EDB1E4" w14:textId="77777777" w:rsidR="00AA7C4F" w:rsidRPr="005B523A" w:rsidRDefault="00AA7C4F" w:rsidP="00590DD1">
                      <w:pPr>
                        <w:pStyle w:val="Paragraphedeliste"/>
                        <w:numPr>
                          <w:ilvl w:val="0"/>
                          <w:numId w:val="42"/>
                        </w:numPr>
                        <w:ind w:left="284" w:right="335"/>
                        <w:jc w:val="both"/>
                        <w:rPr>
                          <w:color w:val="000000" w:themeColor="text1"/>
                          <w:sz w:val="20"/>
                          <w:szCs w:val="20"/>
                        </w:rPr>
                      </w:pPr>
                      <w:r w:rsidRPr="005B523A">
                        <w:rPr>
                          <w:color w:val="000000" w:themeColor="text1"/>
                          <w:sz w:val="20"/>
                          <w:szCs w:val="20"/>
                        </w:rPr>
                        <w:t>Les résultats sur les risques climatiques physiques doivent être interprétés avec prudence. Les modèles actuellement utilisés dans les services financiers présentent des limites structurelles bien documentées.</w:t>
                      </w:r>
                    </w:p>
                    <w:p w14:paraId="2B9C8FF4" w14:textId="77777777" w:rsidR="000730D9" w:rsidRPr="005B523A" w:rsidRDefault="000730D9" w:rsidP="000730D9">
                      <w:pPr>
                        <w:pStyle w:val="Paragraphedeliste"/>
                        <w:ind w:left="284" w:right="335"/>
                        <w:jc w:val="both"/>
                        <w:rPr>
                          <w:color w:val="000000" w:themeColor="text1"/>
                          <w:sz w:val="20"/>
                          <w:szCs w:val="20"/>
                        </w:rPr>
                      </w:pPr>
                    </w:p>
                    <w:p w14:paraId="05726C95" w14:textId="6C21F08A" w:rsidR="000730D9" w:rsidRPr="005B523A" w:rsidRDefault="00AA7C4F" w:rsidP="00590DD1">
                      <w:pPr>
                        <w:pStyle w:val="Paragraphedeliste"/>
                        <w:numPr>
                          <w:ilvl w:val="0"/>
                          <w:numId w:val="42"/>
                        </w:numPr>
                        <w:ind w:left="284" w:right="335"/>
                        <w:jc w:val="both"/>
                        <w:rPr>
                          <w:color w:val="000000" w:themeColor="text1"/>
                          <w:sz w:val="20"/>
                          <w:szCs w:val="20"/>
                        </w:rPr>
                      </w:pPr>
                      <w:r w:rsidRPr="005B523A">
                        <w:rPr>
                          <w:color w:val="000000" w:themeColor="text1"/>
                          <w:sz w:val="20"/>
                          <w:szCs w:val="20"/>
                        </w:rPr>
                        <w:t>L’étude The Emperor’s New Climate Scenarios (Institute and Faculty of Actuaries &amp; University of Exeter, 2023) montre que de nombreux modèles sous estiment les risques physiques en excluant des dynamiques clés, notamment les effets non linéaires, les impacts de second ordre et les points de bascule climatiques, qui ne sont pas intégrés dans les chaînes de modélisation économiques.</w:t>
                      </w:r>
                    </w:p>
                    <w:p w14:paraId="52E7108A" w14:textId="77777777" w:rsidR="000730D9" w:rsidRPr="005B523A" w:rsidRDefault="000730D9" w:rsidP="000730D9">
                      <w:pPr>
                        <w:pStyle w:val="Paragraphedeliste"/>
                        <w:ind w:left="284" w:right="335"/>
                        <w:jc w:val="both"/>
                        <w:rPr>
                          <w:color w:val="000000" w:themeColor="text1"/>
                          <w:sz w:val="20"/>
                          <w:szCs w:val="20"/>
                        </w:rPr>
                      </w:pPr>
                    </w:p>
                    <w:p w14:paraId="4B2964AC" w14:textId="77777777" w:rsidR="000730D9" w:rsidRPr="005B523A" w:rsidRDefault="00AA7C4F" w:rsidP="00590DD1">
                      <w:pPr>
                        <w:pStyle w:val="Paragraphedeliste"/>
                        <w:numPr>
                          <w:ilvl w:val="0"/>
                          <w:numId w:val="42"/>
                        </w:numPr>
                        <w:ind w:left="284" w:right="335"/>
                        <w:jc w:val="both"/>
                        <w:rPr>
                          <w:color w:val="000000" w:themeColor="text1"/>
                          <w:sz w:val="20"/>
                          <w:szCs w:val="20"/>
                        </w:rPr>
                      </w:pPr>
                      <w:r w:rsidRPr="005B523A">
                        <w:rPr>
                          <w:color w:val="000000" w:themeColor="text1"/>
                          <w:sz w:val="20"/>
                          <w:szCs w:val="20"/>
                        </w:rPr>
                        <w:t>Le franchissement de certains seuils critiques (calottes glaciaires, AMOC, Amazonie, pergélisol) est susceptible d’entraîner des effets irréversibles et amplificateurs, dont la probabilité augmente à mesure que le réchauffement dépasse 1,5 °C. Ces mécanismes restent imparfaitement pris en compte dans les modèles utilisés par les institutions financières et dans les estimations de référence du GIEC.</w:t>
                      </w:r>
                    </w:p>
                    <w:p w14:paraId="0E0804BC" w14:textId="77777777" w:rsidR="000730D9" w:rsidRPr="005B523A" w:rsidRDefault="000730D9" w:rsidP="000730D9">
                      <w:pPr>
                        <w:pStyle w:val="Paragraphedeliste"/>
                        <w:rPr>
                          <w:color w:val="000000" w:themeColor="text1"/>
                          <w:sz w:val="20"/>
                          <w:szCs w:val="20"/>
                        </w:rPr>
                      </w:pPr>
                    </w:p>
                    <w:p w14:paraId="7BED6708" w14:textId="21BF60C6" w:rsidR="00FE2D28" w:rsidRPr="005B523A" w:rsidRDefault="000730D9" w:rsidP="00590DD1">
                      <w:pPr>
                        <w:pStyle w:val="Paragraphedeliste"/>
                        <w:numPr>
                          <w:ilvl w:val="0"/>
                          <w:numId w:val="42"/>
                        </w:numPr>
                        <w:ind w:left="284" w:right="335"/>
                        <w:jc w:val="both"/>
                        <w:rPr>
                          <w:color w:val="000000" w:themeColor="text1"/>
                          <w:sz w:val="20"/>
                          <w:szCs w:val="20"/>
                        </w:rPr>
                      </w:pPr>
                      <w:r w:rsidRPr="005B523A">
                        <w:rPr>
                          <w:color w:val="000000" w:themeColor="text1"/>
                          <w:sz w:val="20"/>
                          <w:szCs w:val="20"/>
                        </w:rPr>
                        <w:t xml:space="preserve">Par </w:t>
                      </w:r>
                      <w:r w:rsidR="00AA7C4F" w:rsidRPr="005B523A">
                        <w:rPr>
                          <w:color w:val="000000" w:themeColor="text1"/>
                          <w:sz w:val="20"/>
                          <w:szCs w:val="20"/>
                        </w:rPr>
                        <w:t xml:space="preserve">ailleurs, plusieurs travaux académiques et financiers soulignent que les impacts climatiques physiques peuvent évoluer de manière non linéaire, voire exponentielle, ce qui implique que les pertes </w:t>
                      </w:r>
                      <w:r w:rsidR="001D159C">
                        <w:rPr>
                          <w:color w:val="000000" w:themeColor="text1"/>
                          <w:sz w:val="20"/>
                          <w:szCs w:val="20"/>
                        </w:rPr>
                        <w:t>sont actuellement sous-estimées.</w:t>
                      </w:r>
                    </w:p>
                  </w:txbxContent>
                </v:textbox>
                <w10:wrap anchorx="margin"/>
              </v:roundrect>
            </w:pict>
          </mc:Fallback>
        </mc:AlternateContent>
      </w:r>
    </w:p>
    <w:p w14:paraId="2DAF7C4A" w14:textId="77777777" w:rsidR="001718D5" w:rsidRPr="00A74D23" w:rsidRDefault="001718D5" w:rsidP="009D6EE5">
      <w:pPr>
        <w:pStyle w:val="Style5"/>
        <w:numPr>
          <w:ilvl w:val="0"/>
          <w:numId w:val="0"/>
        </w:numPr>
        <w:spacing w:line="22" w:lineRule="atLeast"/>
        <w:jc w:val="both"/>
        <w:rPr>
          <w:sz w:val="20"/>
          <w:szCs w:val="20"/>
        </w:rPr>
      </w:pPr>
    </w:p>
    <w:p w14:paraId="6D6E0950" w14:textId="77777777" w:rsidR="001718D5" w:rsidRPr="00A74D23" w:rsidRDefault="001718D5" w:rsidP="009D6EE5">
      <w:pPr>
        <w:pStyle w:val="Style5"/>
        <w:numPr>
          <w:ilvl w:val="0"/>
          <w:numId w:val="0"/>
        </w:numPr>
        <w:spacing w:line="22" w:lineRule="atLeast"/>
        <w:jc w:val="both"/>
        <w:rPr>
          <w:sz w:val="20"/>
          <w:szCs w:val="20"/>
        </w:rPr>
      </w:pPr>
    </w:p>
    <w:p w14:paraId="07168437" w14:textId="77777777" w:rsidR="001718D5" w:rsidRPr="00A74D23" w:rsidRDefault="001718D5" w:rsidP="009D6EE5">
      <w:pPr>
        <w:pStyle w:val="Style5"/>
        <w:numPr>
          <w:ilvl w:val="0"/>
          <w:numId w:val="0"/>
        </w:numPr>
        <w:spacing w:line="22" w:lineRule="atLeast"/>
        <w:jc w:val="both"/>
        <w:rPr>
          <w:sz w:val="20"/>
          <w:szCs w:val="20"/>
        </w:rPr>
      </w:pPr>
    </w:p>
    <w:p w14:paraId="376B44A7" w14:textId="77777777" w:rsidR="001718D5" w:rsidRPr="00A74D23" w:rsidRDefault="001718D5" w:rsidP="009D6EE5">
      <w:pPr>
        <w:pStyle w:val="Style5"/>
        <w:numPr>
          <w:ilvl w:val="0"/>
          <w:numId w:val="0"/>
        </w:numPr>
        <w:spacing w:line="22" w:lineRule="atLeast"/>
        <w:jc w:val="both"/>
        <w:rPr>
          <w:sz w:val="20"/>
          <w:szCs w:val="20"/>
        </w:rPr>
      </w:pPr>
    </w:p>
    <w:p w14:paraId="086C66F2" w14:textId="77777777" w:rsidR="001718D5" w:rsidRPr="00A74D23" w:rsidRDefault="001718D5" w:rsidP="009D6EE5">
      <w:pPr>
        <w:pStyle w:val="Style5"/>
        <w:numPr>
          <w:ilvl w:val="0"/>
          <w:numId w:val="0"/>
        </w:numPr>
        <w:spacing w:line="22" w:lineRule="atLeast"/>
        <w:jc w:val="both"/>
        <w:rPr>
          <w:sz w:val="20"/>
          <w:szCs w:val="20"/>
        </w:rPr>
      </w:pPr>
    </w:p>
    <w:p w14:paraId="7FB40D6F" w14:textId="77777777" w:rsidR="00AA7C4F" w:rsidRPr="00A74D23" w:rsidRDefault="00AA7C4F" w:rsidP="009D6EE5">
      <w:pPr>
        <w:pStyle w:val="Style5"/>
        <w:numPr>
          <w:ilvl w:val="0"/>
          <w:numId w:val="0"/>
        </w:numPr>
        <w:spacing w:line="22" w:lineRule="atLeast"/>
        <w:jc w:val="both"/>
        <w:rPr>
          <w:sz w:val="20"/>
          <w:szCs w:val="20"/>
        </w:rPr>
      </w:pPr>
    </w:p>
    <w:p w14:paraId="41ED8483" w14:textId="77777777" w:rsidR="00AA7C4F" w:rsidRPr="00A74D23" w:rsidRDefault="00AA7C4F" w:rsidP="009D6EE5">
      <w:pPr>
        <w:pStyle w:val="Style5"/>
        <w:numPr>
          <w:ilvl w:val="0"/>
          <w:numId w:val="0"/>
        </w:numPr>
        <w:spacing w:line="22" w:lineRule="atLeast"/>
        <w:jc w:val="both"/>
        <w:rPr>
          <w:sz w:val="20"/>
          <w:szCs w:val="20"/>
        </w:rPr>
      </w:pPr>
    </w:p>
    <w:p w14:paraId="61284BA0" w14:textId="77777777" w:rsidR="00AA7C4F" w:rsidRPr="00A74D23" w:rsidRDefault="00AA7C4F" w:rsidP="009D6EE5">
      <w:pPr>
        <w:pStyle w:val="Style5"/>
        <w:numPr>
          <w:ilvl w:val="0"/>
          <w:numId w:val="0"/>
        </w:numPr>
        <w:spacing w:line="22" w:lineRule="atLeast"/>
        <w:jc w:val="both"/>
        <w:rPr>
          <w:sz w:val="20"/>
          <w:szCs w:val="20"/>
        </w:rPr>
      </w:pPr>
    </w:p>
    <w:p w14:paraId="6C95B783" w14:textId="77777777" w:rsidR="00AA7C4F" w:rsidRPr="00A74D23" w:rsidRDefault="00AA7C4F" w:rsidP="009D6EE5">
      <w:pPr>
        <w:pStyle w:val="Style5"/>
        <w:numPr>
          <w:ilvl w:val="0"/>
          <w:numId w:val="0"/>
        </w:numPr>
        <w:spacing w:line="22" w:lineRule="atLeast"/>
        <w:jc w:val="both"/>
        <w:rPr>
          <w:sz w:val="20"/>
          <w:szCs w:val="20"/>
        </w:rPr>
      </w:pPr>
    </w:p>
    <w:p w14:paraId="1D54AEF2" w14:textId="77777777" w:rsidR="00AA7C4F" w:rsidRPr="00A74D23" w:rsidRDefault="00AA7C4F" w:rsidP="009D6EE5">
      <w:pPr>
        <w:pStyle w:val="Style5"/>
        <w:numPr>
          <w:ilvl w:val="0"/>
          <w:numId w:val="0"/>
        </w:numPr>
        <w:spacing w:line="22" w:lineRule="atLeast"/>
        <w:jc w:val="both"/>
        <w:rPr>
          <w:sz w:val="20"/>
          <w:szCs w:val="20"/>
        </w:rPr>
      </w:pPr>
    </w:p>
    <w:p w14:paraId="20C9ACC0" w14:textId="77777777" w:rsidR="00AA7C4F" w:rsidRPr="00A74D23" w:rsidRDefault="00AA7C4F" w:rsidP="009D6EE5">
      <w:pPr>
        <w:pStyle w:val="Style5"/>
        <w:numPr>
          <w:ilvl w:val="0"/>
          <w:numId w:val="0"/>
        </w:numPr>
        <w:spacing w:line="22" w:lineRule="atLeast"/>
        <w:jc w:val="both"/>
        <w:rPr>
          <w:sz w:val="20"/>
          <w:szCs w:val="20"/>
        </w:rPr>
      </w:pPr>
    </w:p>
    <w:p w14:paraId="187BD7B8" w14:textId="77777777" w:rsidR="00AA7C4F" w:rsidRPr="00A74D23" w:rsidRDefault="00AA7C4F" w:rsidP="009D6EE5">
      <w:pPr>
        <w:pStyle w:val="Style5"/>
        <w:numPr>
          <w:ilvl w:val="0"/>
          <w:numId w:val="0"/>
        </w:numPr>
        <w:spacing w:line="22" w:lineRule="atLeast"/>
        <w:jc w:val="both"/>
        <w:rPr>
          <w:sz w:val="20"/>
          <w:szCs w:val="20"/>
        </w:rPr>
      </w:pPr>
    </w:p>
    <w:p w14:paraId="03155877" w14:textId="77777777" w:rsidR="00AA7C4F" w:rsidRPr="00A74D23" w:rsidRDefault="00AA7C4F" w:rsidP="009D6EE5">
      <w:pPr>
        <w:pStyle w:val="Style5"/>
        <w:numPr>
          <w:ilvl w:val="0"/>
          <w:numId w:val="0"/>
        </w:numPr>
        <w:spacing w:line="22" w:lineRule="atLeast"/>
        <w:jc w:val="both"/>
        <w:rPr>
          <w:sz w:val="20"/>
          <w:szCs w:val="20"/>
        </w:rPr>
      </w:pPr>
    </w:p>
    <w:p w14:paraId="53183234" w14:textId="77777777" w:rsidR="00AA7C4F" w:rsidRPr="00A74D23" w:rsidRDefault="00AA7C4F" w:rsidP="009D6EE5">
      <w:pPr>
        <w:pStyle w:val="Style5"/>
        <w:numPr>
          <w:ilvl w:val="0"/>
          <w:numId w:val="0"/>
        </w:numPr>
        <w:spacing w:line="22" w:lineRule="atLeast"/>
        <w:jc w:val="both"/>
        <w:rPr>
          <w:sz w:val="20"/>
          <w:szCs w:val="20"/>
        </w:rPr>
      </w:pPr>
    </w:p>
    <w:p w14:paraId="6C3FBE37" w14:textId="77777777" w:rsidR="00AA7C4F" w:rsidRPr="00A74D23" w:rsidRDefault="00AA7C4F" w:rsidP="009D6EE5">
      <w:pPr>
        <w:pStyle w:val="Style5"/>
        <w:numPr>
          <w:ilvl w:val="0"/>
          <w:numId w:val="0"/>
        </w:numPr>
        <w:spacing w:line="22" w:lineRule="atLeast"/>
        <w:jc w:val="both"/>
        <w:rPr>
          <w:sz w:val="20"/>
          <w:szCs w:val="20"/>
        </w:rPr>
      </w:pPr>
    </w:p>
    <w:p w14:paraId="63BFA561" w14:textId="77777777" w:rsidR="00AA7C4F" w:rsidRPr="00A74D23" w:rsidRDefault="00AA7C4F" w:rsidP="009D6EE5">
      <w:pPr>
        <w:pStyle w:val="Style5"/>
        <w:numPr>
          <w:ilvl w:val="0"/>
          <w:numId w:val="0"/>
        </w:numPr>
        <w:spacing w:line="22" w:lineRule="atLeast"/>
        <w:jc w:val="both"/>
        <w:rPr>
          <w:sz w:val="20"/>
          <w:szCs w:val="20"/>
        </w:rPr>
      </w:pPr>
    </w:p>
    <w:p w14:paraId="7211C5FD" w14:textId="77777777" w:rsidR="00AA7C4F" w:rsidRPr="00A74D23" w:rsidRDefault="00AA7C4F" w:rsidP="009D6EE5">
      <w:pPr>
        <w:pStyle w:val="Style5"/>
        <w:numPr>
          <w:ilvl w:val="0"/>
          <w:numId w:val="0"/>
        </w:numPr>
        <w:spacing w:line="22" w:lineRule="atLeast"/>
        <w:jc w:val="both"/>
        <w:rPr>
          <w:sz w:val="20"/>
          <w:szCs w:val="20"/>
        </w:rPr>
      </w:pPr>
    </w:p>
    <w:p w14:paraId="34A83999" w14:textId="77777777" w:rsidR="00AA7C4F" w:rsidRPr="00A74D23" w:rsidRDefault="00AA7C4F" w:rsidP="009D6EE5">
      <w:pPr>
        <w:pStyle w:val="Style5"/>
        <w:numPr>
          <w:ilvl w:val="0"/>
          <w:numId w:val="0"/>
        </w:numPr>
        <w:spacing w:line="22" w:lineRule="atLeast"/>
        <w:jc w:val="both"/>
        <w:rPr>
          <w:sz w:val="20"/>
          <w:szCs w:val="20"/>
        </w:rPr>
      </w:pPr>
    </w:p>
    <w:p w14:paraId="53D95A8F" w14:textId="77777777" w:rsidR="00AA7C4F" w:rsidRPr="00A74D23" w:rsidRDefault="00AA7C4F" w:rsidP="009D6EE5">
      <w:pPr>
        <w:pStyle w:val="Style5"/>
        <w:numPr>
          <w:ilvl w:val="0"/>
          <w:numId w:val="0"/>
        </w:numPr>
        <w:spacing w:line="22" w:lineRule="atLeast"/>
        <w:jc w:val="both"/>
        <w:rPr>
          <w:sz w:val="20"/>
          <w:szCs w:val="20"/>
        </w:rPr>
      </w:pPr>
    </w:p>
    <w:p w14:paraId="7FBB7221" w14:textId="77777777" w:rsidR="00AA7C4F" w:rsidRPr="00A74D23" w:rsidRDefault="00AA7C4F" w:rsidP="009D6EE5">
      <w:pPr>
        <w:pStyle w:val="Style5"/>
        <w:numPr>
          <w:ilvl w:val="0"/>
          <w:numId w:val="0"/>
        </w:numPr>
        <w:spacing w:line="22" w:lineRule="atLeast"/>
        <w:jc w:val="both"/>
        <w:rPr>
          <w:sz w:val="20"/>
          <w:szCs w:val="20"/>
        </w:rPr>
      </w:pPr>
    </w:p>
    <w:p w14:paraId="324F7121" w14:textId="77777777" w:rsidR="000A69EC" w:rsidRPr="00A74D23" w:rsidRDefault="000A69EC" w:rsidP="009D6EE5">
      <w:pPr>
        <w:pStyle w:val="Style5"/>
        <w:numPr>
          <w:ilvl w:val="0"/>
          <w:numId w:val="0"/>
        </w:numPr>
        <w:spacing w:line="22" w:lineRule="atLeast"/>
        <w:jc w:val="both"/>
        <w:rPr>
          <w:sz w:val="20"/>
          <w:szCs w:val="20"/>
        </w:rPr>
      </w:pPr>
    </w:p>
    <w:p w14:paraId="574E93D0" w14:textId="77777777" w:rsidR="001D159C" w:rsidRPr="00A74D23" w:rsidRDefault="001D159C" w:rsidP="001D159C">
      <w:pPr>
        <w:pStyle w:val="Style5"/>
        <w:numPr>
          <w:ilvl w:val="0"/>
          <w:numId w:val="0"/>
        </w:numPr>
        <w:spacing w:line="22" w:lineRule="atLeast"/>
        <w:jc w:val="both"/>
        <w:rPr>
          <w:b/>
          <w:bCs/>
          <w:sz w:val="24"/>
          <w:szCs w:val="24"/>
        </w:rPr>
      </w:pPr>
    </w:p>
    <w:p w14:paraId="3EFF3DDE" w14:textId="77777777" w:rsidR="001D159C" w:rsidRPr="00A74D23" w:rsidRDefault="001D159C" w:rsidP="001D159C">
      <w:pPr>
        <w:pStyle w:val="Style5"/>
        <w:numPr>
          <w:ilvl w:val="0"/>
          <w:numId w:val="0"/>
        </w:numPr>
        <w:spacing w:line="22" w:lineRule="atLeast"/>
        <w:jc w:val="both"/>
        <w:rPr>
          <w:b/>
          <w:bCs/>
          <w:sz w:val="24"/>
          <w:szCs w:val="24"/>
        </w:rPr>
      </w:pPr>
    </w:p>
    <w:p w14:paraId="3AA7F065" w14:textId="77777777" w:rsidR="001D159C" w:rsidRPr="00A74D23" w:rsidRDefault="001D159C" w:rsidP="001D159C">
      <w:pPr>
        <w:pStyle w:val="Style5"/>
        <w:numPr>
          <w:ilvl w:val="0"/>
          <w:numId w:val="0"/>
        </w:numPr>
        <w:spacing w:line="22" w:lineRule="atLeast"/>
        <w:jc w:val="both"/>
        <w:rPr>
          <w:b/>
          <w:bCs/>
          <w:sz w:val="24"/>
          <w:szCs w:val="24"/>
        </w:rPr>
      </w:pPr>
    </w:p>
    <w:p w14:paraId="2F067A7E" w14:textId="60F53966" w:rsidR="0051219E" w:rsidRPr="00A74D23" w:rsidRDefault="0051219E" w:rsidP="001D159C">
      <w:pPr>
        <w:pStyle w:val="Style5"/>
        <w:numPr>
          <w:ilvl w:val="0"/>
          <w:numId w:val="0"/>
        </w:numPr>
        <w:spacing w:line="22" w:lineRule="atLeast"/>
        <w:jc w:val="both"/>
        <w:rPr>
          <w:b/>
          <w:bCs/>
          <w:sz w:val="24"/>
          <w:szCs w:val="24"/>
        </w:rPr>
      </w:pPr>
      <w:r w:rsidRPr="00A74D23">
        <w:rPr>
          <w:b/>
          <w:bCs/>
          <w:sz w:val="24"/>
          <w:szCs w:val="24"/>
        </w:rPr>
        <w:t>Exposition au stress hydrique</w:t>
      </w:r>
    </w:p>
    <w:p w14:paraId="767F2A4D" w14:textId="244B0488" w:rsidR="000A69EC" w:rsidRPr="00A74D23" w:rsidRDefault="0051219E" w:rsidP="009D6EE5">
      <w:pPr>
        <w:pStyle w:val="Style5"/>
        <w:numPr>
          <w:ilvl w:val="0"/>
          <w:numId w:val="0"/>
        </w:numPr>
        <w:spacing w:line="22" w:lineRule="atLeast"/>
        <w:jc w:val="both"/>
        <w:rPr>
          <w:sz w:val="20"/>
          <w:szCs w:val="20"/>
        </w:rPr>
      </w:pPr>
      <w:r w:rsidRPr="00A74D23">
        <w:rPr>
          <w:sz w:val="20"/>
          <w:szCs w:val="20"/>
        </w:rPr>
        <w:t xml:space="preserve">Nous suivons également le pourcentage moyen des activités des entreprises du portefeuille exposées à des zones présentant un niveau élevé de stress hydrique, selon les données MSCI. </w:t>
      </w:r>
      <w:r w:rsidRPr="00A74D23">
        <w:rPr>
          <w:b/>
          <w:bCs/>
          <w:sz w:val="20"/>
          <w:szCs w:val="20"/>
        </w:rPr>
        <w:t xml:space="preserve">En 2025, cet indicateur s’élève à </w:t>
      </w:r>
      <w:r w:rsidR="00065677">
        <w:rPr>
          <w:b/>
          <w:bCs/>
          <w:sz w:val="20"/>
          <w:szCs w:val="20"/>
        </w:rPr>
        <w:t>15,4</w:t>
      </w:r>
      <w:r w:rsidRPr="00A74D23">
        <w:rPr>
          <w:b/>
          <w:bCs/>
          <w:sz w:val="20"/>
          <w:szCs w:val="20"/>
        </w:rPr>
        <w:t>% pour le portefeuille consolidé</w:t>
      </w:r>
      <w:r w:rsidR="009F6C87">
        <w:rPr>
          <w:b/>
          <w:bCs/>
          <w:sz w:val="20"/>
          <w:szCs w:val="20"/>
        </w:rPr>
        <w:t xml:space="preserve"> Abeille Retraite Professionnelle</w:t>
      </w:r>
      <w:r w:rsidRPr="00A74D23">
        <w:rPr>
          <w:b/>
          <w:bCs/>
          <w:sz w:val="20"/>
          <w:szCs w:val="20"/>
        </w:rPr>
        <w:t>, avec un taux de couverture de 7</w:t>
      </w:r>
      <w:r w:rsidR="00065677">
        <w:rPr>
          <w:b/>
          <w:bCs/>
          <w:sz w:val="20"/>
          <w:szCs w:val="20"/>
        </w:rPr>
        <w:t>9</w:t>
      </w:r>
      <w:r w:rsidRPr="00A74D23">
        <w:rPr>
          <w:b/>
          <w:bCs/>
          <w:sz w:val="20"/>
          <w:szCs w:val="20"/>
        </w:rPr>
        <w:t>%.</w:t>
      </w:r>
      <w:r w:rsidRPr="00A74D23">
        <w:rPr>
          <w:sz w:val="20"/>
          <w:szCs w:val="20"/>
        </w:rPr>
        <w:t xml:space="preserve"> Ces résultats sont significatifs et gagneront encore en importance avec l’amélioration et le recours accru aux données de localisation, indispensables pour anticiper les impacts localisés du changement climatique.</w:t>
      </w:r>
    </w:p>
    <w:p w14:paraId="5626309E" w14:textId="77777777" w:rsidR="000A69EC" w:rsidRPr="00A74D23" w:rsidRDefault="000A69EC" w:rsidP="009D6EE5">
      <w:pPr>
        <w:pStyle w:val="Style5"/>
        <w:numPr>
          <w:ilvl w:val="0"/>
          <w:numId w:val="0"/>
        </w:numPr>
        <w:spacing w:line="22" w:lineRule="atLeast"/>
        <w:jc w:val="both"/>
        <w:rPr>
          <w:sz w:val="20"/>
          <w:szCs w:val="20"/>
        </w:rPr>
      </w:pPr>
    </w:p>
    <w:p w14:paraId="1BAA68B5" w14:textId="77777777" w:rsidR="001718D5" w:rsidRPr="00A74D23" w:rsidRDefault="001718D5" w:rsidP="009D6EE5">
      <w:pPr>
        <w:pStyle w:val="Style5"/>
        <w:numPr>
          <w:ilvl w:val="0"/>
          <w:numId w:val="0"/>
        </w:numPr>
        <w:spacing w:line="22" w:lineRule="atLeast"/>
        <w:jc w:val="both"/>
        <w:rPr>
          <w:sz w:val="20"/>
          <w:szCs w:val="20"/>
        </w:rPr>
      </w:pPr>
    </w:p>
    <w:p w14:paraId="78D96D70" w14:textId="16557CD8" w:rsidR="00470CF6" w:rsidRPr="00A74D23" w:rsidRDefault="00470CF6" w:rsidP="001D159C">
      <w:pPr>
        <w:pStyle w:val="Style5"/>
        <w:numPr>
          <w:ilvl w:val="0"/>
          <w:numId w:val="0"/>
        </w:numPr>
        <w:spacing w:line="22" w:lineRule="atLeast"/>
        <w:jc w:val="both"/>
        <w:rPr>
          <w:b/>
          <w:bCs/>
          <w:sz w:val="24"/>
          <w:szCs w:val="24"/>
        </w:rPr>
      </w:pPr>
      <w:r w:rsidRPr="00A74D23">
        <w:rPr>
          <w:b/>
          <w:bCs/>
          <w:sz w:val="24"/>
          <w:szCs w:val="24"/>
        </w:rPr>
        <w:t>Climate Value at Risk</w:t>
      </w:r>
      <w:r w:rsidR="001D159C" w:rsidRPr="00A74D23">
        <w:rPr>
          <w:b/>
          <w:bCs/>
          <w:sz w:val="24"/>
          <w:szCs w:val="24"/>
        </w:rPr>
        <w:t xml:space="preserve"> – risques physiques et de transition</w:t>
      </w:r>
    </w:p>
    <w:p w14:paraId="180C05C1" w14:textId="04BF6926" w:rsidR="00470CF6" w:rsidRPr="00A74D23" w:rsidRDefault="00470CF6" w:rsidP="009D6EE5">
      <w:pPr>
        <w:pStyle w:val="Style5"/>
        <w:numPr>
          <w:ilvl w:val="0"/>
          <w:numId w:val="0"/>
        </w:numPr>
        <w:spacing w:line="22" w:lineRule="atLeast"/>
        <w:jc w:val="both"/>
        <w:rPr>
          <w:i/>
          <w:iCs/>
          <w:sz w:val="20"/>
          <w:szCs w:val="20"/>
        </w:rPr>
      </w:pPr>
      <w:r w:rsidRPr="00A74D23">
        <w:rPr>
          <w:i/>
          <w:iCs/>
          <w:sz w:val="20"/>
          <w:szCs w:val="20"/>
        </w:rPr>
        <w:t>Le détail des éléments méthodologiques et limites de l’indicateur sont présentés en annexe.</w:t>
      </w:r>
    </w:p>
    <w:p w14:paraId="1A5BA9E7" w14:textId="77777777" w:rsidR="002D2F05" w:rsidRPr="00A74D23" w:rsidRDefault="002D2F05" w:rsidP="009D6EE5">
      <w:pPr>
        <w:pStyle w:val="Style5"/>
        <w:numPr>
          <w:ilvl w:val="0"/>
          <w:numId w:val="0"/>
        </w:numPr>
        <w:spacing w:line="22" w:lineRule="atLeast"/>
        <w:jc w:val="both"/>
        <w:rPr>
          <w:sz w:val="20"/>
          <w:szCs w:val="20"/>
        </w:rPr>
      </w:pPr>
    </w:p>
    <w:p w14:paraId="7AD23051" w14:textId="77777777" w:rsidR="00983500" w:rsidRPr="00A74D23" w:rsidRDefault="00983500" w:rsidP="009D6EE5">
      <w:pPr>
        <w:pStyle w:val="Style5"/>
        <w:numPr>
          <w:ilvl w:val="0"/>
          <w:numId w:val="0"/>
        </w:numPr>
        <w:spacing w:line="22" w:lineRule="atLeast"/>
        <w:jc w:val="both"/>
        <w:rPr>
          <w:sz w:val="20"/>
          <w:szCs w:val="20"/>
        </w:rPr>
      </w:pPr>
      <w:r w:rsidRPr="00A74D23">
        <w:rPr>
          <w:sz w:val="20"/>
          <w:szCs w:val="20"/>
        </w:rPr>
        <w:t>Les analyses de Climate Value at Risk font ressortir plusieurs enseignements.</w:t>
      </w:r>
    </w:p>
    <w:p w14:paraId="6C949845" w14:textId="77777777" w:rsidR="00983500" w:rsidRPr="00A74D23" w:rsidRDefault="00983500" w:rsidP="00590DD1">
      <w:pPr>
        <w:pStyle w:val="Style5"/>
        <w:numPr>
          <w:ilvl w:val="1"/>
          <w:numId w:val="114"/>
        </w:numPr>
        <w:spacing w:line="22" w:lineRule="atLeast"/>
        <w:jc w:val="both"/>
        <w:rPr>
          <w:sz w:val="20"/>
          <w:szCs w:val="20"/>
        </w:rPr>
      </w:pPr>
      <w:r w:rsidRPr="00A74D23">
        <w:rPr>
          <w:b/>
          <w:bCs/>
          <w:sz w:val="20"/>
          <w:szCs w:val="20"/>
          <w:u w:val="single"/>
        </w:rPr>
        <w:t>Le scénario de transition à 1,5 °C</w:t>
      </w:r>
      <w:r w:rsidRPr="00A74D23">
        <w:rPr>
          <w:sz w:val="20"/>
          <w:szCs w:val="20"/>
        </w:rPr>
        <w:t xml:space="preserve"> présente des impacts financiers significatifs. Ces résultats reflètent les effets d’une transition exigeante, impliquant des ajustements rapides et profonds de l’économie. Ils soulignent l’importance d’anticiper et d’accompagner cette trajectoire afin d’en limiter les effets de transition.</w:t>
      </w:r>
    </w:p>
    <w:p w14:paraId="1BA29138" w14:textId="77777777" w:rsidR="00983500" w:rsidRPr="00A74D23" w:rsidRDefault="00983500" w:rsidP="00590DD1">
      <w:pPr>
        <w:pStyle w:val="Style5"/>
        <w:numPr>
          <w:ilvl w:val="1"/>
          <w:numId w:val="114"/>
        </w:numPr>
        <w:spacing w:line="22" w:lineRule="atLeast"/>
        <w:jc w:val="both"/>
        <w:rPr>
          <w:sz w:val="20"/>
          <w:szCs w:val="20"/>
        </w:rPr>
      </w:pPr>
      <w:r w:rsidRPr="00A74D23">
        <w:rPr>
          <w:b/>
          <w:bCs/>
          <w:sz w:val="20"/>
          <w:szCs w:val="20"/>
          <w:u w:val="single"/>
        </w:rPr>
        <w:t>Le scénario 2 °C</w:t>
      </w:r>
      <w:r w:rsidRPr="00A74D23">
        <w:rPr>
          <w:sz w:val="20"/>
          <w:szCs w:val="20"/>
        </w:rPr>
        <w:t xml:space="preserve"> apparaît comme le plus équilibré à ce stade. Il génère des impacts plus modérés et est cohérent avec la température implicite actuelle des portefeuilles d’investissement d’Abeille Assurances.</w:t>
      </w:r>
    </w:p>
    <w:p w14:paraId="46A9D873" w14:textId="2E2A70E7" w:rsidR="00983500" w:rsidRPr="00A74D23" w:rsidRDefault="00983500" w:rsidP="00590DD1">
      <w:pPr>
        <w:pStyle w:val="Style5"/>
        <w:numPr>
          <w:ilvl w:val="1"/>
          <w:numId w:val="114"/>
        </w:numPr>
        <w:spacing w:line="22" w:lineRule="atLeast"/>
        <w:jc w:val="both"/>
        <w:rPr>
          <w:sz w:val="20"/>
          <w:szCs w:val="20"/>
        </w:rPr>
      </w:pPr>
      <w:r w:rsidRPr="00A74D23">
        <w:rPr>
          <w:b/>
          <w:bCs/>
          <w:sz w:val="20"/>
          <w:szCs w:val="20"/>
          <w:u w:val="single"/>
        </w:rPr>
        <w:t>Le scénario 3 °C</w:t>
      </w:r>
      <w:r w:rsidRPr="00A74D23">
        <w:rPr>
          <w:sz w:val="20"/>
          <w:szCs w:val="20"/>
        </w:rPr>
        <w:t xml:space="preserve"> met en évidence des impacts physiques plus marqués. Ces résultats sont interprétés avec prudence. Les risques climatiques physiques restent difficiles à quantifier et certaines dynamiques, notamment </w:t>
      </w:r>
      <w:r w:rsidR="004E1A5E" w:rsidRPr="00A74D23">
        <w:rPr>
          <w:sz w:val="20"/>
          <w:szCs w:val="20"/>
        </w:rPr>
        <w:t>certaines</w:t>
      </w:r>
      <w:r w:rsidRPr="00A74D23">
        <w:rPr>
          <w:sz w:val="20"/>
          <w:szCs w:val="20"/>
        </w:rPr>
        <w:t xml:space="preserve"> boucles de rétroaction, ne sont pas pleinement intégrées dans les modèles actuels</w:t>
      </w:r>
      <w:r w:rsidR="00465EC6" w:rsidRPr="00A74D23">
        <w:rPr>
          <w:sz w:val="20"/>
          <w:szCs w:val="20"/>
        </w:rPr>
        <w:t>, comme précisé ci-dessus.</w:t>
      </w:r>
    </w:p>
    <w:p w14:paraId="52275649" w14:textId="77777777" w:rsidR="00F7375D" w:rsidRPr="00A74D23" w:rsidRDefault="00F7375D" w:rsidP="009D6EE5">
      <w:pPr>
        <w:pStyle w:val="Style5"/>
        <w:numPr>
          <w:ilvl w:val="0"/>
          <w:numId w:val="0"/>
        </w:numPr>
        <w:spacing w:line="22" w:lineRule="atLeast"/>
        <w:jc w:val="both"/>
        <w:rPr>
          <w:sz w:val="20"/>
          <w:szCs w:val="20"/>
        </w:rPr>
      </w:pPr>
    </w:p>
    <w:p w14:paraId="304F40C4" w14:textId="77777777" w:rsidR="00F7375D" w:rsidRPr="00A74D23" w:rsidRDefault="00F7375D" w:rsidP="009D6EE5">
      <w:pPr>
        <w:pStyle w:val="Style5"/>
        <w:numPr>
          <w:ilvl w:val="0"/>
          <w:numId w:val="0"/>
        </w:numPr>
        <w:spacing w:line="22" w:lineRule="atLeast"/>
        <w:ind w:left="1440" w:hanging="360"/>
        <w:jc w:val="both"/>
        <w:rPr>
          <w:sz w:val="20"/>
          <w:szCs w:val="20"/>
        </w:rPr>
      </w:pPr>
    </w:p>
    <w:p w14:paraId="6EA4E90B" w14:textId="77777777" w:rsidR="00F7375D" w:rsidRPr="00A74D23" w:rsidRDefault="00F7375D" w:rsidP="009D6EE5">
      <w:pPr>
        <w:pStyle w:val="Style5"/>
        <w:numPr>
          <w:ilvl w:val="0"/>
          <w:numId w:val="0"/>
        </w:numPr>
        <w:spacing w:line="22" w:lineRule="atLeast"/>
        <w:ind w:left="1440" w:hanging="360"/>
        <w:jc w:val="both"/>
        <w:rPr>
          <w:sz w:val="20"/>
          <w:szCs w:val="20"/>
        </w:rPr>
      </w:pPr>
    </w:p>
    <w:p w14:paraId="75F53386" w14:textId="68D39394" w:rsidR="002D2F05" w:rsidRPr="00A74D23" w:rsidRDefault="00285B05" w:rsidP="009D6EE5">
      <w:pPr>
        <w:pStyle w:val="Style5"/>
        <w:numPr>
          <w:ilvl w:val="0"/>
          <w:numId w:val="0"/>
        </w:numPr>
        <w:spacing w:line="22" w:lineRule="atLeast"/>
        <w:jc w:val="both"/>
        <w:rPr>
          <w:sz w:val="20"/>
          <w:szCs w:val="20"/>
        </w:rPr>
      </w:pPr>
      <w:r w:rsidRPr="00A74D23">
        <w:rPr>
          <w:noProof/>
        </w:rPr>
        <w:drawing>
          <wp:inline distT="0" distB="0" distL="0" distR="0" wp14:anchorId="17D19233" wp14:editId="208FE625">
            <wp:extent cx="6167755" cy="2303253"/>
            <wp:effectExtent l="0" t="0" r="4445" b="1905"/>
            <wp:docPr id="1883217709" name="Graphique 1">
              <a:extLst xmlns:a="http://schemas.openxmlformats.org/drawingml/2006/main">
                <a:ext uri="{FF2B5EF4-FFF2-40B4-BE49-F238E27FC236}">
                  <a16:creationId xmlns:a16="http://schemas.microsoft.com/office/drawing/2014/main" id="{55C7BD02-BD67-AF0A-803D-780D5AE47C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50A4F100" w14:textId="77777777" w:rsidR="00FE198E" w:rsidRPr="00A74D23" w:rsidRDefault="00FE198E" w:rsidP="009D6EE5">
      <w:pPr>
        <w:pStyle w:val="Style5"/>
        <w:numPr>
          <w:ilvl w:val="0"/>
          <w:numId w:val="0"/>
        </w:numPr>
        <w:spacing w:line="22" w:lineRule="atLeast"/>
        <w:jc w:val="both"/>
        <w:rPr>
          <w:i/>
          <w:iCs/>
          <w:sz w:val="18"/>
          <w:szCs w:val="18"/>
        </w:rPr>
      </w:pPr>
      <w:r w:rsidRPr="00A74D23">
        <w:rPr>
          <w:i/>
          <w:iCs/>
          <w:sz w:val="18"/>
          <w:szCs w:val="18"/>
        </w:rPr>
        <w:t>Source : MSCI</w:t>
      </w:r>
    </w:p>
    <w:p w14:paraId="62BE7214" w14:textId="77777777" w:rsidR="00FE198E" w:rsidRPr="00A74D23" w:rsidRDefault="00FE198E" w:rsidP="009D6EE5">
      <w:pPr>
        <w:pStyle w:val="Style5"/>
        <w:numPr>
          <w:ilvl w:val="0"/>
          <w:numId w:val="0"/>
        </w:numPr>
        <w:spacing w:line="22" w:lineRule="atLeast"/>
        <w:jc w:val="both"/>
        <w:rPr>
          <w:i/>
          <w:iCs/>
          <w:sz w:val="18"/>
          <w:szCs w:val="18"/>
        </w:rPr>
      </w:pPr>
      <w:r w:rsidRPr="00A74D23">
        <w:rPr>
          <w:i/>
          <w:iCs/>
          <w:sz w:val="18"/>
          <w:szCs w:val="18"/>
        </w:rPr>
        <w:t>Périmètre : Abeille Assurances actif consolidé – investissements corporate</w:t>
      </w:r>
    </w:p>
    <w:p w14:paraId="3F2B4461" w14:textId="77777777" w:rsidR="00FE198E" w:rsidRPr="00A74D23" w:rsidRDefault="00FE198E" w:rsidP="009D6EE5">
      <w:pPr>
        <w:pStyle w:val="Style5"/>
        <w:numPr>
          <w:ilvl w:val="0"/>
          <w:numId w:val="0"/>
        </w:numPr>
        <w:spacing w:line="22" w:lineRule="atLeast"/>
        <w:jc w:val="both"/>
        <w:rPr>
          <w:i/>
          <w:iCs/>
          <w:sz w:val="18"/>
          <w:szCs w:val="18"/>
        </w:rPr>
      </w:pPr>
      <w:r w:rsidRPr="00A74D23">
        <w:rPr>
          <w:i/>
          <w:iCs/>
          <w:sz w:val="18"/>
          <w:szCs w:val="18"/>
        </w:rPr>
        <w:t>Scénario de risque physique agressif</w:t>
      </w:r>
    </w:p>
    <w:p w14:paraId="79EB1247" w14:textId="6AAA02F0" w:rsidR="00FE198E" w:rsidRPr="00A74D23" w:rsidRDefault="00FE198E" w:rsidP="009D6EE5">
      <w:pPr>
        <w:pStyle w:val="Style5"/>
        <w:numPr>
          <w:ilvl w:val="0"/>
          <w:numId w:val="0"/>
        </w:numPr>
        <w:spacing w:line="22" w:lineRule="atLeast"/>
        <w:jc w:val="both"/>
        <w:rPr>
          <w:i/>
          <w:iCs/>
          <w:sz w:val="18"/>
          <w:szCs w:val="18"/>
        </w:rPr>
      </w:pPr>
      <w:r w:rsidRPr="00A74D23">
        <w:rPr>
          <w:i/>
          <w:iCs/>
          <w:sz w:val="18"/>
          <w:szCs w:val="18"/>
        </w:rPr>
        <w:t>31/12/2025</w:t>
      </w:r>
    </w:p>
    <w:p w14:paraId="0D41A25B" w14:textId="69D3526C" w:rsidR="002D2F05" w:rsidRPr="00A74D23" w:rsidRDefault="002D2F05" w:rsidP="009D6EE5">
      <w:pPr>
        <w:pStyle w:val="Style5"/>
        <w:numPr>
          <w:ilvl w:val="0"/>
          <w:numId w:val="0"/>
        </w:numPr>
        <w:spacing w:line="22" w:lineRule="atLeast"/>
        <w:jc w:val="both"/>
        <w:rPr>
          <w:sz w:val="20"/>
          <w:szCs w:val="20"/>
        </w:rPr>
      </w:pPr>
    </w:p>
    <w:p w14:paraId="5C666CA8" w14:textId="569B41CF" w:rsidR="00D708BA" w:rsidRDefault="00D708BA" w:rsidP="009D6EE5">
      <w:pPr>
        <w:pStyle w:val="Style5"/>
        <w:numPr>
          <w:ilvl w:val="0"/>
          <w:numId w:val="0"/>
        </w:numPr>
        <w:spacing w:line="22" w:lineRule="atLeast"/>
        <w:jc w:val="both"/>
        <w:rPr>
          <w:sz w:val="20"/>
          <w:szCs w:val="20"/>
        </w:rPr>
      </w:pPr>
    </w:p>
    <w:p w14:paraId="7F3C8D45" w14:textId="77777777" w:rsidR="001F40D2" w:rsidRDefault="001F40D2" w:rsidP="009D6EE5">
      <w:pPr>
        <w:pStyle w:val="Style5"/>
        <w:numPr>
          <w:ilvl w:val="0"/>
          <w:numId w:val="0"/>
        </w:numPr>
        <w:spacing w:line="22" w:lineRule="atLeast"/>
        <w:jc w:val="both"/>
        <w:rPr>
          <w:sz w:val="20"/>
          <w:szCs w:val="20"/>
        </w:rPr>
      </w:pPr>
    </w:p>
    <w:p w14:paraId="366D40D5" w14:textId="77777777" w:rsidR="001F40D2" w:rsidRDefault="001F40D2" w:rsidP="009D6EE5">
      <w:pPr>
        <w:pStyle w:val="Style5"/>
        <w:numPr>
          <w:ilvl w:val="0"/>
          <w:numId w:val="0"/>
        </w:numPr>
        <w:spacing w:line="22" w:lineRule="atLeast"/>
        <w:jc w:val="both"/>
        <w:rPr>
          <w:sz w:val="20"/>
          <w:szCs w:val="20"/>
        </w:rPr>
      </w:pPr>
    </w:p>
    <w:p w14:paraId="42A3F244" w14:textId="77777777" w:rsidR="001F40D2" w:rsidRDefault="001F40D2" w:rsidP="009D6EE5">
      <w:pPr>
        <w:pStyle w:val="Style5"/>
        <w:numPr>
          <w:ilvl w:val="0"/>
          <w:numId w:val="0"/>
        </w:numPr>
        <w:spacing w:line="22" w:lineRule="atLeast"/>
        <w:jc w:val="both"/>
        <w:rPr>
          <w:sz w:val="20"/>
          <w:szCs w:val="20"/>
        </w:rPr>
      </w:pPr>
    </w:p>
    <w:p w14:paraId="4A4AD40E" w14:textId="77777777" w:rsidR="001F40D2" w:rsidRDefault="001F40D2" w:rsidP="009D6EE5">
      <w:pPr>
        <w:pStyle w:val="Style5"/>
        <w:numPr>
          <w:ilvl w:val="0"/>
          <w:numId w:val="0"/>
        </w:numPr>
        <w:spacing w:line="22" w:lineRule="atLeast"/>
        <w:jc w:val="both"/>
        <w:rPr>
          <w:sz w:val="20"/>
          <w:szCs w:val="20"/>
        </w:rPr>
      </w:pPr>
    </w:p>
    <w:p w14:paraId="649E2CFC" w14:textId="77777777" w:rsidR="001F40D2" w:rsidRDefault="001F40D2" w:rsidP="009D6EE5">
      <w:pPr>
        <w:pStyle w:val="Style5"/>
        <w:numPr>
          <w:ilvl w:val="0"/>
          <w:numId w:val="0"/>
        </w:numPr>
        <w:spacing w:line="22" w:lineRule="atLeast"/>
        <w:jc w:val="both"/>
        <w:rPr>
          <w:sz w:val="20"/>
          <w:szCs w:val="20"/>
        </w:rPr>
      </w:pPr>
    </w:p>
    <w:p w14:paraId="1FDA1EB1" w14:textId="77777777" w:rsidR="001F40D2" w:rsidRDefault="001F40D2" w:rsidP="009D6EE5">
      <w:pPr>
        <w:pStyle w:val="Style5"/>
        <w:numPr>
          <w:ilvl w:val="0"/>
          <w:numId w:val="0"/>
        </w:numPr>
        <w:spacing w:line="22" w:lineRule="atLeast"/>
        <w:jc w:val="both"/>
        <w:rPr>
          <w:sz w:val="20"/>
          <w:szCs w:val="20"/>
        </w:rPr>
      </w:pPr>
    </w:p>
    <w:p w14:paraId="3A58A3A9" w14:textId="77777777" w:rsidR="001F40D2" w:rsidRPr="00A74D23" w:rsidRDefault="001F40D2" w:rsidP="009D6EE5">
      <w:pPr>
        <w:pStyle w:val="Style5"/>
        <w:numPr>
          <w:ilvl w:val="0"/>
          <w:numId w:val="0"/>
        </w:numPr>
        <w:spacing w:line="22" w:lineRule="atLeast"/>
        <w:jc w:val="both"/>
        <w:rPr>
          <w:sz w:val="20"/>
          <w:szCs w:val="20"/>
        </w:rPr>
      </w:pPr>
    </w:p>
    <w:p w14:paraId="5DC3B742" w14:textId="382D577C" w:rsidR="00D708BA" w:rsidRPr="00A74D23" w:rsidRDefault="00D708BA" w:rsidP="009D6EE5">
      <w:pPr>
        <w:pStyle w:val="Style5"/>
        <w:numPr>
          <w:ilvl w:val="0"/>
          <w:numId w:val="0"/>
        </w:numPr>
        <w:spacing w:line="22" w:lineRule="atLeast"/>
        <w:jc w:val="both"/>
        <w:rPr>
          <w:sz w:val="20"/>
          <w:szCs w:val="20"/>
        </w:rPr>
      </w:pPr>
    </w:p>
    <w:p w14:paraId="276F880F" w14:textId="5C0A4B0B" w:rsidR="00C72EDA" w:rsidRPr="00A74D23" w:rsidRDefault="00D708BA" w:rsidP="009D6EE5">
      <w:pPr>
        <w:pStyle w:val="Style1"/>
        <w:numPr>
          <w:ilvl w:val="0"/>
          <w:numId w:val="0"/>
        </w:numPr>
        <w:tabs>
          <w:tab w:val="clear" w:pos="2010"/>
          <w:tab w:val="left" w:pos="1134"/>
        </w:tabs>
        <w:spacing w:line="22" w:lineRule="atLeast"/>
        <w:jc w:val="both"/>
        <w:rPr>
          <w:rFonts w:cs="Open Sans"/>
          <w:i w:val="0"/>
          <w:color w:val="auto"/>
          <w:sz w:val="20"/>
        </w:rPr>
      </w:pPr>
      <w:r w:rsidRPr="00A74D23">
        <w:rPr>
          <w:rFonts w:cs="Open Sans"/>
          <w:noProof/>
        </w:rPr>
        <mc:AlternateContent>
          <mc:Choice Requires="wps">
            <w:drawing>
              <wp:anchor distT="0" distB="0" distL="114300" distR="114300" simplePos="0" relativeHeight="251455488" behindDoc="0" locked="0" layoutInCell="1" allowOverlap="1" wp14:anchorId="1EA84EFC" wp14:editId="5F00BB56">
                <wp:simplePos x="0" y="0"/>
                <wp:positionH relativeFrom="margin">
                  <wp:posOffset>1655146</wp:posOffset>
                </wp:positionH>
                <wp:positionV relativeFrom="paragraph">
                  <wp:posOffset>5640</wp:posOffset>
                </wp:positionV>
                <wp:extent cx="2667635" cy="356646"/>
                <wp:effectExtent l="0" t="0" r="0" b="5715"/>
                <wp:wrapNone/>
                <wp:docPr id="1984906675" name="Rectangle : coins arrondis 1984906675"/>
                <wp:cNvGraphicFramePr/>
                <a:graphic xmlns:a="http://schemas.openxmlformats.org/drawingml/2006/main">
                  <a:graphicData uri="http://schemas.microsoft.com/office/word/2010/wordprocessingShape">
                    <wps:wsp>
                      <wps:cNvSpPr/>
                      <wps:spPr>
                        <a:xfrm>
                          <a:off x="0" y="0"/>
                          <a:ext cx="2667635" cy="356646"/>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1A93B9" w14:textId="77777777" w:rsidR="00D708BA" w:rsidRPr="00AB3F01" w:rsidRDefault="00D708BA" w:rsidP="00D708BA">
                            <w:pPr>
                              <w:jc w:val="center"/>
                              <w:rPr>
                                <w:b/>
                                <w:bCs/>
                                <w:color w:val="000000" w:themeColor="text1"/>
                                <w:sz w:val="36"/>
                                <w:szCs w:val="36"/>
                              </w:rPr>
                            </w:pPr>
                            <w:r w:rsidRPr="00AB3F01">
                              <w:rPr>
                                <w:rFonts w:ascii="Source Sans Pro" w:hAnsi="Source Sans Pro"/>
                                <w:b/>
                                <w:bCs/>
                                <w:color w:val="000000" w:themeColor="text1"/>
                                <w:sz w:val="32"/>
                                <w:szCs w:val="32"/>
                              </w:rPr>
                              <w:t>En conclusion</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A84EFC" id="Rectangle : coins arrondis 1984906675" o:spid="_x0000_s1165" style="position:absolute;left:0;text-align:left;margin-left:130.35pt;margin-top:.45pt;width:210.05pt;height:28.1pt;z-index:25145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" fillcolor="#ffc000" stroked="f" strokeweight="1pt">
                <v:stroke joinstyle="miter"/>
                <v:textbox inset="2.5mm,1mm,2.5mm,1mm">
                  <w:txbxContent>
                    <w:p w14:paraId="6A1A93B9" w14:textId="77777777" w:rsidR="00D708BA" w:rsidRPr="00AB3F01" w:rsidRDefault="00D708BA" w:rsidP="00D708BA">
                      <w:pPr>
                        <w:jc w:val="center"/>
                        <w:rPr>
                          <w:b/>
                          <w:bCs/>
                          <w:color w:val="000000" w:themeColor="text1"/>
                          <w:sz w:val="36"/>
                          <w:szCs w:val="36"/>
                        </w:rPr>
                      </w:pPr>
                      <w:r w:rsidRPr="00AB3F01">
                        <w:rPr>
                          <w:rFonts w:ascii="Source Sans Pro" w:hAnsi="Source Sans Pro"/>
                          <w:b/>
                          <w:bCs/>
                          <w:color w:val="000000" w:themeColor="text1"/>
                          <w:sz w:val="32"/>
                          <w:szCs w:val="32"/>
                        </w:rPr>
                        <w:t>En conclusion</w:t>
                      </w:r>
                    </w:p>
                  </w:txbxContent>
                </v:textbox>
                <w10:wrap anchorx="margin"/>
              </v:roundrect>
            </w:pict>
          </mc:Fallback>
        </mc:AlternateContent>
      </w:r>
      <w:r w:rsidR="00C72EDA" w:rsidRPr="00A74D23">
        <w:rPr>
          <w:rFonts w:eastAsia="Calibri" w:cs="Open Sans"/>
          <w:i w:val="0"/>
          <w:iCs w:val="0"/>
          <w:noProof/>
          <w:sz w:val="20"/>
          <w:szCs w:val="20"/>
        </w:rPr>
        <mc:AlternateContent>
          <mc:Choice Requires="wpg">
            <w:drawing>
              <wp:anchor distT="0" distB="0" distL="114300" distR="114300" simplePos="0" relativeHeight="251453440" behindDoc="0" locked="0" layoutInCell="1" allowOverlap="1" wp14:anchorId="16EF631E" wp14:editId="27D2D9F8">
                <wp:simplePos x="0" y="0"/>
                <wp:positionH relativeFrom="margin">
                  <wp:align>left</wp:align>
                </wp:positionH>
                <wp:positionV relativeFrom="paragraph">
                  <wp:posOffset>4721</wp:posOffset>
                </wp:positionV>
                <wp:extent cx="390025" cy="281534"/>
                <wp:effectExtent l="0" t="0" r="10160" b="23495"/>
                <wp:wrapNone/>
                <wp:docPr id="659054681" name="Groupe 132"/>
                <wp:cNvGraphicFramePr/>
                <a:graphic xmlns:a="http://schemas.openxmlformats.org/drawingml/2006/main">
                  <a:graphicData uri="http://schemas.microsoft.com/office/word/2010/wordprocessingGroup">
                    <wpg:wgp>
                      <wpg:cNvGrpSpPr/>
                      <wpg:grpSpPr>
                        <a:xfrm>
                          <a:off x="0" y="0"/>
                          <a:ext cx="390025" cy="281534"/>
                          <a:chOff x="0" y="0"/>
                          <a:chExt cx="480287" cy="346688"/>
                        </a:xfrm>
                      </wpg:grpSpPr>
                      <wps:wsp>
                        <wps:cNvPr id="597279217"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1724584523"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1D209492" id="Groupe 132" o:spid="_x0000_s1026" style="position:absolute;margin-left:0;margin-top:.35pt;width:30.7pt;height:22.15pt;z-index:251453440;mso-position-horizontal:left;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p>
    <w:p w14:paraId="7CC37BBD" w14:textId="62D3F170" w:rsidR="00C72EDA" w:rsidRPr="00A74D23" w:rsidRDefault="002718B3" w:rsidP="009D6EE5">
      <w:pPr>
        <w:pStyle w:val="Style1"/>
        <w:numPr>
          <w:ilvl w:val="0"/>
          <w:numId w:val="0"/>
        </w:numPr>
        <w:tabs>
          <w:tab w:val="clear" w:pos="2010"/>
          <w:tab w:val="left" w:pos="1134"/>
        </w:tabs>
        <w:spacing w:line="22" w:lineRule="atLeast"/>
        <w:jc w:val="both"/>
        <w:rPr>
          <w:rFonts w:cs="Open Sans"/>
          <w:i w:val="0"/>
          <w:color w:val="auto"/>
          <w:sz w:val="20"/>
        </w:rPr>
      </w:pPr>
      <w:r w:rsidRPr="00A74D23">
        <w:rPr>
          <w:rFonts w:cs="Open Sans"/>
          <w:noProof/>
        </w:rPr>
        <mc:AlternateContent>
          <mc:Choice Requires="wps">
            <w:drawing>
              <wp:anchor distT="0" distB="0" distL="114300" distR="114300" simplePos="0" relativeHeight="251449344" behindDoc="0" locked="0" layoutInCell="1" allowOverlap="1" wp14:anchorId="3DFB5968" wp14:editId="46BAE454">
                <wp:simplePos x="0" y="0"/>
                <wp:positionH relativeFrom="margin">
                  <wp:posOffset>107496</wp:posOffset>
                </wp:positionH>
                <wp:positionV relativeFrom="paragraph">
                  <wp:posOffset>200388</wp:posOffset>
                </wp:positionV>
                <wp:extent cx="5548063" cy="2468880"/>
                <wp:effectExtent l="0" t="0" r="0" b="7620"/>
                <wp:wrapNone/>
                <wp:docPr id="1909051500" name="Zone de texte 1909051500"/>
                <wp:cNvGraphicFramePr/>
                <a:graphic xmlns:a="http://schemas.openxmlformats.org/drawingml/2006/main">
                  <a:graphicData uri="http://schemas.microsoft.com/office/word/2010/wordprocessingShape">
                    <wps:wsp>
                      <wps:cNvSpPr txBox="1"/>
                      <wps:spPr>
                        <a:xfrm>
                          <a:off x="0" y="0"/>
                          <a:ext cx="5548063" cy="2468880"/>
                        </a:xfrm>
                        <a:prstGeom prst="rect">
                          <a:avLst/>
                        </a:prstGeom>
                        <a:solidFill>
                          <a:schemeClr val="lt1"/>
                        </a:solidFill>
                        <a:ln w="6350">
                          <a:noFill/>
                        </a:ln>
                      </wps:spPr>
                      <wps:txbx>
                        <w:txbxContent>
                          <w:p w14:paraId="298F3C3E" w14:textId="5FD2288B" w:rsidR="002718B3" w:rsidRDefault="002718B3" w:rsidP="002718B3">
                            <w:pPr>
                              <w:pStyle w:val="Style1"/>
                              <w:numPr>
                                <w:ilvl w:val="0"/>
                                <w:numId w:val="0"/>
                              </w:numPr>
                              <w:tabs>
                                <w:tab w:val="clear" w:pos="2010"/>
                                <w:tab w:val="left" w:pos="1134"/>
                              </w:tabs>
                              <w:spacing w:line="276" w:lineRule="auto"/>
                              <w:jc w:val="both"/>
                              <w:rPr>
                                <w:rFonts w:ascii="Source Sans Pro" w:hAnsi="Source Sans Pro" w:cstheme="minorBidi"/>
                                <w:i w:val="0"/>
                                <w:color w:val="auto"/>
                                <w:sz w:val="20"/>
                                <w:szCs w:val="22"/>
                              </w:rPr>
                            </w:pPr>
                            <w:r w:rsidRPr="002718B3">
                              <w:rPr>
                                <w:rFonts w:ascii="Source Sans Pro" w:hAnsi="Source Sans Pro" w:cstheme="minorBidi"/>
                                <w:i w:val="0"/>
                                <w:color w:val="auto"/>
                                <w:sz w:val="20"/>
                                <w:szCs w:val="22"/>
                              </w:rPr>
                              <w:t>Le constat est clair : à mesure que le temps passe, la trajectoire 1,5 °C devient de moins en moins probable, au prix de coûts de transition de plus en plus élevés si elle devait être atteinte. Dans ce contexte, le scénario 2 °C constitue aujourd’hui</w:t>
                            </w:r>
                            <w:r w:rsidR="0030398A">
                              <w:rPr>
                                <w:rFonts w:ascii="Source Sans Pro" w:hAnsi="Source Sans Pro" w:cstheme="minorBidi"/>
                                <w:i w:val="0"/>
                                <w:color w:val="auto"/>
                                <w:sz w:val="20"/>
                                <w:szCs w:val="22"/>
                              </w:rPr>
                              <w:t xml:space="preserve">, au vu des résultats de la Climate Var, </w:t>
                            </w:r>
                            <w:r w:rsidRPr="002718B3">
                              <w:rPr>
                                <w:rFonts w:ascii="Source Sans Pro" w:hAnsi="Source Sans Pro" w:cstheme="minorBidi"/>
                                <w:i w:val="0"/>
                                <w:color w:val="auto"/>
                                <w:sz w:val="20"/>
                                <w:szCs w:val="22"/>
                              </w:rPr>
                              <w:t>un point d’équilibre crédible pour analyser et piloter les portefeuilles. Pour autant, il serait illusoire d’en tirer un excès de confort : les risques physiques du changement climatique restent très probablement sous</w:t>
                            </w:r>
                            <w:r w:rsidRPr="002718B3">
                              <w:rPr>
                                <w:rFonts w:ascii="Cambria Math" w:hAnsi="Cambria Math" w:cs="Cambria Math"/>
                                <w:i w:val="0"/>
                                <w:color w:val="auto"/>
                                <w:sz w:val="20"/>
                                <w:szCs w:val="22"/>
                              </w:rPr>
                              <w:t>‑</w:t>
                            </w:r>
                            <w:r w:rsidRPr="002718B3">
                              <w:rPr>
                                <w:rFonts w:ascii="Source Sans Pro" w:hAnsi="Source Sans Pro" w:cstheme="minorBidi"/>
                                <w:i w:val="0"/>
                                <w:color w:val="auto"/>
                                <w:sz w:val="20"/>
                                <w:szCs w:val="22"/>
                              </w:rPr>
                              <w:t>appr</w:t>
                            </w:r>
                            <w:r w:rsidRPr="002718B3">
                              <w:rPr>
                                <w:rFonts w:ascii="Source Sans Pro" w:hAnsi="Source Sans Pro" w:cs="Source Sans Pro"/>
                                <w:i w:val="0"/>
                                <w:color w:val="auto"/>
                                <w:sz w:val="20"/>
                                <w:szCs w:val="22"/>
                              </w:rPr>
                              <w:t>é</w:t>
                            </w:r>
                            <w:r w:rsidRPr="002718B3">
                              <w:rPr>
                                <w:rFonts w:ascii="Source Sans Pro" w:hAnsi="Source Sans Pro" w:cstheme="minorBidi"/>
                                <w:i w:val="0"/>
                                <w:color w:val="auto"/>
                                <w:sz w:val="20"/>
                                <w:szCs w:val="22"/>
                              </w:rPr>
                              <w:t>ci</w:t>
                            </w:r>
                            <w:r w:rsidRPr="002718B3">
                              <w:rPr>
                                <w:rFonts w:ascii="Source Sans Pro" w:hAnsi="Source Sans Pro" w:cs="Source Sans Pro"/>
                                <w:i w:val="0"/>
                                <w:color w:val="auto"/>
                                <w:sz w:val="20"/>
                                <w:szCs w:val="22"/>
                              </w:rPr>
                              <w:t>é</w:t>
                            </w:r>
                            <w:r w:rsidRPr="002718B3">
                              <w:rPr>
                                <w:rFonts w:ascii="Source Sans Pro" w:hAnsi="Source Sans Pro" w:cstheme="minorBidi"/>
                                <w:i w:val="0"/>
                                <w:color w:val="auto"/>
                                <w:sz w:val="20"/>
                                <w:szCs w:val="22"/>
                              </w:rPr>
                              <w:t>s. Les prochaines ann</w:t>
                            </w:r>
                            <w:r w:rsidRPr="002718B3">
                              <w:rPr>
                                <w:rFonts w:ascii="Source Sans Pro" w:hAnsi="Source Sans Pro" w:cs="Source Sans Pro"/>
                                <w:i w:val="0"/>
                                <w:color w:val="auto"/>
                                <w:sz w:val="20"/>
                                <w:szCs w:val="22"/>
                              </w:rPr>
                              <w:t>é</w:t>
                            </w:r>
                            <w:r w:rsidRPr="002718B3">
                              <w:rPr>
                                <w:rFonts w:ascii="Source Sans Pro" w:hAnsi="Source Sans Pro" w:cstheme="minorBidi"/>
                                <w:i w:val="0"/>
                                <w:color w:val="auto"/>
                                <w:sz w:val="20"/>
                                <w:szCs w:val="22"/>
                              </w:rPr>
                              <w:t>es seront d</w:t>
                            </w:r>
                            <w:r w:rsidRPr="002718B3">
                              <w:rPr>
                                <w:rFonts w:ascii="Source Sans Pro" w:hAnsi="Source Sans Pro" w:cs="Source Sans Pro"/>
                                <w:i w:val="0"/>
                                <w:color w:val="auto"/>
                                <w:sz w:val="20"/>
                                <w:szCs w:val="22"/>
                              </w:rPr>
                              <w:t>é</w:t>
                            </w:r>
                            <w:r w:rsidRPr="002718B3">
                              <w:rPr>
                                <w:rFonts w:ascii="Source Sans Pro" w:hAnsi="Source Sans Pro" w:cstheme="minorBidi"/>
                                <w:i w:val="0"/>
                                <w:color w:val="auto"/>
                                <w:sz w:val="20"/>
                                <w:szCs w:val="22"/>
                              </w:rPr>
                              <w:t>cisives pour affiner la compréhension de ces impacts et intégrer pleinement cette réalité dans notre cadre de gestion des risques. Il s’agit d’un enjeu stratégique majeur pour la résilience durable de nos portefeuilles.</w:t>
                            </w:r>
                          </w:p>
                          <w:p w14:paraId="36958FF5" w14:textId="14106F19" w:rsidR="002718B3" w:rsidRDefault="007B075E" w:rsidP="002718B3">
                            <w:pPr>
                              <w:pStyle w:val="Style1"/>
                              <w:numPr>
                                <w:ilvl w:val="0"/>
                                <w:numId w:val="0"/>
                              </w:numPr>
                              <w:ind w:left="26"/>
                            </w:pPr>
                            <w:r>
                              <w:rPr>
                                <w:noProof/>
                              </w:rPr>
                              <w:drawing>
                                <wp:inline distT="0" distB="0" distL="0" distR="0" wp14:anchorId="68A80E09" wp14:editId="122F5C25">
                                  <wp:extent cx="833971" cy="800434"/>
                                  <wp:effectExtent l="0" t="0" r="4445" b="0"/>
                                  <wp:docPr id="1729812335"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37886" cy="804192"/>
                                          </a:xfrm>
                                          <a:prstGeom prst="rect">
                                            <a:avLst/>
                                          </a:prstGeom>
                                          <a:noFill/>
                                          <a:ln>
                                            <a:noFill/>
                                          </a:ln>
                                        </pic:spPr>
                                      </pic:pic>
                                    </a:graphicData>
                                  </a:graphic>
                                </wp:inline>
                              </w:drawing>
                            </w:r>
                            <w:r w:rsidR="0030398A" w:rsidRPr="0030398A">
                              <w:rPr>
                                <w:rFonts w:ascii="Source Sans Pro" w:hAnsi="Source Sans Pro"/>
                                <w:b/>
                                <w:i w:val="0"/>
                                <w:color w:val="000000" w:themeColor="text1"/>
                                <w:sz w:val="20"/>
                              </w:rPr>
                              <w:t xml:space="preserve">Regis </w:t>
                            </w:r>
                            <w:r w:rsidR="0030398A">
                              <w:rPr>
                                <w:rFonts w:ascii="Source Sans Pro" w:hAnsi="Source Sans Pro"/>
                                <w:b/>
                                <w:i w:val="0"/>
                                <w:color w:val="000000" w:themeColor="text1"/>
                                <w:sz w:val="20"/>
                              </w:rPr>
                              <w:t>WEISSLINGER</w:t>
                            </w:r>
                            <w:r w:rsidR="002718B3">
                              <w:rPr>
                                <w:rFonts w:ascii="Source Sans Pro" w:hAnsi="Source Sans Pro"/>
                                <w:b/>
                                <w:i w:val="0"/>
                                <w:color w:val="000000" w:themeColor="text1"/>
                                <w:sz w:val="20"/>
                              </w:rPr>
                              <w:t xml:space="preserve">, </w:t>
                            </w:r>
                            <w:r w:rsidR="002718B3" w:rsidRPr="00D4571A">
                              <w:rPr>
                                <w:rFonts w:ascii="Source Sans Pro" w:hAnsi="Source Sans Pro"/>
                                <w:b/>
                                <w:i w:val="0"/>
                                <w:color w:val="000000" w:themeColor="text1"/>
                                <w:sz w:val="20"/>
                              </w:rPr>
                              <w:t xml:space="preserve">Directeur </w:t>
                            </w:r>
                            <w:r w:rsidR="0030398A">
                              <w:rPr>
                                <w:rFonts w:ascii="Source Sans Pro" w:hAnsi="Source Sans Pro"/>
                                <w:b/>
                                <w:i w:val="0"/>
                                <w:color w:val="000000" w:themeColor="text1"/>
                                <w:sz w:val="20"/>
                              </w:rPr>
                              <w:t>des Risques</w:t>
                            </w:r>
                          </w:p>
                          <w:p w14:paraId="4F08145A" w14:textId="77777777" w:rsidR="002718B3" w:rsidRDefault="002718B3" w:rsidP="002718B3">
                            <w:pPr>
                              <w:pStyle w:val="Style1"/>
                              <w:numPr>
                                <w:ilvl w:val="0"/>
                                <w:numId w:val="0"/>
                              </w:numPr>
                              <w:tabs>
                                <w:tab w:val="clear" w:pos="2010"/>
                                <w:tab w:val="left" w:pos="1134"/>
                              </w:tabs>
                              <w:spacing w:line="276" w:lineRule="auto"/>
                              <w:jc w:val="both"/>
                              <w:rPr>
                                <w:rFonts w:ascii="Source Sans Pro" w:hAnsi="Source Sans Pro" w:cstheme="minorBidi"/>
                                <w:i w:val="0"/>
                                <w:color w:val="auto"/>
                                <w:sz w:val="20"/>
                                <w:szCs w:val="22"/>
                              </w:rPr>
                            </w:pPr>
                          </w:p>
                          <w:p w14:paraId="5018E2D5" w14:textId="77777777" w:rsidR="002718B3" w:rsidRDefault="002718B3" w:rsidP="002718B3">
                            <w:pPr>
                              <w:pStyle w:val="Style1"/>
                              <w:numPr>
                                <w:ilvl w:val="0"/>
                                <w:numId w:val="0"/>
                              </w:numPr>
                              <w:tabs>
                                <w:tab w:val="clear" w:pos="2010"/>
                                <w:tab w:val="left" w:pos="1134"/>
                              </w:tabs>
                              <w:spacing w:line="276" w:lineRule="auto"/>
                              <w:jc w:val="both"/>
                              <w:rPr>
                                <w:rFonts w:cs="Open Sans"/>
                                <w:i w:val="0"/>
                                <w:color w:val="auto"/>
                                <w:sz w:val="20"/>
                              </w:rPr>
                            </w:pPr>
                          </w:p>
                          <w:p w14:paraId="7706EC63" w14:textId="77777777" w:rsidR="002718B3" w:rsidRDefault="002718B3" w:rsidP="002718B3">
                            <w:pPr>
                              <w:pStyle w:val="Style1"/>
                              <w:numPr>
                                <w:ilvl w:val="0"/>
                                <w:numId w:val="0"/>
                              </w:numPr>
                              <w:tabs>
                                <w:tab w:val="clear" w:pos="2010"/>
                                <w:tab w:val="left" w:pos="1134"/>
                              </w:tabs>
                              <w:spacing w:line="276" w:lineRule="auto"/>
                              <w:jc w:val="both"/>
                              <w:rPr>
                                <w:rFonts w:cs="Open Sans"/>
                                <w:i w:val="0"/>
                                <w:color w:val="auto"/>
                                <w:sz w:val="20"/>
                              </w:rPr>
                            </w:pPr>
                          </w:p>
                          <w:p w14:paraId="5FA7984F" w14:textId="77777777" w:rsidR="002718B3" w:rsidRDefault="002718B3" w:rsidP="002718B3">
                            <w:pPr>
                              <w:pStyle w:val="Style1"/>
                              <w:numPr>
                                <w:ilvl w:val="0"/>
                                <w:numId w:val="0"/>
                              </w:numPr>
                              <w:tabs>
                                <w:tab w:val="clear" w:pos="2010"/>
                                <w:tab w:val="left" w:pos="1134"/>
                              </w:tabs>
                              <w:spacing w:line="276" w:lineRule="auto"/>
                              <w:jc w:val="both"/>
                              <w:rPr>
                                <w:rFonts w:cs="Open Sans"/>
                                <w:i w:val="0"/>
                                <w:color w:val="auto"/>
                                <w:sz w:val="20"/>
                              </w:rPr>
                            </w:pPr>
                          </w:p>
                          <w:p w14:paraId="3B8B02C4" w14:textId="77777777" w:rsidR="002718B3" w:rsidRDefault="002718B3" w:rsidP="002718B3">
                            <w:pPr>
                              <w:pStyle w:val="Style1"/>
                              <w:numPr>
                                <w:ilvl w:val="0"/>
                                <w:numId w:val="0"/>
                              </w:numPr>
                              <w:tabs>
                                <w:tab w:val="clear" w:pos="2010"/>
                                <w:tab w:val="left" w:pos="1134"/>
                              </w:tabs>
                              <w:spacing w:line="276" w:lineRule="auto"/>
                              <w:jc w:val="both"/>
                              <w:rPr>
                                <w:rFonts w:cs="Open Sans"/>
                                <w:i w:val="0"/>
                                <w:color w:val="auto"/>
                                <w:sz w:val="20"/>
                              </w:rPr>
                            </w:pPr>
                          </w:p>
                          <w:p w14:paraId="54345983" w14:textId="5EF5DA8A" w:rsidR="00C72EDA" w:rsidRDefault="00C72EDA" w:rsidP="00C72EDA">
                            <w:pPr>
                              <w:pStyle w:val="Style1"/>
                              <w:numPr>
                                <w:ilvl w:val="0"/>
                                <w:numId w:val="0"/>
                              </w:numPr>
                              <w:tabs>
                                <w:tab w:val="left" w:pos="426"/>
                              </w:tabs>
                              <w:jc w:val="both"/>
                              <w:rPr>
                                <w:rFonts w:ascii="Source Sans Pro" w:hAnsi="Source Sans Pro" w:cstheme="minorBidi"/>
                                <w:i w:val="0"/>
                                <w:color w:val="auto"/>
                                <w:sz w:val="20"/>
                                <w:szCs w:val="22"/>
                              </w:rPr>
                            </w:pPr>
                          </w:p>
                          <w:p w14:paraId="30D107D1" w14:textId="77777777" w:rsidR="00C72EDA" w:rsidRDefault="00C72EDA" w:rsidP="00C72EDA">
                            <w:pPr>
                              <w:pStyle w:val="Style1"/>
                              <w:numPr>
                                <w:ilvl w:val="0"/>
                                <w:numId w:val="0"/>
                              </w:numPr>
                              <w:tabs>
                                <w:tab w:val="left" w:pos="426"/>
                              </w:tabs>
                              <w:jc w:val="both"/>
                              <w:rPr>
                                <w:rFonts w:ascii="Source Sans Pro" w:hAnsi="Source Sans Pro" w:cstheme="minorBidi"/>
                                <w:i w:val="0"/>
                                <w:color w:val="auto"/>
                                <w:sz w:val="20"/>
                                <w:szCs w:val="22"/>
                              </w:rPr>
                            </w:pPr>
                          </w:p>
                          <w:p w14:paraId="6440D8A5" w14:textId="77777777" w:rsidR="00C72EDA" w:rsidRDefault="00C72EDA" w:rsidP="00C72EDA">
                            <w:pPr>
                              <w:pStyle w:val="Style1"/>
                              <w:numPr>
                                <w:ilvl w:val="0"/>
                                <w:numId w:val="0"/>
                              </w:numPr>
                              <w:tabs>
                                <w:tab w:val="left" w:pos="426"/>
                              </w:tabs>
                              <w:jc w:val="both"/>
                              <w:rPr>
                                <w:rFonts w:ascii="Source Sans Pro" w:hAnsi="Source Sans Pro" w:cstheme="minorBidi"/>
                                <w:i w:val="0"/>
                                <w:color w:val="auto"/>
                                <w:sz w:val="20"/>
                                <w:szCs w:val="22"/>
                              </w:rPr>
                            </w:pPr>
                          </w:p>
                          <w:p w14:paraId="4DF5BBEF" w14:textId="77777777" w:rsidR="00C72EDA" w:rsidRPr="004C7A7B" w:rsidRDefault="00C72EDA" w:rsidP="00C72EDA">
                            <w:pPr>
                              <w:pStyle w:val="Style1"/>
                              <w:numPr>
                                <w:ilvl w:val="0"/>
                                <w:numId w:val="0"/>
                              </w:numPr>
                              <w:tabs>
                                <w:tab w:val="left" w:pos="426"/>
                              </w:tabs>
                              <w:jc w:val="both"/>
                              <w:rPr>
                                <w:rFonts w:ascii="Source Sans Pro" w:hAnsi="Source Sans Pro" w:cstheme="minorBidi"/>
                                <w:i w:val="0"/>
                                <w:color w:val="auto"/>
                                <w:sz w:val="20"/>
                                <w:szCs w:val="22"/>
                              </w:rPr>
                            </w:pPr>
                          </w:p>
                          <w:p w14:paraId="55645A1D" w14:textId="3E736DE7" w:rsidR="00C72EDA" w:rsidRDefault="00C72EDA" w:rsidP="00C72EDA">
                            <w:pPr>
                              <w:pStyle w:val="Style1"/>
                              <w:numPr>
                                <w:ilvl w:val="0"/>
                                <w:numId w:val="0"/>
                              </w:numPr>
                              <w:tabs>
                                <w:tab w:val="left" w:pos="426"/>
                              </w:tabs>
                              <w:jc w:val="both"/>
                              <w:rPr>
                                <w:noProof/>
                              </w:rPr>
                            </w:pPr>
                          </w:p>
                          <w:p w14:paraId="1C05FED0" w14:textId="77777777" w:rsidR="0005433B" w:rsidRDefault="0005433B" w:rsidP="00C72EDA">
                            <w:pPr>
                              <w:pStyle w:val="Style1"/>
                              <w:numPr>
                                <w:ilvl w:val="0"/>
                                <w:numId w:val="0"/>
                              </w:numPr>
                              <w:tabs>
                                <w:tab w:val="left" w:pos="426"/>
                              </w:tabs>
                              <w:jc w:val="both"/>
                              <w:rPr>
                                <w:noProof/>
                              </w:rPr>
                            </w:pPr>
                          </w:p>
                          <w:p w14:paraId="20670224" w14:textId="77777777" w:rsidR="0005433B" w:rsidRDefault="0005433B" w:rsidP="00C72EDA">
                            <w:pPr>
                              <w:pStyle w:val="Style1"/>
                              <w:numPr>
                                <w:ilvl w:val="0"/>
                                <w:numId w:val="0"/>
                              </w:numPr>
                              <w:tabs>
                                <w:tab w:val="left" w:pos="426"/>
                              </w:tabs>
                              <w:jc w:val="both"/>
                              <w:rPr>
                                <w:noProof/>
                              </w:rPr>
                            </w:pPr>
                          </w:p>
                          <w:p w14:paraId="1C4EBB5F" w14:textId="77777777" w:rsidR="0005433B" w:rsidRDefault="0005433B" w:rsidP="00C72EDA">
                            <w:pPr>
                              <w:pStyle w:val="Style1"/>
                              <w:numPr>
                                <w:ilvl w:val="0"/>
                                <w:numId w:val="0"/>
                              </w:numPr>
                              <w:tabs>
                                <w:tab w:val="left" w:pos="426"/>
                              </w:tabs>
                              <w:jc w:val="both"/>
                              <w:rPr>
                                <w:noProof/>
                              </w:rPr>
                            </w:pPr>
                          </w:p>
                          <w:p w14:paraId="54D664BE" w14:textId="77777777" w:rsidR="0005433B" w:rsidRDefault="0005433B" w:rsidP="00C72EDA">
                            <w:pPr>
                              <w:pStyle w:val="Style1"/>
                              <w:numPr>
                                <w:ilvl w:val="0"/>
                                <w:numId w:val="0"/>
                              </w:numPr>
                              <w:tabs>
                                <w:tab w:val="left" w:pos="426"/>
                              </w:tabs>
                              <w:jc w:val="both"/>
                              <w:rPr>
                                <w:noProof/>
                              </w:rPr>
                            </w:pPr>
                          </w:p>
                          <w:p w14:paraId="1BB61BC3" w14:textId="77777777" w:rsidR="0005433B" w:rsidRDefault="0005433B" w:rsidP="00C72EDA">
                            <w:pPr>
                              <w:pStyle w:val="Style1"/>
                              <w:numPr>
                                <w:ilvl w:val="0"/>
                                <w:numId w:val="0"/>
                              </w:numPr>
                              <w:tabs>
                                <w:tab w:val="left" w:pos="426"/>
                              </w:tabs>
                              <w:jc w:val="both"/>
                              <w:rPr>
                                <w:rFonts w:ascii="Source Sans Pro" w:hAnsi="Source Sans Pro"/>
                                <w:b/>
                                <w:i w:val="0"/>
                                <w:color w:val="auto"/>
                                <w:sz w:val="20"/>
                              </w:rPr>
                            </w:pPr>
                          </w:p>
                          <w:p w14:paraId="05E1FB02" w14:textId="63F16318" w:rsidR="00C72EDA" w:rsidRPr="00D4571A" w:rsidRDefault="0005433B" w:rsidP="00C72EDA">
                            <w:pPr>
                              <w:pStyle w:val="Style1"/>
                              <w:numPr>
                                <w:ilvl w:val="0"/>
                                <w:numId w:val="0"/>
                              </w:numPr>
                              <w:tabs>
                                <w:tab w:val="left" w:pos="426"/>
                              </w:tabs>
                              <w:jc w:val="both"/>
                              <w:rPr>
                                <w:rFonts w:ascii="Source Sans Pro" w:hAnsi="Source Sans Pro"/>
                                <w:color w:val="auto"/>
                                <w:sz w:val="20"/>
                              </w:rPr>
                            </w:pPr>
                            <w:r w:rsidRPr="0005433B">
                              <w:rPr>
                                <w:rFonts w:ascii="Source Sans Pro" w:hAnsi="Source Sans Pro"/>
                                <w:b/>
                                <w:i w:val="0"/>
                                <w:color w:val="auto"/>
                                <w:sz w:val="20"/>
                              </w:rPr>
                              <w:t xml:space="preserve">Regis Weisslinger </w:t>
                            </w:r>
                            <w:r w:rsidR="00C72EDA" w:rsidRPr="00D4571A">
                              <w:rPr>
                                <w:rFonts w:ascii="Source Sans Pro" w:hAnsi="Source Sans Pro"/>
                                <w:b/>
                                <w:i w:val="0"/>
                                <w:color w:val="auto"/>
                                <w:sz w:val="20"/>
                              </w:rPr>
                              <w:t xml:space="preserve">(Directeur des </w:t>
                            </w:r>
                            <w:r w:rsidR="00C72EDA">
                              <w:rPr>
                                <w:rFonts w:ascii="Source Sans Pro" w:hAnsi="Source Sans Pro"/>
                                <w:b/>
                                <w:i w:val="0"/>
                                <w:color w:val="auto"/>
                                <w:sz w:val="20"/>
                              </w:rPr>
                              <w:t>Risques</w:t>
                            </w:r>
                            <w:r w:rsidR="00C72EDA" w:rsidRPr="00D4571A">
                              <w:rPr>
                                <w:rFonts w:ascii="Source Sans Pro" w:hAnsi="Source Sans Pro"/>
                                <w:b/>
                                <w:i w:val="0"/>
                                <w:color w:val="auto"/>
                                <w:sz w:val="20"/>
                              </w:rPr>
                              <w:t xml:space="preserve"> d’Abeille Assurances)</w:t>
                            </w:r>
                            <w:r w:rsidR="00C72EDA" w:rsidRPr="00D4571A">
                              <w:rPr>
                                <w:rFonts w:ascii="Source Sans Pro" w:hAnsi="Source Sans Pro"/>
                                <w:b/>
                                <w:sz w:val="20"/>
                              </w:rPr>
                              <w:t> </w:t>
                            </w:r>
                          </w:p>
                          <w:p w14:paraId="4967217D" w14:textId="77777777" w:rsidR="00C72EDA" w:rsidRPr="00D4571A" w:rsidRDefault="00C72EDA" w:rsidP="00C72EDA">
                            <w:pPr>
                              <w:pStyle w:val="Style1"/>
                              <w:numPr>
                                <w:ilvl w:val="0"/>
                                <w:numId w:val="0"/>
                              </w:numPr>
                              <w:tabs>
                                <w:tab w:val="left" w:pos="426"/>
                              </w:tabs>
                              <w:jc w:val="both"/>
                              <w:rPr>
                                <w:rFonts w:ascii="Source Sans Pro" w:hAnsi="Source Sans Pro"/>
                                <w:color w:val="auto"/>
                                <w:sz w:val="20"/>
                              </w:rPr>
                            </w:pPr>
                          </w:p>
                          <w:p w14:paraId="147CA73B" w14:textId="77777777" w:rsidR="00C72EDA" w:rsidRPr="00474EE1" w:rsidRDefault="00C72EDA" w:rsidP="00C72EDA">
                            <w:pPr>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B5968" id="Zone de texte 1909051500" o:spid="_x0000_s1166" type="#_x0000_t202" style="position:absolute;left:0;text-align:left;margin-left:8.45pt;margin-top:15.8pt;width:436.85pt;height:194.4pt;z-index:25144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" fillcolor="white [3201]" stroked="f" strokeweight=".5pt">
                <v:textbox>
                  <w:txbxContent>
                    <w:p w14:paraId="298F3C3E" w14:textId="5FD2288B" w:rsidR="002718B3" w:rsidRDefault="002718B3" w:rsidP="002718B3">
                      <w:pPr>
                        <w:pStyle w:val="Style1"/>
                        <w:numPr>
                          <w:ilvl w:val="0"/>
                          <w:numId w:val="0"/>
                        </w:numPr>
                        <w:tabs>
                          <w:tab w:val="clear" w:pos="2010"/>
                          <w:tab w:val="left" w:pos="1134"/>
                        </w:tabs>
                        <w:spacing w:line="276" w:lineRule="auto"/>
                        <w:jc w:val="both"/>
                        <w:rPr>
                          <w:rFonts w:ascii="Source Sans Pro" w:hAnsi="Source Sans Pro" w:cstheme="minorBidi"/>
                          <w:i w:val="0"/>
                          <w:color w:val="auto"/>
                          <w:sz w:val="20"/>
                          <w:szCs w:val="22"/>
                        </w:rPr>
                      </w:pPr>
                      <w:r w:rsidRPr="002718B3">
                        <w:rPr>
                          <w:rFonts w:ascii="Source Sans Pro" w:hAnsi="Source Sans Pro" w:cstheme="minorBidi"/>
                          <w:i w:val="0"/>
                          <w:color w:val="auto"/>
                          <w:sz w:val="20"/>
                          <w:szCs w:val="22"/>
                        </w:rPr>
                        <w:t>Le constat est clair : à mesure que le temps passe, la trajectoire 1,5 °C devient de moins en moins probable, au prix de coûts de transition de plus en plus élevés si elle devait être atteinte. Dans ce contexte, le scénario 2 °C constitue aujourd’hui</w:t>
                      </w:r>
                      <w:r w:rsidR="0030398A">
                        <w:rPr>
                          <w:rFonts w:ascii="Source Sans Pro" w:hAnsi="Source Sans Pro" w:cstheme="minorBidi"/>
                          <w:i w:val="0"/>
                          <w:color w:val="auto"/>
                          <w:sz w:val="20"/>
                          <w:szCs w:val="22"/>
                        </w:rPr>
                        <w:t xml:space="preserve">, au vu des résultats de la Climate Var, </w:t>
                      </w:r>
                      <w:r w:rsidRPr="002718B3">
                        <w:rPr>
                          <w:rFonts w:ascii="Source Sans Pro" w:hAnsi="Source Sans Pro" w:cstheme="minorBidi"/>
                          <w:i w:val="0"/>
                          <w:color w:val="auto"/>
                          <w:sz w:val="20"/>
                          <w:szCs w:val="22"/>
                        </w:rPr>
                        <w:t>un point d’équilibre crédible pour analyser et piloter les portefeuilles. Pour autant, il serait illusoire d’en tirer un excès de confort : les risques physiques du changement climatique restent très probablement sous</w:t>
                      </w:r>
                      <w:r w:rsidRPr="002718B3">
                        <w:rPr>
                          <w:rFonts w:ascii="Cambria Math" w:hAnsi="Cambria Math" w:cs="Cambria Math"/>
                          <w:i w:val="0"/>
                          <w:color w:val="auto"/>
                          <w:sz w:val="20"/>
                          <w:szCs w:val="22"/>
                        </w:rPr>
                        <w:t>‑</w:t>
                      </w:r>
                      <w:r w:rsidRPr="002718B3">
                        <w:rPr>
                          <w:rFonts w:ascii="Source Sans Pro" w:hAnsi="Source Sans Pro" w:cstheme="minorBidi"/>
                          <w:i w:val="0"/>
                          <w:color w:val="auto"/>
                          <w:sz w:val="20"/>
                          <w:szCs w:val="22"/>
                        </w:rPr>
                        <w:t>appr</w:t>
                      </w:r>
                      <w:r w:rsidRPr="002718B3">
                        <w:rPr>
                          <w:rFonts w:ascii="Source Sans Pro" w:hAnsi="Source Sans Pro" w:cs="Source Sans Pro"/>
                          <w:i w:val="0"/>
                          <w:color w:val="auto"/>
                          <w:sz w:val="20"/>
                          <w:szCs w:val="22"/>
                        </w:rPr>
                        <w:t>é</w:t>
                      </w:r>
                      <w:r w:rsidRPr="002718B3">
                        <w:rPr>
                          <w:rFonts w:ascii="Source Sans Pro" w:hAnsi="Source Sans Pro" w:cstheme="minorBidi"/>
                          <w:i w:val="0"/>
                          <w:color w:val="auto"/>
                          <w:sz w:val="20"/>
                          <w:szCs w:val="22"/>
                        </w:rPr>
                        <w:t>ci</w:t>
                      </w:r>
                      <w:r w:rsidRPr="002718B3">
                        <w:rPr>
                          <w:rFonts w:ascii="Source Sans Pro" w:hAnsi="Source Sans Pro" w:cs="Source Sans Pro"/>
                          <w:i w:val="0"/>
                          <w:color w:val="auto"/>
                          <w:sz w:val="20"/>
                          <w:szCs w:val="22"/>
                        </w:rPr>
                        <w:t>é</w:t>
                      </w:r>
                      <w:r w:rsidRPr="002718B3">
                        <w:rPr>
                          <w:rFonts w:ascii="Source Sans Pro" w:hAnsi="Source Sans Pro" w:cstheme="minorBidi"/>
                          <w:i w:val="0"/>
                          <w:color w:val="auto"/>
                          <w:sz w:val="20"/>
                          <w:szCs w:val="22"/>
                        </w:rPr>
                        <w:t>s. Les prochaines ann</w:t>
                      </w:r>
                      <w:r w:rsidRPr="002718B3">
                        <w:rPr>
                          <w:rFonts w:ascii="Source Sans Pro" w:hAnsi="Source Sans Pro" w:cs="Source Sans Pro"/>
                          <w:i w:val="0"/>
                          <w:color w:val="auto"/>
                          <w:sz w:val="20"/>
                          <w:szCs w:val="22"/>
                        </w:rPr>
                        <w:t>é</w:t>
                      </w:r>
                      <w:r w:rsidRPr="002718B3">
                        <w:rPr>
                          <w:rFonts w:ascii="Source Sans Pro" w:hAnsi="Source Sans Pro" w:cstheme="minorBidi"/>
                          <w:i w:val="0"/>
                          <w:color w:val="auto"/>
                          <w:sz w:val="20"/>
                          <w:szCs w:val="22"/>
                        </w:rPr>
                        <w:t>es seront d</w:t>
                      </w:r>
                      <w:r w:rsidRPr="002718B3">
                        <w:rPr>
                          <w:rFonts w:ascii="Source Sans Pro" w:hAnsi="Source Sans Pro" w:cs="Source Sans Pro"/>
                          <w:i w:val="0"/>
                          <w:color w:val="auto"/>
                          <w:sz w:val="20"/>
                          <w:szCs w:val="22"/>
                        </w:rPr>
                        <w:t>é</w:t>
                      </w:r>
                      <w:r w:rsidRPr="002718B3">
                        <w:rPr>
                          <w:rFonts w:ascii="Source Sans Pro" w:hAnsi="Source Sans Pro" w:cstheme="minorBidi"/>
                          <w:i w:val="0"/>
                          <w:color w:val="auto"/>
                          <w:sz w:val="20"/>
                          <w:szCs w:val="22"/>
                        </w:rPr>
                        <w:t>cisives pour affiner la compréhension de ces impacts et intégrer pleinement cette réalité dans notre cadre de gestion des risques. Il s’agit d’un enjeu stratégique majeur pour la résilience durable de nos portefeuilles.</w:t>
                      </w:r>
                    </w:p>
                    <w:p w14:paraId="36958FF5" w14:textId="14106F19" w:rsidR="002718B3" w:rsidRDefault="007B075E" w:rsidP="002718B3">
                      <w:pPr>
                        <w:pStyle w:val="Style1"/>
                        <w:numPr>
                          <w:ilvl w:val="0"/>
                          <w:numId w:val="0"/>
                        </w:numPr>
                        <w:ind w:left="26"/>
                      </w:pPr>
                      <w:r>
                        <w:rPr>
                          <w:noProof/>
                        </w:rPr>
                        <w:drawing>
                          <wp:inline distT="0" distB="0" distL="0" distR="0" wp14:anchorId="68A80E09" wp14:editId="122F5C25">
                            <wp:extent cx="833971" cy="800434"/>
                            <wp:effectExtent l="0" t="0" r="4445" b="0"/>
                            <wp:docPr id="1729812335" name="Imag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37886" cy="804192"/>
                                    </a:xfrm>
                                    <a:prstGeom prst="rect">
                                      <a:avLst/>
                                    </a:prstGeom>
                                    <a:noFill/>
                                    <a:ln>
                                      <a:noFill/>
                                    </a:ln>
                                  </pic:spPr>
                                </pic:pic>
                              </a:graphicData>
                            </a:graphic>
                          </wp:inline>
                        </w:drawing>
                      </w:r>
                      <w:r w:rsidR="0030398A" w:rsidRPr="0030398A">
                        <w:rPr>
                          <w:rFonts w:ascii="Source Sans Pro" w:hAnsi="Source Sans Pro"/>
                          <w:b/>
                          <w:i w:val="0"/>
                          <w:color w:val="000000" w:themeColor="text1"/>
                          <w:sz w:val="20"/>
                        </w:rPr>
                        <w:t xml:space="preserve">Regis </w:t>
                      </w:r>
                      <w:r w:rsidR="0030398A">
                        <w:rPr>
                          <w:rFonts w:ascii="Source Sans Pro" w:hAnsi="Source Sans Pro"/>
                          <w:b/>
                          <w:i w:val="0"/>
                          <w:color w:val="000000" w:themeColor="text1"/>
                          <w:sz w:val="20"/>
                        </w:rPr>
                        <w:t>WEISSLINGER</w:t>
                      </w:r>
                      <w:r w:rsidR="002718B3">
                        <w:rPr>
                          <w:rFonts w:ascii="Source Sans Pro" w:hAnsi="Source Sans Pro"/>
                          <w:b/>
                          <w:i w:val="0"/>
                          <w:color w:val="000000" w:themeColor="text1"/>
                          <w:sz w:val="20"/>
                        </w:rPr>
                        <w:t xml:space="preserve">, </w:t>
                      </w:r>
                      <w:r w:rsidR="002718B3" w:rsidRPr="00D4571A">
                        <w:rPr>
                          <w:rFonts w:ascii="Source Sans Pro" w:hAnsi="Source Sans Pro"/>
                          <w:b/>
                          <w:i w:val="0"/>
                          <w:color w:val="000000" w:themeColor="text1"/>
                          <w:sz w:val="20"/>
                        </w:rPr>
                        <w:t xml:space="preserve">Directeur </w:t>
                      </w:r>
                      <w:r w:rsidR="0030398A">
                        <w:rPr>
                          <w:rFonts w:ascii="Source Sans Pro" w:hAnsi="Source Sans Pro"/>
                          <w:b/>
                          <w:i w:val="0"/>
                          <w:color w:val="000000" w:themeColor="text1"/>
                          <w:sz w:val="20"/>
                        </w:rPr>
                        <w:t>des Risques</w:t>
                      </w:r>
                    </w:p>
                    <w:p w14:paraId="4F08145A" w14:textId="77777777" w:rsidR="002718B3" w:rsidRDefault="002718B3" w:rsidP="002718B3">
                      <w:pPr>
                        <w:pStyle w:val="Style1"/>
                        <w:numPr>
                          <w:ilvl w:val="0"/>
                          <w:numId w:val="0"/>
                        </w:numPr>
                        <w:tabs>
                          <w:tab w:val="clear" w:pos="2010"/>
                          <w:tab w:val="left" w:pos="1134"/>
                        </w:tabs>
                        <w:spacing w:line="276" w:lineRule="auto"/>
                        <w:jc w:val="both"/>
                        <w:rPr>
                          <w:rFonts w:ascii="Source Sans Pro" w:hAnsi="Source Sans Pro" w:cstheme="minorBidi"/>
                          <w:i w:val="0"/>
                          <w:color w:val="auto"/>
                          <w:sz w:val="20"/>
                          <w:szCs w:val="22"/>
                        </w:rPr>
                      </w:pPr>
                    </w:p>
                    <w:p w14:paraId="5018E2D5" w14:textId="77777777" w:rsidR="002718B3" w:rsidRDefault="002718B3" w:rsidP="002718B3">
                      <w:pPr>
                        <w:pStyle w:val="Style1"/>
                        <w:numPr>
                          <w:ilvl w:val="0"/>
                          <w:numId w:val="0"/>
                        </w:numPr>
                        <w:tabs>
                          <w:tab w:val="clear" w:pos="2010"/>
                          <w:tab w:val="left" w:pos="1134"/>
                        </w:tabs>
                        <w:spacing w:line="276" w:lineRule="auto"/>
                        <w:jc w:val="both"/>
                        <w:rPr>
                          <w:rFonts w:cs="Open Sans"/>
                          <w:i w:val="0"/>
                          <w:color w:val="auto"/>
                          <w:sz w:val="20"/>
                        </w:rPr>
                      </w:pPr>
                    </w:p>
                    <w:p w14:paraId="7706EC63" w14:textId="77777777" w:rsidR="002718B3" w:rsidRDefault="002718B3" w:rsidP="002718B3">
                      <w:pPr>
                        <w:pStyle w:val="Style1"/>
                        <w:numPr>
                          <w:ilvl w:val="0"/>
                          <w:numId w:val="0"/>
                        </w:numPr>
                        <w:tabs>
                          <w:tab w:val="clear" w:pos="2010"/>
                          <w:tab w:val="left" w:pos="1134"/>
                        </w:tabs>
                        <w:spacing w:line="276" w:lineRule="auto"/>
                        <w:jc w:val="both"/>
                        <w:rPr>
                          <w:rFonts w:cs="Open Sans"/>
                          <w:i w:val="0"/>
                          <w:color w:val="auto"/>
                          <w:sz w:val="20"/>
                        </w:rPr>
                      </w:pPr>
                    </w:p>
                    <w:p w14:paraId="5FA7984F" w14:textId="77777777" w:rsidR="002718B3" w:rsidRDefault="002718B3" w:rsidP="002718B3">
                      <w:pPr>
                        <w:pStyle w:val="Style1"/>
                        <w:numPr>
                          <w:ilvl w:val="0"/>
                          <w:numId w:val="0"/>
                        </w:numPr>
                        <w:tabs>
                          <w:tab w:val="clear" w:pos="2010"/>
                          <w:tab w:val="left" w:pos="1134"/>
                        </w:tabs>
                        <w:spacing w:line="276" w:lineRule="auto"/>
                        <w:jc w:val="both"/>
                        <w:rPr>
                          <w:rFonts w:cs="Open Sans"/>
                          <w:i w:val="0"/>
                          <w:color w:val="auto"/>
                          <w:sz w:val="20"/>
                        </w:rPr>
                      </w:pPr>
                    </w:p>
                    <w:p w14:paraId="3B8B02C4" w14:textId="77777777" w:rsidR="002718B3" w:rsidRDefault="002718B3" w:rsidP="002718B3">
                      <w:pPr>
                        <w:pStyle w:val="Style1"/>
                        <w:numPr>
                          <w:ilvl w:val="0"/>
                          <w:numId w:val="0"/>
                        </w:numPr>
                        <w:tabs>
                          <w:tab w:val="clear" w:pos="2010"/>
                          <w:tab w:val="left" w:pos="1134"/>
                        </w:tabs>
                        <w:spacing w:line="276" w:lineRule="auto"/>
                        <w:jc w:val="both"/>
                        <w:rPr>
                          <w:rFonts w:cs="Open Sans"/>
                          <w:i w:val="0"/>
                          <w:color w:val="auto"/>
                          <w:sz w:val="20"/>
                        </w:rPr>
                      </w:pPr>
                    </w:p>
                    <w:p w14:paraId="54345983" w14:textId="5EF5DA8A" w:rsidR="00C72EDA" w:rsidRDefault="00C72EDA" w:rsidP="00C72EDA">
                      <w:pPr>
                        <w:pStyle w:val="Style1"/>
                        <w:numPr>
                          <w:ilvl w:val="0"/>
                          <w:numId w:val="0"/>
                        </w:numPr>
                        <w:tabs>
                          <w:tab w:val="left" w:pos="426"/>
                        </w:tabs>
                        <w:jc w:val="both"/>
                        <w:rPr>
                          <w:rFonts w:ascii="Source Sans Pro" w:hAnsi="Source Sans Pro" w:cstheme="minorBidi"/>
                          <w:i w:val="0"/>
                          <w:color w:val="auto"/>
                          <w:sz w:val="20"/>
                          <w:szCs w:val="22"/>
                        </w:rPr>
                      </w:pPr>
                    </w:p>
                    <w:p w14:paraId="30D107D1" w14:textId="77777777" w:rsidR="00C72EDA" w:rsidRDefault="00C72EDA" w:rsidP="00C72EDA">
                      <w:pPr>
                        <w:pStyle w:val="Style1"/>
                        <w:numPr>
                          <w:ilvl w:val="0"/>
                          <w:numId w:val="0"/>
                        </w:numPr>
                        <w:tabs>
                          <w:tab w:val="left" w:pos="426"/>
                        </w:tabs>
                        <w:jc w:val="both"/>
                        <w:rPr>
                          <w:rFonts w:ascii="Source Sans Pro" w:hAnsi="Source Sans Pro" w:cstheme="minorBidi"/>
                          <w:i w:val="0"/>
                          <w:color w:val="auto"/>
                          <w:sz w:val="20"/>
                          <w:szCs w:val="22"/>
                        </w:rPr>
                      </w:pPr>
                    </w:p>
                    <w:p w14:paraId="6440D8A5" w14:textId="77777777" w:rsidR="00C72EDA" w:rsidRDefault="00C72EDA" w:rsidP="00C72EDA">
                      <w:pPr>
                        <w:pStyle w:val="Style1"/>
                        <w:numPr>
                          <w:ilvl w:val="0"/>
                          <w:numId w:val="0"/>
                        </w:numPr>
                        <w:tabs>
                          <w:tab w:val="left" w:pos="426"/>
                        </w:tabs>
                        <w:jc w:val="both"/>
                        <w:rPr>
                          <w:rFonts w:ascii="Source Sans Pro" w:hAnsi="Source Sans Pro" w:cstheme="minorBidi"/>
                          <w:i w:val="0"/>
                          <w:color w:val="auto"/>
                          <w:sz w:val="20"/>
                          <w:szCs w:val="22"/>
                        </w:rPr>
                      </w:pPr>
                    </w:p>
                    <w:p w14:paraId="4DF5BBEF" w14:textId="77777777" w:rsidR="00C72EDA" w:rsidRPr="004C7A7B" w:rsidRDefault="00C72EDA" w:rsidP="00C72EDA">
                      <w:pPr>
                        <w:pStyle w:val="Style1"/>
                        <w:numPr>
                          <w:ilvl w:val="0"/>
                          <w:numId w:val="0"/>
                        </w:numPr>
                        <w:tabs>
                          <w:tab w:val="left" w:pos="426"/>
                        </w:tabs>
                        <w:jc w:val="both"/>
                        <w:rPr>
                          <w:rFonts w:ascii="Source Sans Pro" w:hAnsi="Source Sans Pro" w:cstheme="minorBidi"/>
                          <w:i w:val="0"/>
                          <w:color w:val="auto"/>
                          <w:sz w:val="20"/>
                          <w:szCs w:val="22"/>
                        </w:rPr>
                      </w:pPr>
                    </w:p>
                    <w:p w14:paraId="55645A1D" w14:textId="3E736DE7" w:rsidR="00C72EDA" w:rsidRDefault="00C72EDA" w:rsidP="00C72EDA">
                      <w:pPr>
                        <w:pStyle w:val="Style1"/>
                        <w:numPr>
                          <w:ilvl w:val="0"/>
                          <w:numId w:val="0"/>
                        </w:numPr>
                        <w:tabs>
                          <w:tab w:val="left" w:pos="426"/>
                        </w:tabs>
                        <w:jc w:val="both"/>
                        <w:rPr>
                          <w:noProof/>
                        </w:rPr>
                      </w:pPr>
                    </w:p>
                    <w:p w14:paraId="1C05FED0" w14:textId="77777777" w:rsidR="0005433B" w:rsidRDefault="0005433B" w:rsidP="00C72EDA">
                      <w:pPr>
                        <w:pStyle w:val="Style1"/>
                        <w:numPr>
                          <w:ilvl w:val="0"/>
                          <w:numId w:val="0"/>
                        </w:numPr>
                        <w:tabs>
                          <w:tab w:val="left" w:pos="426"/>
                        </w:tabs>
                        <w:jc w:val="both"/>
                        <w:rPr>
                          <w:noProof/>
                        </w:rPr>
                      </w:pPr>
                    </w:p>
                    <w:p w14:paraId="20670224" w14:textId="77777777" w:rsidR="0005433B" w:rsidRDefault="0005433B" w:rsidP="00C72EDA">
                      <w:pPr>
                        <w:pStyle w:val="Style1"/>
                        <w:numPr>
                          <w:ilvl w:val="0"/>
                          <w:numId w:val="0"/>
                        </w:numPr>
                        <w:tabs>
                          <w:tab w:val="left" w:pos="426"/>
                        </w:tabs>
                        <w:jc w:val="both"/>
                        <w:rPr>
                          <w:noProof/>
                        </w:rPr>
                      </w:pPr>
                    </w:p>
                    <w:p w14:paraId="1C4EBB5F" w14:textId="77777777" w:rsidR="0005433B" w:rsidRDefault="0005433B" w:rsidP="00C72EDA">
                      <w:pPr>
                        <w:pStyle w:val="Style1"/>
                        <w:numPr>
                          <w:ilvl w:val="0"/>
                          <w:numId w:val="0"/>
                        </w:numPr>
                        <w:tabs>
                          <w:tab w:val="left" w:pos="426"/>
                        </w:tabs>
                        <w:jc w:val="both"/>
                        <w:rPr>
                          <w:noProof/>
                        </w:rPr>
                      </w:pPr>
                    </w:p>
                    <w:p w14:paraId="54D664BE" w14:textId="77777777" w:rsidR="0005433B" w:rsidRDefault="0005433B" w:rsidP="00C72EDA">
                      <w:pPr>
                        <w:pStyle w:val="Style1"/>
                        <w:numPr>
                          <w:ilvl w:val="0"/>
                          <w:numId w:val="0"/>
                        </w:numPr>
                        <w:tabs>
                          <w:tab w:val="left" w:pos="426"/>
                        </w:tabs>
                        <w:jc w:val="both"/>
                        <w:rPr>
                          <w:noProof/>
                        </w:rPr>
                      </w:pPr>
                    </w:p>
                    <w:p w14:paraId="1BB61BC3" w14:textId="77777777" w:rsidR="0005433B" w:rsidRDefault="0005433B" w:rsidP="00C72EDA">
                      <w:pPr>
                        <w:pStyle w:val="Style1"/>
                        <w:numPr>
                          <w:ilvl w:val="0"/>
                          <w:numId w:val="0"/>
                        </w:numPr>
                        <w:tabs>
                          <w:tab w:val="left" w:pos="426"/>
                        </w:tabs>
                        <w:jc w:val="both"/>
                        <w:rPr>
                          <w:rFonts w:ascii="Source Sans Pro" w:hAnsi="Source Sans Pro"/>
                          <w:b/>
                          <w:i w:val="0"/>
                          <w:color w:val="auto"/>
                          <w:sz w:val="20"/>
                        </w:rPr>
                      </w:pPr>
                    </w:p>
                    <w:p w14:paraId="05E1FB02" w14:textId="63F16318" w:rsidR="00C72EDA" w:rsidRPr="00D4571A" w:rsidRDefault="0005433B" w:rsidP="00C72EDA">
                      <w:pPr>
                        <w:pStyle w:val="Style1"/>
                        <w:numPr>
                          <w:ilvl w:val="0"/>
                          <w:numId w:val="0"/>
                        </w:numPr>
                        <w:tabs>
                          <w:tab w:val="left" w:pos="426"/>
                        </w:tabs>
                        <w:jc w:val="both"/>
                        <w:rPr>
                          <w:rFonts w:ascii="Source Sans Pro" w:hAnsi="Source Sans Pro"/>
                          <w:color w:val="auto"/>
                          <w:sz w:val="20"/>
                        </w:rPr>
                      </w:pPr>
                      <w:r w:rsidRPr="0005433B">
                        <w:rPr>
                          <w:rFonts w:ascii="Source Sans Pro" w:hAnsi="Source Sans Pro"/>
                          <w:b/>
                          <w:i w:val="0"/>
                          <w:color w:val="auto"/>
                          <w:sz w:val="20"/>
                        </w:rPr>
                        <w:t xml:space="preserve">Regis Weisslinger </w:t>
                      </w:r>
                      <w:r w:rsidR="00C72EDA" w:rsidRPr="00D4571A">
                        <w:rPr>
                          <w:rFonts w:ascii="Source Sans Pro" w:hAnsi="Source Sans Pro"/>
                          <w:b/>
                          <w:i w:val="0"/>
                          <w:color w:val="auto"/>
                          <w:sz w:val="20"/>
                        </w:rPr>
                        <w:t xml:space="preserve">(Directeur des </w:t>
                      </w:r>
                      <w:r w:rsidR="00C72EDA">
                        <w:rPr>
                          <w:rFonts w:ascii="Source Sans Pro" w:hAnsi="Source Sans Pro"/>
                          <w:b/>
                          <w:i w:val="0"/>
                          <w:color w:val="auto"/>
                          <w:sz w:val="20"/>
                        </w:rPr>
                        <w:t>Risques</w:t>
                      </w:r>
                      <w:r w:rsidR="00C72EDA" w:rsidRPr="00D4571A">
                        <w:rPr>
                          <w:rFonts w:ascii="Source Sans Pro" w:hAnsi="Source Sans Pro"/>
                          <w:b/>
                          <w:i w:val="0"/>
                          <w:color w:val="auto"/>
                          <w:sz w:val="20"/>
                        </w:rPr>
                        <w:t xml:space="preserve"> d’Abeille Assurances)</w:t>
                      </w:r>
                      <w:r w:rsidR="00C72EDA" w:rsidRPr="00D4571A">
                        <w:rPr>
                          <w:rFonts w:ascii="Source Sans Pro" w:hAnsi="Source Sans Pro"/>
                          <w:b/>
                          <w:sz w:val="20"/>
                        </w:rPr>
                        <w:t> </w:t>
                      </w:r>
                    </w:p>
                    <w:p w14:paraId="4967217D" w14:textId="77777777" w:rsidR="00C72EDA" w:rsidRPr="00D4571A" w:rsidRDefault="00C72EDA" w:rsidP="00C72EDA">
                      <w:pPr>
                        <w:pStyle w:val="Style1"/>
                        <w:numPr>
                          <w:ilvl w:val="0"/>
                          <w:numId w:val="0"/>
                        </w:numPr>
                        <w:tabs>
                          <w:tab w:val="left" w:pos="426"/>
                        </w:tabs>
                        <w:jc w:val="both"/>
                        <w:rPr>
                          <w:rFonts w:ascii="Source Sans Pro" w:hAnsi="Source Sans Pro"/>
                          <w:color w:val="auto"/>
                          <w:sz w:val="20"/>
                        </w:rPr>
                      </w:pPr>
                    </w:p>
                    <w:p w14:paraId="147CA73B" w14:textId="77777777" w:rsidR="00C72EDA" w:rsidRPr="00474EE1" w:rsidRDefault="00C72EDA" w:rsidP="00C72EDA">
                      <w:pPr>
                        <w:rPr>
                          <w:lang w:val="fr-FR"/>
                        </w:rPr>
                      </w:pPr>
                    </w:p>
                  </w:txbxContent>
                </v:textbox>
                <w10:wrap anchorx="margin"/>
              </v:shape>
            </w:pict>
          </mc:Fallback>
        </mc:AlternateContent>
      </w:r>
      <w:r w:rsidR="00C72EDA" w:rsidRPr="00A74D23">
        <w:rPr>
          <w:rFonts w:eastAsia="Calibri" w:cs="Open Sans"/>
          <w:i w:val="0"/>
          <w:iCs w:val="0"/>
          <w:noProof/>
          <w:color w:val="auto"/>
          <w:sz w:val="20"/>
          <w:szCs w:val="20"/>
          <w:lang w:eastAsia="fr-FR"/>
        </w:rPr>
        <mc:AlternateContent>
          <mc:Choice Requires="wpg">
            <w:drawing>
              <wp:anchor distT="0" distB="0" distL="114300" distR="114300" simplePos="0" relativeHeight="251451392" behindDoc="0" locked="0" layoutInCell="1" allowOverlap="1" wp14:anchorId="1C501154" wp14:editId="2EC07199">
                <wp:simplePos x="0" y="0"/>
                <wp:positionH relativeFrom="margin">
                  <wp:posOffset>5499522</wp:posOffset>
                </wp:positionH>
                <wp:positionV relativeFrom="paragraph">
                  <wp:posOffset>2099448</wp:posOffset>
                </wp:positionV>
                <wp:extent cx="389890" cy="281305"/>
                <wp:effectExtent l="0" t="0" r="10160" b="23495"/>
                <wp:wrapNone/>
                <wp:docPr id="353641759" name="Groupe 132"/>
                <wp:cNvGraphicFramePr/>
                <a:graphic xmlns:a="http://schemas.openxmlformats.org/drawingml/2006/main">
                  <a:graphicData uri="http://schemas.microsoft.com/office/word/2010/wordprocessingGroup">
                    <wpg:wgp>
                      <wpg:cNvGrpSpPr/>
                      <wpg:grpSpPr>
                        <a:xfrm flipH="1">
                          <a:off x="0" y="0"/>
                          <a:ext cx="389890" cy="281305"/>
                          <a:chOff x="0" y="0"/>
                          <a:chExt cx="480287" cy="346688"/>
                        </a:xfrm>
                      </wpg:grpSpPr>
                      <wps:wsp>
                        <wps:cNvPr id="170510455"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633617511"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222727DD" id="Groupe 132" o:spid="_x0000_s1026" style="position:absolute;margin-left:433.05pt;margin-top:165.3pt;width:30.7pt;height:22.15pt;flip:x;z-index:251451392;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r w:rsidR="00C72EDA" w:rsidRPr="00A74D23">
        <w:rPr>
          <w:rFonts w:cs="Open Sans"/>
          <w:noProof/>
        </w:rPr>
        <mc:AlternateContent>
          <mc:Choice Requires="wps">
            <w:drawing>
              <wp:inline distT="0" distB="0" distL="0" distR="0" wp14:anchorId="4EDE5AFC" wp14:editId="44ACED15">
                <wp:extent cx="5829300" cy="2816352"/>
                <wp:effectExtent l="0" t="0" r="19050" b="22225"/>
                <wp:docPr id="1070800044" name="Rectangle : coins arrondis 1070800044"/>
                <wp:cNvGraphicFramePr/>
                <a:graphic xmlns:a="http://schemas.openxmlformats.org/drawingml/2006/main">
                  <a:graphicData uri="http://schemas.microsoft.com/office/word/2010/wordprocessingShape">
                    <wps:wsp>
                      <wps:cNvSpPr/>
                      <wps:spPr>
                        <a:xfrm>
                          <a:off x="0" y="0"/>
                          <a:ext cx="5829300" cy="2816352"/>
                        </a:xfrm>
                        <a:prstGeom prst="roundRect">
                          <a:avLst>
                            <a:gd name="adj" fmla="val 889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15CFA0" w14:textId="77777777" w:rsidR="00C72EDA" w:rsidRPr="006209BA" w:rsidRDefault="00C72EDA" w:rsidP="00C72EDA">
                            <w:pPr>
                              <w:pStyle w:val="Citation0"/>
                              <w:rPr>
                                <w:color w:val="auto"/>
                              </w:rPr>
                            </w:pPr>
                          </w:p>
                        </w:txbxContent>
                      </wps:txbx>
                      <wps:bodyPr rot="0" spcFirstLastPara="0" vertOverflow="overflow" horzOverflow="overflow" vert="horz" wrap="square" lIns="180000" tIns="108000" rIns="180000" bIns="108000" numCol="1" spcCol="0" rtlCol="0" fromWordArt="0" anchor="ctr" anchorCtr="0" forceAA="0" compatLnSpc="1">
                        <a:prstTxWarp prst="textNoShape">
                          <a:avLst/>
                        </a:prstTxWarp>
                        <a:noAutofit/>
                      </wps:bodyPr>
                    </wps:wsp>
                  </a:graphicData>
                </a:graphic>
              </wp:inline>
            </w:drawing>
          </mc:Choice>
          <mc:Fallback>
            <w:pict>
              <v:roundrect w14:anchorId="4EDE5AFC" id="Rectangle : coins arrondis 1070800044" o:spid="_x0000_s1167" style="width:459pt;height:221.75pt;visibility:visible;mso-wrap-style:square;mso-left-percent:-10001;mso-top-percent:-10001;mso-position-horizontal:absolute;mso-position-horizontal-relative:char;mso-position-vertical:absolute;mso-position-vertical-relative:line;mso-left-percent:-10001;mso-top-percent:-10001;v-text-anchor:middle" arcsize="58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" fillcolor="white [3212]" strokecolor="black [3213]" strokeweight="1pt">
                <v:stroke joinstyle="miter"/>
                <v:textbox inset="5mm,3mm,5mm,3mm">
                  <w:txbxContent>
                    <w:p w14:paraId="3515CFA0" w14:textId="77777777" w:rsidR="00C72EDA" w:rsidRPr="006209BA" w:rsidRDefault="00C72EDA" w:rsidP="00C72EDA">
                      <w:pPr>
                        <w:pStyle w:val="Citation0"/>
                        <w:rPr>
                          <w:color w:val="auto"/>
                        </w:rPr>
                      </w:pPr>
                    </w:p>
                  </w:txbxContent>
                </v:textbox>
                <w10:anchorlock/>
              </v:roundrect>
            </w:pict>
          </mc:Fallback>
        </mc:AlternateContent>
      </w:r>
    </w:p>
    <w:p w14:paraId="602120FB" w14:textId="77777777" w:rsidR="007D5F31" w:rsidRDefault="007D5F31" w:rsidP="009D6EE5">
      <w:pPr>
        <w:pStyle w:val="Style1"/>
        <w:numPr>
          <w:ilvl w:val="0"/>
          <w:numId w:val="0"/>
        </w:numPr>
        <w:tabs>
          <w:tab w:val="clear" w:pos="2010"/>
          <w:tab w:val="left" w:pos="1134"/>
        </w:tabs>
        <w:spacing w:line="22" w:lineRule="atLeast"/>
        <w:jc w:val="both"/>
        <w:rPr>
          <w:rFonts w:cs="Open Sans"/>
          <w:i w:val="0"/>
          <w:color w:val="auto"/>
          <w:sz w:val="20"/>
        </w:rPr>
      </w:pPr>
    </w:p>
    <w:p w14:paraId="3665E045" w14:textId="77777777" w:rsidR="00FD2A7E" w:rsidRDefault="00FD2A7E" w:rsidP="009D6EE5">
      <w:pPr>
        <w:pStyle w:val="Style1"/>
        <w:numPr>
          <w:ilvl w:val="0"/>
          <w:numId w:val="0"/>
        </w:numPr>
        <w:tabs>
          <w:tab w:val="clear" w:pos="2010"/>
          <w:tab w:val="left" w:pos="1134"/>
        </w:tabs>
        <w:spacing w:line="22" w:lineRule="atLeast"/>
        <w:jc w:val="both"/>
        <w:rPr>
          <w:rFonts w:cs="Open Sans"/>
          <w:i w:val="0"/>
          <w:color w:val="auto"/>
          <w:sz w:val="20"/>
        </w:rPr>
      </w:pPr>
    </w:p>
    <w:p w14:paraId="6D7B2415" w14:textId="77777777" w:rsidR="00FD2A7E" w:rsidRPr="00A74D23" w:rsidRDefault="00FD2A7E" w:rsidP="009D6EE5">
      <w:pPr>
        <w:pStyle w:val="Style1"/>
        <w:numPr>
          <w:ilvl w:val="0"/>
          <w:numId w:val="0"/>
        </w:numPr>
        <w:tabs>
          <w:tab w:val="clear" w:pos="2010"/>
          <w:tab w:val="left" w:pos="1134"/>
        </w:tabs>
        <w:spacing w:line="22" w:lineRule="atLeast"/>
        <w:jc w:val="both"/>
        <w:rPr>
          <w:rFonts w:cs="Open Sans"/>
          <w:i w:val="0"/>
          <w:color w:val="auto"/>
          <w:sz w:val="20"/>
        </w:rPr>
      </w:pPr>
    </w:p>
    <w:p w14:paraId="484D5740" w14:textId="77777777" w:rsidR="007D5F31" w:rsidRPr="00A74D23" w:rsidRDefault="007D5F31" w:rsidP="009D6EE5">
      <w:pPr>
        <w:pStyle w:val="Style1"/>
        <w:numPr>
          <w:ilvl w:val="0"/>
          <w:numId w:val="0"/>
        </w:numPr>
        <w:tabs>
          <w:tab w:val="clear" w:pos="2010"/>
          <w:tab w:val="left" w:pos="1134"/>
        </w:tabs>
        <w:spacing w:line="22" w:lineRule="atLeast"/>
        <w:jc w:val="both"/>
        <w:rPr>
          <w:rFonts w:cs="Open Sans"/>
          <w:i w:val="0"/>
          <w:color w:val="auto"/>
          <w:sz w:val="20"/>
        </w:rPr>
      </w:pPr>
    </w:p>
    <w:p w14:paraId="0BE0B7D4" w14:textId="77777777" w:rsidR="007D5F31" w:rsidRPr="00A74D23" w:rsidRDefault="007D5F31" w:rsidP="009D6EE5">
      <w:pPr>
        <w:pStyle w:val="Style1"/>
        <w:numPr>
          <w:ilvl w:val="0"/>
          <w:numId w:val="0"/>
        </w:numPr>
        <w:tabs>
          <w:tab w:val="clear" w:pos="2010"/>
          <w:tab w:val="left" w:pos="1134"/>
        </w:tabs>
        <w:spacing w:line="22" w:lineRule="atLeast"/>
        <w:jc w:val="both"/>
        <w:rPr>
          <w:rFonts w:cs="Open Sans"/>
          <w:i w:val="0"/>
          <w:color w:val="auto"/>
          <w:sz w:val="20"/>
        </w:rPr>
      </w:pPr>
    </w:p>
    <w:p w14:paraId="7A2AAC71" w14:textId="2133D3F2" w:rsidR="00362A76" w:rsidRPr="00A74D23" w:rsidRDefault="00077FC6" w:rsidP="00590DD1">
      <w:pPr>
        <w:pStyle w:val="Paragraphedeliste"/>
        <w:numPr>
          <w:ilvl w:val="2"/>
          <w:numId w:val="67"/>
        </w:numPr>
        <w:spacing w:line="22" w:lineRule="atLeast"/>
        <w:ind w:left="1134" w:hanging="774"/>
        <w:jc w:val="both"/>
        <w:rPr>
          <w:i/>
          <w:iCs/>
          <w:color w:val="8A2C24" w:themeColor="accent2"/>
          <w:sz w:val="28"/>
          <w:szCs w:val="28"/>
        </w:rPr>
      </w:pPr>
      <w:r w:rsidRPr="00A74D23">
        <w:rPr>
          <w:i/>
          <w:iCs/>
          <w:color w:val="8A2C24" w:themeColor="accent2"/>
          <w:sz w:val="28"/>
          <w:szCs w:val="28"/>
        </w:rPr>
        <w:t>Les risques liés à la perte de biodiversité</w:t>
      </w:r>
    </w:p>
    <w:p w14:paraId="156E8D9B" w14:textId="55AB05DB" w:rsidR="007E2F00" w:rsidRDefault="007E2F00" w:rsidP="009D6EE5">
      <w:pPr>
        <w:pStyle w:val="Style5"/>
        <w:numPr>
          <w:ilvl w:val="0"/>
          <w:numId w:val="0"/>
        </w:numPr>
        <w:spacing w:line="22" w:lineRule="atLeast"/>
        <w:ind w:left="284"/>
        <w:jc w:val="both"/>
        <w:rPr>
          <w:sz w:val="20"/>
          <w:szCs w:val="20"/>
        </w:rPr>
      </w:pPr>
      <w:r w:rsidRPr="00A74D23">
        <w:rPr>
          <w:sz w:val="20"/>
          <w:szCs w:val="20"/>
        </w:rPr>
        <w:t>Les risques liés à la perte de biodiversité sont aujourd’hui considérés comme globalement plus difficiles à appréhender que les risques climatiques, en raison d’un cadre réglementaire et méthodologique encore en cours de structuration et d’une capacité plus limitée à mesurer et piloter les impacts de manière homogène. Les effets de la perte de biodiversité sont extrêmement liés aux localisations</w:t>
      </w:r>
      <w:r w:rsidR="00B842CF" w:rsidRPr="00A74D23">
        <w:rPr>
          <w:sz w:val="20"/>
          <w:szCs w:val="20"/>
        </w:rPr>
        <w:t xml:space="preserve"> des actifs, données encore peu disponibles aujourd’hui. </w:t>
      </w:r>
      <w:r w:rsidR="00671AD6" w:rsidRPr="00A74D23">
        <w:rPr>
          <w:sz w:val="20"/>
          <w:szCs w:val="20"/>
        </w:rPr>
        <w:t>À ce stade, il n’existe pas d’exigence prudentielle contraignante imposant aux assureurs de quantifier ou de stress</w:t>
      </w:r>
      <w:r w:rsidR="00671AD6" w:rsidRPr="00A74D23">
        <w:rPr>
          <w:rFonts w:ascii="Cambria Math" w:hAnsi="Cambria Math" w:cs="Cambria Math"/>
          <w:sz w:val="20"/>
          <w:szCs w:val="20"/>
        </w:rPr>
        <w:t>‑</w:t>
      </w:r>
      <w:r w:rsidR="00671AD6" w:rsidRPr="00A74D23">
        <w:rPr>
          <w:sz w:val="20"/>
          <w:szCs w:val="20"/>
        </w:rPr>
        <w:t>tester les risques li</w:t>
      </w:r>
      <w:r w:rsidR="00671AD6" w:rsidRPr="00A74D23">
        <w:rPr>
          <w:rFonts w:cs="Source Sans Pro"/>
          <w:sz w:val="20"/>
          <w:szCs w:val="20"/>
        </w:rPr>
        <w:t>é</w:t>
      </w:r>
      <w:r w:rsidR="00671AD6" w:rsidRPr="00A74D23">
        <w:rPr>
          <w:sz w:val="20"/>
          <w:szCs w:val="20"/>
        </w:rPr>
        <w:t xml:space="preserve">s </w:t>
      </w:r>
      <w:r w:rsidR="00671AD6" w:rsidRPr="00A74D23">
        <w:rPr>
          <w:rFonts w:cs="Source Sans Pro"/>
          <w:sz w:val="20"/>
          <w:szCs w:val="20"/>
        </w:rPr>
        <w:t>à</w:t>
      </w:r>
      <w:r w:rsidR="00671AD6" w:rsidRPr="00A74D23">
        <w:rPr>
          <w:sz w:val="20"/>
          <w:szCs w:val="20"/>
        </w:rPr>
        <w:t xml:space="preserve"> la biodiversit</w:t>
      </w:r>
      <w:r w:rsidR="00671AD6" w:rsidRPr="00A74D23">
        <w:rPr>
          <w:rFonts w:cs="Source Sans Pro"/>
          <w:sz w:val="20"/>
          <w:szCs w:val="20"/>
        </w:rPr>
        <w:t>é</w:t>
      </w:r>
      <w:r w:rsidR="00671AD6" w:rsidRPr="00A74D23">
        <w:rPr>
          <w:sz w:val="20"/>
          <w:szCs w:val="20"/>
        </w:rPr>
        <w:t>.</w:t>
      </w:r>
    </w:p>
    <w:p w14:paraId="13C0953F" w14:textId="77777777" w:rsidR="002D0519" w:rsidRDefault="002D0519" w:rsidP="009D6EE5">
      <w:pPr>
        <w:pStyle w:val="Style5"/>
        <w:numPr>
          <w:ilvl w:val="0"/>
          <w:numId w:val="0"/>
        </w:numPr>
        <w:spacing w:line="22" w:lineRule="atLeast"/>
        <w:ind w:left="284"/>
        <w:jc w:val="both"/>
        <w:rPr>
          <w:sz w:val="20"/>
          <w:szCs w:val="20"/>
        </w:rPr>
      </w:pPr>
    </w:p>
    <w:p w14:paraId="443A2A75" w14:textId="77777777" w:rsidR="002D0519" w:rsidRPr="00A74D23" w:rsidRDefault="002D0519" w:rsidP="009D6EE5">
      <w:pPr>
        <w:pStyle w:val="Style5"/>
        <w:numPr>
          <w:ilvl w:val="0"/>
          <w:numId w:val="0"/>
        </w:numPr>
        <w:spacing w:line="22" w:lineRule="atLeast"/>
        <w:ind w:left="284"/>
        <w:jc w:val="both"/>
        <w:rPr>
          <w:sz w:val="20"/>
          <w:szCs w:val="20"/>
        </w:rPr>
      </w:pPr>
    </w:p>
    <w:p w14:paraId="02217156" w14:textId="6FED7987" w:rsidR="00671AD6" w:rsidRPr="00A74D23" w:rsidRDefault="002D0519" w:rsidP="009D6EE5">
      <w:pPr>
        <w:pStyle w:val="Style5"/>
        <w:numPr>
          <w:ilvl w:val="0"/>
          <w:numId w:val="0"/>
        </w:numPr>
        <w:spacing w:line="22" w:lineRule="atLeast"/>
        <w:ind w:left="360"/>
        <w:jc w:val="both"/>
        <w:rPr>
          <w:sz w:val="18"/>
          <w:szCs w:val="18"/>
        </w:rPr>
      </w:pPr>
      <w:r w:rsidRPr="00A74D23">
        <w:rPr>
          <w:rFonts w:cs="Open Sans"/>
          <w:noProof/>
        </w:rPr>
        <mc:AlternateContent>
          <mc:Choice Requires="wps">
            <w:drawing>
              <wp:anchor distT="0" distB="0" distL="114300" distR="114300" simplePos="0" relativeHeight="251281408" behindDoc="1" locked="0" layoutInCell="1" allowOverlap="1" wp14:anchorId="099BB262" wp14:editId="293875E9">
                <wp:simplePos x="0" y="0"/>
                <wp:positionH relativeFrom="margin">
                  <wp:align>left</wp:align>
                </wp:positionH>
                <wp:positionV relativeFrom="paragraph">
                  <wp:posOffset>139903</wp:posOffset>
                </wp:positionV>
                <wp:extent cx="6279515" cy="2816352"/>
                <wp:effectExtent l="0" t="0" r="6985" b="3175"/>
                <wp:wrapNone/>
                <wp:docPr id="1974602709" name="Rectangle : coins arrondis 1974602709"/>
                <wp:cNvGraphicFramePr/>
                <a:graphic xmlns:a="http://schemas.openxmlformats.org/drawingml/2006/main">
                  <a:graphicData uri="http://schemas.microsoft.com/office/word/2010/wordprocessingShape">
                    <wps:wsp>
                      <wps:cNvSpPr/>
                      <wps:spPr>
                        <a:xfrm>
                          <a:off x="0" y="0"/>
                          <a:ext cx="6279515" cy="2816352"/>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A97011" w14:textId="77777777" w:rsidR="002D0519" w:rsidRDefault="002D0519" w:rsidP="002D0519">
                            <w:pPr>
                              <w:ind w:left="-284" w:right="-105"/>
                              <w:jc w:val="both"/>
                              <w:rPr>
                                <w:rFonts w:asciiTheme="minorHAnsi" w:hAnsiTheme="minorHAnsi"/>
                                <w:color w:val="000000" w:themeColor="text1"/>
                                <w:sz w:val="20"/>
                                <w:szCs w:val="20"/>
                                <w:lang w:val="fr-FR"/>
                              </w:rPr>
                            </w:pPr>
                          </w:p>
                          <w:p w14:paraId="573D05D4" w14:textId="77777777" w:rsidR="002D0519" w:rsidRDefault="002D0519" w:rsidP="002D0519">
                            <w:pPr>
                              <w:ind w:left="-284" w:right="-105"/>
                              <w:jc w:val="both"/>
                              <w:rPr>
                                <w:rFonts w:asciiTheme="minorHAnsi" w:hAnsiTheme="minorHAnsi"/>
                                <w:color w:val="000000" w:themeColor="text1"/>
                                <w:sz w:val="20"/>
                                <w:szCs w:val="20"/>
                                <w:lang w:val="fr-FR"/>
                              </w:rPr>
                            </w:pPr>
                          </w:p>
                          <w:p w14:paraId="5B15850F" w14:textId="77777777" w:rsidR="002D0519" w:rsidRDefault="002D0519" w:rsidP="002D0519">
                            <w:pPr>
                              <w:ind w:left="-284" w:right="-105"/>
                              <w:jc w:val="both"/>
                              <w:rPr>
                                <w:rFonts w:asciiTheme="minorHAnsi" w:hAnsiTheme="minorHAnsi"/>
                                <w:color w:val="000000" w:themeColor="text1"/>
                                <w:sz w:val="20"/>
                                <w:szCs w:val="20"/>
                                <w:lang w:val="fr-FR"/>
                              </w:rPr>
                            </w:pPr>
                          </w:p>
                          <w:p w14:paraId="639E71A1" w14:textId="77777777" w:rsidR="002D0519" w:rsidRDefault="002D0519" w:rsidP="002D0519">
                            <w:pPr>
                              <w:ind w:left="-284" w:right="-105"/>
                              <w:jc w:val="both"/>
                              <w:rPr>
                                <w:rFonts w:asciiTheme="minorHAnsi" w:hAnsiTheme="minorHAnsi"/>
                                <w:color w:val="000000" w:themeColor="text1"/>
                                <w:sz w:val="20"/>
                                <w:szCs w:val="20"/>
                                <w:lang w:val="fr-FR"/>
                              </w:rPr>
                            </w:pPr>
                          </w:p>
                          <w:p w14:paraId="7F23C5A1" w14:textId="77777777" w:rsidR="002D0519" w:rsidRDefault="002D0519" w:rsidP="002D0519">
                            <w:pPr>
                              <w:ind w:left="-284" w:right="-105"/>
                              <w:jc w:val="both"/>
                              <w:rPr>
                                <w:rFonts w:asciiTheme="minorHAnsi" w:hAnsiTheme="minorHAnsi"/>
                                <w:color w:val="000000" w:themeColor="text1"/>
                                <w:sz w:val="20"/>
                                <w:szCs w:val="20"/>
                                <w:lang w:val="fr-FR"/>
                              </w:rPr>
                            </w:pPr>
                          </w:p>
                          <w:p w14:paraId="507A1DE1" w14:textId="6F327E4A" w:rsidR="002D0519" w:rsidRPr="00297B38" w:rsidRDefault="002D0519" w:rsidP="002D0519">
                            <w:pPr>
                              <w:ind w:left="-284" w:right="-105"/>
                              <w:jc w:val="both"/>
                              <w:rPr>
                                <w:rFonts w:asciiTheme="minorHAnsi" w:hAnsiTheme="minorHAnsi"/>
                                <w:color w:val="000000" w:themeColor="text1"/>
                                <w:sz w:val="20"/>
                                <w:szCs w:val="20"/>
                                <w:lang w:val="fr-FR"/>
                              </w:rPr>
                            </w:pPr>
                            <w:r w:rsidRPr="0054425A">
                              <w:rPr>
                                <w:rFonts w:asciiTheme="minorHAnsi" w:hAnsiTheme="minorHAnsi"/>
                                <w:color w:val="000000" w:themeColor="text1"/>
                                <w:sz w:val="20"/>
                                <w:szCs w:val="20"/>
                                <w:lang w:val="fr-FR"/>
                              </w:rPr>
                              <w:t xml:space="preserve">Les travaux relatifs aux scénarios « nature » restent à un stade émergent, en raison de la complexité des mécanismes en jeu, du caractère fortement localisé des impacts et de l’absence de données homogènes permettant une quantification financière robuste. Le Network for Greening the Financial System (NGFS) a publié un cadre conceptuel sur les risques liés à la nature, visant à décrire les canaux de transmission entre dégradation des écosystèmes, économie réelle et système financier, mais sans proposer de scénarios chiffrés ou standardisés comparables aux scénarios climat. </w:t>
                            </w:r>
                            <w:r w:rsidRPr="00E324A9">
                              <w:rPr>
                                <w:rFonts w:asciiTheme="minorHAnsi" w:hAnsiTheme="minorHAnsi"/>
                                <w:b/>
                                <w:bCs/>
                                <w:color w:val="000000" w:themeColor="text1"/>
                                <w:sz w:val="20"/>
                                <w:szCs w:val="20"/>
                                <w:lang w:val="fr-FR"/>
                              </w:rPr>
                              <w:t>À ce stade, les acteurs du marché ne disposent donc pas de scénarios permettant de conduire des stress tests nature généralisés ou de calculer des indicateurs de type « Nature Value at Risk »</w:t>
                            </w:r>
                            <w:r w:rsidRPr="0054425A">
                              <w:rPr>
                                <w:rFonts w:asciiTheme="minorHAnsi" w:hAnsiTheme="minorHAnsi"/>
                                <w:color w:val="000000" w:themeColor="text1"/>
                                <w:sz w:val="20"/>
                                <w:szCs w:val="20"/>
                                <w:lang w:val="fr-FR"/>
                              </w:rPr>
                              <w:t xml:space="preserve"> à l’échelle des portefeuilles, comme cela est désormais le cas pour le climat. Dans ce contexte, Abeille Assurances suit attentivement les travaux en cours menés par les instances internationales et les pratiques de place, afin d’anticiper les évolutions méthodologiques et réglementaires futures.</w:t>
                            </w:r>
                          </w:p>
                          <w:p w14:paraId="6C14CD44" w14:textId="7A47B950" w:rsidR="002D0519" w:rsidRPr="002D0519" w:rsidRDefault="002D0519" w:rsidP="002D0519">
                            <w:pPr>
                              <w:ind w:right="335"/>
                              <w:jc w:val="both"/>
                              <w:rPr>
                                <w:color w:val="000000" w:themeColor="text1"/>
                                <w:sz w:val="20"/>
                                <w:szCs w:val="20"/>
                                <w:lang w:val="fr-FR"/>
                              </w:rPr>
                            </w:pPr>
                          </w:p>
                        </w:txbxContent>
                      </wps:txbx>
                      <wps:bodyPr rot="0" spcFirstLastPara="0" vertOverflow="overflow" horzOverflow="overflow" vert="horz" wrap="square" lIns="180000" tIns="72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9BB262" id="Rectangle : coins arrondis 1974602709" o:spid="_x0000_s1168" style="position:absolute;left:0;text-align:left;margin-left:0;margin-top:11pt;width:494.45pt;height:221.75pt;z-index:-252035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" fillcolor="#d8d8d8 [2732]" stroked="f" strokeweight="1pt">
                <v:stroke joinstyle="miter"/>
                <v:textbox inset="5mm,2mm,5mm,3mm">
                  <w:txbxContent>
                    <w:p w14:paraId="38A97011" w14:textId="77777777" w:rsidR="002D0519" w:rsidRDefault="002D0519" w:rsidP="002D0519">
                      <w:pPr>
                        <w:ind w:left="-284" w:right="-105"/>
                        <w:jc w:val="both"/>
                        <w:rPr>
                          <w:rFonts w:asciiTheme="minorHAnsi" w:hAnsiTheme="minorHAnsi"/>
                          <w:color w:val="000000" w:themeColor="text1"/>
                          <w:sz w:val="20"/>
                          <w:szCs w:val="20"/>
                          <w:lang w:val="fr-FR"/>
                        </w:rPr>
                      </w:pPr>
                    </w:p>
                    <w:p w14:paraId="573D05D4" w14:textId="77777777" w:rsidR="002D0519" w:rsidRDefault="002D0519" w:rsidP="002D0519">
                      <w:pPr>
                        <w:ind w:left="-284" w:right="-105"/>
                        <w:jc w:val="both"/>
                        <w:rPr>
                          <w:rFonts w:asciiTheme="minorHAnsi" w:hAnsiTheme="minorHAnsi"/>
                          <w:color w:val="000000" w:themeColor="text1"/>
                          <w:sz w:val="20"/>
                          <w:szCs w:val="20"/>
                          <w:lang w:val="fr-FR"/>
                        </w:rPr>
                      </w:pPr>
                    </w:p>
                    <w:p w14:paraId="5B15850F" w14:textId="77777777" w:rsidR="002D0519" w:rsidRDefault="002D0519" w:rsidP="002D0519">
                      <w:pPr>
                        <w:ind w:left="-284" w:right="-105"/>
                        <w:jc w:val="both"/>
                        <w:rPr>
                          <w:rFonts w:asciiTheme="minorHAnsi" w:hAnsiTheme="minorHAnsi"/>
                          <w:color w:val="000000" w:themeColor="text1"/>
                          <w:sz w:val="20"/>
                          <w:szCs w:val="20"/>
                          <w:lang w:val="fr-FR"/>
                        </w:rPr>
                      </w:pPr>
                    </w:p>
                    <w:p w14:paraId="639E71A1" w14:textId="77777777" w:rsidR="002D0519" w:rsidRDefault="002D0519" w:rsidP="002D0519">
                      <w:pPr>
                        <w:ind w:left="-284" w:right="-105"/>
                        <w:jc w:val="both"/>
                        <w:rPr>
                          <w:rFonts w:asciiTheme="minorHAnsi" w:hAnsiTheme="minorHAnsi"/>
                          <w:color w:val="000000" w:themeColor="text1"/>
                          <w:sz w:val="20"/>
                          <w:szCs w:val="20"/>
                          <w:lang w:val="fr-FR"/>
                        </w:rPr>
                      </w:pPr>
                    </w:p>
                    <w:p w14:paraId="7F23C5A1" w14:textId="77777777" w:rsidR="002D0519" w:rsidRDefault="002D0519" w:rsidP="002D0519">
                      <w:pPr>
                        <w:ind w:left="-284" w:right="-105"/>
                        <w:jc w:val="both"/>
                        <w:rPr>
                          <w:rFonts w:asciiTheme="minorHAnsi" w:hAnsiTheme="minorHAnsi"/>
                          <w:color w:val="000000" w:themeColor="text1"/>
                          <w:sz w:val="20"/>
                          <w:szCs w:val="20"/>
                          <w:lang w:val="fr-FR"/>
                        </w:rPr>
                      </w:pPr>
                    </w:p>
                    <w:p w14:paraId="507A1DE1" w14:textId="6F327E4A" w:rsidR="002D0519" w:rsidRPr="00297B38" w:rsidRDefault="002D0519" w:rsidP="002D0519">
                      <w:pPr>
                        <w:ind w:left="-284" w:right="-105"/>
                        <w:jc w:val="both"/>
                        <w:rPr>
                          <w:rFonts w:asciiTheme="minorHAnsi" w:hAnsiTheme="minorHAnsi"/>
                          <w:color w:val="000000" w:themeColor="text1"/>
                          <w:sz w:val="20"/>
                          <w:szCs w:val="20"/>
                          <w:lang w:val="fr-FR"/>
                        </w:rPr>
                      </w:pPr>
                      <w:r w:rsidRPr="0054425A">
                        <w:rPr>
                          <w:rFonts w:asciiTheme="minorHAnsi" w:hAnsiTheme="minorHAnsi"/>
                          <w:color w:val="000000" w:themeColor="text1"/>
                          <w:sz w:val="20"/>
                          <w:szCs w:val="20"/>
                          <w:lang w:val="fr-FR"/>
                        </w:rPr>
                        <w:t xml:space="preserve">Les travaux relatifs aux scénarios « nature » restent à un stade émergent, en raison de la complexité des mécanismes en jeu, du caractère fortement localisé des impacts et de l’absence de données homogènes permettant une quantification financière robuste. Le Network for Greening the Financial System (NGFS) a publié un cadre conceptuel sur les risques liés à la nature, visant à décrire les canaux de transmission entre dégradation des écosystèmes, économie réelle et système financier, mais sans proposer de scénarios chiffrés ou standardisés comparables aux scénarios climat. </w:t>
                      </w:r>
                      <w:r w:rsidRPr="00E324A9">
                        <w:rPr>
                          <w:rFonts w:asciiTheme="minorHAnsi" w:hAnsiTheme="minorHAnsi"/>
                          <w:b/>
                          <w:bCs/>
                          <w:color w:val="000000" w:themeColor="text1"/>
                          <w:sz w:val="20"/>
                          <w:szCs w:val="20"/>
                          <w:lang w:val="fr-FR"/>
                        </w:rPr>
                        <w:t>À ce stade, les acteurs du marché ne disposent donc pas de scénarios permettant de conduire des stress tests nature généralisés ou de calculer des indicateurs de type « Nature Value at Risk »</w:t>
                      </w:r>
                      <w:r w:rsidRPr="0054425A">
                        <w:rPr>
                          <w:rFonts w:asciiTheme="minorHAnsi" w:hAnsiTheme="minorHAnsi"/>
                          <w:color w:val="000000" w:themeColor="text1"/>
                          <w:sz w:val="20"/>
                          <w:szCs w:val="20"/>
                          <w:lang w:val="fr-FR"/>
                        </w:rPr>
                        <w:t xml:space="preserve"> à l’échelle des portefeuilles, comme cela est désormais le cas pour le climat. Dans ce contexte, Abeille Assurances suit attentivement les travaux en cours menés par les instances internationales et les pratiques de place, afin d’anticiper les évolutions méthodologiques et réglementaires futures.</w:t>
                      </w:r>
                    </w:p>
                    <w:p w14:paraId="6C14CD44" w14:textId="7A47B950" w:rsidR="002D0519" w:rsidRPr="002D0519" w:rsidRDefault="002D0519" w:rsidP="002D0519">
                      <w:pPr>
                        <w:ind w:right="335"/>
                        <w:jc w:val="both"/>
                        <w:rPr>
                          <w:color w:val="000000" w:themeColor="text1"/>
                          <w:sz w:val="20"/>
                          <w:szCs w:val="20"/>
                          <w:lang w:val="fr-FR"/>
                        </w:rPr>
                      </w:pPr>
                    </w:p>
                  </w:txbxContent>
                </v:textbox>
                <w10:wrap anchorx="margin"/>
              </v:roundrect>
            </w:pict>
          </mc:Fallback>
        </mc:AlternateContent>
      </w:r>
      <w:r w:rsidRPr="00A74D23">
        <w:rPr>
          <w:rFonts w:cs="Open Sans"/>
          <w:noProof/>
        </w:rPr>
        <mc:AlternateContent>
          <mc:Choice Requires="wps">
            <w:drawing>
              <wp:anchor distT="0" distB="0" distL="114300" distR="114300" simplePos="0" relativeHeight="251468800" behindDoc="0" locked="0" layoutInCell="1" allowOverlap="1" wp14:anchorId="5B501E0D" wp14:editId="7363DED9">
                <wp:simplePos x="0" y="0"/>
                <wp:positionH relativeFrom="margin">
                  <wp:posOffset>1795780</wp:posOffset>
                </wp:positionH>
                <wp:positionV relativeFrom="paragraph">
                  <wp:posOffset>12039</wp:posOffset>
                </wp:positionV>
                <wp:extent cx="2965036" cy="285115"/>
                <wp:effectExtent l="0" t="0" r="6985" b="635"/>
                <wp:wrapNone/>
                <wp:docPr id="1224327621" name="Rectangle : coins arrondis 1224327621"/>
                <wp:cNvGraphicFramePr/>
                <a:graphic xmlns:a="http://schemas.openxmlformats.org/drawingml/2006/main">
                  <a:graphicData uri="http://schemas.microsoft.com/office/word/2010/wordprocessingShape">
                    <wps:wsp>
                      <wps:cNvSpPr/>
                      <wps:spPr>
                        <a:xfrm>
                          <a:off x="0" y="0"/>
                          <a:ext cx="2965036" cy="285115"/>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F01F24" w14:textId="7D5F7E25" w:rsidR="00EE4575" w:rsidRPr="00D708BA" w:rsidRDefault="00685430" w:rsidP="00EE4575">
                            <w:pPr>
                              <w:jc w:val="center"/>
                              <w:rPr>
                                <w:b/>
                                <w:bCs/>
                                <w:color w:val="000000" w:themeColor="text1"/>
                                <w:sz w:val="32"/>
                                <w:szCs w:val="32"/>
                                <w:lang w:val="fr-FR"/>
                              </w:rPr>
                            </w:pPr>
                            <w:r>
                              <w:rPr>
                                <w:rFonts w:ascii="Source Sans Pro" w:hAnsi="Source Sans Pro"/>
                                <w:b/>
                                <w:bCs/>
                                <w:color w:val="000000" w:themeColor="text1"/>
                                <w:lang w:val="fr-FR"/>
                              </w:rPr>
                              <w:t xml:space="preserve">Scénarios nature : </w:t>
                            </w:r>
                            <w:r w:rsidR="00AD0A8E">
                              <w:rPr>
                                <w:rFonts w:ascii="Source Sans Pro" w:hAnsi="Source Sans Pro"/>
                                <w:b/>
                                <w:bCs/>
                                <w:color w:val="000000" w:themeColor="text1"/>
                                <w:lang w:val="fr-FR"/>
                              </w:rPr>
                              <w:t xml:space="preserve">quid de la NatureVar ? </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501E0D" id="Rectangle : coins arrondis 1224327621" o:spid="_x0000_s1169" style="position:absolute;left:0;text-align:left;margin-left:141.4pt;margin-top:.95pt;width:233.45pt;height:22.45pt;z-index:25146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" fillcolor="#ffc000" stroked="f" strokeweight="1pt">
                <v:stroke joinstyle="miter"/>
                <v:textbox inset="2.5mm,1mm,2.5mm,1mm">
                  <w:txbxContent>
                    <w:p w14:paraId="2EF01F24" w14:textId="7D5F7E25" w:rsidR="00EE4575" w:rsidRPr="00D708BA" w:rsidRDefault="00685430" w:rsidP="00EE4575">
                      <w:pPr>
                        <w:jc w:val="center"/>
                        <w:rPr>
                          <w:b/>
                          <w:bCs/>
                          <w:color w:val="000000" w:themeColor="text1"/>
                          <w:sz w:val="32"/>
                          <w:szCs w:val="32"/>
                          <w:lang w:val="fr-FR"/>
                        </w:rPr>
                      </w:pPr>
                      <w:r>
                        <w:rPr>
                          <w:rFonts w:ascii="Source Sans Pro" w:hAnsi="Source Sans Pro"/>
                          <w:b/>
                          <w:bCs/>
                          <w:color w:val="000000" w:themeColor="text1"/>
                          <w:lang w:val="fr-FR"/>
                        </w:rPr>
                        <w:t xml:space="preserve">Scénarios nature : </w:t>
                      </w:r>
                      <w:r w:rsidR="00AD0A8E">
                        <w:rPr>
                          <w:rFonts w:ascii="Source Sans Pro" w:hAnsi="Source Sans Pro"/>
                          <w:b/>
                          <w:bCs/>
                          <w:color w:val="000000" w:themeColor="text1"/>
                          <w:lang w:val="fr-FR"/>
                        </w:rPr>
                        <w:t xml:space="preserve">quid de la NatureVar ? </w:t>
                      </w:r>
                    </w:p>
                  </w:txbxContent>
                </v:textbox>
                <w10:wrap anchorx="margin"/>
              </v:roundrect>
            </w:pict>
          </mc:Fallback>
        </mc:AlternateContent>
      </w:r>
    </w:p>
    <w:p w14:paraId="6A3BA8F7" w14:textId="22EE09A9" w:rsidR="00671AD6" w:rsidRPr="00A74D23" w:rsidRDefault="00671AD6" w:rsidP="009D6EE5">
      <w:pPr>
        <w:pStyle w:val="Style5"/>
        <w:numPr>
          <w:ilvl w:val="0"/>
          <w:numId w:val="0"/>
        </w:numPr>
        <w:spacing w:line="22" w:lineRule="atLeast"/>
        <w:ind w:left="360"/>
        <w:jc w:val="both"/>
        <w:rPr>
          <w:sz w:val="18"/>
          <w:szCs w:val="18"/>
        </w:rPr>
      </w:pPr>
    </w:p>
    <w:p w14:paraId="4A2DE5D3" w14:textId="017EF058" w:rsidR="00EE4575" w:rsidRPr="00A74D23" w:rsidRDefault="002D0519" w:rsidP="009D6EE5">
      <w:pPr>
        <w:pStyle w:val="Style5"/>
        <w:numPr>
          <w:ilvl w:val="0"/>
          <w:numId w:val="0"/>
        </w:numPr>
        <w:spacing w:line="22" w:lineRule="atLeast"/>
        <w:ind w:left="360"/>
        <w:jc w:val="both"/>
        <w:rPr>
          <w:sz w:val="18"/>
          <w:szCs w:val="18"/>
        </w:rPr>
      </w:pPr>
      <w:r w:rsidRPr="00A74D23">
        <w:rPr>
          <w:noProof/>
          <w:color w:val="000000" w:themeColor="text1"/>
          <w:sz w:val="20"/>
          <w:szCs w:val="20"/>
        </w:rPr>
        <w:drawing>
          <wp:anchor distT="0" distB="0" distL="114300" distR="114300" simplePos="0" relativeHeight="251484160" behindDoc="0" locked="0" layoutInCell="1" allowOverlap="1" wp14:anchorId="0E8245C1" wp14:editId="2CD24454">
            <wp:simplePos x="0" y="0"/>
            <wp:positionH relativeFrom="column">
              <wp:posOffset>1907388</wp:posOffset>
            </wp:positionH>
            <wp:positionV relativeFrom="paragraph">
              <wp:posOffset>81915</wp:posOffset>
            </wp:positionV>
            <wp:extent cx="1266825" cy="650875"/>
            <wp:effectExtent l="0" t="0" r="9525" b="0"/>
            <wp:wrapSquare wrapText="bothSides"/>
            <wp:docPr id="48122665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266825" cy="650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4D23">
        <w:rPr>
          <w:noProof/>
          <w:color w:val="000000" w:themeColor="text1"/>
          <w:sz w:val="20"/>
          <w:szCs w:val="20"/>
        </w:rPr>
        <w:drawing>
          <wp:anchor distT="0" distB="0" distL="114300" distR="114300" simplePos="0" relativeHeight="251496448" behindDoc="0" locked="0" layoutInCell="1" allowOverlap="1" wp14:anchorId="2E5FB8D2" wp14:editId="5A589DEC">
            <wp:simplePos x="0" y="0"/>
            <wp:positionH relativeFrom="column">
              <wp:posOffset>3472840</wp:posOffset>
            </wp:positionH>
            <wp:positionV relativeFrom="paragraph">
              <wp:posOffset>88900</wp:posOffset>
            </wp:positionV>
            <wp:extent cx="1155700" cy="624205"/>
            <wp:effectExtent l="0" t="0" r="6350" b="4445"/>
            <wp:wrapSquare wrapText="bothSides"/>
            <wp:docPr id="25521159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155700" cy="624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8F9D29" w14:textId="0E2B0A10" w:rsidR="00EE4575" w:rsidRPr="00A74D23" w:rsidRDefault="00EE4575" w:rsidP="009D6EE5">
      <w:pPr>
        <w:pStyle w:val="Style5"/>
        <w:numPr>
          <w:ilvl w:val="0"/>
          <w:numId w:val="0"/>
        </w:numPr>
        <w:spacing w:line="22" w:lineRule="atLeast"/>
        <w:ind w:left="360"/>
        <w:jc w:val="both"/>
        <w:rPr>
          <w:sz w:val="18"/>
          <w:szCs w:val="18"/>
        </w:rPr>
      </w:pPr>
    </w:p>
    <w:p w14:paraId="78F02479" w14:textId="77D52473" w:rsidR="00D14EB6" w:rsidRPr="00A74D23" w:rsidRDefault="00D14EB6" w:rsidP="009D6EE5">
      <w:pPr>
        <w:pStyle w:val="Style5"/>
        <w:numPr>
          <w:ilvl w:val="0"/>
          <w:numId w:val="0"/>
        </w:numPr>
        <w:spacing w:line="22" w:lineRule="atLeast"/>
        <w:ind w:left="360"/>
        <w:jc w:val="both"/>
        <w:rPr>
          <w:sz w:val="18"/>
          <w:szCs w:val="18"/>
        </w:rPr>
      </w:pPr>
    </w:p>
    <w:p w14:paraId="2F049ADA" w14:textId="20C2F2E4" w:rsidR="00D14EB6" w:rsidRPr="00A74D23" w:rsidRDefault="00D14EB6" w:rsidP="009D6EE5">
      <w:pPr>
        <w:pStyle w:val="Style5"/>
        <w:numPr>
          <w:ilvl w:val="0"/>
          <w:numId w:val="0"/>
        </w:numPr>
        <w:spacing w:line="22" w:lineRule="atLeast"/>
        <w:ind w:left="360"/>
        <w:jc w:val="both"/>
        <w:rPr>
          <w:sz w:val="18"/>
          <w:szCs w:val="18"/>
        </w:rPr>
      </w:pPr>
    </w:p>
    <w:p w14:paraId="6EC4B28E" w14:textId="482488DB" w:rsidR="00D14EB6" w:rsidRDefault="00D14EB6" w:rsidP="009D6EE5">
      <w:pPr>
        <w:pStyle w:val="Style5"/>
        <w:numPr>
          <w:ilvl w:val="0"/>
          <w:numId w:val="0"/>
        </w:numPr>
        <w:spacing w:line="22" w:lineRule="atLeast"/>
        <w:ind w:left="360"/>
        <w:jc w:val="both"/>
        <w:rPr>
          <w:sz w:val="18"/>
          <w:szCs w:val="18"/>
        </w:rPr>
      </w:pPr>
    </w:p>
    <w:p w14:paraId="13609CBC" w14:textId="77777777" w:rsidR="002D0519" w:rsidRPr="00A74D23" w:rsidRDefault="002D0519" w:rsidP="009D6EE5">
      <w:pPr>
        <w:pStyle w:val="Style5"/>
        <w:numPr>
          <w:ilvl w:val="0"/>
          <w:numId w:val="0"/>
        </w:numPr>
        <w:spacing w:line="22" w:lineRule="atLeast"/>
        <w:ind w:left="360"/>
        <w:jc w:val="both"/>
        <w:rPr>
          <w:sz w:val="18"/>
          <w:szCs w:val="18"/>
        </w:rPr>
      </w:pPr>
    </w:p>
    <w:p w14:paraId="328915D9" w14:textId="202CFB8B" w:rsidR="00EE4575" w:rsidRPr="00A74D23" w:rsidRDefault="000D441D" w:rsidP="009D6EE5">
      <w:pPr>
        <w:pStyle w:val="Style5"/>
        <w:numPr>
          <w:ilvl w:val="0"/>
          <w:numId w:val="0"/>
        </w:numPr>
        <w:spacing w:line="22" w:lineRule="atLeast"/>
        <w:ind w:left="360"/>
        <w:jc w:val="both"/>
        <w:rPr>
          <w:sz w:val="18"/>
          <w:szCs w:val="18"/>
        </w:rPr>
      </w:pPr>
      <w:r w:rsidRPr="00A74D23">
        <w:rPr>
          <w:sz w:val="18"/>
          <w:szCs w:val="18"/>
        </w:rPr>
        <w:br w:type="textWrapping" w:clear="all"/>
      </w:r>
    </w:p>
    <w:p w14:paraId="3F7C8BEA" w14:textId="29259569" w:rsidR="00EE4575" w:rsidRPr="00A74D23" w:rsidRDefault="00EE4575" w:rsidP="009D6EE5">
      <w:pPr>
        <w:pStyle w:val="Style5"/>
        <w:numPr>
          <w:ilvl w:val="0"/>
          <w:numId w:val="0"/>
        </w:numPr>
        <w:spacing w:line="22" w:lineRule="atLeast"/>
        <w:ind w:left="360"/>
        <w:jc w:val="both"/>
        <w:rPr>
          <w:sz w:val="18"/>
          <w:szCs w:val="18"/>
        </w:rPr>
      </w:pPr>
    </w:p>
    <w:p w14:paraId="15C57D85" w14:textId="2F29D12D" w:rsidR="00EE4575" w:rsidRPr="00A74D23" w:rsidRDefault="00EE4575" w:rsidP="009D6EE5">
      <w:pPr>
        <w:pStyle w:val="Style5"/>
        <w:numPr>
          <w:ilvl w:val="0"/>
          <w:numId w:val="0"/>
        </w:numPr>
        <w:spacing w:line="22" w:lineRule="atLeast"/>
        <w:ind w:left="360"/>
        <w:jc w:val="both"/>
        <w:rPr>
          <w:sz w:val="18"/>
          <w:szCs w:val="18"/>
        </w:rPr>
      </w:pPr>
    </w:p>
    <w:p w14:paraId="77A56F82" w14:textId="33F86433" w:rsidR="00EE4575" w:rsidRPr="00A74D23" w:rsidRDefault="00EE4575" w:rsidP="009D6EE5">
      <w:pPr>
        <w:pStyle w:val="Style5"/>
        <w:numPr>
          <w:ilvl w:val="0"/>
          <w:numId w:val="0"/>
        </w:numPr>
        <w:spacing w:line="22" w:lineRule="atLeast"/>
        <w:ind w:left="360"/>
        <w:jc w:val="both"/>
        <w:rPr>
          <w:sz w:val="18"/>
          <w:szCs w:val="18"/>
        </w:rPr>
      </w:pPr>
    </w:p>
    <w:p w14:paraId="2BB89282" w14:textId="45CA1BEE" w:rsidR="00EE4575" w:rsidRPr="00A74D23" w:rsidRDefault="00EE4575" w:rsidP="009D6EE5">
      <w:pPr>
        <w:pStyle w:val="Style5"/>
        <w:numPr>
          <w:ilvl w:val="0"/>
          <w:numId w:val="0"/>
        </w:numPr>
        <w:spacing w:line="22" w:lineRule="atLeast"/>
        <w:ind w:left="360"/>
        <w:jc w:val="both"/>
        <w:rPr>
          <w:sz w:val="18"/>
          <w:szCs w:val="18"/>
        </w:rPr>
      </w:pPr>
    </w:p>
    <w:p w14:paraId="44582C6E" w14:textId="45D4D64F" w:rsidR="00EE4575" w:rsidRPr="00A74D23" w:rsidRDefault="00EE4575" w:rsidP="009D6EE5">
      <w:pPr>
        <w:pStyle w:val="Style5"/>
        <w:numPr>
          <w:ilvl w:val="0"/>
          <w:numId w:val="0"/>
        </w:numPr>
        <w:spacing w:line="22" w:lineRule="atLeast"/>
        <w:ind w:left="360"/>
        <w:jc w:val="both"/>
        <w:rPr>
          <w:sz w:val="18"/>
          <w:szCs w:val="18"/>
        </w:rPr>
      </w:pPr>
    </w:p>
    <w:p w14:paraId="663ECA99" w14:textId="7504210F" w:rsidR="00EE4575" w:rsidRPr="00A74D23" w:rsidRDefault="00EE4575" w:rsidP="009D6EE5">
      <w:pPr>
        <w:pStyle w:val="Style5"/>
        <w:numPr>
          <w:ilvl w:val="0"/>
          <w:numId w:val="0"/>
        </w:numPr>
        <w:spacing w:line="22" w:lineRule="atLeast"/>
        <w:ind w:left="360"/>
        <w:jc w:val="both"/>
        <w:rPr>
          <w:sz w:val="18"/>
          <w:szCs w:val="18"/>
        </w:rPr>
      </w:pPr>
    </w:p>
    <w:p w14:paraId="22596046" w14:textId="4C3567C7" w:rsidR="00EE4575" w:rsidRPr="00A74D23" w:rsidRDefault="00EE4575" w:rsidP="009D6EE5">
      <w:pPr>
        <w:pStyle w:val="Style5"/>
        <w:numPr>
          <w:ilvl w:val="0"/>
          <w:numId w:val="0"/>
        </w:numPr>
        <w:spacing w:line="22" w:lineRule="atLeast"/>
        <w:ind w:left="360"/>
        <w:jc w:val="both"/>
        <w:rPr>
          <w:sz w:val="18"/>
          <w:szCs w:val="18"/>
        </w:rPr>
      </w:pPr>
    </w:p>
    <w:p w14:paraId="2BE8ED1C" w14:textId="77777777" w:rsidR="00DA1A70" w:rsidRPr="00A74D23" w:rsidRDefault="00DA1A70" w:rsidP="009D6EE5">
      <w:pPr>
        <w:pStyle w:val="Style5"/>
        <w:numPr>
          <w:ilvl w:val="0"/>
          <w:numId w:val="0"/>
        </w:numPr>
        <w:spacing w:line="22" w:lineRule="atLeast"/>
        <w:ind w:left="360"/>
        <w:jc w:val="both"/>
        <w:rPr>
          <w:sz w:val="18"/>
          <w:szCs w:val="18"/>
        </w:rPr>
      </w:pPr>
    </w:p>
    <w:p w14:paraId="3BC2172F" w14:textId="77777777" w:rsidR="00DA1A70" w:rsidRPr="00A74D23" w:rsidRDefault="00DA1A70" w:rsidP="009D6EE5">
      <w:pPr>
        <w:pStyle w:val="Style5"/>
        <w:numPr>
          <w:ilvl w:val="0"/>
          <w:numId w:val="0"/>
        </w:numPr>
        <w:spacing w:line="22" w:lineRule="atLeast"/>
        <w:ind w:left="360"/>
        <w:jc w:val="both"/>
        <w:rPr>
          <w:sz w:val="18"/>
          <w:szCs w:val="18"/>
        </w:rPr>
      </w:pPr>
    </w:p>
    <w:p w14:paraId="459ADA6E" w14:textId="77777777" w:rsidR="00DA1A70" w:rsidRPr="00A74D23" w:rsidRDefault="00DA1A70" w:rsidP="009D6EE5">
      <w:pPr>
        <w:pStyle w:val="Style5"/>
        <w:numPr>
          <w:ilvl w:val="0"/>
          <w:numId w:val="0"/>
        </w:numPr>
        <w:spacing w:line="22" w:lineRule="atLeast"/>
        <w:ind w:left="360"/>
        <w:jc w:val="both"/>
        <w:rPr>
          <w:sz w:val="18"/>
          <w:szCs w:val="18"/>
        </w:rPr>
      </w:pPr>
    </w:p>
    <w:p w14:paraId="6CEA8CCF" w14:textId="77777777" w:rsidR="00DA1A70" w:rsidRPr="00A74D23" w:rsidRDefault="00DA1A70" w:rsidP="009D6EE5">
      <w:pPr>
        <w:pStyle w:val="Style5"/>
        <w:numPr>
          <w:ilvl w:val="0"/>
          <w:numId w:val="0"/>
        </w:numPr>
        <w:spacing w:line="22" w:lineRule="atLeast"/>
        <w:ind w:left="360"/>
        <w:jc w:val="both"/>
        <w:rPr>
          <w:sz w:val="18"/>
          <w:szCs w:val="18"/>
        </w:rPr>
      </w:pPr>
    </w:p>
    <w:p w14:paraId="2253B5A6" w14:textId="77777777" w:rsidR="00DA1A70" w:rsidRPr="00A74D23" w:rsidRDefault="00DA1A70" w:rsidP="009D6EE5">
      <w:pPr>
        <w:pStyle w:val="Style5"/>
        <w:numPr>
          <w:ilvl w:val="0"/>
          <w:numId w:val="0"/>
        </w:numPr>
        <w:spacing w:line="22" w:lineRule="atLeast"/>
        <w:ind w:left="360"/>
        <w:jc w:val="both"/>
        <w:rPr>
          <w:sz w:val="18"/>
          <w:szCs w:val="18"/>
        </w:rPr>
      </w:pPr>
    </w:p>
    <w:p w14:paraId="6C6E02DC" w14:textId="77777777" w:rsidR="00F761C6" w:rsidRPr="00A74D23" w:rsidRDefault="00F761C6" w:rsidP="00526802">
      <w:pPr>
        <w:pStyle w:val="Style5"/>
        <w:numPr>
          <w:ilvl w:val="0"/>
          <w:numId w:val="0"/>
        </w:numPr>
        <w:spacing w:line="22" w:lineRule="atLeast"/>
        <w:jc w:val="both"/>
        <w:rPr>
          <w:b/>
          <w:bCs/>
          <w:sz w:val="28"/>
          <w:szCs w:val="28"/>
          <w:u w:val="single"/>
        </w:rPr>
      </w:pPr>
    </w:p>
    <w:p w14:paraId="2189039D" w14:textId="11971785" w:rsidR="00AA33BB" w:rsidRPr="00A74D23" w:rsidRDefault="00162736" w:rsidP="00590DD1">
      <w:pPr>
        <w:pStyle w:val="Style5"/>
        <w:numPr>
          <w:ilvl w:val="0"/>
          <w:numId w:val="100"/>
        </w:numPr>
        <w:spacing w:line="22" w:lineRule="atLeast"/>
        <w:jc w:val="both"/>
        <w:rPr>
          <w:b/>
          <w:bCs/>
          <w:sz w:val="28"/>
          <w:szCs w:val="28"/>
        </w:rPr>
      </w:pPr>
      <w:r w:rsidRPr="00A74D23">
        <w:rPr>
          <w:b/>
          <w:bCs/>
          <w:sz w:val="28"/>
          <w:szCs w:val="28"/>
        </w:rPr>
        <w:t xml:space="preserve">Risques de transition liés à la </w:t>
      </w:r>
      <w:r w:rsidR="00032C75" w:rsidRPr="00A74D23">
        <w:rPr>
          <w:b/>
          <w:bCs/>
          <w:sz w:val="28"/>
          <w:szCs w:val="28"/>
        </w:rPr>
        <w:t xml:space="preserve">perte de </w:t>
      </w:r>
      <w:r w:rsidRPr="00A74D23">
        <w:rPr>
          <w:b/>
          <w:bCs/>
          <w:sz w:val="28"/>
          <w:szCs w:val="28"/>
        </w:rPr>
        <w:t>biodiversité</w:t>
      </w:r>
    </w:p>
    <w:p w14:paraId="290116BB" w14:textId="77777777" w:rsidR="002002A8" w:rsidRPr="00A74D23" w:rsidRDefault="002002A8" w:rsidP="009D6EE5">
      <w:pPr>
        <w:pStyle w:val="Style5"/>
        <w:numPr>
          <w:ilvl w:val="0"/>
          <w:numId w:val="0"/>
        </w:numPr>
        <w:spacing w:line="22" w:lineRule="atLeast"/>
        <w:ind w:left="360"/>
        <w:jc w:val="both"/>
        <w:rPr>
          <w:sz w:val="18"/>
          <w:szCs w:val="18"/>
        </w:rPr>
      </w:pPr>
    </w:p>
    <w:p w14:paraId="7304E8CC" w14:textId="751FA63F" w:rsidR="002002A8" w:rsidRPr="00A74D23" w:rsidRDefault="002002A8" w:rsidP="009D6EE5">
      <w:pPr>
        <w:pStyle w:val="Style5"/>
        <w:numPr>
          <w:ilvl w:val="0"/>
          <w:numId w:val="0"/>
        </w:numPr>
        <w:spacing w:line="22" w:lineRule="atLeast"/>
        <w:ind w:left="142"/>
        <w:jc w:val="both"/>
        <w:rPr>
          <w:sz w:val="20"/>
          <w:szCs w:val="20"/>
        </w:rPr>
      </w:pPr>
      <w:r w:rsidRPr="00A74D23">
        <w:rPr>
          <w:sz w:val="20"/>
          <w:szCs w:val="20"/>
        </w:rPr>
        <w:t>Les risques de transition</w:t>
      </w:r>
      <w:r w:rsidR="005A0585" w:rsidRPr="00A74D23">
        <w:rPr>
          <w:sz w:val="20"/>
          <w:szCs w:val="20"/>
        </w:rPr>
        <w:t xml:space="preserve"> biodiversité</w:t>
      </w:r>
      <w:r w:rsidRPr="00A74D23">
        <w:rPr>
          <w:sz w:val="20"/>
          <w:szCs w:val="20"/>
        </w:rPr>
        <w:t xml:space="preserve"> sont complexe à évaluer au niveau </w:t>
      </w:r>
      <w:r w:rsidR="005A0585" w:rsidRPr="00A74D23">
        <w:rPr>
          <w:sz w:val="20"/>
          <w:szCs w:val="20"/>
        </w:rPr>
        <w:t xml:space="preserve">des investissements </w:t>
      </w:r>
      <w:r w:rsidR="00325F72" w:rsidRPr="00A74D23">
        <w:rPr>
          <w:sz w:val="20"/>
          <w:szCs w:val="20"/>
        </w:rPr>
        <w:t xml:space="preserve">dans les entreprises </w:t>
      </w:r>
      <w:r w:rsidRPr="00A74D23">
        <w:rPr>
          <w:sz w:val="20"/>
          <w:szCs w:val="20"/>
        </w:rPr>
        <w:t xml:space="preserve">tant les enjeux de localisation </w:t>
      </w:r>
      <w:r w:rsidR="002A4236" w:rsidRPr="00A74D23">
        <w:rPr>
          <w:sz w:val="20"/>
          <w:szCs w:val="20"/>
        </w:rPr>
        <w:t xml:space="preserve">dans les chaînes de valeur </w:t>
      </w:r>
      <w:r w:rsidRPr="00A74D23">
        <w:rPr>
          <w:sz w:val="20"/>
          <w:szCs w:val="20"/>
        </w:rPr>
        <w:t>sont importants (chaque pays ayant sa propre politique de protection de la biodiversité), au-delà d</w:t>
      </w:r>
      <w:r w:rsidR="005A0585" w:rsidRPr="00A74D23">
        <w:rPr>
          <w:sz w:val="20"/>
          <w:szCs w:val="20"/>
        </w:rPr>
        <w:t>u</w:t>
      </w:r>
      <w:r w:rsidRPr="00A74D23">
        <w:rPr>
          <w:sz w:val="20"/>
          <w:szCs w:val="20"/>
        </w:rPr>
        <w:t xml:space="preserve"> simple secteur d’</w:t>
      </w:r>
      <w:r w:rsidR="00E3282B" w:rsidRPr="00A74D23">
        <w:rPr>
          <w:sz w:val="20"/>
          <w:szCs w:val="20"/>
        </w:rPr>
        <w:t>activité</w:t>
      </w:r>
      <w:r w:rsidRPr="00A74D23">
        <w:rPr>
          <w:sz w:val="20"/>
          <w:szCs w:val="20"/>
        </w:rPr>
        <w:t xml:space="preserve">. Assez logiquement les secteurs les plus </w:t>
      </w:r>
      <w:r w:rsidR="00E3282B" w:rsidRPr="00A74D23">
        <w:rPr>
          <w:sz w:val="20"/>
          <w:szCs w:val="20"/>
        </w:rPr>
        <w:t>impactant</w:t>
      </w:r>
      <w:r w:rsidRPr="00A74D23">
        <w:rPr>
          <w:sz w:val="20"/>
          <w:szCs w:val="20"/>
        </w:rPr>
        <w:t xml:space="preserve"> </w:t>
      </w:r>
      <w:r w:rsidR="00E3282B" w:rsidRPr="00A74D23">
        <w:rPr>
          <w:sz w:val="20"/>
          <w:szCs w:val="20"/>
        </w:rPr>
        <w:t xml:space="preserve">en termes </w:t>
      </w:r>
      <w:r w:rsidRPr="00A74D23">
        <w:rPr>
          <w:sz w:val="20"/>
          <w:szCs w:val="20"/>
        </w:rPr>
        <w:t xml:space="preserve">d’artificialisation des sols sont les plus exposés, et d’autant plus dans les zones </w:t>
      </w:r>
      <w:r w:rsidR="00E3282B" w:rsidRPr="00A74D23">
        <w:rPr>
          <w:sz w:val="20"/>
          <w:szCs w:val="20"/>
        </w:rPr>
        <w:t xml:space="preserve">à forte biodiversité. </w:t>
      </w:r>
    </w:p>
    <w:p w14:paraId="3B3B9D13" w14:textId="77777777" w:rsidR="000C32A1" w:rsidRPr="00A74D23" w:rsidRDefault="000C32A1" w:rsidP="009D6EE5">
      <w:pPr>
        <w:pStyle w:val="Style5"/>
        <w:numPr>
          <w:ilvl w:val="0"/>
          <w:numId w:val="0"/>
        </w:numPr>
        <w:spacing w:line="22" w:lineRule="atLeast"/>
        <w:jc w:val="both"/>
        <w:rPr>
          <w:b/>
          <w:bCs/>
          <w:sz w:val="24"/>
          <w:szCs w:val="24"/>
        </w:rPr>
      </w:pPr>
    </w:p>
    <w:p w14:paraId="7071B1FB" w14:textId="77777777" w:rsidR="000C32A1" w:rsidRPr="00A74D23" w:rsidRDefault="000C32A1" w:rsidP="009D6EE5">
      <w:pPr>
        <w:pStyle w:val="Style5"/>
        <w:numPr>
          <w:ilvl w:val="0"/>
          <w:numId w:val="0"/>
        </w:numPr>
        <w:spacing w:line="22" w:lineRule="atLeast"/>
        <w:ind w:left="142"/>
        <w:jc w:val="both"/>
      </w:pPr>
      <w:r w:rsidRPr="00A74D23">
        <w:rPr>
          <w:b/>
          <w:bCs/>
        </w:rPr>
        <w:t>Indicateurs mobilisés (KRI)</w:t>
      </w:r>
    </w:p>
    <w:p w14:paraId="54C5D3D5" w14:textId="1B6816CF" w:rsidR="000C32A1" w:rsidRPr="00A74D23" w:rsidRDefault="000C32A1" w:rsidP="009D6EE5">
      <w:pPr>
        <w:pStyle w:val="Style5"/>
        <w:numPr>
          <w:ilvl w:val="0"/>
          <w:numId w:val="0"/>
        </w:numPr>
        <w:spacing w:line="22" w:lineRule="atLeast"/>
        <w:ind w:left="142"/>
        <w:jc w:val="both"/>
        <w:rPr>
          <w:sz w:val="20"/>
          <w:szCs w:val="20"/>
        </w:rPr>
      </w:pPr>
      <w:r w:rsidRPr="00A74D23">
        <w:rPr>
          <w:sz w:val="20"/>
          <w:szCs w:val="20"/>
        </w:rPr>
        <w:t xml:space="preserve">L’évaluation des risques de transition </w:t>
      </w:r>
      <w:r w:rsidR="00E3282B" w:rsidRPr="00A74D23">
        <w:rPr>
          <w:sz w:val="20"/>
          <w:szCs w:val="20"/>
        </w:rPr>
        <w:t>biodiversité</w:t>
      </w:r>
      <w:r w:rsidRPr="00A74D23">
        <w:rPr>
          <w:sz w:val="20"/>
          <w:szCs w:val="20"/>
        </w:rPr>
        <w:t xml:space="preserve"> repose sur plusieurs indicateurs de suivi, parmi lesquels :</w:t>
      </w:r>
    </w:p>
    <w:p w14:paraId="445C70B7" w14:textId="53906070" w:rsidR="000C32A1" w:rsidRPr="00A74D23" w:rsidRDefault="00E3282B" w:rsidP="00590DD1">
      <w:pPr>
        <w:pStyle w:val="Style5"/>
        <w:numPr>
          <w:ilvl w:val="0"/>
          <w:numId w:val="59"/>
        </w:numPr>
        <w:spacing w:line="22" w:lineRule="atLeast"/>
        <w:jc w:val="both"/>
        <w:rPr>
          <w:sz w:val="20"/>
          <w:szCs w:val="20"/>
        </w:rPr>
      </w:pPr>
      <w:r w:rsidRPr="00A74D23">
        <w:rPr>
          <w:b/>
          <w:bCs/>
          <w:sz w:val="20"/>
          <w:szCs w:val="20"/>
        </w:rPr>
        <w:t>L’empreinte biodiversité en km2.MSA</w:t>
      </w:r>
      <w:r w:rsidR="000C32A1" w:rsidRPr="00A74D23">
        <w:rPr>
          <w:sz w:val="20"/>
          <w:szCs w:val="20"/>
        </w:rPr>
        <w:t>* ;</w:t>
      </w:r>
      <w:r w:rsidRPr="00A74D23">
        <w:rPr>
          <w:sz w:val="20"/>
          <w:szCs w:val="20"/>
        </w:rPr>
        <w:t xml:space="preserve"> reflet de l’impact global en matière d’artificialisation des sols*</w:t>
      </w:r>
    </w:p>
    <w:p w14:paraId="295CEA42" w14:textId="49D37DD7" w:rsidR="000C32A1" w:rsidRPr="00A74D23" w:rsidRDefault="00E3282B" w:rsidP="00590DD1">
      <w:pPr>
        <w:pStyle w:val="Style5"/>
        <w:numPr>
          <w:ilvl w:val="0"/>
          <w:numId w:val="59"/>
        </w:numPr>
        <w:spacing w:line="22" w:lineRule="atLeast"/>
        <w:jc w:val="both"/>
        <w:rPr>
          <w:b/>
          <w:bCs/>
          <w:sz w:val="20"/>
          <w:szCs w:val="20"/>
        </w:rPr>
      </w:pPr>
      <w:r w:rsidRPr="00A74D23">
        <w:rPr>
          <w:b/>
          <w:bCs/>
          <w:sz w:val="20"/>
          <w:szCs w:val="20"/>
        </w:rPr>
        <w:t>L’exposition aux limites planétaires*</w:t>
      </w:r>
      <w:r w:rsidR="000C32A1" w:rsidRPr="00A74D23">
        <w:rPr>
          <w:b/>
          <w:bCs/>
          <w:sz w:val="20"/>
          <w:szCs w:val="20"/>
        </w:rPr>
        <w:t xml:space="preserve"> ;</w:t>
      </w:r>
    </w:p>
    <w:p w14:paraId="7891E4DB" w14:textId="13ED0A27" w:rsidR="000C32A1" w:rsidRPr="00A74D23" w:rsidRDefault="00E3282B" w:rsidP="00590DD1">
      <w:pPr>
        <w:pStyle w:val="Style5"/>
        <w:numPr>
          <w:ilvl w:val="0"/>
          <w:numId w:val="59"/>
        </w:numPr>
        <w:spacing w:line="22" w:lineRule="atLeast"/>
        <w:jc w:val="both"/>
        <w:rPr>
          <w:sz w:val="20"/>
          <w:szCs w:val="20"/>
        </w:rPr>
      </w:pPr>
      <w:r w:rsidRPr="00A74D23">
        <w:rPr>
          <w:b/>
          <w:bCs/>
          <w:sz w:val="20"/>
          <w:szCs w:val="20"/>
        </w:rPr>
        <w:t>Le niveau d</w:t>
      </w:r>
      <w:r w:rsidR="00763F7B" w:rsidRPr="00A74D23">
        <w:rPr>
          <w:b/>
          <w:bCs/>
          <w:sz w:val="20"/>
          <w:szCs w:val="20"/>
        </w:rPr>
        <w:t>’exposition du portefeuille aux entreprises NA100</w:t>
      </w:r>
      <w:r w:rsidR="00763F7B" w:rsidRPr="00A74D23">
        <w:rPr>
          <w:sz w:val="20"/>
          <w:szCs w:val="20"/>
        </w:rPr>
        <w:t xml:space="preserve">+, ainsi que leur score de gestion biodiversité. Cet indicateur est </w:t>
      </w:r>
      <w:r w:rsidR="001A0203" w:rsidRPr="00A74D23">
        <w:rPr>
          <w:sz w:val="20"/>
          <w:szCs w:val="20"/>
        </w:rPr>
        <w:t>particulièrement</w:t>
      </w:r>
      <w:r w:rsidR="00763F7B" w:rsidRPr="00A74D23">
        <w:rPr>
          <w:sz w:val="20"/>
          <w:szCs w:val="20"/>
        </w:rPr>
        <w:t xml:space="preserve"> pertinent car </w:t>
      </w:r>
      <w:r w:rsidR="001A0203" w:rsidRPr="00A74D23">
        <w:rPr>
          <w:sz w:val="20"/>
          <w:szCs w:val="20"/>
        </w:rPr>
        <w:t>ce sont les entreprises les plus exposées a</w:t>
      </w:r>
      <w:r w:rsidR="00792C87" w:rsidRPr="00A74D23">
        <w:rPr>
          <w:sz w:val="20"/>
          <w:szCs w:val="20"/>
        </w:rPr>
        <w:t>ux engagements de coalition d’investisseurs, à l’instar du CA100</w:t>
      </w:r>
      <w:r w:rsidR="000573CC" w:rsidRPr="00A74D23">
        <w:rPr>
          <w:sz w:val="20"/>
          <w:szCs w:val="20"/>
        </w:rPr>
        <w:t>+</w:t>
      </w:r>
    </w:p>
    <w:p w14:paraId="77D29C6D" w14:textId="4D26495E" w:rsidR="00D06DF4" w:rsidRPr="00A74D23" w:rsidRDefault="00DA1A70" w:rsidP="00590DD1">
      <w:pPr>
        <w:pStyle w:val="Style5"/>
        <w:numPr>
          <w:ilvl w:val="0"/>
          <w:numId w:val="59"/>
        </w:numPr>
        <w:spacing w:line="22" w:lineRule="atLeast"/>
        <w:jc w:val="both"/>
        <w:rPr>
          <w:sz w:val="20"/>
          <w:szCs w:val="20"/>
        </w:rPr>
      </w:pPr>
      <w:r w:rsidRPr="00A74D23">
        <w:rPr>
          <w:b/>
          <w:bCs/>
          <w:sz w:val="20"/>
          <w:szCs w:val="20"/>
        </w:rPr>
        <w:t>Le pourcentage moyen des activités des entreprises du portefeuille situées dans des zones caractérisées par une forte fragilité des écosystèmes</w:t>
      </w:r>
      <w:r w:rsidRPr="00A74D23">
        <w:rPr>
          <w:sz w:val="20"/>
          <w:szCs w:val="20"/>
        </w:rPr>
        <w:t>, selon l’indicateur MSCI.</w:t>
      </w:r>
    </w:p>
    <w:p w14:paraId="11E87655" w14:textId="77777777" w:rsidR="004E77A2" w:rsidRPr="00A74D23" w:rsidRDefault="004E77A2" w:rsidP="009D6EE5">
      <w:pPr>
        <w:pStyle w:val="Style5"/>
        <w:numPr>
          <w:ilvl w:val="0"/>
          <w:numId w:val="0"/>
        </w:numPr>
        <w:spacing w:line="22" w:lineRule="atLeast"/>
        <w:ind w:left="360"/>
        <w:jc w:val="both"/>
        <w:rPr>
          <w:b/>
          <w:bCs/>
          <w:sz w:val="24"/>
          <w:szCs w:val="24"/>
        </w:rPr>
      </w:pPr>
    </w:p>
    <w:p w14:paraId="3D01BFCF" w14:textId="044E9784" w:rsidR="000573CC" w:rsidRPr="00A74D23" w:rsidRDefault="000573CC" w:rsidP="009D6EE5">
      <w:pPr>
        <w:pStyle w:val="Style5"/>
        <w:numPr>
          <w:ilvl w:val="0"/>
          <w:numId w:val="0"/>
        </w:numPr>
        <w:spacing w:line="22" w:lineRule="atLeast"/>
        <w:jc w:val="both"/>
        <w:rPr>
          <w:sz w:val="20"/>
          <w:szCs w:val="20"/>
        </w:rPr>
      </w:pPr>
      <w:r w:rsidRPr="00A74D23">
        <w:rPr>
          <w:sz w:val="20"/>
          <w:szCs w:val="20"/>
        </w:rPr>
        <w:t>*</w:t>
      </w:r>
      <w:r w:rsidRPr="00A74D23">
        <w:t xml:space="preserve"> </w:t>
      </w:r>
      <w:r w:rsidRPr="00A74D23">
        <w:rPr>
          <w:sz w:val="20"/>
          <w:szCs w:val="20"/>
        </w:rPr>
        <w:t>Les résultats relatifs aux indicateurs directement associés à la stratégie biodiversité sont présentés dans la partie H du rapport.</w:t>
      </w:r>
      <w:r w:rsidR="006878DF" w:rsidRPr="00A74D23">
        <w:rPr>
          <w:noProof/>
          <w:sz w:val="24"/>
          <w:szCs w:val="24"/>
        </w:rPr>
        <w:t xml:space="preserve"> </w:t>
      </w:r>
    </w:p>
    <w:p w14:paraId="51C4E463" w14:textId="77777777" w:rsidR="00B00E8E" w:rsidRPr="00A74D23" w:rsidRDefault="00B00E8E" w:rsidP="009D6EE5">
      <w:pPr>
        <w:pStyle w:val="Style5"/>
        <w:numPr>
          <w:ilvl w:val="0"/>
          <w:numId w:val="0"/>
        </w:numPr>
        <w:spacing w:line="22" w:lineRule="atLeast"/>
        <w:jc w:val="both"/>
        <w:rPr>
          <w:sz w:val="20"/>
          <w:szCs w:val="20"/>
        </w:rPr>
      </w:pPr>
    </w:p>
    <w:p w14:paraId="3BEE69B5" w14:textId="77777777" w:rsidR="00B00E8E" w:rsidRPr="00A74D23" w:rsidRDefault="00B00E8E" w:rsidP="009D6EE5">
      <w:pPr>
        <w:pStyle w:val="Style5"/>
        <w:numPr>
          <w:ilvl w:val="0"/>
          <w:numId w:val="0"/>
        </w:numPr>
        <w:spacing w:line="22" w:lineRule="atLeast"/>
        <w:jc w:val="both"/>
        <w:rPr>
          <w:sz w:val="20"/>
          <w:szCs w:val="20"/>
        </w:rPr>
      </w:pPr>
    </w:p>
    <w:p w14:paraId="7D17C9B4" w14:textId="5A2B93DC" w:rsidR="002A4236" w:rsidRPr="00A74D23" w:rsidRDefault="002A4236" w:rsidP="009D6EE5">
      <w:pPr>
        <w:pStyle w:val="Style5"/>
        <w:numPr>
          <w:ilvl w:val="0"/>
          <w:numId w:val="0"/>
        </w:numPr>
        <w:spacing w:line="22" w:lineRule="atLeast"/>
        <w:jc w:val="both"/>
        <w:rPr>
          <w:sz w:val="20"/>
          <w:szCs w:val="20"/>
        </w:rPr>
      </w:pPr>
    </w:p>
    <w:p w14:paraId="0EAB1EE8" w14:textId="67D70154" w:rsidR="00636AFE" w:rsidRPr="00A74D23" w:rsidRDefault="00636AFE" w:rsidP="00F761C6">
      <w:pPr>
        <w:pStyle w:val="Style5"/>
        <w:numPr>
          <w:ilvl w:val="0"/>
          <w:numId w:val="0"/>
        </w:numPr>
        <w:spacing w:line="22" w:lineRule="atLeast"/>
        <w:jc w:val="both"/>
        <w:rPr>
          <w:b/>
          <w:bCs/>
          <w:sz w:val="24"/>
          <w:szCs w:val="24"/>
        </w:rPr>
      </w:pPr>
      <w:r w:rsidRPr="00A74D23">
        <w:rPr>
          <w:b/>
          <w:bCs/>
          <w:sz w:val="24"/>
          <w:szCs w:val="24"/>
        </w:rPr>
        <w:t xml:space="preserve">Exposition et score NA100+ </w:t>
      </w:r>
    </w:p>
    <w:p w14:paraId="54A1AC38" w14:textId="77777777" w:rsidR="00CC3899" w:rsidRPr="00A74D23" w:rsidRDefault="00CC3899" w:rsidP="009D6EE5">
      <w:pPr>
        <w:pStyle w:val="Style5"/>
        <w:numPr>
          <w:ilvl w:val="0"/>
          <w:numId w:val="0"/>
        </w:numPr>
        <w:spacing w:line="22" w:lineRule="atLeast"/>
        <w:ind w:left="142"/>
        <w:jc w:val="both"/>
        <w:rPr>
          <w:b/>
          <w:bCs/>
          <w:sz w:val="24"/>
          <w:szCs w:val="24"/>
        </w:rPr>
      </w:pPr>
    </w:p>
    <w:p w14:paraId="799FCA28" w14:textId="30E462ED" w:rsidR="00CC3899" w:rsidRPr="00A74D23" w:rsidRDefault="006878DF" w:rsidP="008977EB">
      <w:pPr>
        <w:pStyle w:val="Style5"/>
        <w:numPr>
          <w:ilvl w:val="0"/>
          <w:numId w:val="0"/>
        </w:numPr>
        <w:spacing w:line="22" w:lineRule="atLeast"/>
        <w:ind w:left="142"/>
        <w:jc w:val="both"/>
        <w:rPr>
          <w:b/>
          <w:bCs/>
          <w:sz w:val="24"/>
          <w:szCs w:val="24"/>
        </w:rPr>
      </w:pPr>
      <w:r w:rsidRPr="00A74D23">
        <w:rPr>
          <w:rFonts w:cs="Open Sans"/>
          <w:noProof/>
        </w:rPr>
        <mc:AlternateContent>
          <mc:Choice Requires="wps">
            <w:drawing>
              <wp:anchor distT="0" distB="0" distL="114300" distR="114300" simplePos="0" relativeHeight="251498496" behindDoc="0" locked="0" layoutInCell="1" allowOverlap="1" wp14:anchorId="1BD8D4A3" wp14:editId="431CEC7F">
                <wp:simplePos x="0" y="0"/>
                <wp:positionH relativeFrom="margin">
                  <wp:align>center</wp:align>
                </wp:positionH>
                <wp:positionV relativeFrom="paragraph">
                  <wp:posOffset>7620</wp:posOffset>
                </wp:positionV>
                <wp:extent cx="2964815" cy="339347"/>
                <wp:effectExtent l="0" t="0" r="6985" b="3810"/>
                <wp:wrapNone/>
                <wp:docPr id="1120143779" name="Rectangle : coins arrondis 1120143779"/>
                <wp:cNvGraphicFramePr/>
                <a:graphic xmlns:a="http://schemas.openxmlformats.org/drawingml/2006/main">
                  <a:graphicData uri="http://schemas.microsoft.com/office/word/2010/wordprocessingShape">
                    <wps:wsp>
                      <wps:cNvSpPr/>
                      <wps:spPr>
                        <a:xfrm>
                          <a:off x="0" y="0"/>
                          <a:ext cx="2964815" cy="339347"/>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3023C4" w14:textId="413A84FC" w:rsidR="00CC3899" w:rsidRPr="00CC3899" w:rsidRDefault="006878DF" w:rsidP="00CC3899">
                            <w:pPr>
                              <w:jc w:val="center"/>
                              <w:rPr>
                                <w:b/>
                                <w:bCs/>
                                <w:color w:val="000000" w:themeColor="text1"/>
                                <w:sz w:val="32"/>
                                <w:szCs w:val="32"/>
                                <w:lang w:val="fr-FR"/>
                              </w:rPr>
                            </w:pPr>
                            <w:r>
                              <w:rPr>
                                <w:noProof/>
                              </w:rPr>
                              <w:drawing>
                                <wp:inline distT="0" distB="0" distL="0" distR="0" wp14:anchorId="7D0C9E92" wp14:editId="682C3DE0">
                                  <wp:extent cx="1900774" cy="294085"/>
                                  <wp:effectExtent l="0" t="0" r="4445" b="0"/>
                                  <wp:docPr id="53395986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04364" cy="310112"/>
                                          </a:xfrm>
                                          <a:prstGeom prst="rect">
                                            <a:avLst/>
                                          </a:prstGeom>
                                          <a:noFill/>
                                          <a:ln>
                                            <a:noFill/>
                                          </a:ln>
                                        </pic:spPr>
                                      </pic:pic>
                                    </a:graphicData>
                                  </a:graphic>
                                </wp:inline>
                              </w:drawing>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D8D4A3" id="Rectangle : coins arrondis 1120143779" o:spid="_x0000_s1170" style="position:absolute;left:0;text-align:left;margin-left:0;margin-top:.6pt;width:233.45pt;height:26.7pt;z-index:2514984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" fillcolor="#ffc000" stroked="f" strokeweight="1pt">
                <v:stroke joinstyle="miter"/>
                <v:textbox inset="2.5mm,1mm,2.5mm,1mm">
                  <w:txbxContent>
                    <w:p w14:paraId="423023C4" w14:textId="413A84FC" w:rsidR="00CC3899" w:rsidRPr="00CC3899" w:rsidRDefault="006878DF" w:rsidP="00CC3899">
                      <w:pPr>
                        <w:jc w:val="center"/>
                        <w:rPr>
                          <w:b/>
                          <w:bCs/>
                          <w:color w:val="000000" w:themeColor="text1"/>
                          <w:sz w:val="32"/>
                          <w:szCs w:val="32"/>
                          <w:lang w:val="fr-FR"/>
                        </w:rPr>
                      </w:pPr>
                      <w:r>
                        <w:rPr>
                          <w:noProof/>
                        </w:rPr>
                        <w:drawing>
                          <wp:inline distT="0" distB="0" distL="0" distR="0" wp14:anchorId="7D0C9E92" wp14:editId="682C3DE0">
                            <wp:extent cx="1900774" cy="294085"/>
                            <wp:effectExtent l="0" t="0" r="4445" b="0"/>
                            <wp:docPr id="533959864"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04364" cy="310112"/>
                                    </a:xfrm>
                                    <a:prstGeom prst="rect">
                                      <a:avLst/>
                                    </a:prstGeom>
                                    <a:noFill/>
                                    <a:ln>
                                      <a:noFill/>
                                    </a:ln>
                                  </pic:spPr>
                                </pic:pic>
                              </a:graphicData>
                            </a:graphic>
                          </wp:inline>
                        </w:drawing>
                      </w:r>
                    </w:p>
                  </w:txbxContent>
                </v:textbox>
                <w10:wrap anchorx="margin"/>
              </v:roundrect>
            </w:pict>
          </mc:Fallback>
        </mc:AlternateContent>
      </w:r>
    </w:p>
    <w:p w14:paraId="1D9AFDE1" w14:textId="7A064646" w:rsidR="00C70858" w:rsidRPr="00A74D23" w:rsidRDefault="00526802" w:rsidP="008977EB">
      <w:pPr>
        <w:pStyle w:val="Style5"/>
        <w:numPr>
          <w:ilvl w:val="0"/>
          <w:numId w:val="0"/>
        </w:numPr>
        <w:spacing w:line="22" w:lineRule="atLeast"/>
        <w:ind w:left="142"/>
        <w:jc w:val="both"/>
        <w:rPr>
          <w:b/>
          <w:bCs/>
          <w:sz w:val="24"/>
          <w:szCs w:val="24"/>
        </w:rPr>
      </w:pPr>
      <w:r w:rsidRPr="00A74D23">
        <w:rPr>
          <w:rFonts w:cs="Open Sans"/>
          <w:noProof/>
        </w:rPr>
        <mc:AlternateContent>
          <mc:Choice Requires="wps">
            <w:drawing>
              <wp:anchor distT="0" distB="0" distL="114300" distR="114300" simplePos="0" relativeHeight="252040192" behindDoc="1" locked="0" layoutInCell="1" allowOverlap="1" wp14:anchorId="351EC953" wp14:editId="22DD9B44">
                <wp:simplePos x="0" y="0"/>
                <wp:positionH relativeFrom="margin">
                  <wp:align>right</wp:align>
                </wp:positionH>
                <wp:positionV relativeFrom="paragraph">
                  <wp:posOffset>9678</wp:posOffset>
                </wp:positionV>
                <wp:extent cx="6291072" cy="1104595"/>
                <wp:effectExtent l="0" t="0" r="0" b="635"/>
                <wp:wrapNone/>
                <wp:docPr id="493566065" name="Rectangle : coins arrondis 493566065"/>
                <wp:cNvGraphicFramePr/>
                <a:graphic xmlns:a="http://schemas.openxmlformats.org/drawingml/2006/main">
                  <a:graphicData uri="http://schemas.microsoft.com/office/word/2010/wordprocessingShape">
                    <wps:wsp>
                      <wps:cNvSpPr/>
                      <wps:spPr>
                        <a:xfrm>
                          <a:off x="0" y="0"/>
                          <a:ext cx="6291072" cy="1104595"/>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AEBBCF" w14:textId="77777777" w:rsidR="00526802" w:rsidRDefault="00526802" w:rsidP="00526802">
                            <w:pPr>
                              <w:ind w:left="-142" w:right="-105"/>
                              <w:jc w:val="both"/>
                              <w:rPr>
                                <w:rFonts w:asciiTheme="minorHAnsi" w:hAnsiTheme="minorHAnsi"/>
                                <w:color w:val="000000" w:themeColor="text1"/>
                                <w:sz w:val="20"/>
                                <w:szCs w:val="20"/>
                                <w:lang w:val="fr-FR"/>
                              </w:rPr>
                            </w:pPr>
                          </w:p>
                          <w:p w14:paraId="7D67E005" w14:textId="77777777" w:rsidR="00526802" w:rsidRPr="00297B38" w:rsidRDefault="00526802" w:rsidP="00526802">
                            <w:pPr>
                              <w:ind w:left="-142" w:right="-105"/>
                              <w:jc w:val="both"/>
                              <w:rPr>
                                <w:rFonts w:asciiTheme="minorHAnsi" w:hAnsiTheme="minorHAnsi"/>
                                <w:color w:val="000000" w:themeColor="text1"/>
                                <w:sz w:val="20"/>
                                <w:szCs w:val="20"/>
                                <w:lang w:val="fr-FR"/>
                              </w:rPr>
                            </w:pPr>
                            <w:r w:rsidRPr="00CC3899">
                              <w:rPr>
                                <w:rFonts w:asciiTheme="minorHAnsi" w:hAnsiTheme="minorHAnsi"/>
                                <w:color w:val="000000" w:themeColor="text1"/>
                                <w:sz w:val="20"/>
                                <w:szCs w:val="20"/>
                                <w:lang w:val="fr-FR"/>
                              </w:rPr>
                              <w:t>NA100+ est une coalition internationale d'investisseurs, inspirée de Climate Action 100+, lancée lors de la COP15 à Montréal en décembre 2022 à l'initiative de la Banque mondiale et d'investisseurs institutionnels, avec pour objectif de mobiliser le secteur financier face à l'érosion de la biodiversité. Concrètement, elle vise à identifier et engager les 100 entreprises ayant les impacts les plus significatifs sur la nature.</w:t>
                            </w:r>
                            <w:r>
                              <w:rPr>
                                <w:rFonts w:asciiTheme="minorHAnsi" w:hAnsiTheme="minorHAnsi"/>
                                <w:color w:val="000000" w:themeColor="text1"/>
                                <w:sz w:val="20"/>
                                <w:szCs w:val="20"/>
                                <w:lang w:val="fr-FR"/>
                              </w:rPr>
                              <w:t xml:space="preserve"> Le groupe Aéma en fait partie.</w:t>
                            </w:r>
                          </w:p>
                          <w:p w14:paraId="150A0845" w14:textId="77777777" w:rsidR="00526802" w:rsidRPr="00C70858" w:rsidRDefault="00526802" w:rsidP="00526802">
                            <w:pPr>
                              <w:rPr>
                                <w:rFonts w:asciiTheme="minorHAnsi" w:hAnsiTheme="minorHAnsi"/>
                                <w:color w:val="000000" w:themeColor="text1"/>
                                <w:lang w:val="fr-FR"/>
                              </w:rPr>
                            </w:pPr>
                          </w:p>
                          <w:p w14:paraId="2245361A" w14:textId="77777777" w:rsidR="00526802" w:rsidRPr="002D0519" w:rsidRDefault="00526802" w:rsidP="00526802">
                            <w:pPr>
                              <w:ind w:right="335"/>
                              <w:jc w:val="both"/>
                              <w:rPr>
                                <w:color w:val="000000" w:themeColor="text1"/>
                                <w:sz w:val="20"/>
                                <w:szCs w:val="20"/>
                                <w:lang w:val="fr-FR"/>
                              </w:rPr>
                            </w:pPr>
                          </w:p>
                        </w:txbxContent>
                      </wps:txbx>
                      <wps:bodyPr rot="0" spcFirstLastPara="0" vertOverflow="overflow" horzOverflow="overflow" vert="horz" wrap="square" lIns="180000" tIns="72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1EC953" id="Rectangle : coins arrondis 493566065" o:spid="_x0000_s1171" style="position:absolute;left:0;text-align:left;margin-left:444.15pt;margin-top:.75pt;width:495.35pt;height:87pt;z-index:-251276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" fillcolor="#d8d8d8 [2732]" stroked="f" strokeweight="1pt">
                <v:stroke joinstyle="miter"/>
                <v:textbox inset="5mm,2mm,5mm,3mm">
                  <w:txbxContent>
                    <w:p w14:paraId="4FAEBBCF" w14:textId="77777777" w:rsidR="00526802" w:rsidRDefault="00526802" w:rsidP="00526802">
                      <w:pPr>
                        <w:ind w:left="-142" w:right="-105"/>
                        <w:jc w:val="both"/>
                        <w:rPr>
                          <w:rFonts w:asciiTheme="minorHAnsi" w:hAnsiTheme="minorHAnsi"/>
                          <w:color w:val="000000" w:themeColor="text1"/>
                          <w:sz w:val="20"/>
                          <w:szCs w:val="20"/>
                          <w:lang w:val="fr-FR"/>
                        </w:rPr>
                      </w:pPr>
                    </w:p>
                    <w:p w14:paraId="7D67E005" w14:textId="77777777" w:rsidR="00526802" w:rsidRPr="00297B38" w:rsidRDefault="00526802" w:rsidP="00526802">
                      <w:pPr>
                        <w:ind w:left="-142" w:right="-105"/>
                        <w:jc w:val="both"/>
                        <w:rPr>
                          <w:rFonts w:asciiTheme="minorHAnsi" w:hAnsiTheme="minorHAnsi"/>
                          <w:color w:val="000000" w:themeColor="text1"/>
                          <w:sz w:val="20"/>
                          <w:szCs w:val="20"/>
                          <w:lang w:val="fr-FR"/>
                        </w:rPr>
                      </w:pPr>
                      <w:r w:rsidRPr="00CC3899">
                        <w:rPr>
                          <w:rFonts w:asciiTheme="minorHAnsi" w:hAnsiTheme="minorHAnsi"/>
                          <w:color w:val="000000" w:themeColor="text1"/>
                          <w:sz w:val="20"/>
                          <w:szCs w:val="20"/>
                          <w:lang w:val="fr-FR"/>
                        </w:rPr>
                        <w:t>NA100+ est une coalition internationale d'investisseurs, inspirée de Climate Action 100+, lancée lors de la COP15 à Montréal en décembre 2022 à l'initiative de la Banque mondiale et d'investisseurs institutionnels, avec pour objectif de mobiliser le secteur financier face à l'érosion de la biodiversité. Concrètement, elle vise à identifier et engager les 100 entreprises ayant les impacts les plus significatifs sur la nature.</w:t>
                      </w:r>
                      <w:r>
                        <w:rPr>
                          <w:rFonts w:asciiTheme="minorHAnsi" w:hAnsiTheme="minorHAnsi"/>
                          <w:color w:val="000000" w:themeColor="text1"/>
                          <w:sz w:val="20"/>
                          <w:szCs w:val="20"/>
                          <w:lang w:val="fr-FR"/>
                        </w:rPr>
                        <w:t xml:space="preserve"> Le groupe Aéma en fait partie.</w:t>
                      </w:r>
                    </w:p>
                    <w:p w14:paraId="150A0845" w14:textId="77777777" w:rsidR="00526802" w:rsidRPr="00C70858" w:rsidRDefault="00526802" w:rsidP="00526802">
                      <w:pPr>
                        <w:rPr>
                          <w:rFonts w:asciiTheme="minorHAnsi" w:hAnsiTheme="minorHAnsi"/>
                          <w:color w:val="000000" w:themeColor="text1"/>
                          <w:lang w:val="fr-FR"/>
                        </w:rPr>
                      </w:pPr>
                    </w:p>
                    <w:p w14:paraId="2245361A" w14:textId="77777777" w:rsidR="00526802" w:rsidRPr="002D0519" w:rsidRDefault="00526802" w:rsidP="00526802">
                      <w:pPr>
                        <w:ind w:right="335"/>
                        <w:jc w:val="both"/>
                        <w:rPr>
                          <w:color w:val="000000" w:themeColor="text1"/>
                          <w:sz w:val="20"/>
                          <w:szCs w:val="20"/>
                          <w:lang w:val="fr-FR"/>
                        </w:rPr>
                      </w:pPr>
                    </w:p>
                  </w:txbxContent>
                </v:textbox>
                <w10:wrap anchorx="margin"/>
              </v:roundrect>
            </w:pict>
          </mc:Fallback>
        </mc:AlternateContent>
      </w:r>
    </w:p>
    <w:p w14:paraId="4DFFCBA2" w14:textId="63D60F4B" w:rsidR="00C70858" w:rsidRPr="00A74D23" w:rsidRDefault="00C70858" w:rsidP="008977EB">
      <w:pPr>
        <w:pStyle w:val="Style5"/>
        <w:numPr>
          <w:ilvl w:val="0"/>
          <w:numId w:val="0"/>
        </w:numPr>
        <w:spacing w:line="22" w:lineRule="atLeast"/>
        <w:ind w:left="142"/>
        <w:jc w:val="both"/>
        <w:rPr>
          <w:b/>
          <w:bCs/>
          <w:sz w:val="24"/>
          <w:szCs w:val="24"/>
        </w:rPr>
      </w:pPr>
    </w:p>
    <w:p w14:paraId="07FC4540" w14:textId="664F8B20" w:rsidR="00C70858" w:rsidRPr="00A74D23" w:rsidRDefault="00C70858" w:rsidP="008977EB">
      <w:pPr>
        <w:pStyle w:val="Style5"/>
        <w:numPr>
          <w:ilvl w:val="0"/>
          <w:numId w:val="0"/>
        </w:numPr>
        <w:spacing w:line="22" w:lineRule="atLeast"/>
        <w:ind w:left="142"/>
        <w:jc w:val="both"/>
        <w:rPr>
          <w:b/>
          <w:bCs/>
          <w:sz w:val="24"/>
          <w:szCs w:val="24"/>
        </w:rPr>
      </w:pPr>
    </w:p>
    <w:p w14:paraId="6EF87B55" w14:textId="2D14DCD5" w:rsidR="006878DF" w:rsidRPr="00A74D23" w:rsidRDefault="006878DF" w:rsidP="009D6EE5">
      <w:pPr>
        <w:pStyle w:val="Style5"/>
        <w:numPr>
          <w:ilvl w:val="0"/>
          <w:numId w:val="0"/>
        </w:numPr>
        <w:spacing w:line="22" w:lineRule="atLeast"/>
        <w:jc w:val="both"/>
        <w:rPr>
          <w:b/>
          <w:bCs/>
          <w:sz w:val="24"/>
          <w:szCs w:val="24"/>
        </w:rPr>
      </w:pPr>
    </w:p>
    <w:p w14:paraId="1A12A3E7" w14:textId="05321047" w:rsidR="00F761C6" w:rsidRPr="00A74D23" w:rsidRDefault="00F761C6" w:rsidP="009D6EE5">
      <w:pPr>
        <w:pStyle w:val="Style5"/>
        <w:numPr>
          <w:ilvl w:val="0"/>
          <w:numId w:val="0"/>
        </w:numPr>
        <w:spacing w:line="22" w:lineRule="atLeast"/>
        <w:jc w:val="both"/>
        <w:rPr>
          <w:b/>
          <w:bCs/>
          <w:sz w:val="20"/>
          <w:szCs w:val="20"/>
        </w:rPr>
      </w:pPr>
    </w:p>
    <w:p w14:paraId="5DA3CA50" w14:textId="77777777" w:rsidR="00F761C6" w:rsidRPr="00A74D23" w:rsidRDefault="00F761C6" w:rsidP="009D6EE5">
      <w:pPr>
        <w:pStyle w:val="Style5"/>
        <w:numPr>
          <w:ilvl w:val="0"/>
          <w:numId w:val="0"/>
        </w:numPr>
        <w:spacing w:line="22" w:lineRule="atLeast"/>
        <w:jc w:val="both"/>
        <w:rPr>
          <w:b/>
          <w:bCs/>
          <w:sz w:val="20"/>
          <w:szCs w:val="20"/>
        </w:rPr>
      </w:pPr>
    </w:p>
    <w:p w14:paraId="68CFBDB9" w14:textId="62786AFA" w:rsidR="00C70858" w:rsidRPr="00A74D23" w:rsidRDefault="00C70858" w:rsidP="009D6EE5">
      <w:pPr>
        <w:pStyle w:val="Style5"/>
        <w:numPr>
          <w:ilvl w:val="0"/>
          <w:numId w:val="0"/>
        </w:numPr>
        <w:spacing w:line="22" w:lineRule="atLeast"/>
        <w:jc w:val="both"/>
        <w:rPr>
          <w:b/>
          <w:bCs/>
          <w:sz w:val="20"/>
          <w:szCs w:val="20"/>
        </w:rPr>
      </w:pPr>
    </w:p>
    <w:p w14:paraId="2BD22391" w14:textId="3C702D8C" w:rsidR="00C70858" w:rsidRPr="00A74D23" w:rsidRDefault="00C70858" w:rsidP="009D6EE5">
      <w:pPr>
        <w:pStyle w:val="Style5"/>
        <w:numPr>
          <w:ilvl w:val="0"/>
          <w:numId w:val="0"/>
        </w:numPr>
        <w:spacing w:line="22" w:lineRule="atLeast"/>
        <w:jc w:val="both"/>
        <w:rPr>
          <w:b/>
          <w:bCs/>
          <w:sz w:val="20"/>
          <w:szCs w:val="20"/>
        </w:rPr>
      </w:pPr>
    </w:p>
    <w:p w14:paraId="488DB261" w14:textId="4C484ACB" w:rsidR="00C70858" w:rsidRPr="00A74D23" w:rsidRDefault="00C70858" w:rsidP="009D6EE5">
      <w:pPr>
        <w:pStyle w:val="Style5"/>
        <w:numPr>
          <w:ilvl w:val="0"/>
          <w:numId w:val="0"/>
        </w:numPr>
        <w:spacing w:line="22" w:lineRule="atLeast"/>
        <w:jc w:val="both"/>
        <w:rPr>
          <w:b/>
          <w:bCs/>
          <w:sz w:val="20"/>
          <w:szCs w:val="20"/>
        </w:rPr>
      </w:pPr>
    </w:p>
    <w:p w14:paraId="2C2D263A" w14:textId="5F345928" w:rsidR="006511ED" w:rsidRPr="0077789D" w:rsidRDefault="001F40D2" w:rsidP="009D6EE5">
      <w:pPr>
        <w:pStyle w:val="Style5"/>
        <w:numPr>
          <w:ilvl w:val="0"/>
          <w:numId w:val="0"/>
        </w:numPr>
        <w:spacing w:line="22" w:lineRule="atLeast"/>
        <w:jc w:val="both"/>
        <w:rPr>
          <w:sz w:val="20"/>
          <w:szCs w:val="20"/>
        </w:rPr>
      </w:pPr>
      <w:r>
        <w:rPr>
          <w:b/>
          <w:bCs/>
          <w:sz w:val="20"/>
          <w:szCs w:val="20"/>
        </w:rPr>
        <w:t>3</w:t>
      </w:r>
      <w:r w:rsidR="00E3653A" w:rsidRPr="00A74D23">
        <w:rPr>
          <w:b/>
          <w:bCs/>
          <w:sz w:val="20"/>
          <w:szCs w:val="20"/>
        </w:rPr>
        <w:t xml:space="preserve">% du portefeuille consolidé </w:t>
      </w:r>
      <w:r w:rsidR="00B31468" w:rsidRPr="00A74D23">
        <w:rPr>
          <w:b/>
          <w:bCs/>
          <w:sz w:val="20"/>
          <w:szCs w:val="20"/>
        </w:rPr>
        <w:t xml:space="preserve">d’Abeille </w:t>
      </w:r>
      <w:r w:rsidR="009F6C87">
        <w:rPr>
          <w:b/>
          <w:bCs/>
          <w:sz w:val="20"/>
          <w:szCs w:val="20"/>
        </w:rPr>
        <w:t>Retraite Professionnelle</w:t>
      </w:r>
      <w:r w:rsidR="00B31468" w:rsidRPr="00A74D23">
        <w:rPr>
          <w:b/>
          <w:bCs/>
          <w:sz w:val="20"/>
          <w:szCs w:val="20"/>
        </w:rPr>
        <w:t xml:space="preserve"> est composé d’entreprises présentes dans le NA100+, et donc potentiellement exposé à un fort risque de transition.</w:t>
      </w:r>
      <w:r w:rsidR="001E0FB3">
        <w:rPr>
          <w:b/>
          <w:bCs/>
          <w:sz w:val="20"/>
          <w:szCs w:val="20"/>
        </w:rPr>
        <w:t xml:space="preserve"> </w:t>
      </w:r>
      <w:r w:rsidR="001E0FB3">
        <w:rPr>
          <w:sz w:val="20"/>
          <w:szCs w:val="20"/>
        </w:rPr>
        <w:t>Il s’agit principalement d’entreprises issues du secteur de</w:t>
      </w:r>
      <w:r w:rsidR="00EB145D">
        <w:rPr>
          <w:sz w:val="20"/>
          <w:szCs w:val="20"/>
        </w:rPr>
        <w:t xml:space="preserve"> l’agroalimentaire et du pharmaceutique.</w:t>
      </w:r>
    </w:p>
    <w:p w14:paraId="16217E27" w14:textId="129EF695" w:rsidR="00F761C6" w:rsidRPr="00A74D23" w:rsidRDefault="00F761C6" w:rsidP="009D6EE5">
      <w:pPr>
        <w:pStyle w:val="Style5"/>
        <w:numPr>
          <w:ilvl w:val="0"/>
          <w:numId w:val="0"/>
        </w:numPr>
        <w:spacing w:line="22" w:lineRule="atLeast"/>
        <w:jc w:val="both"/>
        <w:rPr>
          <w:b/>
          <w:bCs/>
          <w:sz w:val="20"/>
          <w:szCs w:val="20"/>
        </w:rPr>
      </w:pPr>
    </w:p>
    <w:p w14:paraId="702A9679" w14:textId="623F9DF9" w:rsidR="00F761C6" w:rsidRPr="00A74D23" w:rsidRDefault="00F761C6" w:rsidP="00F761C6">
      <w:pPr>
        <w:pStyle w:val="Style5"/>
        <w:numPr>
          <w:ilvl w:val="0"/>
          <w:numId w:val="0"/>
        </w:numPr>
        <w:spacing w:line="22" w:lineRule="atLeast"/>
        <w:jc w:val="both"/>
        <w:rPr>
          <w:sz w:val="20"/>
          <w:szCs w:val="20"/>
        </w:rPr>
      </w:pPr>
      <w:r w:rsidRPr="00A74D23">
        <w:rPr>
          <w:sz w:val="20"/>
          <w:szCs w:val="20"/>
        </w:rPr>
        <w:t xml:space="preserve">À l’instar du score ASCOR, nous avons élaboré un score biodiversité appliqué aux 100 émetteurs de NA100+, en reposant sur une logique de notation identique pour chaque critère (1 point si oui, 0,5 point si partiel, 0 point si non). Les entreprises ont ensuite été classées en quartiles de performance, puis nous avons analysé leur répartition au sein du portefeuille consolidé d’Abeille </w:t>
      </w:r>
      <w:r w:rsidR="00E273A7">
        <w:rPr>
          <w:sz w:val="20"/>
          <w:szCs w:val="20"/>
        </w:rPr>
        <w:t>Retraite Professionnelle</w:t>
      </w:r>
      <w:r w:rsidRPr="00A74D23">
        <w:rPr>
          <w:sz w:val="20"/>
          <w:szCs w:val="20"/>
        </w:rPr>
        <w:t xml:space="preserve">. </w:t>
      </w:r>
    </w:p>
    <w:p w14:paraId="7DE195FD" w14:textId="5EB7D487" w:rsidR="00F761C6" w:rsidRPr="00A74D23" w:rsidRDefault="00F761C6" w:rsidP="00F761C6">
      <w:pPr>
        <w:pStyle w:val="Style5"/>
        <w:numPr>
          <w:ilvl w:val="0"/>
          <w:numId w:val="0"/>
        </w:numPr>
        <w:spacing w:line="22" w:lineRule="atLeast"/>
        <w:jc w:val="both"/>
        <w:rPr>
          <w:sz w:val="20"/>
          <w:szCs w:val="20"/>
        </w:rPr>
      </w:pPr>
    </w:p>
    <w:p w14:paraId="10EFE126" w14:textId="60D98578" w:rsidR="00F761C6" w:rsidRPr="00A74D23" w:rsidRDefault="00F761C6" w:rsidP="00F761C6">
      <w:pPr>
        <w:pStyle w:val="Style5"/>
        <w:numPr>
          <w:ilvl w:val="0"/>
          <w:numId w:val="0"/>
        </w:numPr>
        <w:spacing w:line="22" w:lineRule="atLeast"/>
        <w:jc w:val="both"/>
        <w:rPr>
          <w:b/>
          <w:bCs/>
          <w:sz w:val="20"/>
          <w:szCs w:val="20"/>
        </w:rPr>
      </w:pPr>
      <w:r w:rsidRPr="00A74D23">
        <w:rPr>
          <w:b/>
          <w:bCs/>
          <w:sz w:val="20"/>
          <w:szCs w:val="20"/>
        </w:rPr>
        <w:t>Les résultats présentés ci</w:t>
      </w:r>
      <w:r w:rsidRPr="00A74D23">
        <w:rPr>
          <w:rFonts w:ascii="Cambria Math" w:hAnsi="Cambria Math" w:cs="Cambria Math"/>
          <w:b/>
          <w:bCs/>
          <w:sz w:val="20"/>
          <w:szCs w:val="20"/>
        </w:rPr>
        <w:t>‑</w:t>
      </w:r>
      <w:r w:rsidRPr="00A74D23">
        <w:rPr>
          <w:b/>
          <w:bCs/>
          <w:sz w:val="20"/>
          <w:szCs w:val="20"/>
        </w:rPr>
        <w:t xml:space="preserve">dessous montrent que </w:t>
      </w:r>
      <w:r w:rsidR="00065677">
        <w:rPr>
          <w:b/>
          <w:bCs/>
          <w:sz w:val="20"/>
          <w:szCs w:val="20"/>
        </w:rPr>
        <w:t>56</w:t>
      </w:r>
      <w:r w:rsidRPr="00A74D23">
        <w:rPr>
          <w:b/>
          <w:bCs/>
          <w:sz w:val="20"/>
          <w:szCs w:val="20"/>
        </w:rPr>
        <w:t>% des encours NA100+ du portefeuille d</w:t>
      </w:r>
      <w:r w:rsidRPr="00A74D23">
        <w:rPr>
          <w:rFonts w:cs="Source Sans Pro"/>
          <w:b/>
          <w:bCs/>
          <w:sz w:val="20"/>
          <w:szCs w:val="20"/>
        </w:rPr>
        <w:t>’</w:t>
      </w:r>
      <w:r w:rsidRPr="00A74D23">
        <w:rPr>
          <w:b/>
          <w:bCs/>
          <w:sz w:val="20"/>
          <w:szCs w:val="20"/>
        </w:rPr>
        <w:t xml:space="preserve">Abeille </w:t>
      </w:r>
      <w:r w:rsidR="009F6C87">
        <w:rPr>
          <w:b/>
          <w:bCs/>
          <w:sz w:val="20"/>
          <w:szCs w:val="20"/>
        </w:rPr>
        <w:t>Retraite Professionnelle</w:t>
      </w:r>
      <w:r w:rsidRPr="00A74D23">
        <w:rPr>
          <w:b/>
          <w:bCs/>
          <w:sz w:val="20"/>
          <w:szCs w:val="20"/>
        </w:rPr>
        <w:t xml:space="preserve"> se situent dans le top 50 % des meilleures notes.</w:t>
      </w:r>
    </w:p>
    <w:p w14:paraId="4E2C34BC" w14:textId="77777777" w:rsidR="00F761C6" w:rsidRPr="00A74D23" w:rsidRDefault="00F761C6" w:rsidP="009D6EE5">
      <w:pPr>
        <w:pStyle w:val="Style5"/>
        <w:numPr>
          <w:ilvl w:val="0"/>
          <w:numId w:val="0"/>
        </w:numPr>
        <w:spacing w:line="22" w:lineRule="atLeast"/>
        <w:jc w:val="both"/>
        <w:rPr>
          <w:b/>
          <w:bCs/>
          <w:sz w:val="20"/>
          <w:szCs w:val="20"/>
        </w:rPr>
      </w:pPr>
    </w:p>
    <w:p w14:paraId="6B3A5FE0" w14:textId="77777777" w:rsidR="006878DF" w:rsidRPr="00A74D23" w:rsidRDefault="006878DF" w:rsidP="009D6EE5">
      <w:pPr>
        <w:pStyle w:val="Style5"/>
        <w:numPr>
          <w:ilvl w:val="0"/>
          <w:numId w:val="0"/>
        </w:numPr>
        <w:spacing w:line="22" w:lineRule="atLeast"/>
        <w:jc w:val="both"/>
        <w:rPr>
          <w:b/>
          <w:bCs/>
          <w:sz w:val="24"/>
          <w:szCs w:val="24"/>
        </w:rPr>
      </w:pPr>
    </w:p>
    <w:p w14:paraId="73D02BCB" w14:textId="2266366E" w:rsidR="00636AFE" w:rsidRPr="00A74D23" w:rsidRDefault="001F40D2" w:rsidP="009D6EE5">
      <w:pPr>
        <w:pStyle w:val="Style5"/>
        <w:numPr>
          <w:ilvl w:val="0"/>
          <w:numId w:val="0"/>
        </w:numPr>
        <w:spacing w:line="22" w:lineRule="atLeast"/>
        <w:jc w:val="both"/>
        <w:rPr>
          <w:sz w:val="20"/>
          <w:szCs w:val="20"/>
        </w:rPr>
      </w:pPr>
      <w:r>
        <w:rPr>
          <w:noProof/>
        </w:rPr>
        <w:drawing>
          <wp:inline distT="0" distB="0" distL="0" distR="0" wp14:anchorId="4642E0D8" wp14:editId="169DC511">
            <wp:extent cx="6300470" cy="2558415"/>
            <wp:effectExtent l="0" t="0" r="5080" b="13335"/>
            <wp:docPr id="1859444786" name="Graphique 1">
              <a:extLst xmlns:a="http://schemas.openxmlformats.org/drawingml/2006/main">
                <a:ext uri="{FF2B5EF4-FFF2-40B4-BE49-F238E27FC236}">
                  <a16:creationId xmlns:a16="http://schemas.microsoft.com/office/drawing/2014/main" id="{1DE6A091-F143-4477-8C40-C18D57596B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078231E9" w14:textId="2BBA6F79" w:rsidR="00CC3899" w:rsidRPr="006E4B0F" w:rsidRDefault="00CC3899" w:rsidP="009D6EE5">
      <w:pPr>
        <w:pStyle w:val="Style5"/>
        <w:numPr>
          <w:ilvl w:val="0"/>
          <w:numId w:val="0"/>
        </w:numPr>
        <w:spacing w:line="22" w:lineRule="atLeast"/>
        <w:jc w:val="both"/>
        <w:rPr>
          <w:i/>
          <w:iCs/>
          <w:sz w:val="20"/>
          <w:szCs w:val="20"/>
        </w:rPr>
      </w:pPr>
      <w:r w:rsidRPr="006E4B0F">
        <w:rPr>
          <w:i/>
          <w:iCs/>
          <w:sz w:val="20"/>
          <w:szCs w:val="20"/>
        </w:rPr>
        <w:t>Source : MSCI</w:t>
      </w:r>
    </w:p>
    <w:p w14:paraId="28C16BCC" w14:textId="5CA5DF79" w:rsidR="00CC3899" w:rsidRPr="006E4B0F" w:rsidRDefault="00CC3899" w:rsidP="009D6EE5">
      <w:pPr>
        <w:pStyle w:val="Style5"/>
        <w:numPr>
          <w:ilvl w:val="0"/>
          <w:numId w:val="0"/>
        </w:numPr>
        <w:spacing w:line="22" w:lineRule="atLeast"/>
        <w:jc w:val="both"/>
        <w:rPr>
          <w:i/>
          <w:iCs/>
          <w:sz w:val="20"/>
          <w:szCs w:val="20"/>
        </w:rPr>
      </w:pPr>
      <w:r w:rsidRPr="006E4B0F">
        <w:rPr>
          <w:i/>
          <w:iCs/>
          <w:sz w:val="20"/>
          <w:szCs w:val="20"/>
        </w:rPr>
        <w:t xml:space="preserve">Périmètre : Abeille </w:t>
      </w:r>
      <w:r w:rsidR="001F40D2">
        <w:rPr>
          <w:i/>
          <w:iCs/>
          <w:sz w:val="20"/>
          <w:szCs w:val="20"/>
        </w:rPr>
        <w:t>Retraite Professionnelle consolidé</w:t>
      </w:r>
      <w:r w:rsidRPr="006E4B0F">
        <w:rPr>
          <w:i/>
          <w:iCs/>
          <w:sz w:val="20"/>
          <w:szCs w:val="20"/>
        </w:rPr>
        <w:t xml:space="preserve"> – 31/12/2025</w:t>
      </w:r>
    </w:p>
    <w:p w14:paraId="1F0CBDD2" w14:textId="77777777" w:rsidR="00636AFE" w:rsidRPr="00A74D23" w:rsidRDefault="00636AFE" w:rsidP="009D6EE5">
      <w:pPr>
        <w:pStyle w:val="Style5"/>
        <w:numPr>
          <w:ilvl w:val="0"/>
          <w:numId w:val="0"/>
        </w:numPr>
        <w:spacing w:line="22" w:lineRule="atLeast"/>
        <w:jc w:val="both"/>
        <w:rPr>
          <w:sz w:val="20"/>
          <w:szCs w:val="20"/>
        </w:rPr>
      </w:pPr>
    </w:p>
    <w:p w14:paraId="190E5590" w14:textId="77777777" w:rsidR="00045495" w:rsidRPr="00A74D23" w:rsidRDefault="00045495" w:rsidP="009D6EE5">
      <w:pPr>
        <w:pStyle w:val="Style5"/>
        <w:numPr>
          <w:ilvl w:val="0"/>
          <w:numId w:val="0"/>
        </w:numPr>
        <w:spacing w:line="22" w:lineRule="atLeast"/>
        <w:jc w:val="both"/>
        <w:rPr>
          <w:sz w:val="20"/>
          <w:szCs w:val="20"/>
        </w:rPr>
      </w:pPr>
    </w:p>
    <w:p w14:paraId="1B3FB24F" w14:textId="17C2386D" w:rsidR="00045495" w:rsidRPr="00A74D23" w:rsidRDefault="00045495" w:rsidP="007C1686">
      <w:pPr>
        <w:pStyle w:val="Style5"/>
        <w:numPr>
          <w:ilvl w:val="0"/>
          <w:numId w:val="0"/>
        </w:numPr>
        <w:spacing w:line="22" w:lineRule="atLeast"/>
        <w:jc w:val="both"/>
        <w:rPr>
          <w:b/>
          <w:bCs/>
          <w:sz w:val="24"/>
          <w:szCs w:val="24"/>
        </w:rPr>
      </w:pPr>
      <w:r w:rsidRPr="00A74D23">
        <w:rPr>
          <w:b/>
          <w:bCs/>
          <w:sz w:val="24"/>
          <w:szCs w:val="24"/>
        </w:rPr>
        <w:t>Exposition aux écosystèmes fragiles</w:t>
      </w:r>
    </w:p>
    <w:p w14:paraId="53D79223" w14:textId="7FDC9A7B" w:rsidR="00045495" w:rsidRPr="00A74D23" w:rsidRDefault="00C5756D" w:rsidP="009D6EE5">
      <w:pPr>
        <w:pStyle w:val="Style5"/>
        <w:numPr>
          <w:ilvl w:val="0"/>
          <w:numId w:val="0"/>
        </w:numPr>
        <w:spacing w:line="22" w:lineRule="atLeast"/>
        <w:jc w:val="both"/>
        <w:rPr>
          <w:sz w:val="20"/>
          <w:szCs w:val="20"/>
        </w:rPr>
      </w:pPr>
      <w:r w:rsidRPr="00A74D23">
        <w:rPr>
          <w:sz w:val="20"/>
          <w:szCs w:val="20"/>
        </w:rPr>
        <w:t xml:space="preserve">Nous suivons également le </w:t>
      </w:r>
      <w:r w:rsidR="00BB3199" w:rsidRPr="00A74D23">
        <w:rPr>
          <w:sz w:val="20"/>
          <w:szCs w:val="20"/>
        </w:rPr>
        <w:t xml:space="preserve">% </w:t>
      </w:r>
      <w:r w:rsidRPr="00A74D23">
        <w:rPr>
          <w:sz w:val="20"/>
          <w:szCs w:val="20"/>
        </w:rPr>
        <w:t xml:space="preserve">moyen des activités des entreprises du portefeuille exposées à des zones caractérisées par une forte fragilité des écosystèmes, selon l’indicateur MSCI. </w:t>
      </w:r>
      <w:r w:rsidRPr="00A74D23">
        <w:rPr>
          <w:b/>
          <w:bCs/>
          <w:sz w:val="20"/>
          <w:szCs w:val="20"/>
        </w:rPr>
        <w:t xml:space="preserve">En 2025, cet indicateur s’établit à </w:t>
      </w:r>
      <w:r w:rsidR="002378F5">
        <w:rPr>
          <w:b/>
          <w:bCs/>
          <w:sz w:val="20"/>
          <w:szCs w:val="20"/>
        </w:rPr>
        <w:t>26,8</w:t>
      </w:r>
      <w:r w:rsidRPr="00A74D23">
        <w:rPr>
          <w:b/>
          <w:bCs/>
          <w:sz w:val="20"/>
          <w:szCs w:val="20"/>
        </w:rPr>
        <w:t xml:space="preserve">% pour le portefeuille </w:t>
      </w:r>
      <w:r w:rsidR="00E273A7">
        <w:rPr>
          <w:b/>
          <w:bCs/>
          <w:sz w:val="20"/>
          <w:szCs w:val="20"/>
        </w:rPr>
        <w:t xml:space="preserve">Abeille Retraite Professionnelle </w:t>
      </w:r>
      <w:r w:rsidRPr="00A74D23">
        <w:rPr>
          <w:b/>
          <w:bCs/>
          <w:sz w:val="20"/>
          <w:szCs w:val="20"/>
        </w:rPr>
        <w:t>consolidé, avec un taux de couverture de 9</w:t>
      </w:r>
      <w:r w:rsidR="002378F5">
        <w:rPr>
          <w:b/>
          <w:bCs/>
          <w:sz w:val="20"/>
          <w:szCs w:val="20"/>
        </w:rPr>
        <w:t>1</w:t>
      </w:r>
      <w:r w:rsidRPr="00A74D23">
        <w:rPr>
          <w:b/>
          <w:bCs/>
          <w:sz w:val="20"/>
          <w:szCs w:val="20"/>
        </w:rPr>
        <w:t> %</w:t>
      </w:r>
      <w:r w:rsidRPr="00A74D23">
        <w:rPr>
          <w:sz w:val="20"/>
          <w:szCs w:val="20"/>
        </w:rPr>
        <w:t xml:space="preserve">. Cet indicateur est appelé à prendre une importance croissante à mesure que les données de localisation se renforcent, permettant une meilleure anticipation des impacts localisés </w:t>
      </w:r>
      <w:r w:rsidR="00D87E27" w:rsidRPr="00A74D23">
        <w:rPr>
          <w:sz w:val="20"/>
          <w:szCs w:val="20"/>
        </w:rPr>
        <w:t>de la perte de biodiversité.</w:t>
      </w:r>
    </w:p>
    <w:p w14:paraId="086A7D9C" w14:textId="77777777" w:rsidR="00045495" w:rsidRPr="00A74D23" w:rsidRDefault="00045495" w:rsidP="009D6EE5">
      <w:pPr>
        <w:pStyle w:val="Style5"/>
        <w:numPr>
          <w:ilvl w:val="0"/>
          <w:numId w:val="0"/>
        </w:numPr>
        <w:spacing w:line="22" w:lineRule="atLeast"/>
        <w:jc w:val="both"/>
        <w:rPr>
          <w:sz w:val="20"/>
          <w:szCs w:val="20"/>
        </w:rPr>
      </w:pPr>
    </w:p>
    <w:p w14:paraId="4CA3C827" w14:textId="77777777" w:rsidR="00045495" w:rsidRPr="00A74D23" w:rsidRDefault="00045495" w:rsidP="009D6EE5">
      <w:pPr>
        <w:pStyle w:val="Style5"/>
        <w:numPr>
          <w:ilvl w:val="0"/>
          <w:numId w:val="0"/>
        </w:numPr>
        <w:spacing w:line="22" w:lineRule="atLeast"/>
        <w:jc w:val="both"/>
        <w:rPr>
          <w:sz w:val="20"/>
          <w:szCs w:val="20"/>
        </w:rPr>
      </w:pPr>
    </w:p>
    <w:p w14:paraId="066151F4" w14:textId="77777777" w:rsidR="00045495" w:rsidRPr="00A74D23" w:rsidRDefault="00045495" w:rsidP="009D6EE5">
      <w:pPr>
        <w:pStyle w:val="Style5"/>
        <w:numPr>
          <w:ilvl w:val="0"/>
          <w:numId w:val="0"/>
        </w:numPr>
        <w:spacing w:line="22" w:lineRule="atLeast"/>
        <w:jc w:val="both"/>
        <w:rPr>
          <w:sz w:val="20"/>
          <w:szCs w:val="20"/>
        </w:rPr>
      </w:pPr>
    </w:p>
    <w:p w14:paraId="53D15177" w14:textId="77777777" w:rsidR="00332F44" w:rsidRPr="00A74D23" w:rsidRDefault="00332F44" w:rsidP="009D6EE5">
      <w:pPr>
        <w:pStyle w:val="Style5"/>
        <w:numPr>
          <w:ilvl w:val="0"/>
          <w:numId w:val="0"/>
        </w:numPr>
        <w:spacing w:line="22" w:lineRule="atLeast"/>
        <w:jc w:val="both"/>
        <w:rPr>
          <w:sz w:val="20"/>
          <w:szCs w:val="20"/>
        </w:rPr>
      </w:pPr>
    </w:p>
    <w:p w14:paraId="05C12BE4" w14:textId="78F8B34B" w:rsidR="00032C75" w:rsidRPr="00A74D23" w:rsidRDefault="00032C75" w:rsidP="00590DD1">
      <w:pPr>
        <w:pStyle w:val="Style5"/>
        <w:numPr>
          <w:ilvl w:val="0"/>
          <w:numId w:val="115"/>
        </w:numPr>
        <w:spacing w:line="22" w:lineRule="atLeast"/>
        <w:jc w:val="both"/>
        <w:rPr>
          <w:b/>
          <w:bCs/>
          <w:sz w:val="28"/>
          <w:szCs w:val="28"/>
        </w:rPr>
      </w:pPr>
      <w:r w:rsidRPr="00A74D23">
        <w:rPr>
          <w:b/>
          <w:bCs/>
          <w:sz w:val="28"/>
          <w:szCs w:val="28"/>
        </w:rPr>
        <w:t>Risques physiques liés à la perte de biodiversité</w:t>
      </w:r>
    </w:p>
    <w:p w14:paraId="5EBD6F5E" w14:textId="77777777" w:rsidR="00032C75" w:rsidRPr="00A74D23" w:rsidRDefault="00032C75" w:rsidP="009D6EE5">
      <w:pPr>
        <w:pStyle w:val="Style5"/>
        <w:numPr>
          <w:ilvl w:val="0"/>
          <w:numId w:val="0"/>
        </w:numPr>
        <w:spacing w:line="22" w:lineRule="atLeast"/>
        <w:ind w:left="360"/>
        <w:jc w:val="both"/>
        <w:rPr>
          <w:sz w:val="18"/>
          <w:szCs w:val="18"/>
        </w:rPr>
      </w:pPr>
    </w:p>
    <w:p w14:paraId="10A3BD3C" w14:textId="77777777" w:rsidR="00676D97" w:rsidRPr="00A74D23" w:rsidRDefault="00676D97" w:rsidP="009D6EE5">
      <w:pPr>
        <w:pStyle w:val="Style5"/>
        <w:numPr>
          <w:ilvl w:val="0"/>
          <w:numId w:val="0"/>
        </w:numPr>
        <w:spacing w:line="22" w:lineRule="atLeast"/>
        <w:jc w:val="both"/>
        <w:rPr>
          <w:sz w:val="20"/>
          <w:szCs w:val="20"/>
        </w:rPr>
      </w:pPr>
      <w:r w:rsidRPr="00A74D23">
        <w:rPr>
          <w:sz w:val="20"/>
          <w:szCs w:val="20"/>
        </w:rPr>
        <w:t>Les risques physiques liés à la biodiversité sont principalement associés aux dépendances des activités économiques aux services écosystémiques, tels que la pollinisation, la disponibilité de l’eau, la fertilité des sols ou la régulation du climat. La dégradation de ces services peut entraîner des perturbations opérationnelles, une hausse des coûts ou une baisse de productivité, se traduisant in fine par des risques financiers pour les entreprises et les portefeuilles exposés.</w:t>
      </w:r>
    </w:p>
    <w:p w14:paraId="75730AD7" w14:textId="77777777" w:rsidR="00676D97" w:rsidRPr="00A74D23" w:rsidRDefault="00676D97" w:rsidP="009D6EE5">
      <w:pPr>
        <w:pStyle w:val="Style5"/>
        <w:numPr>
          <w:ilvl w:val="0"/>
          <w:numId w:val="0"/>
        </w:numPr>
        <w:spacing w:line="22" w:lineRule="atLeast"/>
        <w:jc w:val="both"/>
        <w:rPr>
          <w:sz w:val="18"/>
          <w:szCs w:val="18"/>
        </w:rPr>
      </w:pPr>
    </w:p>
    <w:p w14:paraId="660BAABE" w14:textId="77777777" w:rsidR="00676D97" w:rsidRPr="00A74D23" w:rsidRDefault="00676D97" w:rsidP="00A914A1">
      <w:pPr>
        <w:pStyle w:val="Style5"/>
        <w:numPr>
          <w:ilvl w:val="0"/>
          <w:numId w:val="0"/>
        </w:numPr>
        <w:spacing w:line="22" w:lineRule="atLeast"/>
        <w:jc w:val="both"/>
      </w:pPr>
      <w:r w:rsidRPr="00A74D23">
        <w:rPr>
          <w:b/>
          <w:bCs/>
        </w:rPr>
        <w:t>Indicateurs mobilisés (KRI)</w:t>
      </w:r>
    </w:p>
    <w:p w14:paraId="68A22A97" w14:textId="77777777" w:rsidR="00676D97" w:rsidRPr="00A74D23" w:rsidRDefault="00676D97" w:rsidP="00A914A1">
      <w:pPr>
        <w:pStyle w:val="Style5"/>
        <w:numPr>
          <w:ilvl w:val="0"/>
          <w:numId w:val="0"/>
        </w:numPr>
        <w:spacing w:line="22" w:lineRule="atLeast"/>
        <w:jc w:val="both"/>
        <w:rPr>
          <w:sz w:val="20"/>
          <w:szCs w:val="20"/>
        </w:rPr>
      </w:pPr>
      <w:r w:rsidRPr="00A74D23">
        <w:rPr>
          <w:sz w:val="20"/>
          <w:szCs w:val="20"/>
        </w:rPr>
        <w:t>L’évaluation des risques de transition biodiversité repose sur plusieurs indicateurs de suivi, parmi lesquels :</w:t>
      </w:r>
    </w:p>
    <w:p w14:paraId="3048CE74" w14:textId="6F469AEC" w:rsidR="00676D97" w:rsidRPr="00A74D23" w:rsidRDefault="00676D97" w:rsidP="00590DD1">
      <w:pPr>
        <w:pStyle w:val="Style5"/>
        <w:numPr>
          <w:ilvl w:val="0"/>
          <w:numId w:val="59"/>
        </w:numPr>
        <w:tabs>
          <w:tab w:val="clear" w:pos="720"/>
          <w:tab w:val="num" w:pos="567"/>
        </w:tabs>
        <w:spacing w:line="22" w:lineRule="atLeast"/>
        <w:ind w:left="567"/>
        <w:jc w:val="both"/>
        <w:rPr>
          <w:sz w:val="20"/>
          <w:szCs w:val="20"/>
        </w:rPr>
      </w:pPr>
      <w:r w:rsidRPr="00A74D23">
        <w:rPr>
          <w:b/>
          <w:bCs/>
          <w:sz w:val="20"/>
          <w:szCs w:val="20"/>
        </w:rPr>
        <w:t>Le % d’encours du portefeuille considéré comme « prioritaire » par la TNFD ;</w:t>
      </w:r>
    </w:p>
    <w:p w14:paraId="74250BAF" w14:textId="0A202CB6" w:rsidR="00676D97" w:rsidRPr="00A74D23" w:rsidRDefault="00676D97" w:rsidP="00590DD1">
      <w:pPr>
        <w:pStyle w:val="Style5"/>
        <w:numPr>
          <w:ilvl w:val="0"/>
          <w:numId w:val="59"/>
        </w:numPr>
        <w:tabs>
          <w:tab w:val="clear" w:pos="720"/>
          <w:tab w:val="num" w:pos="567"/>
        </w:tabs>
        <w:spacing w:line="22" w:lineRule="atLeast"/>
        <w:ind w:left="567"/>
        <w:jc w:val="both"/>
        <w:rPr>
          <w:b/>
          <w:bCs/>
          <w:sz w:val="20"/>
          <w:szCs w:val="20"/>
        </w:rPr>
      </w:pPr>
      <w:r w:rsidRPr="00A74D23">
        <w:rPr>
          <w:b/>
          <w:bCs/>
          <w:sz w:val="20"/>
          <w:szCs w:val="20"/>
        </w:rPr>
        <w:t xml:space="preserve">Le score de dépendance à la biodiversité par secteur </w:t>
      </w:r>
    </w:p>
    <w:p w14:paraId="5A6554D4" w14:textId="77777777" w:rsidR="00676D97" w:rsidRPr="00A74D23" w:rsidRDefault="00676D97" w:rsidP="009D6EE5">
      <w:pPr>
        <w:pStyle w:val="Style5"/>
        <w:numPr>
          <w:ilvl w:val="0"/>
          <w:numId w:val="0"/>
        </w:numPr>
        <w:spacing w:line="22" w:lineRule="atLeast"/>
        <w:jc w:val="both"/>
        <w:rPr>
          <w:sz w:val="18"/>
          <w:szCs w:val="18"/>
        </w:rPr>
      </w:pPr>
    </w:p>
    <w:p w14:paraId="0FEEFAA1" w14:textId="77777777" w:rsidR="00F9452B" w:rsidRPr="00A74D23" w:rsidRDefault="00F9452B" w:rsidP="009D6EE5">
      <w:pPr>
        <w:pStyle w:val="Style5"/>
        <w:numPr>
          <w:ilvl w:val="0"/>
          <w:numId w:val="0"/>
        </w:numPr>
        <w:spacing w:line="22" w:lineRule="atLeast"/>
        <w:jc w:val="both"/>
        <w:rPr>
          <w:sz w:val="18"/>
          <w:szCs w:val="18"/>
        </w:rPr>
      </w:pPr>
    </w:p>
    <w:p w14:paraId="6920E37B" w14:textId="5EFAEAB1" w:rsidR="00F9452B" w:rsidRPr="00A74D23" w:rsidRDefault="009F2190" w:rsidP="00446B29">
      <w:pPr>
        <w:pStyle w:val="Style5"/>
        <w:numPr>
          <w:ilvl w:val="0"/>
          <w:numId w:val="0"/>
        </w:numPr>
        <w:spacing w:line="22" w:lineRule="atLeast"/>
        <w:jc w:val="both"/>
        <w:rPr>
          <w:b/>
          <w:bCs/>
          <w:sz w:val="24"/>
          <w:szCs w:val="24"/>
        </w:rPr>
      </w:pPr>
      <w:r w:rsidRPr="00A74D23">
        <w:rPr>
          <w:b/>
          <w:bCs/>
          <w:sz w:val="24"/>
          <w:szCs w:val="24"/>
        </w:rPr>
        <w:t xml:space="preserve">Part </w:t>
      </w:r>
      <w:r w:rsidR="00F9452B" w:rsidRPr="00A74D23">
        <w:rPr>
          <w:b/>
          <w:bCs/>
          <w:sz w:val="24"/>
          <w:szCs w:val="24"/>
        </w:rPr>
        <w:t xml:space="preserve">d’exposition aux secteurs </w:t>
      </w:r>
      <w:r w:rsidR="00501E89" w:rsidRPr="00A74D23">
        <w:rPr>
          <w:b/>
          <w:bCs/>
          <w:sz w:val="24"/>
          <w:szCs w:val="24"/>
        </w:rPr>
        <w:t>« prioritaires TNFD »</w:t>
      </w:r>
    </w:p>
    <w:p w14:paraId="0CD14606" w14:textId="349485CE" w:rsidR="00676D97" w:rsidRPr="00A74D23" w:rsidRDefault="00676D97" w:rsidP="009D6EE5">
      <w:pPr>
        <w:pStyle w:val="Style5"/>
        <w:numPr>
          <w:ilvl w:val="0"/>
          <w:numId w:val="0"/>
        </w:numPr>
        <w:spacing w:line="22" w:lineRule="atLeast"/>
        <w:jc w:val="both"/>
        <w:rPr>
          <w:sz w:val="20"/>
          <w:szCs w:val="20"/>
        </w:rPr>
      </w:pPr>
      <w:r w:rsidRPr="00A74D23">
        <w:rPr>
          <w:sz w:val="20"/>
          <w:szCs w:val="20"/>
        </w:rPr>
        <w:t xml:space="preserve">En 2025, </w:t>
      </w:r>
      <w:r w:rsidR="00F9452B" w:rsidRPr="00A74D23">
        <w:rPr>
          <w:sz w:val="20"/>
          <w:szCs w:val="20"/>
        </w:rPr>
        <w:t>1</w:t>
      </w:r>
      <w:r w:rsidR="00F954CB" w:rsidRPr="00A74D23">
        <w:rPr>
          <w:sz w:val="20"/>
          <w:szCs w:val="20"/>
        </w:rPr>
        <w:t xml:space="preserve">/3 des encours du portefeuille consolidé Abeille </w:t>
      </w:r>
      <w:r w:rsidR="00AC3399">
        <w:rPr>
          <w:sz w:val="20"/>
          <w:szCs w:val="20"/>
        </w:rPr>
        <w:t>Retraite Professionnelle</w:t>
      </w:r>
      <w:r w:rsidR="00F954CB" w:rsidRPr="00A74D23">
        <w:rPr>
          <w:sz w:val="20"/>
          <w:szCs w:val="20"/>
        </w:rPr>
        <w:t xml:space="preserve"> sont considérés comme</w:t>
      </w:r>
      <w:r w:rsidR="00501E89" w:rsidRPr="00A74D23">
        <w:rPr>
          <w:sz w:val="20"/>
          <w:szCs w:val="20"/>
        </w:rPr>
        <w:t xml:space="preserve"> </w:t>
      </w:r>
      <w:r w:rsidR="00446B29" w:rsidRPr="00A74D23">
        <w:rPr>
          <w:sz w:val="20"/>
          <w:szCs w:val="20"/>
        </w:rPr>
        <w:t xml:space="preserve">appartenant à des secteurs </w:t>
      </w:r>
      <w:r w:rsidR="00501E89" w:rsidRPr="00A74D23">
        <w:rPr>
          <w:sz w:val="20"/>
          <w:szCs w:val="20"/>
        </w:rPr>
        <w:t>« prioritaires</w:t>
      </w:r>
      <w:r w:rsidR="00F9452B" w:rsidRPr="00A74D23">
        <w:rPr>
          <w:sz w:val="20"/>
          <w:szCs w:val="20"/>
        </w:rPr>
        <w:t> » d’après la Task Force for Nature Related Disclosure</w:t>
      </w:r>
      <w:r w:rsidR="00F56C07" w:rsidRPr="00A74D23">
        <w:rPr>
          <w:sz w:val="20"/>
          <w:szCs w:val="20"/>
        </w:rPr>
        <w:t xml:space="preserve">. Ces secteurs sont listés dans les </w:t>
      </w:r>
      <w:hyperlink r:id="rId99" w:history="1">
        <w:r w:rsidR="00F56C07" w:rsidRPr="00A74D23">
          <w:rPr>
            <w:rStyle w:val="Lienhypertexte"/>
            <w:sz w:val="20"/>
            <w:szCs w:val="20"/>
          </w:rPr>
          <w:t>documents de guidance de la TNFD</w:t>
        </w:r>
      </w:hyperlink>
      <w:r w:rsidR="00F56C07" w:rsidRPr="00A74D23">
        <w:rPr>
          <w:sz w:val="20"/>
          <w:szCs w:val="20"/>
        </w:rPr>
        <w:t>. (Incluent notamment les matériaux de construction, secteur agroalimentaire, infrastructures de transport, secteur pharmaceutique...)</w:t>
      </w:r>
    </w:p>
    <w:p w14:paraId="593238F4" w14:textId="77777777" w:rsidR="005D3147" w:rsidRPr="00A74D23" w:rsidRDefault="005D3147" w:rsidP="009D6EE5">
      <w:pPr>
        <w:pStyle w:val="Style5"/>
        <w:numPr>
          <w:ilvl w:val="0"/>
          <w:numId w:val="0"/>
        </w:numPr>
        <w:spacing w:line="22" w:lineRule="atLeast"/>
        <w:jc w:val="both"/>
        <w:rPr>
          <w:sz w:val="20"/>
          <w:szCs w:val="20"/>
        </w:rPr>
      </w:pPr>
    </w:p>
    <w:p w14:paraId="41F25C5B" w14:textId="77777777" w:rsidR="00676D97" w:rsidRPr="00A74D23" w:rsidRDefault="00676D97" w:rsidP="009D6EE5">
      <w:pPr>
        <w:pStyle w:val="Style5"/>
        <w:numPr>
          <w:ilvl w:val="0"/>
          <w:numId w:val="0"/>
        </w:numPr>
        <w:spacing w:line="22" w:lineRule="atLeast"/>
        <w:jc w:val="both"/>
        <w:rPr>
          <w:sz w:val="18"/>
          <w:szCs w:val="18"/>
        </w:rPr>
      </w:pPr>
    </w:p>
    <w:p w14:paraId="3C63C61B" w14:textId="49A9B8F9" w:rsidR="00676D97" w:rsidRPr="00A74D23" w:rsidRDefault="00F954CB" w:rsidP="009D6EE5">
      <w:pPr>
        <w:pStyle w:val="Style5"/>
        <w:numPr>
          <w:ilvl w:val="0"/>
          <w:numId w:val="0"/>
        </w:numPr>
        <w:spacing w:line="22" w:lineRule="atLeast"/>
        <w:jc w:val="both"/>
        <w:rPr>
          <w:sz w:val="18"/>
          <w:szCs w:val="18"/>
        </w:rPr>
      </w:pPr>
      <w:r w:rsidRPr="00A74D23">
        <w:rPr>
          <w:noProof/>
        </w:rPr>
        <w:drawing>
          <wp:inline distT="0" distB="0" distL="0" distR="0" wp14:anchorId="0F29FE07" wp14:editId="64468F5E">
            <wp:extent cx="4893945" cy="1719072"/>
            <wp:effectExtent l="0" t="0" r="1905" b="14605"/>
            <wp:docPr id="1066209315" name="Graphique 1">
              <a:extLst xmlns:a="http://schemas.openxmlformats.org/drawingml/2006/main">
                <a:ext uri="{FF2B5EF4-FFF2-40B4-BE49-F238E27FC236}">
                  <a16:creationId xmlns:a16="http://schemas.microsoft.com/office/drawing/2014/main" id="{D0A33149-87FB-9FCF-CB93-EA2ACE2FB4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5565E97B" w14:textId="1B0F165B" w:rsidR="00D953C9" w:rsidRPr="006E4B0F" w:rsidRDefault="00D953C9" w:rsidP="009D6EE5">
      <w:pPr>
        <w:pStyle w:val="Style5"/>
        <w:numPr>
          <w:ilvl w:val="0"/>
          <w:numId w:val="0"/>
        </w:numPr>
        <w:spacing w:line="22" w:lineRule="atLeast"/>
        <w:jc w:val="both"/>
        <w:rPr>
          <w:i/>
          <w:iCs/>
          <w:sz w:val="18"/>
          <w:szCs w:val="18"/>
        </w:rPr>
      </w:pPr>
      <w:r w:rsidRPr="006E4B0F">
        <w:rPr>
          <w:i/>
          <w:iCs/>
          <w:sz w:val="18"/>
          <w:szCs w:val="18"/>
        </w:rPr>
        <w:t>Source : MSCI</w:t>
      </w:r>
    </w:p>
    <w:p w14:paraId="3E496A3C" w14:textId="1C5618F2" w:rsidR="00F9452B" w:rsidRPr="006E4B0F" w:rsidRDefault="00F9452B" w:rsidP="009D6EE5">
      <w:pPr>
        <w:pStyle w:val="Style5"/>
        <w:numPr>
          <w:ilvl w:val="0"/>
          <w:numId w:val="0"/>
        </w:numPr>
        <w:spacing w:line="22" w:lineRule="atLeast"/>
        <w:jc w:val="both"/>
        <w:rPr>
          <w:i/>
          <w:iCs/>
          <w:sz w:val="18"/>
          <w:szCs w:val="18"/>
        </w:rPr>
      </w:pPr>
      <w:r w:rsidRPr="006E4B0F">
        <w:rPr>
          <w:i/>
          <w:iCs/>
          <w:sz w:val="18"/>
          <w:szCs w:val="18"/>
        </w:rPr>
        <w:t xml:space="preserve">Périmètre : Abeille </w:t>
      </w:r>
      <w:r w:rsidR="00FE7542">
        <w:rPr>
          <w:i/>
          <w:iCs/>
          <w:sz w:val="18"/>
          <w:szCs w:val="18"/>
        </w:rPr>
        <w:t>Retraite Professionnelle</w:t>
      </w:r>
      <w:r w:rsidRPr="006E4B0F">
        <w:rPr>
          <w:i/>
          <w:iCs/>
          <w:sz w:val="18"/>
          <w:szCs w:val="18"/>
        </w:rPr>
        <w:t xml:space="preserve"> consolidé – 31/12/2025</w:t>
      </w:r>
    </w:p>
    <w:p w14:paraId="217D57FD" w14:textId="77777777" w:rsidR="00F9452B" w:rsidRPr="006E4B0F" w:rsidRDefault="00F9452B" w:rsidP="009D6EE5">
      <w:pPr>
        <w:pStyle w:val="Style5"/>
        <w:numPr>
          <w:ilvl w:val="0"/>
          <w:numId w:val="0"/>
        </w:numPr>
        <w:spacing w:line="22" w:lineRule="atLeast"/>
        <w:jc w:val="both"/>
        <w:rPr>
          <w:i/>
          <w:iCs/>
          <w:sz w:val="18"/>
          <w:szCs w:val="18"/>
        </w:rPr>
      </w:pPr>
      <w:r w:rsidRPr="006E4B0F">
        <w:rPr>
          <w:i/>
          <w:iCs/>
          <w:sz w:val="18"/>
          <w:szCs w:val="18"/>
        </w:rPr>
        <w:t>Taux de couverture : 98%</w:t>
      </w:r>
    </w:p>
    <w:p w14:paraId="3E5B6988" w14:textId="77777777" w:rsidR="00676D97" w:rsidRPr="00A74D23" w:rsidRDefault="00676D97" w:rsidP="009D6EE5">
      <w:pPr>
        <w:pStyle w:val="Style5"/>
        <w:numPr>
          <w:ilvl w:val="0"/>
          <w:numId w:val="0"/>
        </w:numPr>
        <w:spacing w:line="22" w:lineRule="atLeast"/>
        <w:jc w:val="both"/>
        <w:rPr>
          <w:sz w:val="18"/>
          <w:szCs w:val="18"/>
        </w:rPr>
      </w:pPr>
    </w:p>
    <w:p w14:paraId="0EBFAE21" w14:textId="77777777" w:rsidR="00446B29" w:rsidRPr="00A74D23" w:rsidRDefault="00446B29" w:rsidP="009D6EE5">
      <w:pPr>
        <w:pStyle w:val="Style5"/>
        <w:numPr>
          <w:ilvl w:val="0"/>
          <w:numId w:val="0"/>
        </w:numPr>
        <w:spacing w:line="22" w:lineRule="atLeast"/>
        <w:jc w:val="both"/>
        <w:rPr>
          <w:sz w:val="18"/>
          <w:szCs w:val="18"/>
        </w:rPr>
      </w:pPr>
    </w:p>
    <w:p w14:paraId="7ADB404D" w14:textId="77777777" w:rsidR="00446B29" w:rsidRPr="00A74D23" w:rsidRDefault="00446B29" w:rsidP="009D6EE5">
      <w:pPr>
        <w:pStyle w:val="Style5"/>
        <w:numPr>
          <w:ilvl w:val="0"/>
          <w:numId w:val="0"/>
        </w:numPr>
        <w:spacing w:line="22" w:lineRule="atLeast"/>
        <w:jc w:val="both"/>
        <w:rPr>
          <w:sz w:val="18"/>
          <w:szCs w:val="18"/>
        </w:rPr>
      </w:pPr>
    </w:p>
    <w:p w14:paraId="2C26CECA" w14:textId="77777777" w:rsidR="00446B29" w:rsidRPr="00A74D23" w:rsidRDefault="00446B29" w:rsidP="009D6EE5">
      <w:pPr>
        <w:pStyle w:val="Style5"/>
        <w:numPr>
          <w:ilvl w:val="0"/>
          <w:numId w:val="0"/>
        </w:numPr>
        <w:spacing w:line="22" w:lineRule="atLeast"/>
        <w:jc w:val="both"/>
        <w:rPr>
          <w:sz w:val="18"/>
          <w:szCs w:val="18"/>
        </w:rPr>
      </w:pPr>
    </w:p>
    <w:p w14:paraId="16BC308B" w14:textId="5EE52B8C" w:rsidR="0065039E" w:rsidRPr="00A74D23" w:rsidRDefault="00D50CD1" w:rsidP="009D6EE5">
      <w:pPr>
        <w:pStyle w:val="Style5"/>
        <w:numPr>
          <w:ilvl w:val="0"/>
          <w:numId w:val="0"/>
        </w:numPr>
        <w:spacing w:line="22" w:lineRule="atLeast"/>
        <w:jc w:val="both"/>
        <w:rPr>
          <w:b/>
          <w:bCs/>
          <w:sz w:val="24"/>
          <w:szCs w:val="24"/>
        </w:rPr>
      </w:pPr>
      <w:r w:rsidRPr="00A74D23">
        <w:rPr>
          <w:b/>
          <w:bCs/>
          <w:sz w:val="24"/>
          <w:szCs w:val="24"/>
        </w:rPr>
        <w:t>Niveau de dépendance</w:t>
      </w:r>
      <w:r w:rsidR="002A6305" w:rsidRPr="00A74D23">
        <w:rPr>
          <w:b/>
          <w:bCs/>
          <w:sz w:val="24"/>
          <w:szCs w:val="24"/>
        </w:rPr>
        <w:t xml:space="preserve"> </w:t>
      </w:r>
      <w:r w:rsidRPr="00A74D23">
        <w:rPr>
          <w:b/>
          <w:bCs/>
          <w:sz w:val="24"/>
          <w:szCs w:val="24"/>
        </w:rPr>
        <w:t xml:space="preserve">à la biodiversité par secteur </w:t>
      </w:r>
      <w:r w:rsidR="009C45B7" w:rsidRPr="00A74D23">
        <w:rPr>
          <w:b/>
          <w:bCs/>
          <w:sz w:val="24"/>
          <w:szCs w:val="24"/>
        </w:rPr>
        <w:t xml:space="preserve">– </w:t>
      </w:r>
      <w:r w:rsidR="009A0B45" w:rsidRPr="00A74D23">
        <w:rPr>
          <w:b/>
          <w:bCs/>
          <w:sz w:val="24"/>
          <w:szCs w:val="24"/>
        </w:rPr>
        <w:t xml:space="preserve">ENCORE </w:t>
      </w:r>
      <w:r w:rsidR="009C45B7" w:rsidRPr="00A74D23">
        <w:rPr>
          <w:b/>
          <w:bCs/>
          <w:sz w:val="24"/>
          <w:szCs w:val="24"/>
        </w:rPr>
        <w:t>opérations directes</w:t>
      </w:r>
    </w:p>
    <w:tbl>
      <w:tblPr>
        <w:tblpPr w:leftFromText="180" w:rightFromText="180" w:vertAnchor="text" w:horzAnchor="page" w:tblpX="1" w:tblpY="246"/>
        <w:tblW w:w="11676" w:type="dxa"/>
        <w:tblLayout w:type="fixed"/>
        <w:tblLook w:val="04A0" w:firstRow="1" w:lastRow="0" w:firstColumn="1" w:lastColumn="0" w:noHBand="0" w:noVBand="1"/>
      </w:tblPr>
      <w:tblGrid>
        <w:gridCol w:w="1569"/>
        <w:gridCol w:w="1125"/>
        <w:gridCol w:w="1275"/>
        <w:gridCol w:w="993"/>
        <w:gridCol w:w="955"/>
        <w:gridCol w:w="887"/>
        <w:gridCol w:w="993"/>
        <w:gridCol w:w="992"/>
        <w:gridCol w:w="992"/>
        <w:gridCol w:w="981"/>
        <w:gridCol w:w="914"/>
      </w:tblGrid>
      <w:tr w:rsidR="00446B29" w:rsidRPr="00A74D23" w14:paraId="41E5BA17" w14:textId="77777777" w:rsidTr="000147A6">
        <w:trPr>
          <w:trHeight w:val="853"/>
        </w:trPr>
        <w:tc>
          <w:tcPr>
            <w:tcW w:w="1569" w:type="dxa"/>
            <w:tcBorders>
              <w:top w:val="nil"/>
              <w:left w:val="nil"/>
              <w:bottom w:val="dashed" w:sz="4" w:space="0" w:color="auto"/>
              <w:right w:val="dashed" w:sz="4" w:space="0" w:color="auto"/>
            </w:tcBorders>
            <w:noWrap/>
            <w:vAlign w:val="bottom"/>
            <w:hideMark/>
          </w:tcPr>
          <w:p w14:paraId="78CC6DE1" w14:textId="77777777" w:rsidR="00446B29" w:rsidRPr="00A74D23" w:rsidRDefault="00446B29" w:rsidP="00446B29">
            <w:pPr>
              <w:spacing w:line="22" w:lineRule="atLeast"/>
              <w:jc w:val="both"/>
              <w:rPr>
                <w:rFonts w:asciiTheme="minorHAnsi" w:hAnsiTheme="minorHAnsi"/>
                <w:color w:val="000000"/>
                <w:sz w:val="14"/>
                <w:szCs w:val="14"/>
                <w:lang w:val="fr-FR"/>
              </w:rPr>
            </w:pPr>
            <w:r w:rsidRPr="00A74D23">
              <w:rPr>
                <w:rFonts w:asciiTheme="minorHAnsi" w:hAnsiTheme="minorHAnsi"/>
                <w:color w:val="000000"/>
                <w:sz w:val="14"/>
                <w:szCs w:val="14"/>
                <w:lang w:val="fr-FR"/>
              </w:rPr>
              <w:t> </w:t>
            </w:r>
          </w:p>
        </w:tc>
        <w:tc>
          <w:tcPr>
            <w:tcW w:w="1125" w:type="dxa"/>
            <w:tcBorders>
              <w:top w:val="nil"/>
              <w:left w:val="nil"/>
              <w:bottom w:val="dashed" w:sz="4" w:space="0" w:color="auto"/>
              <w:right w:val="nil"/>
            </w:tcBorders>
            <w:hideMark/>
          </w:tcPr>
          <w:p w14:paraId="55A03E6F" w14:textId="713498E4" w:rsidR="00446B29" w:rsidRPr="00A74D23" w:rsidRDefault="00446B29" w:rsidP="00446B29">
            <w:pPr>
              <w:spacing w:line="22" w:lineRule="atLeast"/>
              <w:jc w:val="center"/>
              <w:rPr>
                <w:rFonts w:asciiTheme="minorHAnsi" w:hAnsiTheme="minorHAnsi"/>
                <w:i/>
                <w:iCs/>
                <w:color w:val="000000"/>
                <w:sz w:val="14"/>
                <w:szCs w:val="14"/>
              </w:rPr>
            </w:pPr>
            <w:r w:rsidRPr="00A74D23">
              <w:rPr>
                <w:rFonts w:asciiTheme="minorHAnsi" w:hAnsiTheme="minorHAnsi"/>
                <w:sz w:val="14"/>
                <w:szCs w:val="14"/>
              </w:rPr>
              <w:t>Énergie d'origine naturelle</w:t>
            </w:r>
          </w:p>
        </w:tc>
        <w:tc>
          <w:tcPr>
            <w:tcW w:w="1275" w:type="dxa"/>
            <w:tcBorders>
              <w:top w:val="nil"/>
              <w:left w:val="nil"/>
              <w:bottom w:val="dashed" w:sz="4" w:space="0" w:color="auto"/>
              <w:right w:val="nil"/>
            </w:tcBorders>
            <w:hideMark/>
          </w:tcPr>
          <w:p w14:paraId="7F87FF2A" w14:textId="174FFB86" w:rsidR="00446B29" w:rsidRPr="00A74D23" w:rsidRDefault="00446B29" w:rsidP="00446B29">
            <w:pPr>
              <w:spacing w:line="22" w:lineRule="atLeast"/>
              <w:jc w:val="center"/>
              <w:rPr>
                <w:rFonts w:asciiTheme="minorHAnsi" w:hAnsiTheme="minorHAnsi"/>
                <w:i/>
                <w:iCs/>
                <w:color w:val="000000"/>
                <w:sz w:val="14"/>
                <w:szCs w:val="14"/>
                <w:lang w:val="fr-FR"/>
              </w:rPr>
            </w:pPr>
            <w:r w:rsidRPr="00A74D23">
              <w:rPr>
                <w:rFonts w:asciiTheme="minorHAnsi" w:hAnsiTheme="minorHAnsi"/>
                <w:sz w:val="14"/>
                <w:szCs w:val="14"/>
                <w:lang w:val="fr-FR"/>
              </w:rPr>
              <w:t>Approvisionnement en biomasse et ressources génétiques</w:t>
            </w:r>
          </w:p>
        </w:tc>
        <w:tc>
          <w:tcPr>
            <w:tcW w:w="993" w:type="dxa"/>
            <w:tcBorders>
              <w:top w:val="nil"/>
              <w:left w:val="nil"/>
              <w:bottom w:val="dashed" w:sz="4" w:space="0" w:color="auto"/>
              <w:right w:val="nil"/>
            </w:tcBorders>
            <w:hideMark/>
          </w:tcPr>
          <w:p w14:paraId="1F54DC1B" w14:textId="75C608AC" w:rsidR="00446B29" w:rsidRPr="00A74D23" w:rsidRDefault="00446B29" w:rsidP="00446B29">
            <w:pPr>
              <w:spacing w:line="22" w:lineRule="atLeast"/>
              <w:jc w:val="center"/>
              <w:rPr>
                <w:rFonts w:asciiTheme="minorHAnsi" w:hAnsiTheme="minorHAnsi"/>
                <w:i/>
                <w:iCs/>
                <w:color w:val="000000"/>
                <w:sz w:val="14"/>
                <w:szCs w:val="14"/>
                <w:lang w:val="fr-FR"/>
              </w:rPr>
            </w:pPr>
            <w:r w:rsidRPr="00A74D23">
              <w:rPr>
                <w:rFonts w:asciiTheme="minorHAnsi" w:hAnsiTheme="minorHAnsi"/>
                <w:sz w:val="14"/>
                <w:szCs w:val="14"/>
                <w:lang w:val="fr-FR"/>
              </w:rPr>
              <w:t>Épuration et qualité de l'eau</w:t>
            </w:r>
          </w:p>
        </w:tc>
        <w:tc>
          <w:tcPr>
            <w:tcW w:w="955" w:type="dxa"/>
            <w:tcBorders>
              <w:top w:val="nil"/>
              <w:left w:val="nil"/>
              <w:bottom w:val="dashed" w:sz="4" w:space="0" w:color="auto"/>
              <w:right w:val="nil"/>
            </w:tcBorders>
            <w:hideMark/>
          </w:tcPr>
          <w:p w14:paraId="158CB660" w14:textId="5A0BD577" w:rsidR="00446B29" w:rsidRPr="00A74D23" w:rsidRDefault="00446B29" w:rsidP="00446B29">
            <w:pPr>
              <w:spacing w:line="22" w:lineRule="atLeast"/>
              <w:jc w:val="center"/>
              <w:rPr>
                <w:rFonts w:asciiTheme="minorHAnsi" w:hAnsiTheme="minorHAnsi"/>
                <w:i/>
                <w:iCs/>
                <w:color w:val="000000"/>
                <w:sz w:val="14"/>
                <w:szCs w:val="14"/>
                <w:lang w:val="fr-FR"/>
              </w:rPr>
            </w:pPr>
            <w:r w:rsidRPr="00A74D23">
              <w:rPr>
                <w:rFonts w:asciiTheme="minorHAnsi" w:hAnsiTheme="minorHAnsi"/>
                <w:sz w:val="14"/>
                <w:szCs w:val="14"/>
                <w:lang w:val="fr-FR"/>
              </w:rPr>
              <w:t>Protection et fertilité des sols</w:t>
            </w:r>
          </w:p>
        </w:tc>
        <w:tc>
          <w:tcPr>
            <w:tcW w:w="887" w:type="dxa"/>
            <w:tcBorders>
              <w:top w:val="nil"/>
              <w:left w:val="nil"/>
              <w:bottom w:val="dashed" w:sz="4" w:space="0" w:color="auto"/>
              <w:right w:val="nil"/>
            </w:tcBorders>
            <w:hideMark/>
          </w:tcPr>
          <w:p w14:paraId="523D4E0D" w14:textId="5EDCA726" w:rsidR="00446B29" w:rsidRPr="00A74D23" w:rsidRDefault="00446B29" w:rsidP="00446B29">
            <w:pPr>
              <w:spacing w:line="22" w:lineRule="atLeast"/>
              <w:jc w:val="center"/>
              <w:rPr>
                <w:rFonts w:asciiTheme="minorHAnsi" w:hAnsiTheme="minorHAnsi"/>
                <w:i/>
                <w:iCs/>
                <w:color w:val="000000"/>
                <w:sz w:val="14"/>
                <w:szCs w:val="14"/>
                <w:lang w:val="fr-FR"/>
              </w:rPr>
            </w:pPr>
            <w:r w:rsidRPr="00A74D23">
              <w:rPr>
                <w:rFonts w:asciiTheme="minorHAnsi" w:hAnsiTheme="minorHAnsi"/>
                <w:sz w:val="14"/>
                <w:szCs w:val="14"/>
                <w:lang w:val="fr-FR"/>
              </w:rPr>
              <w:t>Épuration et qualité de l'air</w:t>
            </w:r>
          </w:p>
        </w:tc>
        <w:tc>
          <w:tcPr>
            <w:tcW w:w="993" w:type="dxa"/>
            <w:tcBorders>
              <w:top w:val="nil"/>
              <w:left w:val="nil"/>
              <w:bottom w:val="dashed" w:sz="4" w:space="0" w:color="auto"/>
              <w:right w:val="nil"/>
            </w:tcBorders>
            <w:hideMark/>
          </w:tcPr>
          <w:p w14:paraId="14E82603" w14:textId="2DDA406F" w:rsidR="00446B29" w:rsidRPr="00A74D23" w:rsidRDefault="00446B29" w:rsidP="00446B29">
            <w:pPr>
              <w:spacing w:line="22" w:lineRule="atLeast"/>
              <w:jc w:val="center"/>
              <w:rPr>
                <w:rFonts w:asciiTheme="minorHAnsi" w:hAnsiTheme="minorHAnsi"/>
                <w:i/>
                <w:iCs/>
                <w:color w:val="000000"/>
                <w:sz w:val="14"/>
                <w:szCs w:val="14"/>
                <w:lang w:val="fr-FR"/>
              </w:rPr>
            </w:pPr>
            <w:r w:rsidRPr="00A74D23">
              <w:rPr>
                <w:rFonts w:asciiTheme="minorHAnsi" w:hAnsiTheme="minorHAnsi"/>
                <w:sz w:val="14"/>
                <w:szCs w:val="14"/>
                <w:lang w:val="fr-FR"/>
              </w:rPr>
              <w:t>Pollinisation, habitats et contrôle biologique</w:t>
            </w:r>
          </w:p>
        </w:tc>
        <w:tc>
          <w:tcPr>
            <w:tcW w:w="992" w:type="dxa"/>
            <w:tcBorders>
              <w:top w:val="nil"/>
              <w:left w:val="nil"/>
              <w:bottom w:val="dashed" w:sz="4" w:space="0" w:color="auto"/>
              <w:right w:val="nil"/>
            </w:tcBorders>
            <w:hideMark/>
          </w:tcPr>
          <w:p w14:paraId="2906FA09" w14:textId="33217338" w:rsidR="00446B29" w:rsidRPr="00A74D23" w:rsidRDefault="00446B29" w:rsidP="00446B29">
            <w:pPr>
              <w:spacing w:line="22" w:lineRule="atLeast"/>
              <w:jc w:val="center"/>
              <w:rPr>
                <w:rFonts w:asciiTheme="minorHAnsi" w:hAnsiTheme="minorHAnsi"/>
                <w:i/>
                <w:iCs/>
                <w:color w:val="000000"/>
                <w:sz w:val="14"/>
                <w:szCs w:val="14"/>
                <w:lang w:val="fr-FR"/>
              </w:rPr>
            </w:pPr>
            <w:r w:rsidRPr="00A74D23">
              <w:rPr>
                <w:rFonts w:asciiTheme="minorHAnsi" w:hAnsiTheme="minorHAnsi"/>
                <w:sz w:val="14"/>
                <w:szCs w:val="14"/>
                <w:lang w:val="fr-FR"/>
              </w:rPr>
              <w:t>Protection contre les aléas naturels</w:t>
            </w:r>
          </w:p>
        </w:tc>
        <w:tc>
          <w:tcPr>
            <w:tcW w:w="992" w:type="dxa"/>
            <w:tcBorders>
              <w:top w:val="nil"/>
              <w:left w:val="nil"/>
              <w:bottom w:val="dashed" w:sz="4" w:space="0" w:color="auto"/>
              <w:right w:val="nil"/>
            </w:tcBorders>
            <w:hideMark/>
          </w:tcPr>
          <w:p w14:paraId="0BB306E9" w14:textId="3DD3461E" w:rsidR="00446B29" w:rsidRPr="00A74D23" w:rsidRDefault="00446B29" w:rsidP="00446B29">
            <w:pPr>
              <w:spacing w:line="22" w:lineRule="atLeast"/>
              <w:jc w:val="center"/>
              <w:rPr>
                <w:rFonts w:asciiTheme="minorHAnsi" w:hAnsiTheme="minorHAnsi"/>
                <w:i/>
                <w:iCs/>
                <w:color w:val="000000"/>
                <w:sz w:val="14"/>
                <w:szCs w:val="14"/>
              </w:rPr>
            </w:pPr>
            <w:r w:rsidRPr="00A74D23">
              <w:rPr>
                <w:rFonts w:asciiTheme="minorHAnsi" w:hAnsiTheme="minorHAnsi"/>
                <w:sz w:val="14"/>
                <w:szCs w:val="14"/>
              </w:rPr>
              <w:t>Régulation climatique</w:t>
            </w:r>
          </w:p>
        </w:tc>
        <w:tc>
          <w:tcPr>
            <w:tcW w:w="981" w:type="dxa"/>
            <w:tcBorders>
              <w:top w:val="nil"/>
              <w:left w:val="nil"/>
              <w:bottom w:val="dashed" w:sz="4" w:space="0" w:color="auto"/>
              <w:right w:val="nil"/>
            </w:tcBorders>
            <w:hideMark/>
          </w:tcPr>
          <w:p w14:paraId="6E1CD1BD" w14:textId="4113897B" w:rsidR="00446B29" w:rsidRPr="00A74D23" w:rsidRDefault="00446B29" w:rsidP="00446B29">
            <w:pPr>
              <w:spacing w:line="22" w:lineRule="atLeast"/>
              <w:jc w:val="center"/>
              <w:rPr>
                <w:rFonts w:asciiTheme="minorHAnsi" w:hAnsiTheme="minorHAnsi"/>
                <w:i/>
                <w:iCs/>
                <w:color w:val="000000"/>
                <w:sz w:val="14"/>
                <w:szCs w:val="14"/>
              </w:rPr>
            </w:pPr>
            <w:r w:rsidRPr="00A74D23">
              <w:rPr>
                <w:rFonts w:asciiTheme="minorHAnsi" w:hAnsiTheme="minorHAnsi"/>
                <w:sz w:val="14"/>
                <w:szCs w:val="14"/>
              </w:rPr>
              <w:t>Approvisionnement en eau</w:t>
            </w:r>
          </w:p>
        </w:tc>
        <w:tc>
          <w:tcPr>
            <w:tcW w:w="914" w:type="dxa"/>
            <w:tcBorders>
              <w:top w:val="nil"/>
              <w:left w:val="nil"/>
              <w:bottom w:val="dashed" w:sz="4" w:space="0" w:color="auto"/>
              <w:right w:val="nil"/>
            </w:tcBorders>
            <w:hideMark/>
          </w:tcPr>
          <w:p w14:paraId="62A7293B" w14:textId="56EB90DE" w:rsidR="00446B29" w:rsidRPr="00A74D23" w:rsidRDefault="00446B29" w:rsidP="00446B29">
            <w:pPr>
              <w:spacing w:line="22" w:lineRule="atLeast"/>
              <w:jc w:val="center"/>
              <w:rPr>
                <w:rFonts w:asciiTheme="minorHAnsi" w:hAnsiTheme="minorHAnsi"/>
                <w:i/>
                <w:iCs/>
                <w:color w:val="000000"/>
                <w:sz w:val="14"/>
                <w:szCs w:val="14"/>
              </w:rPr>
            </w:pPr>
            <w:r w:rsidRPr="00A74D23">
              <w:rPr>
                <w:rFonts w:asciiTheme="minorHAnsi" w:hAnsiTheme="minorHAnsi"/>
                <w:sz w:val="14"/>
                <w:szCs w:val="14"/>
              </w:rPr>
              <w:t>Atténuation des nuisances sensorielles</w:t>
            </w:r>
          </w:p>
        </w:tc>
      </w:tr>
      <w:tr w:rsidR="00D10AFE" w:rsidRPr="00A74D23" w14:paraId="2B1A3BE9" w14:textId="77777777" w:rsidTr="000147A6">
        <w:trPr>
          <w:trHeight w:val="407"/>
        </w:trPr>
        <w:tc>
          <w:tcPr>
            <w:tcW w:w="1569" w:type="dxa"/>
            <w:tcBorders>
              <w:top w:val="nil"/>
              <w:left w:val="nil"/>
              <w:bottom w:val="nil"/>
              <w:right w:val="dashed" w:sz="4" w:space="0" w:color="auto"/>
            </w:tcBorders>
            <w:noWrap/>
            <w:vAlign w:val="center"/>
            <w:hideMark/>
          </w:tcPr>
          <w:p w14:paraId="2520CF49" w14:textId="35226E7C" w:rsidR="00D10AFE" w:rsidRPr="00A74D23" w:rsidRDefault="00D10AFE" w:rsidP="00D10AFE">
            <w:pPr>
              <w:spacing w:line="22" w:lineRule="atLeast"/>
              <w:jc w:val="center"/>
              <w:rPr>
                <w:rFonts w:asciiTheme="minorHAnsi" w:hAnsiTheme="minorHAnsi"/>
                <w:color w:val="000000"/>
                <w:sz w:val="16"/>
                <w:szCs w:val="16"/>
              </w:rPr>
            </w:pPr>
            <w:r w:rsidRPr="00A74D23">
              <w:rPr>
                <w:rFonts w:asciiTheme="minorHAnsi" w:hAnsiTheme="minorHAnsi" w:cs="Calibri"/>
                <w:color w:val="000000"/>
                <w:sz w:val="16"/>
                <w:szCs w:val="16"/>
              </w:rPr>
              <w:t>Automobiles</w:t>
            </w:r>
          </w:p>
        </w:tc>
        <w:tc>
          <w:tcPr>
            <w:tcW w:w="1125" w:type="dxa"/>
            <w:tcBorders>
              <w:top w:val="nil"/>
              <w:left w:val="nil"/>
              <w:bottom w:val="nil"/>
              <w:right w:val="nil"/>
            </w:tcBorders>
            <w:shd w:val="clear" w:color="000000" w:fill="FBD1D4"/>
            <w:noWrap/>
            <w:vAlign w:val="bottom"/>
            <w:hideMark/>
          </w:tcPr>
          <w:p w14:paraId="76BCEF92"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2,0</w:t>
            </w:r>
          </w:p>
        </w:tc>
        <w:tc>
          <w:tcPr>
            <w:tcW w:w="1275" w:type="dxa"/>
            <w:tcBorders>
              <w:top w:val="nil"/>
              <w:left w:val="nil"/>
              <w:bottom w:val="nil"/>
              <w:right w:val="nil"/>
            </w:tcBorders>
            <w:shd w:val="clear" w:color="000000" w:fill="FFFFFF"/>
            <w:noWrap/>
            <w:vAlign w:val="bottom"/>
            <w:hideMark/>
          </w:tcPr>
          <w:p w14:paraId="493F9BE4" w14:textId="71226365" w:rsidR="00D10AFE" w:rsidRPr="00A74D23" w:rsidRDefault="00D10AFE" w:rsidP="00D10AFE">
            <w:pPr>
              <w:spacing w:line="22" w:lineRule="atLeast"/>
              <w:jc w:val="center"/>
              <w:rPr>
                <w:rFonts w:asciiTheme="minorHAnsi" w:hAnsiTheme="minorHAnsi"/>
                <w:color w:val="000000"/>
                <w:sz w:val="22"/>
                <w:szCs w:val="22"/>
              </w:rPr>
            </w:pPr>
          </w:p>
        </w:tc>
        <w:tc>
          <w:tcPr>
            <w:tcW w:w="993" w:type="dxa"/>
            <w:tcBorders>
              <w:top w:val="nil"/>
              <w:left w:val="nil"/>
              <w:bottom w:val="nil"/>
              <w:right w:val="nil"/>
            </w:tcBorders>
            <w:shd w:val="clear" w:color="000000" w:fill="FFFFFF"/>
            <w:noWrap/>
            <w:vAlign w:val="bottom"/>
            <w:hideMark/>
          </w:tcPr>
          <w:p w14:paraId="284C4A61" w14:textId="4F4C1AF1" w:rsidR="00D10AFE" w:rsidRPr="00A74D23" w:rsidRDefault="00D10AFE" w:rsidP="00D10AFE">
            <w:pPr>
              <w:spacing w:line="22" w:lineRule="atLeast"/>
              <w:jc w:val="center"/>
              <w:rPr>
                <w:rFonts w:asciiTheme="minorHAnsi" w:hAnsiTheme="minorHAnsi"/>
                <w:color w:val="000000"/>
                <w:sz w:val="22"/>
                <w:szCs w:val="22"/>
              </w:rPr>
            </w:pPr>
          </w:p>
        </w:tc>
        <w:tc>
          <w:tcPr>
            <w:tcW w:w="955" w:type="dxa"/>
            <w:tcBorders>
              <w:top w:val="nil"/>
              <w:left w:val="nil"/>
              <w:bottom w:val="nil"/>
              <w:right w:val="nil"/>
            </w:tcBorders>
            <w:shd w:val="clear" w:color="000000" w:fill="FBBABC"/>
            <w:noWrap/>
            <w:vAlign w:val="bottom"/>
            <w:hideMark/>
          </w:tcPr>
          <w:p w14:paraId="11CE28D5"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2,5</w:t>
            </w:r>
          </w:p>
        </w:tc>
        <w:tc>
          <w:tcPr>
            <w:tcW w:w="887" w:type="dxa"/>
            <w:tcBorders>
              <w:top w:val="nil"/>
              <w:left w:val="nil"/>
              <w:bottom w:val="nil"/>
              <w:right w:val="nil"/>
            </w:tcBorders>
            <w:shd w:val="clear" w:color="000000" w:fill="FBBABC"/>
            <w:noWrap/>
            <w:vAlign w:val="bottom"/>
            <w:hideMark/>
          </w:tcPr>
          <w:p w14:paraId="2D0132B2"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2,5</w:t>
            </w:r>
          </w:p>
        </w:tc>
        <w:tc>
          <w:tcPr>
            <w:tcW w:w="993" w:type="dxa"/>
            <w:tcBorders>
              <w:top w:val="nil"/>
              <w:left w:val="nil"/>
              <w:bottom w:val="nil"/>
              <w:right w:val="nil"/>
            </w:tcBorders>
            <w:shd w:val="clear" w:color="000000" w:fill="FCE6E9"/>
            <w:noWrap/>
            <w:vAlign w:val="bottom"/>
            <w:hideMark/>
          </w:tcPr>
          <w:p w14:paraId="22029CCD"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1,5</w:t>
            </w:r>
          </w:p>
        </w:tc>
        <w:tc>
          <w:tcPr>
            <w:tcW w:w="992" w:type="dxa"/>
            <w:tcBorders>
              <w:top w:val="nil"/>
              <w:left w:val="nil"/>
              <w:bottom w:val="nil"/>
              <w:right w:val="nil"/>
            </w:tcBorders>
            <w:shd w:val="clear" w:color="000000" w:fill="FFFFFF"/>
            <w:noWrap/>
            <w:vAlign w:val="bottom"/>
            <w:hideMark/>
          </w:tcPr>
          <w:p w14:paraId="5946188C" w14:textId="35B27621" w:rsidR="00D10AFE" w:rsidRPr="00A74D23" w:rsidRDefault="00D10AFE" w:rsidP="00D10AFE">
            <w:pPr>
              <w:spacing w:line="22" w:lineRule="atLeast"/>
              <w:jc w:val="center"/>
              <w:rPr>
                <w:rFonts w:asciiTheme="minorHAnsi" w:hAnsiTheme="minorHAnsi"/>
                <w:color w:val="000000"/>
                <w:sz w:val="22"/>
                <w:szCs w:val="22"/>
              </w:rPr>
            </w:pPr>
          </w:p>
        </w:tc>
        <w:tc>
          <w:tcPr>
            <w:tcW w:w="992" w:type="dxa"/>
            <w:tcBorders>
              <w:top w:val="nil"/>
              <w:left w:val="nil"/>
              <w:bottom w:val="nil"/>
              <w:right w:val="nil"/>
            </w:tcBorders>
            <w:shd w:val="clear" w:color="000000" w:fill="FAA3A6"/>
            <w:noWrap/>
            <w:vAlign w:val="bottom"/>
            <w:hideMark/>
          </w:tcPr>
          <w:p w14:paraId="712895E9"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3,0</w:t>
            </w:r>
          </w:p>
        </w:tc>
        <w:tc>
          <w:tcPr>
            <w:tcW w:w="981" w:type="dxa"/>
            <w:tcBorders>
              <w:top w:val="nil"/>
              <w:left w:val="nil"/>
              <w:bottom w:val="nil"/>
              <w:right w:val="nil"/>
            </w:tcBorders>
            <w:shd w:val="clear" w:color="000000" w:fill="FCEEF1"/>
            <w:noWrap/>
            <w:vAlign w:val="bottom"/>
            <w:hideMark/>
          </w:tcPr>
          <w:p w14:paraId="3D0C10CB"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1,3</w:t>
            </w:r>
          </w:p>
        </w:tc>
        <w:tc>
          <w:tcPr>
            <w:tcW w:w="914" w:type="dxa"/>
            <w:tcBorders>
              <w:top w:val="nil"/>
              <w:left w:val="nil"/>
              <w:bottom w:val="nil"/>
              <w:right w:val="nil"/>
            </w:tcBorders>
            <w:shd w:val="clear" w:color="000000" w:fill="FBD0D3"/>
            <w:noWrap/>
            <w:vAlign w:val="bottom"/>
            <w:hideMark/>
          </w:tcPr>
          <w:p w14:paraId="12ED0D0C"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2,0</w:t>
            </w:r>
          </w:p>
        </w:tc>
      </w:tr>
      <w:tr w:rsidR="00D10AFE" w:rsidRPr="00A74D23" w14:paraId="182D7E0C" w14:textId="77777777" w:rsidTr="000147A6">
        <w:trPr>
          <w:trHeight w:val="407"/>
        </w:trPr>
        <w:tc>
          <w:tcPr>
            <w:tcW w:w="1569" w:type="dxa"/>
            <w:tcBorders>
              <w:top w:val="nil"/>
              <w:left w:val="nil"/>
              <w:bottom w:val="nil"/>
              <w:right w:val="dashed" w:sz="4" w:space="0" w:color="auto"/>
            </w:tcBorders>
            <w:noWrap/>
            <w:vAlign w:val="center"/>
            <w:hideMark/>
          </w:tcPr>
          <w:p w14:paraId="2879161D" w14:textId="558825FF" w:rsidR="00D10AFE" w:rsidRPr="00A74D23" w:rsidRDefault="00D10AFE" w:rsidP="00D10AFE">
            <w:pPr>
              <w:spacing w:line="22" w:lineRule="atLeast"/>
              <w:jc w:val="center"/>
              <w:rPr>
                <w:rFonts w:asciiTheme="minorHAnsi" w:hAnsiTheme="minorHAnsi"/>
                <w:color w:val="000000"/>
                <w:sz w:val="16"/>
                <w:szCs w:val="16"/>
              </w:rPr>
            </w:pPr>
            <w:r w:rsidRPr="00A74D23">
              <w:rPr>
                <w:rFonts w:asciiTheme="minorHAnsi" w:hAnsiTheme="minorHAnsi" w:cs="Calibri"/>
                <w:color w:val="000000"/>
                <w:sz w:val="16"/>
                <w:szCs w:val="16"/>
              </w:rPr>
              <w:t>Biens d’équipement</w:t>
            </w:r>
          </w:p>
        </w:tc>
        <w:tc>
          <w:tcPr>
            <w:tcW w:w="1125" w:type="dxa"/>
            <w:tcBorders>
              <w:top w:val="nil"/>
              <w:left w:val="nil"/>
              <w:bottom w:val="nil"/>
              <w:right w:val="nil"/>
            </w:tcBorders>
            <w:shd w:val="clear" w:color="000000" w:fill="FBD5D7"/>
            <w:noWrap/>
            <w:vAlign w:val="bottom"/>
            <w:hideMark/>
          </w:tcPr>
          <w:p w14:paraId="4852206A"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1,9</w:t>
            </w:r>
          </w:p>
        </w:tc>
        <w:tc>
          <w:tcPr>
            <w:tcW w:w="1275" w:type="dxa"/>
            <w:tcBorders>
              <w:top w:val="nil"/>
              <w:left w:val="nil"/>
              <w:bottom w:val="nil"/>
              <w:right w:val="nil"/>
            </w:tcBorders>
            <w:shd w:val="clear" w:color="000000" w:fill="FCFCFF"/>
            <w:noWrap/>
            <w:vAlign w:val="bottom"/>
            <w:hideMark/>
          </w:tcPr>
          <w:p w14:paraId="11B26019"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c>
          <w:tcPr>
            <w:tcW w:w="993" w:type="dxa"/>
            <w:tcBorders>
              <w:top w:val="nil"/>
              <w:left w:val="nil"/>
              <w:bottom w:val="nil"/>
              <w:right w:val="nil"/>
            </w:tcBorders>
            <w:shd w:val="clear" w:color="000000" w:fill="FFFFFF"/>
            <w:noWrap/>
            <w:vAlign w:val="bottom"/>
            <w:hideMark/>
          </w:tcPr>
          <w:p w14:paraId="031D4D8B" w14:textId="1A6A9D04" w:rsidR="00D10AFE" w:rsidRPr="00A74D23" w:rsidRDefault="00D10AFE" w:rsidP="00D10AFE">
            <w:pPr>
              <w:spacing w:line="22" w:lineRule="atLeast"/>
              <w:jc w:val="center"/>
              <w:rPr>
                <w:rFonts w:asciiTheme="minorHAnsi" w:hAnsiTheme="minorHAnsi"/>
                <w:color w:val="000000"/>
                <w:sz w:val="22"/>
                <w:szCs w:val="22"/>
              </w:rPr>
            </w:pPr>
          </w:p>
        </w:tc>
        <w:tc>
          <w:tcPr>
            <w:tcW w:w="955" w:type="dxa"/>
            <w:tcBorders>
              <w:top w:val="nil"/>
              <w:left w:val="nil"/>
              <w:bottom w:val="nil"/>
              <w:right w:val="nil"/>
            </w:tcBorders>
            <w:shd w:val="clear" w:color="000000" w:fill="FBB5B7"/>
            <w:noWrap/>
            <w:vAlign w:val="bottom"/>
            <w:hideMark/>
          </w:tcPr>
          <w:p w14:paraId="1634724A"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2,6</w:t>
            </w:r>
          </w:p>
        </w:tc>
        <w:tc>
          <w:tcPr>
            <w:tcW w:w="887" w:type="dxa"/>
            <w:tcBorders>
              <w:top w:val="nil"/>
              <w:left w:val="nil"/>
              <w:bottom w:val="nil"/>
              <w:right w:val="nil"/>
            </w:tcBorders>
            <w:shd w:val="clear" w:color="000000" w:fill="FBB8BA"/>
            <w:noWrap/>
            <w:vAlign w:val="bottom"/>
            <w:hideMark/>
          </w:tcPr>
          <w:p w14:paraId="75113B7A"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2,5</w:t>
            </w:r>
          </w:p>
        </w:tc>
        <w:tc>
          <w:tcPr>
            <w:tcW w:w="993" w:type="dxa"/>
            <w:tcBorders>
              <w:top w:val="nil"/>
              <w:left w:val="nil"/>
              <w:bottom w:val="nil"/>
              <w:right w:val="nil"/>
            </w:tcBorders>
            <w:shd w:val="clear" w:color="000000" w:fill="FCE8EA"/>
            <w:noWrap/>
            <w:vAlign w:val="bottom"/>
            <w:hideMark/>
          </w:tcPr>
          <w:p w14:paraId="3123A9D0"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1,5</w:t>
            </w:r>
          </w:p>
        </w:tc>
        <w:tc>
          <w:tcPr>
            <w:tcW w:w="992" w:type="dxa"/>
            <w:tcBorders>
              <w:top w:val="nil"/>
              <w:left w:val="nil"/>
              <w:bottom w:val="nil"/>
              <w:right w:val="nil"/>
            </w:tcBorders>
            <w:shd w:val="clear" w:color="000000" w:fill="FCFCFF"/>
            <w:noWrap/>
            <w:vAlign w:val="bottom"/>
            <w:hideMark/>
          </w:tcPr>
          <w:p w14:paraId="40365905"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c>
          <w:tcPr>
            <w:tcW w:w="992" w:type="dxa"/>
            <w:tcBorders>
              <w:top w:val="nil"/>
              <w:left w:val="nil"/>
              <w:bottom w:val="nil"/>
              <w:right w:val="nil"/>
            </w:tcBorders>
            <w:shd w:val="clear" w:color="000000" w:fill="FAA6A9"/>
            <w:noWrap/>
            <w:vAlign w:val="bottom"/>
            <w:hideMark/>
          </w:tcPr>
          <w:p w14:paraId="0001E119"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2,9</w:t>
            </w:r>
          </w:p>
        </w:tc>
        <w:tc>
          <w:tcPr>
            <w:tcW w:w="981" w:type="dxa"/>
            <w:tcBorders>
              <w:top w:val="nil"/>
              <w:left w:val="nil"/>
              <w:bottom w:val="nil"/>
              <w:right w:val="nil"/>
            </w:tcBorders>
            <w:shd w:val="clear" w:color="000000" w:fill="FBD1D3"/>
            <w:noWrap/>
            <w:vAlign w:val="bottom"/>
            <w:hideMark/>
          </w:tcPr>
          <w:p w14:paraId="63252C1C"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2,0</w:t>
            </w:r>
          </w:p>
        </w:tc>
        <w:tc>
          <w:tcPr>
            <w:tcW w:w="914" w:type="dxa"/>
            <w:tcBorders>
              <w:top w:val="nil"/>
              <w:left w:val="nil"/>
              <w:bottom w:val="nil"/>
              <w:right w:val="nil"/>
            </w:tcBorders>
            <w:shd w:val="clear" w:color="000000" w:fill="FBBABC"/>
            <w:noWrap/>
            <w:vAlign w:val="bottom"/>
            <w:hideMark/>
          </w:tcPr>
          <w:p w14:paraId="241A1893"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2,5</w:t>
            </w:r>
          </w:p>
        </w:tc>
      </w:tr>
      <w:tr w:rsidR="00D10AFE" w:rsidRPr="00A74D23" w14:paraId="6BB4CEFB" w14:textId="77777777" w:rsidTr="000147A6">
        <w:trPr>
          <w:trHeight w:val="407"/>
        </w:trPr>
        <w:tc>
          <w:tcPr>
            <w:tcW w:w="1569" w:type="dxa"/>
            <w:tcBorders>
              <w:top w:val="nil"/>
              <w:left w:val="nil"/>
              <w:bottom w:val="nil"/>
              <w:right w:val="dashed" w:sz="4" w:space="0" w:color="auto"/>
            </w:tcBorders>
            <w:noWrap/>
            <w:vAlign w:val="center"/>
            <w:hideMark/>
          </w:tcPr>
          <w:p w14:paraId="24494025" w14:textId="5A6C9285" w:rsidR="00D10AFE" w:rsidRPr="00A74D23" w:rsidRDefault="00D10AFE" w:rsidP="00D10AFE">
            <w:pPr>
              <w:spacing w:line="22" w:lineRule="atLeast"/>
              <w:jc w:val="center"/>
              <w:rPr>
                <w:rFonts w:asciiTheme="minorHAnsi" w:hAnsiTheme="minorHAnsi"/>
                <w:color w:val="000000"/>
                <w:sz w:val="16"/>
                <w:szCs w:val="16"/>
              </w:rPr>
            </w:pPr>
            <w:r w:rsidRPr="00A74D23">
              <w:rPr>
                <w:rFonts w:asciiTheme="minorHAnsi" w:hAnsiTheme="minorHAnsi" w:cs="Calibri"/>
                <w:color w:val="000000"/>
                <w:sz w:val="16"/>
                <w:szCs w:val="16"/>
              </w:rPr>
              <w:t>Services professionnels</w:t>
            </w:r>
          </w:p>
        </w:tc>
        <w:tc>
          <w:tcPr>
            <w:tcW w:w="1125" w:type="dxa"/>
            <w:tcBorders>
              <w:top w:val="nil"/>
              <w:left w:val="nil"/>
              <w:bottom w:val="nil"/>
              <w:right w:val="nil"/>
            </w:tcBorders>
            <w:shd w:val="clear" w:color="000000" w:fill="FCDDE0"/>
            <w:noWrap/>
            <w:vAlign w:val="bottom"/>
            <w:hideMark/>
          </w:tcPr>
          <w:p w14:paraId="292E7E3F"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1,7</w:t>
            </w:r>
          </w:p>
        </w:tc>
        <w:tc>
          <w:tcPr>
            <w:tcW w:w="1275" w:type="dxa"/>
            <w:tcBorders>
              <w:top w:val="nil"/>
              <w:left w:val="nil"/>
              <w:bottom w:val="nil"/>
              <w:right w:val="nil"/>
            </w:tcBorders>
            <w:shd w:val="clear" w:color="000000" w:fill="FCFCFF"/>
            <w:noWrap/>
            <w:vAlign w:val="bottom"/>
            <w:hideMark/>
          </w:tcPr>
          <w:p w14:paraId="77ADF034"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c>
          <w:tcPr>
            <w:tcW w:w="993" w:type="dxa"/>
            <w:tcBorders>
              <w:top w:val="nil"/>
              <w:left w:val="nil"/>
              <w:bottom w:val="nil"/>
              <w:right w:val="nil"/>
            </w:tcBorders>
            <w:shd w:val="clear" w:color="000000" w:fill="FBD0D3"/>
            <w:noWrap/>
            <w:vAlign w:val="bottom"/>
            <w:hideMark/>
          </w:tcPr>
          <w:p w14:paraId="66E4F95E"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2,0</w:t>
            </w:r>
          </w:p>
        </w:tc>
        <w:tc>
          <w:tcPr>
            <w:tcW w:w="955" w:type="dxa"/>
            <w:tcBorders>
              <w:top w:val="nil"/>
              <w:left w:val="nil"/>
              <w:bottom w:val="nil"/>
              <w:right w:val="nil"/>
            </w:tcBorders>
            <w:shd w:val="clear" w:color="000000" w:fill="FAAFB1"/>
            <w:noWrap/>
            <w:vAlign w:val="bottom"/>
            <w:hideMark/>
          </w:tcPr>
          <w:p w14:paraId="793F7C5D"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2,8</w:t>
            </w:r>
          </w:p>
        </w:tc>
        <w:tc>
          <w:tcPr>
            <w:tcW w:w="887" w:type="dxa"/>
            <w:tcBorders>
              <w:top w:val="nil"/>
              <w:left w:val="nil"/>
              <w:bottom w:val="nil"/>
              <w:right w:val="nil"/>
            </w:tcBorders>
            <w:shd w:val="clear" w:color="000000" w:fill="FBC8CB"/>
            <w:noWrap/>
            <w:vAlign w:val="bottom"/>
            <w:hideMark/>
          </w:tcPr>
          <w:p w14:paraId="1392E73C"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2,2</w:t>
            </w:r>
          </w:p>
        </w:tc>
        <w:tc>
          <w:tcPr>
            <w:tcW w:w="993" w:type="dxa"/>
            <w:tcBorders>
              <w:top w:val="nil"/>
              <w:left w:val="nil"/>
              <w:bottom w:val="nil"/>
              <w:right w:val="nil"/>
            </w:tcBorders>
            <w:shd w:val="clear" w:color="000000" w:fill="FBD6D8"/>
            <w:noWrap/>
            <w:vAlign w:val="bottom"/>
            <w:hideMark/>
          </w:tcPr>
          <w:p w14:paraId="05BDAE8F"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1,9</w:t>
            </w:r>
          </w:p>
        </w:tc>
        <w:tc>
          <w:tcPr>
            <w:tcW w:w="992" w:type="dxa"/>
            <w:tcBorders>
              <w:top w:val="nil"/>
              <w:left w:val="nil"/>
              <w:bottom w:val="nil"/>
              <w:right w:val="nil"/>
            </w:tcBorders>
            <w:shd w:val="clear" w:color="000000" w:fill="FCEFF1"/>
            <w:noWrap/>
            <w:vAlign w:val="bottom"/>
            <w:hideMark/>
          </w:tcPr>
          <w:p w14:paraId="58DE5B8B"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1,3</w:t>
            </w:r>
          </w:p>
        </w:tc>
        <w:tc>
          <w:tcPr>
            <w:tcW w:w="992" w:type="dxa"/>
            <w:tcBorders>
              <w:top w:val="nil"/>
              <w:left w:val="nil"/>
              <w:bottom w:val="nil"/>
              <w:right w:val="nil"/>
            </w:tcBorders>
            <w:shd w:val="clear" w:color="000000" w:fill="FCDFE2"/>
            <w:noWrap/>
            <w:vAlign w:val="bottom"/>
            <w:hideMark/>
          </w:tcPr>
          <w:p w14:paraId="656ADB28"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1,7</w:t>
            </w:r>
          </w:p>
        </w:tc>
        <w:tc>
          <w:tcPr>
            <w:tcW w:w="981" w:type="dxa"/>
            <w:tcBorders>
              <w:top w:val="nil"/>
              <w:left w:val="nil"/>
              <w:bottom w:val="nil"/>
              <w:right w:val="nil"/>
            </w:tcBorders>
            <w:shd w:val="clear" w:color="000000" w:fill="FCE6E9"/>
            <w:noWrap/>
            <w:vAlign w:val="bottom"/>
            <w:hideMark/>
          </w:tcPr>
          <w:p w14:paraId="4F666A71"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1,5</w:t>
            </w:r>
          </w:p>
        </w:tc>
        <w:tc>
          <w:tcPr>
            <w:tcW w:w="914" w:type="dxa"/>
            <w:tcBorders>
              <w:top w:val="nil"/>
              <w:left w:val="nil"/>
              <w:bottom w:val="nil"/>
              <w:right w:val="nil"/>
            </w:tcBorders>
            <w:shd w:val="clear" w:color="000000" w:fill="FCD8DB"/>
            <w:noWrap/>
            <w:vAlign w:val="bottom"/>
            <w:hideMark/>
          </w:tcPr>
          <w:p w14:paraId="270E53E2"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1,8</w:t>
            </w:r>
          </w:p>
        </w:tc>
      </w:tr>
      <w:tr w:rsidR="00D10AFE" w:rsidRPr="00A74D23" w14:paraId="46FBC216" w14:textId="77777777" w:rsidTr="000147A6">
        <w:trPr>
          <w:trHeight w:val="407"/>
        </w:trPr>
        <w:tc>
          <w:tcPr>
            <w:tcW w:w="1569" w:type="dxa"/>
            <w:tcBorders>
              <w:top w:val="nil"/>
              <w:left w:val="nil"/>
              <w:bottom w:val="nil"/>
              <w:right w:val="dashed" w:sz="4" w:space="0" w:color="auto"/>
            </w:tcBorders>
            <w:noWrap/>
            <w:vAlign w:val="center"/>
            <w:hideMark/>
          </w:tcPr>
          <w:p w14:paraId="127550C6" w14:textId="6CB36C29" w:rsidR="00D10AFE" w:rsidRPr="00A74D23" w:rsidRDefault="00D10AFE" w:rsidP="00D10AFE">
            <w:pPr>
              <w:spacing w:line="22" w:lineRule="atLeast"/>
              <w:jc w:val="center"/>
              <w:rPr>
                <w:rFonts w:asciiTheme="minorHAnsi" w:hAnsiTheme="minorHAnsi"/>
                <w:color w:val="000000"/>
                <w:sz w:val="16"/>
                <w:szCs w:val="16"/>
              </w:rPr>
            </w:pPr>
            <w:r w:rsidRPr="00A74D23">
              <w:rPr>
                <w:rFonts w:asciiTheme="minorHAnsi" w:hAnsiTheme="minorHAnsi" w:cs="Calibri"/>
                <w:color w:val="000000"/>
                <w:sz w:val="16"/>
                <w:szCs w:val="16"/>
              </w:rPr>
              <w:t>Biens durables</w:t>
            </w:r>
          </w:p>
        </w:tc>
        <w:tc>
          <w:tcPr>
            <w:tcW w:w="1125" w:type="dxa"/>
            <w:tcBorders>
              <w:top w:val="nil"/>
              <w:left w:val="nil"/>
              <w:bottom w:val="nil"/>
              <w:right w:val="nil"/>
            </w:tcBorders>
            <w:shd w:val="clear" w:color="000000" w:fill="FBD1D4"/>
            <w:noWrap/>
            <w:vAlign w:val="bottom"/>
            <w:hideMark/>
          </w:tcPr>
          <w:p w14:paraId="39A86A76"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2,0</w:t>
            </w:r>
          </w:p>
        </w:tc>
        <w:tc>
          <w:tcPr>
            <w:tcW w:w="1275" w:type="dxa"/>
            <w:tcBorders>
              <w:top w:val="nil"/>
              <w:left w:val="nil"/>
              <w:bottom w:val="nil"/>
              <w:right w:val="nil"/>
            </w:tcBorders>
            <w:shd w:val="clear" w:color="000000" w:fill="FFFFFF"/>
            <w:noWrap/>
            <w:vAlign w:val="bottom"/>
            <w:hideMark/>
          </w:tcPr>
          <w:p w14:paraId="0D0902FE" w14:textId="071671CE" w:rsidR="00D10AFE" w:rsidRPr="00A74D23" w:rsidRDefault="00D10AFE" w:rsidP="00D10AFE">
            <w:pPr>
              <w:spacing w:line="22" w:lineRule="atLeast"/>
              <w:jc w:val="center"/>
              <w:rPr>
                <w:rFonts w:asciiTheme="minorHAnsi" w:hAnsiTheme="minorHAnsi"/>
                <w:color w:val="000000"/>
                <w:sz w:val="22"/>
                <w:szCs w:val="22"/>
              </w:rPr>
            </w:pPr>
          </w:p>
        </w:tc>
        <w:tc>
          <w:tcPr>
            <w:tcW w:w="993" w:type="dxa"/>
            <w:tcBorders>
              <w:top w:val="nil"/>
              <w:left w:val="nil"/>
              <w:bottom w:val="nil"/>
              <w:right w:val="nil"/>
            </w:tcBorders>
            <w:shd w:val="clear" w:color="000000" w:fill="FFFFFF"/>
            <w:noWrap/>
            <w:vAlign w:val="bottom"/>
            <w:hideMark/>
          </w:tcPr>
          <w:p w14:paraId="2DC480BF" w14:textId="0318AD07" w:rsidR="00D10AFE" w:rsidRPr="00A74D23" w:rsidRDefault="00D10AFE" w:rsidP="00D10AFE">
            <w:pPr>
              <w:spacing w:line="22" w:lineRule="atLeast"/>
              <w:jc w:val="center"/>
              <w:rPr>
                <w:rFonts w:asciiTheme="minorHAnsi" w:hAnsiTheme="minorHAnsi"/>
                <w:color w:val="000000"/>
                <w:sz w:val="22"/>
                <w:szCs w:val="22"/>
              </w:rPr>
            </w:pPr>
          </w:p>
        </w:tc>
        <w:tc>
          <w:tcPr>
            <w:tcW w:w="955" w:type="dxa"/>
            <w:tcBorders>
              <w:top w:val="nil"/>
              <w:left w:val="nil"/>
              <w:bottom w:val="nil"/>
              <w:right w:val="nil"/>
            </w:tcBorders>
            <w:shd w:val="clear" w:color="000000" w:fill="FAADAF"/>
            <w:noWrap/>
            <w:vAlign w:val="bottom"/>
            <w:hideMark/>
          </w:tcPr>
          <w:p w14:paraId="668BFB3F"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2,8</w:t>
            </w:r>
          </w:p>
        </w:tc>
        <w:tc>
          <w:tcPr>
            <w:tcW w:w="887" w:type="dxa"/>
            <w:tcBorders>
              <w:top w:val="nil"/>
              <w:left w:val="nil"/>
              <w:bottom w:val="nil"/>
              <w:right w:val="nil"/>
            </w:tcBorders>
            <w:shd w:val="clear" w:color="000000" w:fill="FBD0D3"/>
            <w:noWrap/>
            <w:vAlign w:val="bottom"/>
            <w:hideMark/>
          </w:tcPr>
          <w:p w14:paraId="23329441"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2,0</w:t>
            </w:r>
          </w:p>
        </w:tc>
        <w:tc>
          <w:tcPr>
            <w:tcW w:w="993" w:type="dxa"/>
            <w:tcBorders>
              <w:top w:val="nil"/>
              <w:left w:val="nil"/>
              <w:bottom w:val="nil"/>
              <w:right w:val="nil"/>
            </w:tcBorders>
            <w:shd w:val="clear" w:color="000000" w:fill="FCE0E3"/>
            <w:noWrap/>
            <w:vAlign w:val="bottom"/>
            <w:hideMark/>
          </w:tcPr>
          <w:p w14:paraId="666E3875"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1,6</w:t>
            </w:r>
          </w:p>
        </w:tc>
        <w:tc>
          <w:tcPr>
            <w:tcW w:w="992" w:type="dxa"/>
            <w:tcBorders>
              <w:top w:val="nil"/>
              <w:left w:val="nil"/>
              <w:bottom w:val="nil"/>
              <w:right w:val="nil"/>
            </w:tcBorders>
            <w:shd w:val="clear" w:color="000000" w:fill="FCFCFF"/>
            <w:noWrap/>
            <w:vAlign w:val="bottom"/>
            <w:hideMark/>
          </w:tcPr>
          <w:p w14:paraId="2D78DF36"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c>
          <w:tcPr>
            <w:tcW w:w="992" w:type="dxa"/>
            <w:tcBorders>
              <w:top w:val="nil"/>
              <w:left w:val="nil"/>
              <w:bottom w:val="nil"/>
              <w:right w:val="nil"/>
            </w:tcBorders>
            <w:shd w:val="clear" w:color="000000" w:fill="FAA3A6"/>
            <w:noWrap/>
            <w:vAlign w:val="bottom"/>
            <w:hideMark/>
          </w:tcPr>
          <w:p w14:paraId="1117D404"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3,0</w:t>
            </w:r>
          </w:p>
        </w:tc>
        <w:tc>
          <w:tcPr>
            <w:tcW w:w="981" w:type="dxa"/>
            <w:tcBorders>
              <w:top w:val="nil"/>
              <w:left w:val="nil"/>
              <w:bottom w:val="nil"/>
              <w:right w:val="nil"/>
            </w:tcBorders>
            <w:shd w:val="clear" w:color="000000" w:fill="FCECEE"/>
            <w:noWrap/>
            <w:vAlign w:val="bottom"/>
            <w:hideMark/>
          </w:tcPr>
          <w:p w14:paraId="5A2D562C"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1,4</w:t>
            </w:r>
          </w:p>
        </w:tc>
        <w:tc>
          <w:tcPr>
            <w:tcW w:w="914" w:type="dxa"/>
            <w:tcBorders>
              <w:top w:val="nil"/>
              <w:left w:val="nil"/>
              <w:bottom w:val="nil"/>
              <w:right w:val="nil"/>
            </w:tcBorders>
            <w:shd w:val="clear" w:color="000000" w:fill="FAA3A6"/>
            <w:noWrap/>
            <w:vAlign w:val="bottom"/>
            <w:hideMark/>
          </w:tcPr>
          <w:p w14:paraId="184FC315"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3,0</w:t>
            </w:r>
          </w:p>
        </w:tc>
      </w:tr>
      <w:tr w:rsidR="00D10AFE" w:rsidRPr="00A74D23" w14:paraId="6C061D00" w14:textId="77777777" w:rsidTr="000147A6">
        <w:trPr>
          <w:trHeight w:val="407"/>
        </w:trPr>
        <w:tc>
          <w:tcPr>
            <w:tcW w:w="1569" w:type="dxa"/>
            <w:tcBorders>
              <w:top w:val="nil"/>
              <w:left w:val="nil"/>
              <w:bottom w:val="nil"/>
              <w:right w:val="dashed" w:sz="4" w:space="0" w:color="auto"/>
            </w:tcBorders>
            <w:noWrap/>
            <w:vAlign w:val="center"/>
            <w:hideMark/>
          </w:tcPr>
          <w:p w14:paraId="4351AE71" w14:textId="2AA91EA5" w:rsidR="00D10AFE" w:rsidRPr="00A74D23" w:rsidRDefault="00D10AFE" w:rsidP="00D10AFE">
            <w:pPr>
              <w:spacing w:line="22" w:lineRule="atLeast"/>
              <w:jc w:val="center"/>
              <w:rPr>
                <w:rFonts w:asciiTheme="minorHAnsi" w:hAnsiTheme="minorHAnsi"/>
                <w:color w:val="000000"/>
                <w:sz w:val="16"/>
                <w:szCs w:val="16"/>
              </w:rPr>
            </w:pPr>
            <w:r w:rsidRPr="00A74D23">
              <w:rPr>
                <w:rFonts w:asciiTheme="minorHAnsi" w:hAnsiTheme="minorHAnsi" w:cs="Calibri"/>
                <w:color w:val="000000"/>
                <w:sz w:val="16"/>
                <w:szCs w:val="16"/>
              </w:rPr>
              <w:t>Services consommateurs</w:t>
            </w:r>
          </w:p>
        </w:tc>
        <w:tc>
          <w:tcPr>
            <w:tcW w:w="1125" w:type="dxa"/>
            <w:tcBorders>
              <w:top w:val="nil"/>
              <w:left w:val="nil"/>
              <w:bottom w:val="nil"/>
              <w:right w:val="nil"/>
            </w:tcBorders>
            <w:shd w:val="clear" w:color="000000" w:fill="FCD9DC"/>
            <w:noWrap/>
            <w:vAlign w:val="bottom"/>
            <w:hideMark/>
          </w:tcPr>
          <w:p w14:paraId="2F9E06D5"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1,8</w:t>
            </w:r>
          </w:p>
        </w:tc>
        <w:tc>
          <w:tcPr>
            <w:tcW w:w="1275" w:type="dxa"/>
            <w:tcBorders>
              <w:top w:val="nil"/>
              <w:left w:val="nil"/>
              <w:bottom w:val="nil"/>
              <w:right w:val="nil"/>
            </w:tcBorders>
            <w:shd w:val="clear" w:color="000000" w:fill="FBBABC"/>
            <w:noWrap/>
            <w:vAlign w:val="bottom"/>
            <w:hideMark/>
          </w:tcPr>
          <w:p w14:paraId="5C78F4CA"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2,5</w:t>
            </w:r>
          </w:p>
        </w:tc>
        <w:tc>
          <w:tcPr>
            <w:tcW w:w="993" w:type="dxa"/>
            <w:tcBorders>
              <w:top w:val="nil"/>
              <w:left w:val="nil"/>
              <w:bottom w:val="nil"/>
              <w:right w:val="nil"/>
            </w:tcBorders>
            <w:shd w:val="clear" w:color="000000" w:fill="FCDBDE"/>
            <w:noWrap/>
            <w:vAlign w:val="bottom"/>
            <w:hideMark/>
          </w:tcPr>
          <w:p w14:paraId="2753DA4D"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1,8</w:t>
            </w:r>
          </w:p>
        </w:tc>
        <w:tc>
          <w:tcPr>
            <w:tcW w:w="955" w:type="dxa"/>
            <w:tcBorders>
              <w:top w:val="nil"/>
              <w:left w:val="nil"/>
              <w:bottom w:val="nil"/>
              <w:right w:val="nil"/>
            </w:tcBorders>
            <w:shd w:val="clear" w:color="000000" w:fill="FBB3B6"/>
            <w:noWrap/>
            <w:vAlign w:val="bottom"/>
            <w:hideMark/>
          </w:tcPr>
          <w:p w14:paraId="56EA8B8C"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2,6</w:t>
            </w:r>
          </w:p>
        </w:tc>
        <w:tc>
          <w:tcPr>
            <w:tcW w:w="887" w:type="dxa"/>
            <w:tcBorders>
              <w:top w:val="nil"/>
              <w:left w:val="nil"/>
              <w:bottom w:val="nil"/>
              <w:right w:val="nil"/>
            </w:tcBorders>
            <w:shd w:val="clear" w:color="000000" w:fill="FCEEF1"/>
            <w:noWrap/>
            <w:vAlign w:val="bottom"/>
            <w:hideMark/>
          </w:tcPr>
          <w:p w14:paraId="7EF84FF3"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1,3</w:t>
            </w:r>
          </w:p>
        </w:tc>
        <w:tc>
          <w:tcPr>
            <w:tcW w:w="993" w:type="dxa"/>
            <w:tcBorders>
              <w:top w:val="nil"/>
              <w:left w:val="nil"/>
              <w:bottom w:val="nil"/>
              <w:right w:val="nil"/>
            </w:tcBorders>
            <w:shd w:val="clear" w:color="000000" w:fill="FCE5E8"/>
            <w:noWrap/>
            <w:vAlign w:val="bottom"/>
            <w:hideMark/>
          </w:tcPr>
          <w:p w14:paraId="1720122B"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1,5</w:t>
            </w:r>
          </w:p>
        </w:tc>
        <w:tc>
          <w:tcPr>
            <w:tcW w:w="992" w:type="dxa"/>
            <w:tcBorders>
              <w:top w:val="nil"/>
              <w:left w:val="nil"/>
              <w:bottom w:val="nil"/>
              <w:right w:val="nil"/>
            </w:tcBorders>
            <w:shd w:val="clear" w:color="000000" w:fill="FCEAED"/>
            <w:noWrap/>
            <w:vAlign w:val="bottom"/>
            <w:hideMark/>
          </w:tcPr>
          <w:p w14:paraId="4465BCE2"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1,4</w:t>
            </w:r>
          </w:p>
        </w:tc>
        <w:tc>
          <w:tcPr>
            <w:tcW w:w="992" w:type="dxa"/>
            <w:tcBorders>
              <w:top w:val="nil"/>
              <w:left w:val="nil"/>
              <w:bottom w:val="nil"/>
              <w:right w:val="nil"/>
            </w:tcBorders>
            <w:shd w:val="clear" w:color="000000" w:fill="FBD6D9"/>
            <w:noWrap/>
            <w:vAlign w:val="bottom"/>
            <w:hideMark/>
          </w:tcPr>
          <w:p w14:paraId="0E0C0BF6"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1,9</w:t>
            </w:r>
          </w:p>
        </w:tc>
        <w:tc>
          <w:tcPr>
            <w:tcW w:w="981" w:type="dxa"/>
            <w:tcBorders>
              <w:top w:val="nil"/>
              <w:left w:val="nil"/>
              <w:bottom w:val="nil"/>
              <w:right w:val="nil"/>
            </w:tcBorders>
            <w:shd w:val="clear" w:color="000000" w:fill="FCDADD"/>
            <w:noWrap/>
            <w:vAlign w:val="bottom"/>
            <w:hideMark/>
          </w:tcPr>
          <w:p w14:paraId="7F339862"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1,8</w:t>
            </w:r>
          </w:p>
        </w:tc>
        <w:tc>
          <w:tcPr>
            <w:tcW w:w="914" w:type="dxa"/>
            <w:tcBorders>
              <w:top w:val="nil"/>
              <w:left w:val="nil"/>
              <w:bottom w:val="nil"/>
              <w:right w:val="nil"/>
            </w:tcBorders>
            <w:shd w:val="clear" w:color="000000" w:fill="FCE3E5"/>
            <w:noWrap/>
            <w:vAlign w:val="bottom"/>
            <w:hideMark/>
          </w:tcPr>
          <w:p w14:paraId="7969D465"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1,6</w:t>
            </w:r>
          </w:p>
        </w:tc>
      </w:tr>
      <w:tr w:rsidR="00D10AFE" w:rsidRPr="00A74D23" w14:paraId="26AE1E6B" w14:textId="77777777" w:rsidTr="000147A6">
        <w:trPr>
          <w:trHeight w:val="407"/>
        </w:trPr>
        <w:tc>
          <w:tcPr>
            <w:tcW w:w="1569" w:type="dxa"/>
            <w:tcBorders>
              <w:top w:val="nil"/>
              <w:left w:val="nil"/>
              <w:bottom w:val="nil"/>
              <w:right w:val="dashed" w:sz="4" w:space="0" w:color="auto"/>
            </w:tcBorders>
            <w:noWrap/>
            <w:vAlign w:val="center"/>
            <w:hideMark/>
          </w:tcPr>
          <w:p w14:paraId="41938202" w14:textId="4298589F" w:rsidR="00D10AFE" w:rsidRPr="00A74D23" w:rsidRDefault="00D10AFE" w:rsidP="00D10AFE">
            <w:pPr>
              <w:spacing w:line="22" w:lineRule="atLeast"/>
              <w:jc w:val="center"/>
              <w:rPr>
                <w:rFonts w:asciiTheme="minorHAnsi" w:hAnsiTheme="minorHAnsi"/>
                <w:color w:val="000000"/>
                <w:sz w:val="16"/>
                <w:szCs w:val="16"/>
              </w:rPr>
            </w:pPr>
            <w:r w:rsidRPr="00A74D23">
              <w:rPr>
                <w:rFonts w:asciiTheme="minorHAnsi" w:hAnsiTheme="minorHAnsi" w:cs="Calibri"/>
                <w:color w:val="000000"/>
                <w:sz w:val="16"/>
                <w:szCs w:val="16"/>
              </w:rPr>
              <w:t>Énergie</w:t>
            </w:r>
          </w:p>
        </w:tc>
        <w:tc>
          <w:tcPr>
            <w:tcW w:w="1125" w:type="dxa"/>
            <w:tcBorders>
              <w:top w:val="nil"/>
              <w:left w:val="nil"/>
              <w:bottom w:val="nil"/>
              <w:right w:val="nil"/>
            </w:tcBorders>
            <w:shd w:val="clear" w:color="000000" w:fill="FBC7CA"/>
            <w:noWrap/>
            <w:vAlign w:val="bottom"/>
            <w:hideMark/>
          </w:tcPr>
          <w:p w14:paraId="52EF6E0D"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2,2</w:t>
            </w:r>
          </w:p>
        </w:tc>
        <w:tc>
          <w:tcPr>
            <w:tcW w:w="1275" w:type="dxa"/>
            <w:tcBorders>
              <w:top w:val="nil"/>
              <w:left w:val="nil"/>
              <w:bottom w:val="nil"/>
              <w:right w:val="nil"/>
            </w:tcBorders>
            <w:shd w:val="clear" w:color="000000" w:fill="FFFFFF"/>
            <w:noWrap/>
            <w:vAlign w:val="bottom"/>
            <w:hideMark/>
          </w:tcPr>
          <w:p w14:paraId="465DD512" w14:textId="64B29A11" w:rsidR="00D10AFE" w:rsidRPr="00A74D23" w:rsidRDefault="00D10AFE" w:rsidP="00D10AFE">
            <w:pPr>
              <w:spacing w:line="22" w:lineRule="atLeast"/>
              <w:jc w:val="center"/>
              <w:rPr>
                <w:rFonts w:asciiTheme="minorHAnsi" w:hAnsiTheme="minorHAnsi"/>
                <w:color w:val="000000"/>
                <w:sz w:val="22"/>
                <w:szCs w:val="22"/>
              </w:rPr>
            </w:pPr>
          </w:p>
        </w:tc>
        <w:tc>
          <w:tcPr>
            <w:tcW w:w="993" w:type="dxa"/>
            <w:tcBorders>
              <w:top w:val="nil"/>
              <w:left w:val="nil"/>
              <w:bottom w:val="nil"/>
              <w:right w:val="nil"/>
            </w:tcBorders>
            <w:shd w:val="clear" w:color="000000" w:fill="FCEEF1"/>
            <w:noWrap/>
            <w:vAlign w:val="bottom"/>
            <w:hideMark/>
          </w:tcPr>
          <w:p w14:paraId="18C3E00B"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1,3</w:t>
            </w:r>
          </w:p>
        </w:tc>
        <w:tc>
          <w:tcPr>
            <w:tcW w:w="955" w:type="dxa"/>
            <w:tcBorders>
              <w:top w:val="nil"/>
              <w:left w:val="nil"/>
              <w:bottom w:val="nil"/>
              <w:right w:val="nil"/>
            </w:tcBorders>
            <w:shd w:val="clear" w:color="000000" w:fill="FBB6B9"/>
            <w:noWrap/>
            <w:vAlign w:val="bottom"/>
            <w:hideMark/>
          </w:tcPr>
          <w:p w14:paraId="2D76CAEE"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2,6</w:t>
            </w:r>
          </w:p>
        </w:tc>
        <w:tc>
          <w:tcPr>
            <w:tcW w:w="887" w:type="dxa"/>
            <w:tcBorders>
              <w:top w:val="nil"/>
              <w:left w:val="nil"/>
              <w:bottom w:val="nil"/>
              <w:right w:val="nil"/>
            </w:tcBorders>
            <w:shd w:val="clear" w:color="000000" w:fill="FAB1B3"/>
            <w:noWrap/>
            <w:vAlign w:val="bottom"/>
            <w:hideMark/>
          </w:tcPr>
          <w:p w14:paraId="4153EA7F"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2,7</w:t>
            </w:r>
          </w:p>
        </w:tc>
        <w:tc>
          <w:tcPr>
            <w:tcW w:w="993" w:type="dxa"/>
            <w:tcBorders>
              <w:top w:val="nil"/>
              <w:left w:val="nil"/>
              <w:bottom w:val="nil"/>
              <w:right w:val="nil"/>
            </w:tcBorders>
            <w:shd w:val="clear" w:color="000000" w:fill="FBD6D9"/>
            <w:noWrap/>
            <w:vAlign w:val="bottom"/>
            <w:hideMark/>
          </w:tcPr>
          <w:p w14:paraId="4B57E267"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1,9</w:t>
            </w:r>
          </w:p>
        </w:tc>
        <w:tc>
          <w:tcPr>
            <w:tcW w:w="992" w:type="dxa"/>
            <w:tcBorders>
              <w:top w:val="nil"/>
              <w:left w:val="nil"/>
              <w:bottom w:val="nil"/>
              <w:right w:val="nil"/>
            </w:tcBorders>
            <w:shd w:val="clear" w:color="000000" w:fill="FCFCFF"/>
            <w:noWrap/>
            <w:vAlign w:val="bottom"/>
            <w:hideMark/>
          </w:tcPr>
          <w:p w14:paraId="05956236"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c>
          <w:tcPr>
            <w:tcW w:w="992" w:type="dxa"/>
            <w:tcBorders>
              <w:top w:val="nil"/>
              <w:left w:val="nil"/>
              <w:bottom w:val="nil"/>
              <w:right w:val="nil"/>
            </w:tcBorders>
            <w:shd w:val="clear" w:color="000000" w:fill="FAA3A6"/>
            <w:noWrap/>
            <w:vAlign w:val="bottom"/>
            <w:hideMark/>
          </w:tcPr>
          <w:p w14:paraId="4EE56E75"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3,0</w:t>
            </w:r>
          </w:p>
        </w:tc>
        <w:tc>
          <w:tcPr>
            <w:tcW w:w="981" w:type="dxa"/>
            <w:tcBorders>
              <w:top w:val="nil"/>
              <w:left w:val="nil"/>
              <w:bottom w:val="nil"/>
              <w:right w:val="nil"/>
            </w:tcBorders>
            <w:shd w:val="clear" w:color="000000" w:fill="FAABAD"/>
            <w:noWrap/>
            <w:vAlign w:val="bottom"/>
            <w:hideMark/>
          </w:tcPr>
          <w:p w14:paraId="52CB6B39"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2,8</w:t>
            </w:r>
          </w:p>
        </w:tc>
        <w:tc>
          <w:tcPr>
            <w:tcW w:w="914" w:type="dxa"/>
            <w:tcBorders>
              <w:top w:val="nil"/>
              <w:left w:val="nil"/>
              <w:bottom w:val="nil"/>
              <w:right w:val="nil"/>
            </w:tcBorders>
            <w:shd w:val="clear" w:color="000000" w:fill="FAA3A6"/>
            <w:noWrap/>
            <w:vAlign w:val="bottom"/>
            <w:hideMark/>
          </w:tcPr>
          <w:p w14:paraId="60DD590C"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3,0</w:t>
            </w:r>
          </w:p>
        </w:tc>
      </w:tr>
      <w:tr w:rsidR="00D10AFE" w:rsidRPr="00A74D23" w14:paraId="42A4C3EC" w14:textId="77777777" w:rsidTr="000147A6">
        <w:trPr>
          <w:trHeight w:val="407"/>
        </w:trPr>
        <w:tc>
          <w:tcPr>
            <w:tcW w:w="1569" w:type="dxa"/>
            <w:tcBorders>
              <w:top w:val="nil"/>
              <w:left w:val="nil"/>
              <w:bottom w:val="nil"/>
              <w:right w:val="dashed" w:sz="4" w:space="0" w:color="auto"/>
            </w:tcBorders>
            <w:noWrap/>
            <w:vAlign w:val="center"/>
            <w:hideMark/>
          </w:tcPr>
          <w:p w14:paraId="00D1A86C" w14:textId="514A12AE" w:rsidR="00D10AFE" w:rsidRPr="00A74D23" w:rsidRDefault="00D10AFE" w:rsidP="00D10AFE">
            <w:pPr>
              <w:spacing w:line="22" w:lineRule="atLeast"/>
              <w:jc w:val="center"/>
              <w:rPr>
                <w:rFonts w:asciiTheme="minorHAnsi" w:hAnsiTheme="minorHAnsi"/>
                <w:color w:val="000000"/>
                <w:sz w:val="16"/>
                <w:szCs w:val="16"/>
              </w:rPr>
            </w:pPr>
            <w:r w:rsidRPr="00A74D23">
              <w:rPr>
                <w:rFonts w:asciiTheme="minorHAnsi" w:hAnsiTheme="minorHAnsi" w:cs="Calibri"/>
                <w:color w:val="000000"/>
                <w:sz w:val="16"/>
                <w:szCs w:val="16"/>
              </w:rPr>
              <w:t>Alimentation &amp; tabac</w:t>
            </w:r>
          </w:p>
        </w:tc>
        <w:tc>
          <w:tcPr>
            <w:tcW w:w="1125" w:type="dxa"/>
            <w:tcBorders>
              <w:top w:val="nil"/>
              <w:left w:val="nil"/>
              <w:bottom w:val="nil"/>
              <w:right w:val="nil"/>
            </w:tcBorders>
            <w:shd w:val="clear" w:color="000000" w:fill="FA9D9F"/>
            <w:noWrap/>
            <w:vAlign w:val="bottom"/>
            <w:hideMark/>
          </w:tcPr>
          <w:p w14:paraId="0636D788"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3,1</w:t>
            </w:r>
          </w:p>
        </w:tc>
        <w:tc>
          <w:tcPr>
            <w:tcW w:w="1275" w:type="dxa"/>
            <w:tcBorders>
              <w:top w:val="nil"/>
              <w:left w:val="nil"/>
              <w:bottom w:val="nil"/>
              <w:right w:val="nil"/>
            </w:tcBorders>
            <w:shd w:val="clear" w:color="000000" w:fill="FAA3A6"/>
            <w:noWrap/>
            <w:vAlign w:val="bottom"/>
            <w:hideMark/>
          </w:tcPr>
          <w:p w14:paraId="00F73AE7"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3,0</w:t>
            </w:r>
          </w:p>
        </w:tc>
        <w:tc>
          <w:tcPr>
            <w:tcW w:w="993" w:type="dxa"/>
            <w:tcBorders>
              <w:top w:val="nil"/>
              <w:left w:val="nil"/>
              <w:bottom w:val="nil"/>
              <w:right w:val="nil"/>
            </w:tcBorders>
            <w:shd w:val="clear" w:color="000000" w:fill="F8696B"/>
            <w:noWrap/>
            <w:vAlign w:val="bottom"/>
            <w:hideMark/>
          </w:tcPr>
          <w:p w14:paraId="279B5B43"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4,3</w:t>
            </w:r>
          </w:p>
        </w:tc>
        <w:tc>
          <w:tcPr>
            <w:tcW w:w="955" w:type="dxa"/>
            <w:tcBorders>
              <w:top w:val="nil"/>
              <w:left w:val="nil"/>
              <w:bottom w:val="nil"/>
              <w:right w:val="nil"/>
            </w:tcBorders>
            <w:shd w:val="clear" w:color="000000" w:fill="F98285"/>
            <w:noWrap/>
            <w:vAlign w:val="bottom"/>
            <w:hideMark/>
          </w:tcPr>
          <w:p w14:paraId="0E08DB68"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3,7</w:t>
            </w:r>
          </w:p>
        </w:tc>
        <w:tc>
          <w:tcPr>
            <w:tcW w:w="887" w:type="dxa"/>
            <w:tcBorders>
              <w:top w:val="nil"/>
              <w:left w:val="nil"/>
              <w:bottom w:val="nil"/>
              <w:right w:val="nil"/>
            </w:tcBorders>
            <w:shd w:val="clear" w:color="000000" w:fill="F98284"/>
            <w:noWrap/>
            <w:vAlign w:val="bottom"/>
            <w:hideMark/>
          </w:tcPr>
          <w:p w14:paraId="04D5EBEE"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3,7</w:t>
            </w:r>
          </w:p>
        </w:tc>
        <w:tc>
          <w:tcPr>
            <w:tcW w:w="993" w:type="dxa"/>
            <w:tcBorders>
              <w:top w:val="nil"/>
              <w:left w:val="nil"/>
              <w:bottom w:val="nil"/>
              <w:right w:val="nil"/>
            </w:tcBorders>
            <w:shd w:val="clear" w:color="000000" w:fill="FBC6C8"/>
            <w:noWrap/>
            <w:vAlign w:val="bottom"/>
            <w:hideMark/>
          </w:tcPr>
          <w:p w14:paraId="1DC8BBB4"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2,2</w:t>
            </w:r>
          </w:p>
        </w:tc>
        <w:tc>
          <w:tcPr>
            <w:tcW w:w="992" w:type="dxa"/>
            <w:tcBorders>
              <w:top w:val="nil"/>
              <w:left w:val="nil"/>
              <w:bottom w:val="nil"/>
              <w:right w:val="nil"/>
            </w:tcBorders>
            <w:shd w:val="clear" w:color="000000" w:fill="FBB9BC"/>
            <w:noWrap/>
            <w:vAlign w:val="bottom"/>
            <w:hideMark/>
          </w:tcPr>
          <w:p w14:paraId="38D5A6FE"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2,5</w:t>
            </w:r>
          </w:p>
        </w:tc>
        <w:tc>
          <w:tcPr>
            <w:tcW w:w="992" w:type="dxa"/>
            <w:tcBorders>
              <w:top w:val="nil"/>
              <w:left w:val="nil"/>
              <w:bottom w:val="nil"/>
              <w:right w:val="nil"/>
            </w:tcBorders>
            <w:shd w:val="clear" w:color="000000" w:fill="FA9193"/>
            <w:noWrap/>
            <w:vAlign w:val="bottom"/>
            <w:hideMark/>
          </w:tcPr>
          <w:p w14:paraId="7774421D"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3,4</w:t>
            </w:r>
          </w:p>
        </w:tc>
        <w:tc>
          <w:tcPr>
            <w:tcW w:w="981" w:type="dxa"/>
            <w:tcBorders>
              <w:top w:val="nil"/>
              <w:left w:val="nil"/>
              <w:bottom w:val="nil"/>
              <w:right w:val="nil"/>
            </w:tcBorders>
            <w:shd w:val="clear" w:color="000000" w:fill="F98E90"/>
            <w:noWrap/>
            <w:vAlign w:val="bottom"/>
            <w:hideMark/>
          </w:tcPr>
          <w:p w14:paraId="421940FB"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3,5</w:t>
            </w:r>
          </w:p>
        </w:tc>
        <w:tc>
          <w:tcPr>
            <w:tcW w:w="914" w:type="dxa"/>
            <w:tcBorders>
              <w:top w:val="nil"/>
              <w:left w:val="nil"/>
              <w:bottom w:val="nil"/>
              <w:right w:val="nil"/>
            </w:tcBorders>
            <w:shd w:val="clear" w:color="000000" w:fill="F97678"/>
            <w:noWrap/>
            <w:vAlign w:val="bottom"/>
            <w:hideMark/>
          </w:tcPr>
          <w:p w14:paraId="5DDEAD21"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4,0</w:t>
            </w:r>
          </w:p>
        </w:tc>
      </w:tr>
      <w:tr w:rsidR="00D10AFE" w:rsidRPr="00A74D23" w14:paraId="7ADE78F4" w14:textId="77777777" w:rsidTr="000147A6">
        <w:trPr>
          <w:trHeight w:val="407"/>
        </w:trPr>
        <w:tc>
          <w:tcPr>
            <w:tcW w:w="1569" w:type="dxa"/>
            <w:tcBorders>
              <w:top w:val="nil"/>
              <w:left w:val="nil"/>
              <w:bottom w:val="nil"/>
              <w:right w:val="dashed" w:sz="4" w:space="0" w:color="auto"/>
            </w:tcBorders>
            <w:noWrap/>
            <w:vAlign w:val="center"/>
            <w:hideMark/>
          </w:tcPr>
          <w:p w14:paraId="45FD1504" w14:textId="318ACB9C" w:rsidR="00D10AFE" w:rsidRPr="00A74D23" w:rsidRDefault="00D10AFE" w:rsidP="00D10AFE">
            <w:pPr>
              <w:spacing w:line="22" w:lineRule="atLeast"/>
              <w:jc w:val="center"/>
              <w:rPr>
                <w:rFonts w:asciiTheme="minorHAnsi" w:hAnsiTheme="minorHAnsi"/>
                <w:color w:val="000000"/>
                <w:sz w:val="16"/>
                <w:szCs w:val="16"/>
              </w:rPr>
            </w:pPr>
            <w:r w:rsidRPr="00A74D23">
              <w:rPr>
                <w:rFonts w:asciiTheme="minorHAnsi" w:hAnsiTheme="minorHAnsi" w:cs="Calibri"/>
                <w:color w:val="000000"/>
                <w:sz w:val="16"/>
                <w:szCs w:val="16"/>
              </w:rPr>
              <w:t>Équipements de santé</w:t>
            </w:r>
          </w:p>
        </w:tc>
        <w:tc>
          <w:tcPr>
            <w:tcW w:w="1125" w:type="dxa"/>
            <w:tcBorders>
              <w:top w:val="nil"/>
              <w:left w:val="nil"/>
              <w:bottom w:val="nil"/>
              <w:right w:val="nil"/>
            </w:tcBorders>
            <w:shd w:val="clear" w:color="000000" w:fill="FBCED1"/>
            <w:noWrap/>
            <w:vAlign w:val="bottom"/>
            <w:hideMark/>
          </w:tcPr>
          <w:p w14:paraId="191C23F4"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2,0</w:t>
            </w:r>
          </w:p>
        </w:tc>
        <w:tc>
          <w:tcPr>
            <w:tcW w:w="1275" w:type="dxa"/>
            <w:tcBorders>
              <w:top w:val="nil"/>
              <w:left w:val="nil"/>
              <w:bottom w:val="nil"/>
              <w:right w:val="nil"/>
            </w:tcBorders>
            <w:shd w:val="clear" w:color="000000" w:fill="FAA3A6"/>
            <w:noWrap/>
            <w:vAlign w:val="bottom"/>
            <w:hideMark/>
          </w:tcPr>
          <w:p w14:paraId="679C17E3"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3,0</w:t>
            </w:r>
          </w:p>
        </w:tc>
        <w:tc>
          <w:tcPr>
            <w:tcW w:w="993" w:type="dxa"/>
            <w:tcBorders>
              <w:top w:val="nil"/>
              <w:left w:val="nil"/>
              <w:bottom w:val="nil"/>
              <w:right w:val="nil"/>
            </w:tcBorders>
            <w:shd w:val="clear" w:color="000000" w:fill="FFFFFF"/>
            <w:noWrap/>
            <w:vAlign w:val="bottom"/>
            <w:hideMark/>
          </w:tcPr>
          <w:p w14:paraId="6A4D4DE8" w14:textId="32CD64AE" w:rsidR="00D10AFE" w:rsidRPr="00A74D23" w:rsidRDefault="00D10AFE" w:rsidP="00D10AFE">
            <w:pPr>
              <w:spacing w:line="22" w:lineRule="atLeast"/>
              <w:jc w:val="center"/>
              <w:rPr>
                <w:rFonts w:asciiTheme="minorHAnsi" w:hAnsiTheme="minorHAnsi"/>
                <w:color w:val="000000"/>
                <w:sz w:val="22"/>
                <w:szCs w:val="22"/>
              </w:rPr>
            </w:pPr>
          </w:p>
        </w:tc>
        <w:tc>
          <w:tcPr>
            <w:tcW w:w="955" w:type="dxa"/>
            <w:tcBorders>
              <w:top w:val="nil"/>
              <w:left w:val="nil"/>
              <w:bottom w:val="nil"/>
              <w:right w:val="nil"/>
            </w:tcBorders>
            <w:shd w:val="clear" w:color="000000" w:fill="F98B8D"/>
            <w:noWrap/>
            <w:vAlign w:val="bottom"/>
            <w:hideMark/>
          </w:tcPr>
          <w:p w14:paraId="32B2B372"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3,6</w:t>
            </w:r>
          </w:p>
        </w:tc>
        <w:tc>
          <w:tcPr>
            <w:tcW w:w="887" w:type="dxa"/>
            <w:tcBorders>
              <w:top w:val="nil"/>
              <w:left w:val="nil"/>
              <w:bottom w:val="nil"/>
              <w:right w:val="nil"/>
            </w:tcBorders>
            <w:shd w:val="clear" w:color="000000" w:fill="FCDCDF"/>
            <w:noWrap/>
            <w:vAlign w:val="bottom"/>
            <w:hideMark/>
          </w:tcPr>
          <w:p w14:paraId="0C9AE10D"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1,7</w:t>
            </w:r>
          </w:p>
        </w:tc>
        <w:tc>
          <w:tcPr>
            <w:tcW w:w="993" w:type="dxa"/>
            <w:tcBorders>
              <w:top w:val="nil"/>
              <w:left w:val="nil"/>
              <w:bottom w:val="nil"/>
              <w:right w:val="nil"/>
            </w:tcBorders>
            <w:shd w:val="clear" w:color="000000" w:fill="FCE6E9"/>
            <w:noWrap/>
            <w:vAlign w:val="bottom"/>
            <w:hideMark/>
          </w:tcPr>
          <w:p w14:paraId="2CB871E3"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1,5</w:t>
            </w:r>
          </w:p>
        </w:tc>
        <w:tc>
          <w:tcPr>
            <w:tcW w:w="992" w:type="dxa"/>
            <w:tcBorders>
              <w:top w:val="nil"/>
              <w:left w:val="nil"/>
              <w:bottom w:val="nil"/>
              <w:right w:val="nil"/>
            </w:tcBorders>
            <w:shd w:val="clear" w:color="000000" w:fill="FCF8FB"/>
            <w:noWrap/>
            <w:vAlign w:val="bottom"/>
            <w:hideMark/>
          </w:tcPr>
          <w:p w14:paraId="3AF5D3DA"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1,1</w:t>
            </w:r>
          </w:p>
        </w:tc>
        <w:tc>
          <w:tcPr>
            <w:tcW w:w="992" w:type="dxa"/>
            <w:tcBorders>
              <w:top w:val="nil"/>
              <w:left w:val="nil"/>
              <w:bottom w:val="nil"/>
              <w:right w:val="nil"/>
            </w:tcBorders>
            <w:shd w:val="clear" w:color="000000" w:fill="FAADAF"/>
            <w:noWrap/>
            <w:vAlign w:val="bottom"/>
            <w:hideMark/>
          </w:tcPr>
          <w:p w14:paraId="03CD297E"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2,8</w:t>
            </w:r>
          </w:p>
        </w:tc>
        <w:tc>
          <w:tcPr>
            <w:tcW w:w="981" w:type="dxa"/>
            <w:tcBorders>
              <w:top w:val="nil"/>
              <w:left w:val="nil"/>
              <w:bottom w:val="nil"/>
              <w:right w:val="nil"/>
            </w:tcBorders>
            <w:shd w:val="clear" w:color="000000" w:fill="FCEEF1"/>
            <w:noWrap/>
            <w:vAlign w:val="bottom"/>
            <w:hideMark/>
          </w:tcPr>
          <w:p w14:paraId="70BD6B56"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1,3</w:t>
            </w:r>
          </w:p>
        </w:tc>
        <w:tc>
          <w:tcPr>
            <w:tcW w:w="914" w:type="dxa"/>
            <w:tcBorders>
              <w:top w:val="nil"/>
              <w:left w:val="nil"/>
              <w:bottom w:val="nil"/>
              <w:right w:val="nil"/>
            </w:tcBorders>
            <w:shd w:val="clear" w:color="000000" w:fill="FBC0C2"/>
            <w:noWrap/>
            <w:vAlign w:val="bottom"/>
            <w:hideMark/>
          </w:tcPr>
          <w:p w14:paraId="2DCBB4A9"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2,4</w:t>
            </w:r>
          </w:p>
        </w:tc>
      </w:tr>
      <w:tr w:rsidR="00D10AFE" w:rsidRPr="00A74D23" w14:paraId="5D90E609" w14:textId="77777777" w:rsidTr="000147A6">
        <w:trPr>
          <w:trHeight w:val="407"/>
        </w:trPr>
        <w:tc>
          <w:tcPr>
            <w:tcW w:w="1569" w:type="dxa"/>
            <w:tcBorders>
              <w:top w:val="nil"/>
              <w:left w:val="nil"/>
              <w:bottom w:val="nil"/>
              <w:right w:val="dashed" w:sz="4" w:space="0" w:color="auto"/>
            </w:tcBorders>
            <w:noWrap/>
            <w:vAlign w:val="center"/>
            <w:hideMark/>
          </w:tcPr>
          <w:p w14:paraId="43D3265F" w14:textId="282BA5E1" w:rsidR="00D10AFE" w:rsidRPr="00A74D23" w:rsidRDefault="00D10AFE" w:rsidP="00D10AFE">
            <w:pPr>
              <w:spacing w:line="22" w:lineRule="atLeast"/>
              <w:jc w:val="center"/>
              <w:rPr>
                <w:rFonts w:asciiTheme="minorHAnsi" w:hAnsiTheme="minorHAnsi"/>
                <w:color w:val="000000"/>
                <w:sz w:val="16"/>
                <w:szCs w:val="16"/>
              </w:rPr>
            </w:pPr>
            <w:r w:rsidRPr="00A74D23">
              <w:rPr>
                <w:rFonts w:asciiTheme="minorHAnsi" w:hAnsiTheme="minorHAnsi" w:cs="Calibri"/>
                <w:color w:val="000000"/>
                <w:sz w:val="16"/>
                <w:szCs w:val="16"/>
              </w:rPr>
              <w:t>Assurance</w:t>
            </w:r>
          </w:p>
        </w:tc>
        <w:tc>
          <w:tcPr>
            <w:tcW w:w="1125" w:type="dxa"/>
            <w:tcBorders>
              <w:top w:val="nil"/>
              <w:left w:val="nil"/>
              <w:bottom w:val="nil"/>
              <w:right w:val="nil"/>
            </w:tcBorders>
            <w:shd w:val="clear" w:color="000000" w:fill="FCF7FA"/>
            <w:noWrap/>
            <w:vAlign w:val="bottom"/>
            <w:hideMark/>
          </w:tcPr>
          <w:p w14:paraId="1673DC90"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1,1</w:t>
            </w:r>
          </w:p>
        </w:tc>
        <w:tc>
          <w:tcPr>
            <w:tcW w:w="1275" w:type="dxa"/>
            <w:tcBorders>
              <w:top w:val="nil"/>
              <w:left w:val="nil"/>
              <w:bottom w:val="nil"/>
              <w:right w:val="nil"/>
            </w:tcBorders>
            <w:shd w:val="clear" w:color="000000" w:fill="FFFFFF"/>
            <w:noWrap/>
            <w:vAlign w:val="bottom"/>
            <w:hideMark/>
          </w:tcPr>
          <w:p w14:paraId="75E12FD0" w14:textId="0C9C4446" w:rsidR="00D10AFE" w:rsidRPr="00A74D23" w:rsidRDefault="00D10AFE" w:rsidP="00D10AFE">
            <w:pPr>
              <w:spacing w:line="22" w:lineRule="atLeast"/>
              <w:jc w:val="center"/>
              <w:rPr>
                <w:rFonts w:asciiTheme="minorHAnsi" w:hAnsiTheme="minorHAnsi"/>
                <w:color w:val="000000"/>
                <w:sz w:val="22"/>
                <w:szCs w:val="22"/>
              </w:rPr>
            </w:pPr>
          </w:p>
        </w:tc>
        <w:tc>
          <w:tcPr>
            <w:tcW w:w="993" w:type="dxa"/>
            <w:tcBorders>
              <w:top w:val="nil"/>
              <w:left w:val="nil"/>
              <w:bottom w:val="nil"/>
              <w:right w:val="nil"/>
            </w:tcBorders>
            <w:shd w:val="clear" w:color="000000" w:fill="FFFFFF"/>
            <w:noWrap/>
            <w:vAlign w:val="bottom"/>
            <w:hideMark/>
          </w:tcPr>
          <w:p w14:paraId="5AF444E8" w14:textId="61F3FBD5" w:rsidR="00D10AFE" w:rsidRPr="00A74D23" w:rsidRDefault="00D10AFE" w:rsidP="00D10AFE">
            <w:pPr>
              <w:spacing w:line="22" w:lineRule="atLeast"/>
              <w:jc w:val="center"/>
              <w:rPr>
                <w:rFonts w:asciiTheme="minorHAnsi" w:hAnsiTheme="minorHAnsi"/>
                <w:color w:val="000000"/>
                <w:sz w:val="22"/>
                <w:szCs w:val="22"/>
              </w:rPr>
            </w:pPr>
          </w:p>
        </w:tc>
        <w:tc>
          <w:tcPr>
            <w:tcW w:w="955" w:type="dxa"/>
            <w:tcBorders>
              <w:top w:val="nil"/>
              <w:left w:val="nil"/>
              <w:bottom w:val="nil"/>
              <w:right w:val="nil"/>
            </w:tcBorders>
            <w:shd w:val="clear" w:color="000000" w:fill="FFFFFF"/>
            <w:noWrap/>
            <w:vAlign w:val="bottom"/>
            <w:hideMark/>
          </w:tcPr>
          <w:p w14:paraId="68046C58" w14:textId="68110261" w:rsidR="00D10AFE" w:rsidRPr="00A74D23" w:rsidRDefault="00D10AFE" w:rsidP="00D10AFE">
            <w:pPr>
              <w:spacing w:line="22" w:lineRule="atLeast"/>
              <w:jc w:val="center"/>
              <w:rPr>
                <w:rFonts w:asciiTheme="minorHAnsi" w:hAnsiTheme="minorHAnsi"/>
                <w:color w:val="000000"/>
                <w:sz w:val="22"/>
                <w:szCs w:val="22"/>
              </w:rPr>
            </w:pPr>
          </w:p>
        </w:tc>
        <w:tc>
          <w:tcPr>
            <w:tcW w:w="887" w:type="dxa"/>
            <w:tcBorders>
              <w:top w:val="nil"/>
              <w:left w:val="nil"/>
              <w:bottom w:val="nil"/>
              <w:right w:val="nil"/>
            </w:tcBorders>
            <w:shd w:val="clear" w:color="000000" w:fill="FCFCFF"/>
            <w:noWrap/>
            <w:vAlign w:val="bottom"/>
            <w:hideMark/>
          </w:tcPr>
          <w:p w14:paraId="0CBD53AC"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c>
          <w:tcPr>
            <w:tcW w:w="993" w:type="dxa"/>
            <w:tcBorders>
              <w:top w:val="nil"/>
              <w:left w:val="nil"/>
              <w:bottom w:val="nil"/>
              <w:right w:val="nil"/>
            </w:tcBorders>
            <w:shd w:val="clear" w:color="000000" w:fill="FFFFFF"/>
            <w:noWrap/>
            <w:vAlign w:val="bottom"/>
            <w:hideMark/>
          </w:tcPr>
          <w:p w14:paraId="563FAFF2" w14:textId="6F952192" w:rsidR="00D10AFE" w:rsidRPr="00A74D23" w:rsidRDefault="00D10AFE" w:rsidP="00D10AFE">
            <w:pPr>
              <w:spacing w:line="22" w:lineRule="atLeast"/>
              <w:jc w:val="center"/>
              <w:rPr>
                <w:rFonts w:asciiTheme="minorHAnsi" w:hAnsiTheme="minorHAnsi"/>
                <w:color w:val="000000"/>
                <w:sz w:val="22"/>
                <w:szCs w:val="22"/>
              </w:rPr>
            </w:pPr>
          </w:p>
        </w:tc>
        <w:tc>
          <w:tcPr>
            <w:tcW w:w="992" w:type="dxa"/>
            <w:tcBorders>
              <w:top w:val="nil"/>
              <w:left w:val="nil"/>
              <w:bottom w:val="nil"/>
              <w:right w:val="nil"/>
            </w:tcBorders>
            <w:shd w:val="clear" w:color="000000" w:fill="FFFFFF"/>
            <w:noWrap/>
            <w:vAlign w:val="bottom"/>
            <w:hideMark/>
          </w:tcPr>
          <w:p w14:paraId="644DB52C" w14:textId="4735D22E" w:rsidR="00D10AFE" w:rsidRPr="00A74D23" w:rsidRDefault="00D10AFE" w:rsidP="00D10AFE">
            <w:pPr>
              <w:spacing w:line="22" w:lineRule="atLeast"/>
              <w:jc w:val="center"/>
              <w:rPr>
                <w:rFonts w:asciiTheme="minorHAnsi" w:hAnsiTheme="minorHAnsi"/>
                <w:color w:val="000000"/>
                <w:sz w:val="22"/>
                <w:szCs w:val="22"/>
              </w:rPr>
            </w:pPr>
          </w:p>
        </w:tc>
        <w:tc>
          <w:tcPr>
            <w:tcW w:w="992" w:type="dxa"/>
            <w:tcBorders>
              <w:top w:val="nil"/>
              <w:left w:val="nil"/>
              <w:bottom w:val="nil"/>
              <w:right w:val="nil"/>
            </w:tcBorders>
            <w:shd w:val="clear" w:color="000000" w:fill="FCFCFF"/>
            <w:noWrap/>
            <w:vAlign w:val="bottom"/>
            <w:hideMark/>
          </w:tcPr>
          <w:p w14:paraId="142C4628"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c>
          <w:tcPr>
            <w:tcW w:w="981" w:type="dxa"/>
            <w:tcBorders>
              <w:top w:val="nil"/>
              <w:left w:val="nil"/>
              <w:bottom w:val="nil"/>
              <w:right w:val="nil"/>
            </w:tcBorders>
            <w:shd w:val="clear" w:color="000000" w:fill="FCE6E9"/>
            <w:noWrap/>
            <w:vAlign w:val="bottom"/>
            <w:hideMark/>
          </w:tcPr>
          <w:p w14:paraId="018C38F6"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1,5</w:t>
            </w:r>
          </w:p>
        </w:tc>
        <w:tc>
          <w:tcPr>
            <w:tcW w:w="914" w:type="dxa"/>
            <w:tcBorders>
              <w:top w:val="nil"/>
              <w:left w:val="nil"/>
              <w:bottom w:val="nil"/>
              <w:right w:val="nil"/>
            </w:tcBorders>
            <w:shd w:val="clear" w:color="000000" w:fill="FCFCFF"/>
            <w:noWrap/>
            <w:vAlign w:val="bottom"/>
            <w:hideMark/>
          </w:tcPr>
          <w:p w14:paraId="7B71F354"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r>
      <w:tr w:rsidR="00D10AFE" w:rsidRPr="00A74D23" w14:paraId="38F8792A" w14:textId="77777777" w:rsidTr="000147A6">
        <w:trPr>
          <w:trHeight w:val="407"/>
        </w:trPr>
        <w:tc>
          <w:tcPr>
            <w:tcW w:w="1569" w:type="dxa"/>
            <w:tcBorders>
              <w:top w:val="nil"/>
              <w:left w:val="nil"/>
              <w:bottom w:val="nil"/>
              <w:right w:val="dashed" w:sz="4" w:space="0" w:color="auto"/>
            </w:tcBorders>
            <w:noWrap/>
            <w:vAlign w:val="center"/>
            <w:hideMark/>
          </w:tcPr>
          <w:p w14:paraId="1AD5CAB4" w14:textId="404AB4BA" w:rsidR="00D10AFE" w:rsidRPr="00A74D23" w:rsidRDefault="00D10AFE" w:rsidP="00D10AFE">
            <w:pPr>
              <w:spacing w:line="22" w:lineRule="atLeast"/>
              <w:jc w:val="center"/>
              <w:rPr>
                <w:rFonts w:asciiTheme="minorHAnsi" w:hAnsiTheme="minorHAnsi"/>
                <w:color w:val="000000"/>
                <w:sz w:val="16"/>
                <w:szCs w:val="16"/>
              </w:rPr>
            </w:pPr>
            <w:r w:rsidRPr="00A74D23">
              <w:rPr>
                <w:rFonts w:asciiTheme="minorHAnsi" w:hAnsiTheme="minorHAnsi" w:cs="Calibri"/>
                <w:color w:val="000000"/>
                <w:sz w:val="16"/>
                <w:szCs w:val="16"/>
              </w:rPr>
              <w:t>Matériaux</w:t>
            </w:r>
          </w:p>
        </w:tc>
        <w:tc>
          <w:tcPr>
            <w:tcW w:w="1125" w:type="dxa"/>
            <w:tcBorders>
              <w:top w:val="nil"/>
              <w:left w:val="nil"/>
              <w:bottom w:val="nil"/>
              <w:right w:val="nil"/>
            </w:tcBorders>
            <w:shd w:val="clear" w:color="000000" w:fill="FAAFB2"/>
            <w:noWrap/>
            <w:vAlign w:val="bottom"/>
            <w:hideMark/>
          </w:tcPr>
          <w:p w14:paraId="16CE104B"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2,7</w:t>
            </w:r>
          </w:p>
        </w:tc>
        <w:tc>
          <w:tcPr>
            <w:tcW w:w="1275" w:type="dxa"/>
            <w:tcBorders>
              <w:top w:val="nil"/>
              <w:left w:val="nil"/>
              <w:bottom w:val="nil"/>
              <w:right w:val="nil"/>
            </w:tcBorders>
            <w:shd w:val="clear" w:color="000000" w:fill="FBC5C7"/>
            <w:noWrap/>
            <w:vAlign w:val="bottom"/>
            <w:hideMark/>
          </w:tcPr>
          <w:p w14:paraId="7A53C9DC"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2,3</w:t>
            </w:r>
          </w:p>
        </w:tc>
        <w:tc>
          <w:tcPr>
            <w:tcW w:w="993" w:type="dxa"/>
            <w:tcBorders>
              <w:top w:val="nil"/>
              <w:left w:val="nil"/>
              <w:bottom w:val="nil"/>
              <w:right w:val="nil"/>
            </w:tcBorders>
            <w:shd w:val="clear" w:color="000000" w:fill="F98D8F"/>
            <w:noWrap/>
            <w:vAlign w:val="bottom"/>
            <w:hideMark/>
          </w:tcPr>
          <w:p w14:paraId="7B73FB19"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3,5</w:t>
            </w:r>
          </w:p>
        </w:tc>
        <w:tc>
          <w:tcPr>
            <w:tcW w:w="955" w:type="dxa"/>
            <w:tcBorders>
              <w:top w:val="nil"/>
              <w:left w:val="nil"/>
              <w:bottom w:val="nil"/>
              <w:right w:val="nil"/>
            </w:tcBorders>
            <w:shd w:val="clear" w:color="000000" w:fill="FAA1A4"/>
            <w:noWrap/>
            <w:vAlign w:val="bottom"/>
            <w:hideMark/>
          </w:tcPr>
          <w:p w14:paraId="2B74E9CA"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3,0</w:t>
            </w:r>
          </w:p>
        </w:tc>
        <w:tc>
          <w:tcPr>
            <w:tcW w:w="887" w:type="dxa"/>
            <w:tcBorders>
              <w:top w:val="nil"/>
              <w:left w:val="nil"/>
              <w:bottom w:val="nil"/>
              <w:right w:val="nil"/>
            </w:tcBorders>
            <w:shd w:val="clear" w:color="000000" w:fill="F98688"/>
            <w:noWrap/>
            <w:vAlign w:val="bottom"/>
            <w:hideMark/>
          </w:tcPr>
          <w:p w14:paraId="3F39C007"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3,7</w:t>
            </w:r>
          </w:p>
        </w:tc>
        <w:tc>
          <w:tcPr>
            <w:tcW w:w="993" w:type="dxa"/>
            <w:tcBorders>
              <w:top w:val="nil"/>
              <w:left w:val="nil"/>
              <w:bottom w:val="nil"/>
              <w:right w:val="nil"/>
            </w:tcBorders>
            <w:shd w:val="clear" w:color="000000" w:fill="FBD4D6"/>
            <w:noWrap/>
            <w:vAlign w:val="bottom"/>
            <w:hideMark/>
          </w:tcPr>
          <w:p w14:paraId="258897A0"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1,9</w:t>
            </w:r>
          </w:p>
        </w:tc>
        <w:tc>
          <w:tcPr>
            <w:tcW w:w="992" w:type="dxa"/>
            <w:tcBorders>
              <w:top w:val="nil"/>
              <w:left w:val="nil"/>
              <w:bottom w:val="nil"/>
              <w:right w:val="nil"/>
            </w:tcBorders>
            <w:shd w:val="clear" w:color="000000" w:fill="FAA1A3"/>
            <w:noWrap/>
            <w:vAlign w:val="bottom"/>
            <w:hideMark/>
          </w:tcPr>
          <w:p w14:paraId="042D88C1"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3,1</w:t>
            </w:r>
          </w:p>
        </w:tc>
        <w:tc>
          <w:tcPr>
            <w:tcW w:w="992" w:type="dxa"/>
            <w:tcBorders>
              <w:top w:val="nil"/>
              <w:left w:val="nil"/>
              <w:bottom w:val="nil"/>
              <w:right w:val="nil"/>
            </w:tcBorders>
            <w:shd w:val="clear" w:color="000000" w:fill="FAA1A3"/>
            <w:noWrap/>
            <w:vAlign w:val="bottom"/>
            <w:hideMark/>
          </w:tcPr>
          <w:p w14:paraId="61E40D5B"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3,1</w:t>
            </w:r>
          </w:p>
        </w:tc>
        <w:tc>
          <w:tcPr>
            <w:tcW w:w="981" w:type="dxa"/>
            <w:tcBorders>
              <w:top w:val="nil"/>
              <w:left w:val="nil"/>
              <w:bottom w:val="nil"/>
              <w:right w:val="nil"/>
            </w:tcBorders>
            <w:shd w:val="clear" w:color="000000" w:fill="FBBEC0"/>
            <w:noWrap/>
            <w:vAlign w:val="bottom"/>
            <w:hideMark/>
          </w:tcPr>
          <w:p w14:paraId="04E15393"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2,4</w:t>
            </w:r>
          </w:p>
        </w:tc>
        <w:tc>
          <w:tcPr>
            <w:tcW w:w="914" w:type="dxa"/>
            <w:tcBorders>
              <w:top w:val="nil"/>
              <w:left w:val="nil"/>
              <w:bottom w:val="nil"/>
              <w:right w:val="nil"/>
            </w:tcBorders>
            <w:shd w:val="clear" w:color="000000" w:fill="FA999B"/>
            <w:noWrap/>
            <w:vAlign w:val="bottom"/>
            <w:hideMark/>
          </w:tcPr>
          <w:p w14:paraId="534FD703"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3,2</w:t>
            </w:r>
          </w:p>
        </w:tc>
      </w:tr>
      <w:tr w:rsidR="00D10AFE" w:rsidRPr="00A74D23" w14:paraId="734E4E36" w14:textId="77777777" w:rsidTr="000147A6">
        <w:trPr>
          <w:trHeight w:val="407"/>
        </w:trPr>
        <w:tc>
          <w:tcPr>
            <w:tcW w:w="1569" w:type="dxa"/>
            <w:tcBorders>
              <w:top w:val="nil"/>
              <w:left w:val="nil"/>
              <w:bottom w:val="nil"/>
              <w:right w:val="dashed" w:sz="4" w:space="0" w:color="auto"/>
            </w:tcBorders>
            <w:noWrap/>
            <w:vAlign w:val="center"/>
            <w:hideMark/>
          </w:tcPr>
          <w:p w14:paraId="2F4D0964" w14:textId="6FEC4DB4" w:rsidR="00D10AFE" w:rsidRPr="00A74D23" w:rsidRDefault="00D10AFE" w:rsidP="00D10AFE">
            <w:pPr>
              <w:spacing w:line="22" w:lineRule="atLeast"/>
              <w:jc w:val="center"/>
              <w:rPr>
                <w:rFonts w:asciiTheme="minorHAnsi" w:hAnsiTheme="minorHAnsi"/>
                <w:color w:val="000000"/>
                <w:sz w:val="16"/>
                <w:szCs w:val="16"/>
              </w:rPr>
            </w:pPr>
            <w:r w:rsidRPr="00A74D23">
              <w:rPr>
                <w:rFonts w:asciiTheme="minorHAnsi" w:hAnsiTheme="minorHAnsi" w:cs="Calibri"/>
                <w:color w:val="000000"/>
                <w:sz w:val="16"/>
                <w:szCs w:val="16"/>
              </w:rPr>
              <w:t>Médias</w:t>
            </w:r>
          </w:p>
        </w:tc>
        <w:tc>
          <w:tcPr>
            <w:tcW w:w="1125" w:type="dxa"/>
            <w:tcBorders>
              <w:top w:val="nil"/>
              <w:left w:val="nil"/>
              <w:bottom w:val="nil"/>
              <w:right w:val="nil"/>
            </w:tcBorders>
            <w:shd w:val="clear" w:color="000000" w:fill="FCF5F8"/>
            <w:noWrap/>
            <w:vAlign w:val="bottom"/>
            <w:hideMark/>
          </w:tcPr>
          <w:p w14:paraId="396DFF98"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1,2</w:t>
            </w:r>
          </w:p>
        </w:tc>
        <w:tc>
          <w:tcPr>
            <w:tcW w:w="1275" w:type="dxa"/>
            <w:tcBorders>
              <w:top w:val="nil"/>
              <w:left w:val="nil"/>
              <w:bottom w:val="nil"/>
              <w:right w:val="nil"/>
            </w:tcBorders>
            <w:shd w:val="clear" w:color="000000" w:fill="FFFFFF"/>
            <w:noWrap/>
            <w:vAlign w:val="bottom"/>
            <w:hideMark/>
          </w:tcPr>
          <w:p w14:paraId="4BF341E2" w14:textId="76CCF72A" w:rsidR="00D10AFE" w:rsidRPr="00A74D23" w:rsidRDefault="00D10AFE" w:rsidP="00D10AFE">
            <w:pPr>
              <w:spacing w:line="22" w:lineRule="atLeast"/>
              <w:jc w:val="center"/>
              <w:rPr>
                <w:rFonts w:asciiTheme="minorHAnsi" w:hAnsiTheme="minorHAnsi"/>
                <w:color w:val="000000"/>
                <w:sz w:val="22"/>
                <w:szCs w:val="22"/>
              </w:rPr>
            </w:pPr>
          </w:p>
        </w:tc>
        <w:tc>
          <w:tcPr>
            <w:tcW w:w="993" w:type="dxa"/>
            <w:tcBorders>
              <w:top w:val="nil"/>
              <w:left w:val="nil"/>
              <w:bottom w:val="nil"/>
              <w:right w:val="nil"/>
            </w:tcBorders>
            <w:shd w:val="clear" w:color="000000" w:fill="FFFFFF"/>
            <w:noWrap/>
            <w:vAlign w:val="bottom"/>
            <w:hideMark/>
          </w:tcPr>
          <w:p w14:paraId="4E3368DF" w14:textId="3032F8E6" w:rsidR="00D10AFE" w:rsidRPr="00A74D23" w:rsidRDefault="00D10AFE" w:rsidP="00D10AFE">
            <w:pPr>
              <w:spacing w:line="22" w:lineRule="atLeast"/>
              <w:jc w:val="center"/>
              <w:rPr>
                <w:rFonts w:asciiTheme="minorHAnsi" w:hAnsiTheme="minorHAnsi"/>
                <w:color w:val="000000"/>
                <w:sz w:val="22"/>
                <w:szCs w:val="22"/>
              </w:rPr>
            </w:pPr>
          </w:p>
        </w:tc>
        <w:tc>
          <w:tcPr>
            <w:tcW w:w="955" w:type="dxa"/>
            <w:tcBorders>
              <w:top w:val="nil"/>
              <w:left w:val="nil"/>
              <w:bottom w:val="nil"/>
              <w:right w:val="nil"/>
            </w:tcBorders>
            <w:shd w:val="clear" w:color="000000" w:fill="FCFCFF"/>
            <w:noWrap/>
            <w:vAlign w:val="bottom"/>
            <w:hideMark/>
          </w:tcPr>
          <w:p w14:paraId="254B10D3"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c>
          <w:tcPr>
            <w:tcW w:w="887" w:type="dxa"/>
            <w:tcBorders>
              <w:top w:val="nil"/>
              <w:left w:val="nil"/>
              <w:bottom w:val="nil"/>
              <w:right w:val="nil"/>
            </w:tcBorders>
            <w:shd w:val="clear" w:color="000000" w:fill="FCEEF1"/>
            <w:noWrap/>
            <w:vAlign w:val="bottom"/>
            <w:hideMark/>
          </w:tcPr>
          <w:p w14:paraId="4BD13203"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1,3</w:t>
            </w:r>
          </w:p>
        </w:tc>
        <w:tc>
          <w:tcPr>
            <w:tcW w:w="993" w:type="dxa"/>
            <w:tcBorders>
              <w:top w:val="nil"/>
              <w:left w:val="nil"/>
              <w:bottom w:val="nil"/>
              <w:right w:val="nil"/>
            </w:tcBorders>
            <w:shd w:val="clear" w:color="000000" w:fill="FCFCFF"/>
            <w:noWrap/>
            <w:vAlign w:val="bottom"/>
            <w:hideMark/>
          </w:tcPr>
          <w:p w14:paraId="3378823E"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c>
          <w:tcPr>
            <w:tcW w:w="992" w:type="dxa"/>
            <w:tcBorders>
              <w:top w:val="nil"/>
              <w:left w:val="nil"/>
              <w:bottom w:val="nil"/>
              <w:right w:val="nil"/>
            </w:tcBorders>
            <w:shd w:val="clear" w:color="000000" w:fill="FCFCFF"/>
            <w:noWrap/>
            <w:vAlign w:val="bottom"/>
            <w:hideMark/>
          </w:tcPr>
          <w:p w14:paraId="3129669B"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c>
          <w:tcPr>
            <w:tcW w:w="992" w:type="dxa"/>
            <w:tcBorders>
              <w:top w:val="nil"/>
              <w:left w:val="nil"/>
              <w:bottom w:val="nil"/>
              <w:right w:val="nil"/>
            </w:tcBorders>
            <w:shd w:val="clear" w:color="000000" w:fill="FCEEF1"/>
            <w:noWrap/>
            <w:vAlign w:val="bottom"/>
            <w:hideMark/>
          </w:tcPr>
          <w:p w14:paraId="1C52193C"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1,3</w:t>
            </w:r>
          </w:p>
        </w:tc>
        <w:tc>
          <w:tcPr>
            <w:tcW w:w="981" w:type="dxa"/>
            <w:tcBorders>
              <w:top w:val="nil"/>
              <w:left w:val="nil"/>
              <w:bottom w:val="nil"/>
              <w:right w:val="nil"/>
            </w:tcBorders>
            <w:shd w:val="clear" w:color="000000" w:fill="FCEEF1"/>
            <w:noWrap/>
            <w:vAlign w:val="bottom"/>
            <w:hideMark/>
          </w:tcPr>
          <w:p w14:paraId="149ECCDF"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1,3</w:t>
            </w:r>
          </w:p>
        </w:tc>
        <w:tc>
          <w:tcPr>
            <w:tcW w:w="914" w:type="dxa"/>
            <w:tcBorders>
              <w:top w:val="nil"/>
              <w:left w:val="nil"/>
              <w:bottom w:val="nil"/>
              <w:right w:val="nil"/>
            </w:tcBorders>
            <w:shd w:val="clear" w:color="000000" w:fill="FCEAED"/>
            <w:noWrap/>
            <w:vAlign w:val="bottom"/>
            <w:hideMark/>
          </w:tcPr>
          <w:p w14:paraId="2B2631B9"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1,4</w:t>
            </w:r>
          </w:p>
        </w:tc>
      </w:tr>
      <w:tr w:rsidR="00D10AFE" w:rsidRPr="00A74D23" w14:paraId="2656FAAF" w14:textId="77777777" w:rsidTr="000147A6">
        <w:trPr>
          <w:trHeight w:val="407"/>
        </w:trPr>
        <w:tc>
          <w:tcPr>
            <w:tcW w:w="1569" w:type="dxa"/>
            <w:tcBorders>
              <w:top w:val="nil"/>
              <w:left w:val="nil"/>
              <w:bottom w:val="nil"/>
              <w:right w:val="dashed" w:sz="4" w:space="0" w:color="auto"/>
            </w:tcBorders>
            <w:noWrap/>
            <w:vAlign w:val="center"/>
            <w:hideMark/>
          </w:tcPr>
          <w:p w14:paraId="1E1B5CD0" w14:textId="300362C3" w:rsidR="00D10AFE" w:rsidRPr="00A74D23" w:rsidRDefault="00D10AFE" w:rsidP="00D10AFE">
            <w:pPr>
              <w:spacing w:line="22" w:lineRule="atLeast"/>
              <w:jc w:val="center"/>
              <w:rPr>
                <w:rFonts w:asciiTheme="minorHAnsi" w:hAnsiTheme="minorHAnsi"/>
                <w:color w:val="000000"/>
                <w:sz w:val="16"/>
                <w:szCs w:val="16"/>
              </w:rPr>
            </w:pPr>
            <w:r w:rsidRPr="00A74D23">
              <w:rPr>
                <w:rFonts w:asciiTheme="minorHAnsi" w:hAnsiTheme="minorHAnsi" w:cs="Calibri"/>
                <w:color w:val="000000"/>
                <w:sz w:val="16"/>
                <w:szCs w:val="16"/>
              </w:rPr>
              <w:t>Pharmacie &amp; biotech</w:t>
            </w:r>
          </w:p>
        </w:tc>
        <w:tc>
          <w:tcPr>
            <w:tcW w:w="1125" w:type="dxa"/>
            <w:tcBorders>
              <w:top w:val="nil"/>
              <w:left w:val="nil"/>
              <w:bottom w:val="nil"/>
              <w:right w:val="nil"/>
            </w:tcBorders>
            <w:shd w:val="clear" w:color="000000" w:fill="FAA4A7"/>
            <w:noWrap/>
            <w:vAlign w:val="bottom"/>
            <w:hideMark/>
          </w:tcPr>
          <w:p w14:paraId="1AC46052"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3,0</w:t>
            </w:r>
          </w:p>
        </w:tc>
        <w:tc>
          <w:tcPr>
            <w:tcW w:w="1275" w:type="dxa"/>
            <w:tcBorders>
              <w:top w:val="nil"/>
              <w:left w:val="nil"/>
              <w:bottom w:val="nil"/>
              <w:right w:val="nil"/>
            </w:tcBorders>
            <w:shd w:val="clear" w:color="000000" w:fill="FFFFFF"/>
            <w:noWrap/>
            <w:vAlign w:val="bottom"/>
            <w:hideMark/>
          </w:tcPr>
          <w:p w14:paraId="7AAFEB93" w14:textId="2E836619" w:rsidR="00D10AFE" w:rsidRPr="00A74D23" w:rsidRDefault="00D10AFE" w:rsidP="00D10AFE">
            <w:pPr>
              <w:spacing w:line="22" w:lineRule="atLeast"/>
              <w:jc w:val="center"/>
              <w:rPr>
                <w:rFonts w:asciiTheme="minorHAnsi" w:hAnsiTheme="minorHAnsi"/>
                <w:color w:val="000000"/>
                <w:sz w:val="22"/>
                <w:szCs w:val="22"/>
              </w:rPr>
            </w:pPr>
          </w:p>
        </w:tc>
        <w:tc>
          <w:tcPr>
            <w:tcW w:w="993" w:type="dxa"/>
            <w:tcBorders>
              <w:top w:val="nil"/>
              <w:left w:val="nil"/>
              <w:bottom w:val="nil"/>
              <w:right w:val="nil"/>
            </w:tcBorders>
            <w:shd w:val="clear" w:color="000000" w:fill="F97779"/>
            <w:noWrap/>
            <w:vAlign w:val="bottom"/>
            <w:hideMark/>
          </w:tcPr>
          <w:p w14:paraId="49ED52AC"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4,0</w:t>
            </w:r>
          </w:p>
        </w:tc>
        <w:tc>
          <w:tcPr>
            <w:tcW w:w="955" w:type="dxa"/>
            <w:tcBorders>
              <w:top w:val="nil"/>
              <w:left w:val="nil"/>
              <w:bottom w:val="nil"/>
              <w:right w:val="nil"/>
            </w:tcBorders>
            <w:shd w:val="clear" w:color="000000" w:fill="F98D8F"/>
            <w:noWrap/>
            <w:vAlign w:val="bottom"/>
            <w:hideMark/>
          </w:tcPr>
          <w:p w14:paraId="30897C75"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3,5</w:t>
            </w:r>
          </w:p>
        </w:tc>
        <w:tc>
          <w:tcPr>
            <w:tcW w:w="887" w:type="dxa"/>
            <w:tcBorders>
              <w:top w:val="nil"/>
              <w:left w:val="nil"/>
              <w:bottom w:val="nil"/>
              <w:right w:val="nil"/>
            </w:tcBorders>
            <w:shd w:val="clear" w:color="000000" w:fill="FAA3A6"/>
            <w:noWrap/>
            <w:vAlign w:val="bottom"/>
            <w:hideMark/>
          </w:tcPr>
          <w:p w14:paraId="25786487"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3,0</w:t>
            </w:r>
          </w:p>
        </w:tc>
        <w:tc>
          <w:tcPr>
            <w:tcW w:w="993" w:type="dxa"/>
            <w:tcBorders>
              <w:top w:val="nil"/>
              <w:left w:val="nil"/>
              <w:bottom w:val="nil"/>
              <w:right w:val="nil"/>
            </w:tcBorders>
            <w:shd w:val="clear" w:color="000000" w:fill="FCE6E9"/>
            <w:noWrap/>
            <w:vAlign w:val="bottom"/>
            <w:hideMark/>
          </w:tcPr>
          <w:p w14:paraId="16B56896"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1,5</w:t>
            </w:r>
          </w:p>
        </w:tc>
        <w:tc>
          <w:tcPr>
            <w:tcW w:w="992" w:type="dxa"/>
            <w:tcBorders>
              <w:top w:val="nil"/>
              <w:left w:val="nil"/>
              <w:bottom w:val="nil"/>
              <w:right w:val="nil"/>
            </w:tcBorders>
            <w:shd w:val="clear" w:color="000000" w:fill="FFFFFF"/>
            <w:noWrap/>
            <w:vAlign w:val="bottom"/>
            <w:hideMark/>
          </w:tcPr>
          <w:p w14:paraId="4879F84A" w14:textId="01F09F0F" w:rsidR="00D10AFE" w:rsidRPr="00A74D23" w:rsidRDefault="00D10AFE" w:rsidP="00D10AFE">
            <w:pPr>
              <w:spacing w:line="22" w:lineRule="atLeast"/>
              <w:jc w:val="center"/>
              <w:rPr>
                <w:rFonts w:asciiTheme="minorHAnsi" w:hAnsiTheme="minorHAnsi"/>
                <w:color w:val="000000"/>
                <w:sz w:val="22"/>
                <w:szCs w:val="22"/>
              </w:rPr>
            </w:pPr>
          </w:p>
        </w:tc>
        <w:tc>
          <w:tcPr>
            <w:tcW w:w="992" w:type="dxa"/>
            <w:tcBorders>
              <w:top w:val="nil"/>
              <w:left w:val="nil"/>
              <w:bottom w:val="nil"/>
              <w:right w:val="nil"/>
            </w:tcBorders>
            <w:shd w:val="clear" w:color="000000" w:fill="FA9597"/>
            <w:noWrap/>
            <w:vAlign w:val="bottom"/>
            <w:hideMark/>
          </w:tcPr>
          <w:p w14:paraId="0A3718C3"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3,3</w:t>
            </w:r>
          </w:p>
        </w:tc>
        <w:tc>
          <w:tcPr>
            <w:tcW w:w="981" w:type="dxa"/>
            <w:tcBorders>
              <w:top w:val="nil"/>
              <w:left w:val="nil"/>
              <w:bottom w:val="nil"/>
              <w:right w:val="nil"/>
            </w:tcBorders>
            <w:shd w:val="clear" w:color="000000" w:fill="FCE6E9"/>
            <w:noWrap/>
            <w:vAlign w:val="bottom"/>
            <w:hideMark/>
          </w:tcPr>
          <w:p w14:paraId="7EBD9733"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1,5</w:t>
            </w:r>
          </w:p>
        </w:tc>
        <w:tc>
          <w:tcPr>
            <w:tcW w:w="914" w:type="dxa"/>
            <w:tcBorders>
              <w:top w:val="nil"/>
              <w:left w:val="nil"/>
              <w:bottom w:val="nil"/>
              <w:right w:val="nil"/>
            </w:tcBorders>
            <w:shd w:val="clear" w:color="000000" w:fill="F97779"/>
            <w:noWrap/>
            <w:vAlign w:val="bottom"/>
            <w:hideMark/>
          </w:tcPr>
          <w:p w14:paraId="4A5E7FBB"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4,0</w:t>
            </w:r>
          </w:p>
        </w:tc>
      </w:tr>
      <w:tr w:rsidR="00D10AFE" w:rsidRPr="00A74D23" w14:paraId="48033534" w14:textId="77777777" w:rsidTr="000147A6">
        <w:trPr>
          <w:trHeight w:val="407"/>
        </w:trPr>
        <w:tc>
          <w:tcPr>
            <w:tcW w:w="1569" w:type="dxa"/>
            <w:tcBorders>
              <w:top w:val="nil"/>
              <w:left w:val="nil"/>
              <w:bottom w:val="nil"/>
              <w:right w:val="dashed" w:sz="4" w:space="0" w:color="auto"/>
            </w:tcBorders>
            <w:noWrap/>
            <w:vAlign w:val="center"/>
            <w:hideMark/>
          </w:tcPr>
          <w:p w14:paraId="71DBC591" w14:textId="076E08C7" w:rsidR="00D10AFE" w:rsidRPr="00A74D23" w:rsidRDefault="00D10AFE" w:rsidP="00D10AFE">
            <w:pPr>
              <w:spacing w:line="22" w:lineRule="atLeast"/>
              <w:jc w:val="center"/>
              <w:rPr>
                <w:rFonts w:asciiTheme="minorHAnsi" w:hAnsiTheme="minorHAnsi"/>
                <w:color w:val="000000"/>
                <w:sz w:val="16"/>
                <w:szCs w:val="16"/>
              </w:rPr>
            </w:pPr>
            <w:r w:rsidRPr="00A74D23">
              <w:rPr>
                <w:rFonts w:asciiTheme="minorHAnsi" w:hAnsiTheme="minorHAnsi" w:cs="Calibri"/>
                <w:color w:val="000000"/>
                <w:sz w:val="16"/>
                <w:szCs w:val="16"/>
              </w:rPr>
              <w:t>Semi-conducteurs</w:t>
            </w:r>
          </w:p>
        </w:tc>
        <w:tc>
          <w:tcPr>
            <w:tcW w:w="1125" w:type="dxa"/>
            <w:tcBorders>
              <w:top w:val="nil"/>
              <w:left w:val="nil"/>
              <w:bottom w:val="nil"/>
              <w:right w:val="nil"/>
            </w:tcBorders>
            <w:shd w:val="clear" w:color="000000" w:fill="FBCED0"/>
            <w:noWrap/>
            <w:vAlign w:val="bottom"/>
            <w:hideMark/>
          </w:tcPr>
          <w:p w14:paraId="17373C25"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2,0</w:t>
            </w:r>
          </w:p>
        </w:tc>
        <w:tc>
          <w:tcPr>
            <w:tcW w:w="1275" w:type="dxa"/>
            <w:tcBorders>
              <w:top w:val="nil"/>
              <w:left w:val="nil"/>
              <w:bottom w:val="nil"/>
              <w:right w:val="nil"/>
            </w:tcBorders>
            <w:shd w:val="clear" w:color="000000" w:fill="FFFFFF"/>
            <w:noWrap/>
            <w:vAlign w:val="bottom"/>
            <w:hideMark/>
          </w:tcPr>
          <w:p w14:paraId="3D0B23A5" w14:textId="0712AAFD" w:rsidR="00D10AFE" w:rsidRPr="00A74D23" w:rsidRDefault="00D10AFE" w:rsidP="00D10AFE">
            <w:pPr>
              <w:spacing w:line="22" w:lineRule="atLeast"/>
              <w:jc w:val="center"/>
              <w:rPr>
                <w:rFonts w:asciiTheme="minorHAnsi" w:hAnsiTheme="minorHAnsi"/>
                <w:color w:val="000000"/>
                <w:sz w:val="22"/>
                <w:szCs w:val="22"/>
              </w:rPr>
            </w:pPr>
          </w:p>
        </w:tc>
        <w:tc>
          <w:tcPr>
            <w:tcW w:w="993" w:type="dxa"/>
            <w:tcBorders>
              <w:top w:val="nil"/>
              <w:left w:val="nil"/>
              <w:bottom w:val="nil"/>
              <w:right w:val="nil"/>
            </w:tcBorders>
            <w:shd w:val="clear" w:color="000000" w:fill="FFFFFF"/>
            <w:noWrap/>
            <w:vAlign w:val="bottom"/>
            <w:hideMark/>
          </w:tcPr>
          <w:p w14:paraId="6F63405D" w14:textId="723669A7" w:rsidR="00D10AFE" w:rsidRPr="00A74D23" w:rsidRDefault="00D10AFE" w:rsidP="00D10AFE">
            <w:pPr>
              <w:spacing w:line="22" w:lineRule="atLeast"/>
              <w:jc w:val="center"/>
              <w:rPr>
                <w:rFonts w:asciiTheme="minorHAnsi" w:hAnsiTheme="minorHAnsi"/>
                <w:color w:val="000000"/>
                <w:sz w:val="22"/>
                <w:szCs w:val="22"/>
              </w:rPr>
            </w:pPr>
          </w:p>
        </w:tc>
        <w:tc>
          <w:tcPr>
            <w:tcW w:w="955" w:type="dxa"/>
            <w:tcBorders>
              <w:top w:val="nil"/>
              <w:left w:val="nil"/>
              <w:bottom w:val="nil"/>
              <w:right w:val="nil"/>
            </w:tcBorders>
            <w:shd w:val="clear" w:color="000000" w:fill="FBBABC"/>
            <w:noWrap/>
            <w:vAlign w:val="bottom"/>
            <w:hideMark/>
          </w:tcPr>
          <w:p w14:paraId="4DA91E4E"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2,5</w:t>
            </w:r>
          </w:p>
        </w:tc>
        <w:tc>
          <w:tcPr>
            <w:tcW w:w="887" w:type="dxa"/>
            <w:tcBorders>
              <w:top w:val="nil"/>
              <w:left w:val="nil"/>
              <w:bottom w:val="nil"/>
              <w:right w:val="nil"/>
            </w:tcBorders>
            <w:shd w:val="clear" w:color="000000" w:fill="FBD0D3"/>
            <w:noWrap/>
            <w:vAlign w:val="bottom"/>
            <w:hideMark/>
          </w:tcPr>
          <w:p w14:paraId="6BFC6D2D"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2,0</w:t>
            </w:r>
          </w:p>
        </w:tc>
        <w:tc>
          <w:tcPr>
            <w:tcW w:w="993" w:type="dxa"/>
            <w:tcBorders>
              <w:top w:val="nil"/>
              <w:left w:val="nil"/>
              <w:bottom w:val="nil"/>
              <w:right w:val="nil"/>
            </w:tcBorders>
            <w:shd w:val="clear" w:color="000000" w:fill="FCE6E9"/>
            <w:noWrap/>
            <w:vAlign w:val="bottom"/>
            <w:hideMark/>
          </w:tcPr>
          <w:p w14:paraId="4DF54531"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1,5</w:t>
            </w:r>
          </w:p>
        </w:tc>
        <w:tc>
          <w:tcPr>
            <w:tcW w:w="992" w:type="dxa"/>
            <w:tcBorders>
              <w:top w:val="nil"/>
              <w:left w:val="nil"/>
              <w:bottom w:val="nil"/>
              <w:right w:val="nil"/>
            </w:tcBorders>
            <w:shd w:val="clear" w:color="000000" w:fill="FFFFFF"/>
            <w:noWrap/>
            <w:vAlign w:val="bottom"/>
            <w:hideMark/>
          </w:tcPr>
          <w:p w14:paraId="556C4DBA" w14:textId="2C800FEA" w:rsidR="00D10AFE" w:rsidRPr="00A74D23" w:rsidRDefault="00D10AFE" w:rsidP="00D10AFE">
            <w:pPr>
              <w:spacing w:line="22" w:lineRule="atLeast"/>
              <w:jc w:val="center"/>
              <w:rPr>
                <w:rFonts w:asciiTheme="minorHAnsi" w:hAnsiTheme="minorHAnsi"/>
                <w:color w:val="000000"/>
                <w:sz w:val="22"/>
                <w:szCs w:val="22"/>
              </w:rPr>
            </w:pPr>
          </w:p>
        </w:tc>
        <w:tc>
          <w:tcPr>
            <w:tcW w:w="992" w:type="dxa"/>
            <w:tcBorders>
              <w:top w:val="nil"/>
              <w:left w:val="nil"/>
              <w:bottom w:val="nil"/>
              <w:right w:val="nil"/>
            </w:tcBorders>
            <w:shd w:val="clear" w:color="000000" w:fill="FAA3A6"/>
            <w:noWrap/>
            <w:vAlign w:val="bottom"/>
            <w:hideMark/>
          </w:tcPr>
          <w:p w14:paraId="36EECC1C"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3,0</w:t>
            </w:r>
          </w:p>
        </w:tc>
        <w:tc>
          <w:tcPr>
            <w:tcW w:w="981" w:type="dxa"/>
            <w:tcBorders>
              <w:top w:val="nil"/>
              <w:left w:val="nil"/>
              <w:bottom w:val="nil"/>
              <w:right w:val="nil"/>
            </w:tcBorders>
            <w:shd w:val="clear" w:color="000000" w:fill="FCEEF1"/>
            <w:noWrap/>
            <w:vAlign w:val="bottom"/>
            <w:hideMark/>
          </w:tcPr>
          <w:p w14:paraId="02192B76"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1,3</w:t>
            </w:r>
          </w:p>
        </w:tc>
        <w:tc>
          <w:tcPr>
            <w:tcW w:w="914" w:type="dxa"/>
            <w:tcBorders>
              <w:top w:val="nil"/>
              <w:left w:val="nil"/>
              <w:bottom w:val="nil"/>
              <w:right w:val="nil"/>
            </w:tcBorders>
            <w:shd w:val="clear" w:color="000000" w:fill="FAA3A6"/>
            <w:noWrap/>
            <w:vAlign w:val="bottom"/>
            <w:hideMark/>
          </w:tcPr>
          <w:p w14:paraId="1AA506D1"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3,0</w:t>
            </w:r>
          </w:p>
        </w:tc>
      </w:tr>
      <w:tr w:rsidR="00D10AFE" w:rsidRPr="00A74D23" w14:paraId="4947FFDB" w14:textId="77777777" w:rsidTr="000147A6">
        <w:trPr>
          <w:trHeight w:val="407"/>
        </w:trPr>
        <w:tc>
          <w:tcPr>
            <w:tcW w:w="1569" w:type="dxa"/>
            <w:tcBorders>
              <w:top w:val="nil"/>
              <w:left w:val="nil"/>
              <w:bottom w:val="nil"/>
              <w:right w:val="dashed" w:sz="4" w:space="0" w:color="auto"/>
            </w:tcBorders>
            <w:noWrap/>
            <w:vAlign w:val="center"/>
            <w:hideMark/>
          </w:tcPr>
          <w:p w14:paraId="3E1CDBFD" w14:textId="50036EA1" w:rsidR="00D10AFE" w:rsidRPr="00A74D23" w:rsidRDefault="00D10AFE" w:rsidP="00D10AFE">
            <w:pPr>
              <w:spacing w:line="22" w:lineRule="atLeast"/>
              <w:jc w:val="center"/>
              <w:rPr>
                <w:rFonts w:asciiTheme="minorHAnsi" w:hAnsiTheme="minorHAnsi"/>
                <w:color w:val="000000"/>
                <w:sz w:val="16"/>
                <w:szCs w:val="16"/>
              </w:rPr>
            </w:pPr>
            <w:r w:rsidRPr="00A74D23">
              <w:rPr>
                <w:rFonts w:asciiTheme="minorHAnsi" w:hAnsiTheme="minorHAnsi" w:cs="Calibri"/>
                <w:color w:val="000000"/>
                <w:sz w:val="16"/>
                <w:szCs w:val="16"/>
              </w:rPr>
              <w:t>Logiciels</w:t>
            </w:r>
          </w:p>
        </w:tc>
        <w:tc>
          <w:tcPr>
            <w:tcW w:w="1125" w:type="dxa"/>
            <w:tcBorders>
              <w:top w:val="nil"/>
              <w:left w:val="nil"/>
              <w:bottom w:val="nil"/>
              <w:right w:val="nil"/>
            </w:tcBorders>
            <w:shd w:val="clear" w:color="000000" w:fill="FCF3F6"/>
            <w:noWrap/>
            <w:vAlign w:val="bottom"/>
            <w:hideMark/>
          </w:tcPr>
          <w:p w14:paraId="7430596A"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1,2</w:t>
            </w:r>
          </w:p>
        </w:tc>
        <w:tc>
          <w:tcPr>
            <w:tcW w:w="1275" w:type="dxa"/>
            <w:tcBorders>
              <w:top w:val="nil"/>
              <w:left w:val="nil"/>
              <w:bottom w:val="nil"/>
              <w:right w:val="nil"/>
            </w:tcBorders>
            <w:shd w:val="clear" w:color="000000" w:fill="FFFFFF"/>
            <w:noWrap/>
            <w:vAlign w:val="bottom"/>
            <w:hideMark/>
          </w:tcPr>
          <w:p w14:paraId="7DE335E9" w14:textId="47EF500F" w:rsidR="00D10AFE" w:rsidRPr="00A74D23" w:rsidRDefault="00D10AFE" w:rsidP="00D10AFE">
            <w:pPr>
              <w:spacing w:line="22" w:lineRule="atLeast"/>
              <w:jc w:val="center"/>
              <w:rPr>
                <w:rFonts w:asciiTheme="minorHAnsi" w:hAnsiTheme="minorHAnsi"/>
                <w:color w:val="000000"/>
                <w:sz w:val="22"/>
                <w:szCs w:val="22"/>
              </w:rPr>
            </w:pPr>
          </w:p>
        </w:tc>
        <w:tc>
          <w:tcPr>
            <w:tcW w:w="993" w:type="dxa"/>
            <w:tcBorders>
              <w:top w:val="nil"/>
              <w:left w:val="nil"/>
              <w:bottom w:val="nil"/>
              <w:right w:val="nil"/>
            </w:tcBorders>
            <w:shd w:val="clear" w:color="000000" w:fill="FFFFFF"/>
            <w:noWrap/>
            <w:vAlign w:val="bottom"/>
            <w:hideMark/>
          </w:tcPr>
          <w:p w14:paraId="109815F9" w14:textId="42DF374D" w:rsidR="00D10AFE" w:rsidRPr="00A74D23" w:rsidRDefault="00D10AFE" w:rsidP="00D10AFE">
            <w:pPr>
              <w:spacing w:line="22" w:lineRule="atLeast"/>
              <w:jc w:val="center"/>
              <w:rPr>
                <w:rFonts w:asciiTheme="minorHAnsi" w:hAnsiTheme="minorHAnsi"/>
                <w:color w:val="000000"/>
                <w:sz w:val="22"/>
                <w:szCs w:val="22"/>
              </w:rPr>
            </w:pPr>
          </w:p>
        </w:tc>
        <w:tc>
          <w:tcPr>
            <w:tcW w:w="955" w:type="dxa"/>
            <w:tcBorders>
              <w:top w:val="nil"/>
              <w:left w:val="nil"/>
              <w:bottom w:val="nil"/>
              <w:right w:val="nil"/>
            </w:tcBorders>
            <w:shd w:val="clear" w:color="000000" w:fill="FFFFFF"/>
            <w:noWrap/>
            <w:vAlign w:val="bottom"/>
            <w:hideMark/>
          </w:tcPr>
          <w:p w14:paraId="358F9B58" w14:textId="08595560" w:rsidR="00D10AFE" w:rsidRPr="00A74D23" w:rsidRDefault="00D10AFE" w:rsidP="00D10AFE">
            <w:pPr>
              <w:spacing w:line="22" w:lineRule="atLeast"/>
              <w:jc w:val="center"/>
              <w:rPr>
                <w:rFonts w:asciiTheme="minorHAnsi" w:hAnsiTheme="minorHAnsi"/>
                <w:color w:val="000000"/>
                <w:sz w:val="22"/>
                <w:szCs w:val="22"/>
              </w:rPr>
            </w:pPr>
          </w:p>
        </w:tc>
        <w:tc>
          <w:tcPr>
            <w:tcW w:w="887" w:type="dxa"/>
            <w:tcBorders>
              <w:top w:val="nil"/>
              <w:left w:val="nil"/>
              <w:bottom w:val="nil"/>
              <w:right w:val="nil"/>
            </w:tcBorders>
            <w:shd w:val="clear" w:color="000000" w:fill="FCFCFF"/>
            <w:noWrap/>
            <w:vAlign w:val="bottom"/>
            <w:hideMark/>
          </w:tcPr>
          <w:p w14:paraId="6147470C"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c>
          <w:tcPr>
            <w:tcW w:w="993" w:type="dxa"/>
            <w:tcBorders>
              <w:top w:val="nil"/>
              <w:left w:val="nil"/>
              <w:bottom w:val="nil"/>
              <w:right w:val="nil"/>
            </w:tcBorders>
            <w:shd w:val="clear" w:color="000000" w:fill="FBD0D3"/>
            <w:noWrap/>
            <w:vAlign w:val="bottom"/>
            <w:hideMark/>
          </w:tcPr>
          <w:p w14:paraId="067D8D86"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2,0</w:t>
            </w:r>
          </w:p>
        </w:tc>
        <w:tc>
          <w:tcPr>
            <w:tcW w:w="992" w:type="dxa"/>
            <w:tcBorders>
              <w:top w:val="nil"/>
              <w:left w:val="nil"/>
              <w:bottom w:val="nil"/>
              <w:right w:val="nil"/>
            </w:tcBorders>
            <w:shd w:val="clear" w:color="000000" w:fill="FCFCFF"/>
            <w:noWrap/>
            <w:vAlign w:val="bottom"/>
            <w:hideMark/>
          </w:tcPr>
          <w:p w14:paraId="19AB1251"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c>
          <w:tcPr>
            <w:tcW w:w="992" w:type="dxa"/>
            <w:tcBorders>
              <w:top w:val="nil"/>
              <w:left w:val="nil"/>
              <w:bottom w:val="nil"/>
              <w:right w:val="nil"/>
            </w:tcBorders>
            <w:shd w:val="clear" w:color="000000" w:fill="FCFCFF"/>
            <w:noWrap/>
            <w:vAlign w:val="bottom"/>
            <w:hideMark/>
          </w:tcPr>
          <w:p w14:paraId="52EA6F96"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c>
          <w:tcPr>
            <w:tcW w:w="981" w:type="dxa"/>
            <w:tcBorders>
              <w:top w:val="nil"/>
              <w:left w:val="nil"/>
              <w:bottom w:val="nil"/>
              <w:right w:val="nil"/>
            </w:tcBorders>
            <w:shd w:val="clear" w:color="000000" w:fill="FCEEF1"/>
            <w:noWrap/>
            <w:vAlign w:val="bottom"/>
            <w:hideMark/>
          </w:tcPr>
          <w:p w14:paraId="06C7B63F"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1,3</w:t>
            </w:r>
          </w:p>
        </w:tc>
        <w:tc>
          <w:tcPr>
            <w:tcW w:w="914" w:type="dxa"/>
            <w:tcBorders>
              <w:top w:val="nil"/>
              <w:left w:val="nil"/>
              <w:bottom w:val="nil"/>
              <w:right w:val="nil"/>
            </w:tcBorders>
            <w:shd w:val="clear" w:color="000000" w:fill="FCFCFF"/>
            <w:noWrap/>
            <w:vAlign w:val="bottom"/>
            <w:hideMark/>
          </w:tcPr>
          <w:p w14:paraId="36A73FD1"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r>
      <w:tr w:rsidR="00D10AFE" w:rsidRPr="00A74D23" w14:paraId="4DE7E7B7" w14:textId="77777777" w:rsidTr="000147A6">
        <w:trPr>
          <w:trHeight w:val="407"/>
        </w:trPr>
        <w:tc>
          <w:tcPr>
            <w:tcW w:w="1569" w:type="dxa"/>
            <w:tcBorders>
              <w:top w:val="nil"/>
              <w:left w:val="nil"/>
              <w:bottom w:val="nil"/>
              <w:right w:val="dashed" w:sz="4" w:space="0" w:color="auto"/>
            </w:tcBorders>
            <w:noWrap/>
            <w:vAlign w:val="center"/>
            <w:hideMark/>
          </w:tcPr>
          <w:p w14:paraId="6A2F409C" w14:textId="62E1A8CC" w:rsidR="00D10AFE" w:rsidRPr="00A74D23" w:rsidRDefault="00D10AFE" w:rsidP="00D10AFE">
            <w:pPr>
              <w:spacing w:line="22" w:lineRule="atLeast"/>
              <w:jc w:val="center"/>
              <w:rPr>
                <w:rFonts w:asciiTheme="minorHAnsi" w:hAnsiTheme="minorHAnsi"/>
                <w:color w:val="000000"/>
                <w:sz w:val="16"/>
                <w:szCs w:val="16"/>
              </w:rPr>
            </w:pPr>
            <w:r w:rsidRPr="00A74D23">
              <w:rPr>
                <w:rFonts w:asciiTheme="minorHAnsi" w:hAnsiTheme="minorHAnsi" w:cs="Calibri"/>
                <w:color w:val="000000"/>
                <w:sz w:val="16"/>
                <w:szCs w:val="16"/>
              </w:rPr>
              <w:t>Matériel technologique</w:t>
            </w:r>
          </w:p>
        </w:tc>
        <w:tc>
          <w:tcPr>
            <w:tcW w:w="1125" w:type="dxa"/>
            <w:tcBorders>
              <w:top w:val="nil"/>
              <w:left w:val="nil"/>
              <w:bottom w:val="nil"/>
              <w:right w:val="nil"/>
            </w:tcBorders>
            <w:shd w:val="clear" w:color="000000" w:fill="FBD6D8"/>
            <w:noWrap/>
            <w:vAlign w:val="bottom"/>
            <w:hideMark/>
          </w:tcPr>
          <w:p w14:paraId="31CE8886"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1,9</w:t>
            </w:r>
          </w:p>
        </w:tc>
        <w:tc>
          <w:tcPr>
            <w:tcW w:w="1275" w:type="dxa"/>
            <w:tcBorders>
              <w:top w:val="nil"/>
              <w:left w:val="nil"/>
              <w:bottom w:val="nil"/>
              <w:right w:val="nil"/>
            </w:tcBorders>
            <w:shd w:val="clear" w:color="000000" w:fill="FFFFFF"/>
            <w:noWrap/>
            <w:vAlign w:val="bottom"/>
            <w:hideMark/>
          </w:tcPr>
          <w:p w14:paraId="5B584D14" w14:textId="662CF387" w:rsidR="00D10AFE" w:rsidRPr="00A74D23" w:rsidRDefault="00D10AFE" w:rsidP="00D10AFE">
            <w:pPr>
              <w:spacing w:line="22" w:lineRule="atLeast"/>
              <w:jc w:val="center"/>
              <w:rPr>
                <w:rFonts w:asciiTheme="minorHAnsi" w:hAnsiTheme="minorHAnsi"/>
                <w:color w:val="000000"/>
                <w:sz w:val="22"/>
                <w:szCs w:val="22"/>
              </w:rPr>
            </w:pPr>
          </w:p>
        </w:tc>
        <w:tc>
          <w:tcPr>
            <w:tcW w:w="993" w:type="dxa"/>
            <w:tcBorders>
              <w:top w:val="nil"/>
              <w:left w:val="nil"/>
              <w:bottom w:val="nil"/>
              <w:right w:val="nil"/>
            </w:tcBorders>
            <w:shd w:val="clear" w:color="000000" w:fill="FFFFFF"/>
            <w:noWrap/>
            <w:vAlign w:val="bottom"/>
            <w:hideMark/>
          </w:tcPr>
          <w:p w14:paraId="6591CE48" w14:textId="65876FF6" w:rsidR="00D10AFE" w:rsidRPr="00A74D23" w:rsidRDefault="00D10AFE" w:rsidP="00D10AFE">
            <w:pPr>
              <w:spacing w:line="22" w:lineRule="atLeast"/>
              <w:jc w:val="center"/>
              <w:rPr>
                <w:rFonts w:asciiTheme="minorHAnsi" w:hAnsiTheme="minorHAnsi"/>
                <w:color w:val="000000"/>
                <w:sz w:val="22"/>
                <w:szCs w:val="22"/>
              </w:rPr>
            </w:pPr>
          </w:p>
        </w:tc>
        <w:tc>
          <w:tcPr>
            <w:tcW w:w="955" w:type="dxa"/>
            <w:tcBorders>
              <w:top w:val="nil"/>
              <w:left w:val="nil"/>
              <w:bottom w:val="nil"/>
              <w:right w:val="nil"/>
            </w:tcBorders>
            <w:shd w:val="clear" w:color="000000" w:fill="FBBABC"/>
            <w:noWrap/>
            <w:vAlign w:val="bottom"/>
            <w:hideMark/>
          </w:tcPr>
          <w:p w14:paraId="25A38E14"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2,5</w:t>
            </w:r>
          </w:p>
        </w:tc>
        <w:tc>
          <w:tcPr>
            <w:tcW w:w="887" w:type="dxa"/>
            <w:tcBorders>
              <w:top w:val="nil"/>
              <w:left w:val="nil"/>
              <w:bottom w:val="nil"/>
              <w:right w:val="nil"/>
            </w:tcBorders>
            <w:shd w:val="clear" w:color="000000" w:fill="FBD0D3"/>
            <w:noWrap/>
            <w:vAlign w:val="bottom"/>
            <w:hideMark/>
          </w:tcPr>
          <w:p w14:paraId="0E8E5AA7"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2,0</w:t>
            </w:r>
          </w:p>
        </w:tc>
        <w:tc>
          <w:tcPr>
            <w:tcW w:w="993" w:type="dxa"/>
            <w:tcBorders>
              <w:top w:val="nil"/>
              <w:left w:val="nil"/>
              <w:bottom w:val="nil"/>
              <w:right w:val="nil"/>
            </w:tcBorders>
            <w:shd w:val="clear" w:color="000000" w:fill="FCE6E9"/>
            <w:noWrap/>
            <w:vAlign w:val="bottom"/>
            <w:hideMark/>
          </w:tcPr>
          <w:p w14:paraId="063873CA"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1,5</w:t>
            </w:r>
          </w:p>
        </w:tc>
        <w:tc>
          <w:tcPr>
            <w:tcW w:w="992" w:type="dxa"/>
            <w:tcBorders>
              <w:top w:val="nil"/>
              <w:left w:val="nil"/>
              <w:bottom w:val="nil"/>
              <w:right w:val="nil"/>
            </w:tcBorders>
            <w:shd w:val="clear" w:color="000000" w:fill="FCFCFF"/>
            <w:noWrap/>
            <w:vAlign w:val="bottom"/>
            <w:hideMark/>
          </w:tcPr>
          <w:p w14:paraId="3EBECBEC"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c>
          <w:tcPr>
            <w:tcW w:w="992" w:type="dxa"/>
            <w:tcBorders>
              <w:top w:val="nil"/>
              <w:left w:val="nil"/>
              <w:bottom w:val="nil"/>
              <w:right w:val="nil"/>
            </w:tcBorders>
            <w:shd w:val="clear" w:color="000000" w:fill="FAAAAC"/>
            <w:noWrap/>
            <w:vAlign w:val="bottom"/>
            <w:hideMark/>
          </w:tcPr>
          <w:p w14:paraId="38A1F7C6"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2,9</w:t>
            </w:r>
          </w:p>
        </w:tc>
        <w:tc>
          <w:tcPr>
            <w:tcW w:w="981" w:type="dxa"/>
            <w:tcBorders>
              <w:top w:val="nil"/>
              <w:left w:val="nil"/>
              <w:bottom w:val="nil"/>
              <w:right w:val="nil"/>
            </w:tcBorders>
            <w:shd w:val="clear" w:color="000000" w:fill="FCE9EC"/>
            <w:noWrap/>
            <w:vAlign w:val="bottom"/>
            <w:hideMark/>
          </w:tcPr>
          <w:p w14:paraId="38AB3501"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1,4</w:t>
            </w:r>
          </w:p>
        </w:tc>
        <w:tc>
          <w:tcPr>
            <w:tcW w:w="914" w:type="dxa"/>
            <w:tcBorders>
              <w:top w:val="nil"/>
              <w:left w:val="nil"/>
              <w:bottom w:val="nil"/>
              <w:right w:val="nil"/>
            </w:tcBorders>
            <w:shd w:val="clear" w:color="000000" w:fill="FAB0B3"/>
            <w:noWrap/>
            <w:vAlign w:val="bottom"/>
            <w:hideMark/>
          </w:tcPr>
          <w:p w14:paraId="1B1D4B8C"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2,7</w:t>
            </w:r>
          </w:p>
        </w:tc>
      </w:tr>
      <w:tr w:rsidR="00D10AFE" w:rsidRPr="00A74D23" w14:paraId="48B907BF" w14:textId="77777777" w:rsidTr="000147A6">
        <w:trPr>
          <w:trHeight w:val="407"/>
        </w:trPr>
        <w:tc>
          <w:tcPr>
            <w:tcW w:w="1569" w:type="dxa"/>
            <w:tcBorders>
              <w:top w:val="nil"/>
              <w:left w:val="nil"/>
              <w:bottom w:val="nil"/>
              <w:right w:val="dashed" w:sz="4" w:space="0" w:color="auto"/>
            </w:tcBorders>
            <w:noWrap/>
            <w:vAlign w:val="center"/>
            <w:hideMark/>
          </w:tcPr>
          <w:p w14:paraId="54B1379D" w14:textId="013BD560" w:rsidR="00D10AFE" w:rsidRPr="00A74D23" w:rsidRDefault="00D10AFE" w:rsidP="00D10AFE">
            <w:pPr>
              <w:spacing w:line="22" w:lineRule="atLeast"/>
              <w:jc w:val="center"/>
              <w:rPr>
                <w:rFonts w:asciiTheme="minorHAnsi" w:hAnsiTheme="minorHAnsi"/>
                <w:color w:val="000000"/>
                <w:sz w:val="16"/>
                <w:szCs w:val="16"/>
              </w:rPr>
            </w:pPr>
            <w:r w:rsidRPr="00A74D23">
              <w:rPr>
                <w:rFonts w:asciiTheme="minorHAnsi" w:hAnsiTheme="minorHAnsi" w:cs="Calibri"/>
                <w:color w:val="000000"/>
                <w:sz w:val="16"/>
                <w:szCs w:val="16"/>
              </w:rPr>
              <w:t>Télécommunications</w:t>
            </w:r>
          </w:p>
        </w:tc>
        <w:tc>
          <w:tcPr>
            <w:tcW w:w="1125" w:type="dxa"/>
            <w:tcBorders>
              <w:top w:val="nil"/>
              <w:left w:val="nil"/>
              <w:bottom w:val="nil"/>
              <w:right w:val="nil"/>
            </w:tcBorders>
            <w:shd w:val="clear" w:color="000000" w:fill="FCE5E8"/>
            <w:noWrap/>
            <w:vAlign w:val="bottom"/>
            <w:hideMark/>
          </w:tcPr>
          <w:p w14:paraId="2DAF5D99"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1,5</w:t>
            </w:r>
          </w:p>
        </w:tc>
        <w:tc>
          <w:tcPr>
            <w:tcW w:w="1275" w:type="dxa"/>
            <w:tcBorders>
              <w:top w:val="nil"/>
              <w:left w:val="nil"/>
              <w:bottom w:val="nil"/>
              <w:right w:val="nil"/>
            </w:tcBorders>
            <w:shd w:val="clear" w:color="000000" w:fill="FFFFFF"/>
            <w:noWrap/>
            <w:vAlign w:val="bottom"/>
            <w:hideMark/>
          </w:tcPr>
          <w:p w14:paraId="3BA68F13" w14:textId="17DF1C1E" w:rsidR="00D10AFE" w:rsidRPr="00A74D23" w:rsidRDefault="00D10AFE" w:rsidP="00D10AFE">
            <w:pPr>
              <w:spacing w:line="22" w:lineRule="atLeast"/>
              <w:jc w:val="center"/>
              <w:rPr>
                <w:rFonts w:asciiTheme="minorHAnsi" w:hAnsiTheme="minorHAnsi"/>
                <w:color w:val="000000"/>
                <w:sz w:val="22"/>
                <w:szCs w:val="22"/>
              </w:rPr>
            </w:pPr>
          </w:p>
        </w:tc>
        <w:tc>
          <w:tcPr>
            <w:tcW w:w="993" w:type="dxa"/>
            <w:tcBorders>
              <w:top w:val="nil"/>
              <w:left w:val="nil"/>
              <w:bottom w:val="nil"/>
              <w:right w:val="nil"/>
            </w:tcBorders>
            <w:shd w:val="clear" w:color="000000" w:fill="FFFFFF"/>
            <w:noWrap/>
            <w:vAlign w:val="bottom"/>
            <w:hideMark/>
          </w:tcPr>
          <w:p w14:paraId="7FCB933B" w14:textId="65466604" w:rsidR="00D10AFE" w:rsidRPr="00A74D23" w:rsidRDefault="00D10AFE" w:rsidP="00D10AFE">
            <w:pPr>
              <w:spacing w:line="22" w:lineRule="atLeast"/>
              <w:jc w:val="center"/>
              <w:rPr>
                <w:rFonts w:asciiTheme="minorHAnsi" w:hAnsiTheme="minorHAnsi"/>
                <w:color w:val="000000"/>
                <w:sz w:val="22"/>
                <w:szCs w:val="22"/>
              </w:rPr>
            </w:pPr>
          </w:p>
        </w:tc>
        <w:tc>
          <w:tcPr>
            <w:tcW w:w="955" w:type="dxa"/>
            <w:tcBorders>
              <w:top w:val="nil"/>
              <w:left w:val="nil"/>
              <w:bottom w:val="nil"/>
              <w:right w:val="nil"/>
            </w:tcBorders>
            <w:shd w:val="clear" w:color="000000" w:fill="FFFFFF"/>
            <w:noWrap/>
            <w:vAlign w:val="bottom"/>
            <w:hideMark/>
          </w:tcPr>
          <w:p w14:paraId="3FDC3BA4" w14:textId="58C48D5B" w:rsidR="00D10AFE" w:rsidRPr="00A74D23" w:rsidRDefault="00D10AFE" w:rsidP="00D10AFE">
            <w:pPr>
              <w:spacing w:line="22" w:lineRule="atLeast"/>
              <w:jc w:val="center"/>
              <w:rPr>
                <w:rFonts w:asciiTheme="minorHAnsi" w:hAnsiTheme="minorHAnsi"/>
                <w:color w:val="000000"/>
                <w:sz w:val="22"/>
                <w:szCs w:val="22"/>
              </w:rPr>
            </w:pPr>
          </w:p>
        </w:tc>
        <w:tc>
          <w:tcPr>
            <w:tcW w:w="887" w:type="dxa"/>
            <w:tcBorders>
              <w:top w:val="nil"/>
              <w:left w:val="nil"/>
              <w:bottom w:val="nil"/>
              <w:right w:val="nil"/>
            </w:tcBorders>
            <w:shd w:val="clear" w:color="000000" w:fill="FBC5C7"/>
            <w:noWrap/>
            <w:vAlign w:val="bottom"/>
            <w:hideMark/>
          </w:tcPr>
          <w:p w14:paraId="7EE8CA22"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2,3</w:t>
            </w:r>
          </w:p>
        </w:tc>
        <w:tc>
          <w:tcPr>
            <w:tcW w:w="993" w:type="dxa"/>
            <w:tcBorders>
              <w:top w:val="nil"/>
              <w:left w:val="nil"/>
              <w:bottom w:val="nil"/>
              <w:right w:val="nil"/>
            </w:tcBorders>
            <w:shd w:val="clear" w:color="000000" w:fill="FFFFFF"/>
            <w:noWrap/>
            <w:vAlign w:val="bottom"/>
            <w:hideMark/>
          </w:tcPr>
          <w:p w14:paraId="439F6619" w14:textId="076FB71A" w:rsidR="00D10AFE" w:rsidRPr="00A74D23" w:rsidRDefault="00D10AFE" w:rsidP="00D10AFE">
            <w:pPr>
              <w:spacing w:line="22" w:lineRule="atLeast"/>
              <w:jc w:val="center"/>
              <w:rPr>
                <w:rFonts w:asciiTheme="minorHAnsi" w:hAnsiTheme="minorHAnsi"/>
                <w:color w:val="000000"/>
                <w:sz w:val="22"/>
                <w:szCs w:val="22"/>
              </w:rPr>
            </w:pPr>
          </w:p>
        </w:tc>
        <w:tc>
          <w:tcPr>
            <w:tcW w:w="992" w:type="dxa"/>
            <w:tcBorders>
              <w:top w:val="nil"/>
              <w:left w:val="nil"/>
              <w:bottom w:val="nil"/>
              <w:right w:val="nil"/>
            </w:tcBorders>
            <w:shd w:val="clear" w:color="000000" w:fill="FCFCFF"/>
            <w:noWrap/>
            <w:vAlign w:val="bottom"/>
            <w:hideMark/>
          </w:tcPr>
          <w:p w14:paraId="551CAEB6"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c>
          <w:tcPr>
            <w:tcW w:w="992" w:type="dxa"/>
            <w:tcBorders>
              <w:top w:val="nil"/>
              <w:left w:val="nil"/>
              <w:bottom w:val="nil"/>
              <w:right w:val="nil"/>
            </w:tcBorders>
            <w:shd w:val="clear" w:color="000000" w:fill="FBCCCF"/>
            <w:noWrap/>
            <w:vAlign w:val="bottom"/>
            <w:hideMark/>
          </w:tcPr>
          <w:p w14:paraId="48676FF5"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2,1</w:t>
            </w:r>
          </w:p>
        </w:tc>
        <w:tc>
          <w:tcPr>
            <w:tcW w:w="981" w:type="dxa"/>
            <w:tcBorders>
              <w:top w:val="nil"/>
              <w:left w:val="nil"/>
              <w:bottom w:val="nil"/>
              <w:right w:val="nil"/>
            </w:tcBorders>
            <w:shd w:val="clear" w:color="000000" w:fill="FCEEF1"/>
            <w:noWrap/>
            <w:vAlign w:val="bottom"/>
            <w:hideMark/>
          </w:tcPr>
          <w:p w14:paraId="433EDCCD"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1,3</w:t>
            </w:r>
          </w:p>
        </w:tc>
        <w:tc>
          <w:tcPr>
            <w:tcW w:w="914" w:type="dxa"/>
            <w:tcBorders>
              <w:top w:val="nil"/>
              <w:left w:val="nil"/>
              <w:bottom w:val="nil"/>
              <w:right w:val="nil"/>
            </w:tcBorders>
            <w:shd w:val="clear" w:color="000000" w:fill="FCFCFF"/>
            <w:noWrap/>
            <w:vAlign w:val="bottom"/>
            <w:hideMark/>
          </w:tcPr>
          <w:p w14:paraId="5DA9734C"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r>
      <w:tr w:rsidR="00D10AFE" w:rsidRPr="00A74D23" w14:paraId="1361C55C" w14:textId="77777777" w:rsidTr="000147A6">
        <w:trPr>
          <w:trHeight w:val="407"/>
        </w:trPr>
        <w:tc>
          <w:tcPr>
            <w:tcW w:w="1569" w:type="dxa"/>
            <w:tcBorders>
              <w:top w:val="nil"/>
              <w:left w:val="nil"/>
              <w:bottom w:val="nil"/>
              <w:right w:val="dashed" w:sz="4" w:space="0" w:color="auto"/>
            </w:tcBorders>
            <w:noWrap/>
            <w:vAlign w:val="center"/>
            <w:hideMark/>
          </w:tcPr>
          <w:p w14:paraId="7D6AFBC1" w14:textId="06C43CA4" w:rsidR="00D10AFE" w:rsidRPr="00A74D23" w:rsidRDefault="00D10AFE" w:rsidP="00D10AFE">
            <w:pPr>
              <w:spacing w:line="22" w:lineRule="atLeast"/>
              <w:jc w:val="center"/>
              <w:rPr>
                <w:rFonts w:asciiTheme="minorHAnsi" w:hAnsiTheme="minorHAnsi"/>
                <w:color w:val="000000"/>
                <w:sz w:val="16"/>
                <w:szCs w:val="16"/>
              </w:rPr>
            </w:pPr>
            <w:r w:rsidRPr="00A74D23">
              <w:rPr>
                <w:rFonts w:asciiTheme="minorHAnsi" w:hAnsiTheme="minorHAnsi" w:cs="Calibri"/>
                <w:color w:val="000000"/>
                <w:sz w:val="16"/>
                <w:szCs w:val="16"/>
              </w:rPr>
              <w:t>Transport</w:t>
            </w:r>
          </w:p>
        </w:tc>
        <w:tc>
          <w:tcPr>
            <w:tcW w:w="1125" w:type="dxa"/>
            <w:tcBorders>
              <w:top w:val="nil"/>
              <w:left w:val="nil"/>
              <w:bottom w:val="nil"/>
              <w:right w:val="nil"/>
            </w:tcBorders>
            <w:shd w:val="clear" w:color="000000" w:fill="FBD7DA"/>
            <w:noWrap/>
            <w:vAlign w:val="bottom"/>
            <w:hideMark/>
          </w:tcPr>
          <w:p w14:paraId="0C49255C"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1,8</w:t>
            </w:r>
          </w:p>
        </w:tc>
        <w:tc>
          <w:tcPr>
            <w:tcW w:w="1275" w:type="dxa"/>
            <w:tcBorders>
              <w:top w:val="nil"/>
              <w:left w:val="nil"/>
              <w:bottom w:val="nil"/>
              <w:right w:val="nil"/>
            </w:tcBorders>
            <w:shd w:val="clear" w:color="000000" w:fill="FAA3A6"/>
            <w:noWrap/>
            <w:vAlign w:val="bottom"/>
            <w:hideMark/>
          </w:tcPr>
          <w:p w14:paraId="6D2AF2D7"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3,0</w:t>
            </w:r>
          </w:p>
        </w:tc>
        <w:tc>
          <w:tcPr>
            <w:tcW w:w="993" w:type="dxa"/>
            <w:tcBorders>
              <w:top w:val="nil"/>
              <w:left w:val="nil"/>
              <w:bottom w:val="nil"/>
              <w:right w:val="nil"/>
            </w:tcBorders>
            <w:shd w:val="clear" w:color="000000" w:fill="FFFFFF"/>
            <w:noWrap/>
            <w:vAlign w:val="bottom"/>
            <w:hideMark/>
          </w:tcPr>
          <w:p w14:paraId="23B319B1" w14:textId="63D00828" w:rsidR="00D10AFE" w:rsidRPr="00A74D23" w:rsidRDefault="00D10AFE" w:rsidP="00D10AFE">
            <w:pPr>
              <w:spacing w:line="22" w:lineRule="atLeast"/>
              <w:jc w:val="center"/>
              <w:rPr>
                <w:rFonts w:asciiTheme="minorHAnsi" w:hAnsiTheme="minorHAnsi"/>
                <w:color w:val="000000"/>
                <w:sz w:val="22"/>
                <w:szCs w:val="22"/>
              </w:rPr>
            </w:pPr>
          </w:p>
        </w:tc>
        <w:tc>
          <w:tcPr>
            <w:tcW w:w="955" w:type="dxa"/>
            <w:tcBorders>
              <w:top w:val="nil"/>
              <w:left w:val="nil"/>
              <w:bottom w:val="nil"/>
              <w:right w:val="nil"/>
            </w:tcBorders>
            <w:shd w:val="clear" w:color="000000" w:fill="FAA3A6"/>
            <w:noWrap/>
            <w:vAlign w:val="bottom"/>
            <w:hideMark/>
          </w:tcPr>
          <w:p w14:paraId="28ED713F"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3,0</w:t>
            </w:r>
          </w:p>
        </w:tc>
        <w:tc>
          <w:tcPr>
            <w:tcW w:w="887" w:type="dxa"/>
            <w:tcBorders>
              <w:top w:val="nil"/>
              <w:left w:val="nil"/>
              <w:bottom w:val="nil"/>
              <w:right w:val="nil"/>
            </w:tcBorders>
            <w:shd w:val="clear" w:color="000000" w:fill="FBCDCF"/>
            <w:noWrap/>
            <w:vAlign w:val="bottom"/>
            <w:hideMark/>
          </w:tcPr>
          <w:p w14:paraId="381E3E7A"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2,1</w:t>
            </w:r>
          </w:p>
        </w:tc>
        <w:tc>
          <w:tcPr>
            <w:tcW w:w="993" w:type="dxa"/>
            <w:tcBorders>
              <w:top w:val="nil"/>
              <w:left w:val="nil"/>
              <w:bottom w:val="nil"/>
              <w:right w:val="nil"/>
            </w:tcBorders>
            <w:shd w:val="clear" w:color="000000" w:fill="FCFCFF"/>
            <w:noWrap/>
            <w:vAlign w:val="bottom"/>
            <w:hideMark/>
          </w:tcPr>
          <w:p w14:paraId="7B4F97D2"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c>
          <w:tcPr>
            <w:tcW w:w="992" w:type="dxa"/>
            <w:tcBorders>
              <w:top w:val="nil"/>
              <w:left w:val="nil"/>
              <w:bottom w:val="nil"/>
              <w:right w:val="nil"/>
            </w:tcBorders>
            <w:shd w:val="clear" w:color="000000" w:fill="FCFCFF"/>
            <w:noWrap/>
            <w:vAlign w:val="bottom"/>
            <w:hideMark/>
          </w:tcPr>
          <w:p w14:paraId="37805AC3"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c>
          <w:tcPr>
            <w:tcW w:w="992" w:type="dxa"/>
            <w:tcBorders>
              <w:top w:val="nil"/>
              <w:left w:val="nil"/>
              <w:bottom w:val="nil"/>
              <w:right w:val="nil"/>
            </w:tcBorders>
            <w:shd w:val="clear" w:color="000000" w:fill="FBCDCF"/>
            <w:noWrap/>
            <w:vAlign w:val="bottom"/>
            <w:hideMark/>
          </w:tcPr>
          <w:p w14:paraId="5226ADE6"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2,1</w:t>
            </w:r>
          </w:p>
        </w:tc>
        <w:tc>
          <w:tcPr>
            <w:tcW w:w="981" w:type="dxa"/>
            <w:tcBorders>
              <w:top w:val="nil"/>
              <w:left w:val="nil"/>
              <w:bottom w:val="nil"/>
              <w:right w:val="nil"/>
            </w:tcBorders>
            <w:shd w:val="clear" w:color="000000" w:fill="FBC5C8"/>
            <w:noWrap/>
            <w:vAlign w:val="bottom"/>
            <w:hideMark/>
          </w:tcPr>
          <w:p w14:paraId="30EA4033"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2,2</w:t>
            </w:r>
          </w:p>
        </w:tc>
        <w:tc>
          <w:tcPr>
            <w:tcW w:w="914" w:type="dxa"/>
            <w:tcBorders>
              <w:top w:val="nil"/>
              <w:left w:val="nil"/>
              <w:bottom w:val="nil"/>
              <w:right w:val="nil"/>
            </w:tcBorders>
            <w:shd w:val="clear" w:color="000000" w:fill="FCF3F6"/>
            <w:noWrap/>
            <w:vAlign w:val="bottom"/>
            <w:hideMark/>
          </w:tcPr>
          <w:p w14:paraId="25ADB0BB"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1,2</w:t>
            </w:r>
          </w:p>
        </w:tc>
      </w:tr>
      <w:tr w:rsidR="00D10AFE" w:rsidRPr="00A74D23" w14:paraId="75515ABA" w14:textId="77777777" w:rsidTr="000147A6">
        <w:trPr>
          <w:trHeight w:val="407"/>
        </w:trPr>
        <w:tc>
          <w:tcPr>
            <w:tcW w:w="1569" w:type="dxa"/>
            <w:tcBorders>
              <w:top w:val="nil"/>
              <w:left w:val="nil"/>
              <w:bottom w:val="nil"/>
              <w:right w:val="dashed" w:sz="4" w:space="0" w:color="auto"/>
            </w:tcBorders>
            <w:noWrap/>
            <w:vAlign w:val="center"/>
            <w:hideMark/>
          </w:tcPr>
          <w:p w14:paraId="28DD2294" w14:textId="7637BE19" w:rsidR="00D10AFE" w:rsidRPr="00A74D23" w:rsidRDefault="00D10AFE" w:rsidP="00D10AFE">
            <w:pPr>
              <w:spacing w:line="22" w:lineRule="atLeast"/>
              <w:jc w:val="center"/>
              <w:rPr>
                <w:rFonts w:asciiTheme="minorHAnsi" w:hAnsiTheme="minorHAnsi"/>
                <w:color w:val="000000"/>
                <w:sz w:val="16"/>
                <w:szCs w:val="16"/>
              </w:rPr>
            </w:pPr>
            <w:r w:rsidRPr="00A74D23">
              <w:rPr>
                <w:rFonts w:asciiTheme="minorHAnsi" w:hAnsiTheme="minorHAnsi" w:cs="Calibri"/>
                <w:color w:val="000000"/>
                <w:sz w:val="16"/>
                <w:szCs w:val="16"/>
              </w:rPr>
              <w:t>Services aux collectivités</w:t>
            </w:r>
          </w:p>
        </w:tc>
        <w:tc>
          <w:tcPr>
            <w:tcW w:w="1125" w:type="dxa"/>
            <w:tcBorders>
              <w:top w:val="nil"/>
              <w:left w:val="nil"/>
              <w:bottom w:val="nil"/>
              <w:right w:val="nil"/>
            </w:tcBorders>
            <w:shd w:val="clear" w:color="000000" w:fill="FBCBCE"/>
            <w:noWrap/>
            <w:vAlign w:val="bottom"/>
            <w:hideMark/>
          </w:tcPr>
          <w:p w14:paraId="46845E88"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2,1</w:t>
            </w:r>
          </w:p>
        </w:tc>
        <w:tc>
          <w:tcPr>
            <w:tcW w:w="1275" w:type="dxa"/>
            <w:tcBorders>
              <w:top w:val="nil"/>
              <w:left w:val="nil"/>
              <w:bottom w:val="nil"/>
              <w:right w:val="nil"/>
            </w:tcBorders>
            <w:shd w:val="clear" w:color="000000" w:fill="FFFFFF"/>
            <w:noWrap/>
            <w:vAlign w:val="bottom"/>
            <w:hideMark/>
          </w:tcPr>
          <w:p w14:paraId="5F2B6E48" w14:textId="3ED5CAB6" w:rsidR="00D10AFE" w:rsidRPr="00A74D23" w:rsidRDefault="00D10AFE" w:rsidP="00D10AFE">
            <w:pPr>
              <w:spacing w:line="22" w:lineRule="atLeast"/>
              <w:jc w:val="center"/>
              <w:rPr>
                <w:rFonts w:asciiTheme="minorHAnsi" w:hAnsiTheme="minorHAnsi"/>
                <w:color w:val="000000"/>
                <w:sz w:val="22"/>
                <w:szCs w:val="22"/>
              </w:rPr>
            </w:pPr>
          </w:p>
        </w:tc>
        <w:tc>
          <w:tcPr>
            <w:tcW w:w="993" w:type="dxa"/>
            <w:tcBorders>
              <w:top w:val="nil"/>
              <w:left w:val="nil"/>
              <w:bottom w:val="nil"/>
              <w:right w:val="nil"/>
            </w:tcBorders>
            <w:shd w:val="clear" w:color="000000" w:fill="FCFCFF"/>
            <w:noWrap/>
            <w:vAlign w:val="bottom"/>
            <w:hideMark/>
          </w:tcPr>
          <w:p w14:paraId="2032A90F"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c>
          <w:tcPr>
            <w:tcW w:w="955" w:type="dxa"/>
            <w:tcBorders>
              <w:top w:val="nil"/>
              <w:left w:val="nil"/>
              <w:bottom w:val="nil"/>
              <w:right w:val="nil"/>
            </w:tcBorders>
            <w:shd w:val="clear" w:color="000000" w:fill="FAA0A2"/>
            <w:noWrap/>
            <w:vAlign w:val="bottom"/>
            <w:hideMark/>
          </w:tcPr>
          <w:p w14:paraId="528C6350"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3,1</w:t>
            </w:r>
          </w:p>
        </w:tc>
        <w:tc>
          <w:tcPr>
            <w:tcW w:w="887" w:type="dxa"/>
            <w:tcBorders>
              <w:top w:val="nil"/>
              <w:left w:val="nil"/>
              <w:bottom w:val="nil"/>
              <w:right w:val="nil"/>
            </w:tcBorders>
            <w:shd w:val="clear" w:color="000000" w:fill="FAAFB1"/>
            <w:noWrap/>
            <w:vAlign w:val="bottom"/>
            <w:hideMark/>
          </w:tcPr>
          <w:p w14:paraId="6ECADD1C"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2,8</w:t>
            </w:r>
          </w:p>
        </w:tc>
        <w:tc>
          <w:tcPr>
            <w:tcW w:w="993" w:type="dxa"/>
            <w:tcBorders>
              <w:top w:val="nil"/>
              <w:left w:val="nil"/>
              <w:bottom w:val="nil"/>
              <w:right w:val="nil"/>
            </w:tcBorders>
            <w:shd w:val="clear" w:color="000000" w:fill="FCF9FC"/>
            <w:noWrap/>
            <w:vAlign w:val="bottom"/>
            <w:hideMark/>
          </w:tcPr>
          <w:p w14:paraId="77916E55"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1,1</w:t>
            </w:r>
          </w:p>
        </w:tc>
        <w:tc>
          <w:tcPr>
            <w:tcW w:w="992" w:type="dxa"/>
            <w:tcBorders>
              <w:top w:val="nil"/>
              <w:left w:val="nil"/>
              <w:bottom w:val="nil"/>
              <w:right w:val="nil"/>
            </w:tcBorders>
            <w:shd w:val="clear" w:color="000000" w:fill="FCFCFF"/>
            <w:noWrap/>
            <w:vAlign w:val="bottom"/>
            <w:hideMark/>
          </w:tcPr>
          <w:p w14:paraId="2142BA20"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1,0</w:t>
            </w:r>
          </w:p>
        </w:tc>
        <w:tc>
          <w:tcPr>
            <w:tcW w:w="992" w:type="dxa"/>
            <w:tcBorders>
              <w:top w:val="nil"/>
              <w:left w:val="nil"/>
              <w:bottom w:val="nil"/>
              <w:right w:val="nil"/>
            </w:tcBorders>
            <w:shd w:val="clear" w:color="000000" w:fill="FAB1B3"/>
            <w:noWrap/>
            <w:vAlign w:val="bottom"/>
            <w:hideMark/>
          </w:tcPr>
          <w:p w14:paraId="17EB3239"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2,7</w:t>
            </w:r>
          </w:p>
        </w:tc>
        <w:tc>
          <w:tcPr>
            <w:tcW w:w="981" w:type="dxa"/>
            <w:tcBorders>
              <w:top w:val="nil"/>
              <w:left w:val="nil"/>
              <w:bottom w:val="nil"/>
              <w:right w:val="nil"/>
            </w:tcBorders>
            <w:shd w:val="clear" w:color="000000" w:fill="FAB0B2"/>
            <w:noWrap/>
            <w:vAlign w:val="bottom"/>
            <w:hideMark/>
          </w:tcPr>
          <w:p w14:paraId="34F26AF5"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2,7</w:t>
            </w:r>
          </w:p>
        </w:tc>
        <w:tc>
          <w:tcPr>
            <w:tcW w:w="914" w:type="dxa"/>
            <w:tcBorders>
              <w:top w:val="nil"/>
              <w:left w:val="nil"/>
              <w:bottom w:val="nil"/>
              <w:right w:val="nil"/>
            </w:tcBorders>
            <w:shd w:val="clear" w:color="000000" w:fill="F98688"/>
            <w:noWrap/>
            <w:vAlign w:val="bottom"/>
            <w:hideMark/>
          </w:tcPr>
          <w:p w14:paraId="52FDFFF6" w14:textId="77777777" w:rsidR="00D10AFE" w:rsidRPr="00A74D23" w:rsidRDefault="00D10AFE" w:rsidP="00D10AFE">
            <w:pPr>
              <w:spacing w:line="22" w:lineRule="atLeast"/>
              <w:jc w:val="center"/>
              <w:rPr>
                <w:rFonts w:asciiTheme="minorHAnsi" w:hAnsiTheme="minorHAnsi"/>
                <w:color w:val="000000"/>
                <w:sz w:val="22"/>
                <w:szCs w:val="22"/>
              </w:rPr>
            </w:pPr>
            <w:r w:rsidRPr="00A74D23">
              <w:rPr>
                <w:rFonts w:asciiTheme="minorHAnsi" w:hAnsiTheme="minorHAnsi"/>
                <w:color w:val="000000"/>
                <w:sz w:val="22"/>
                <w:szCs w:val="22"/>
              </w:rPr>
              <w:t>3,7</w:t>
            </w:r>
          </w:p>
        </w:tc>
      </w:tr>
    </w:tbl>
    <w:p w14:paraId="092EA20C" w14:textId="77777777" w:rsidR="0065039E" w:rsidRPr="00A74D23" w:rsidRDefault="0065039E" w:rsidP="009D6EE5">
      <w:pPr>
        <w:pStyle w:val="Style5"/>
        <w:numPr>
          <w:ilvl w:val="0"/>
          <w:numId w:val="0"/>
        </w:numPr>
        <w:spacing w:line="22" w:lineRule="atLeast"/>
        <w:jc w:val="both"/>
        <w:rPr>
          <w:sz w:val="18"/>
          <w:szCs w:val="18"/>
        </w:rPr>
      </w:pPr>
    </w:p>
    <w:p w14:paraId="0FB27415" w14:textId="77777777" w:rsidR="0065039E" w:rsidRPr="00A74D23" w:rsidRDefault="0065039E" w:rsidP="009D6EE5">
      <w:pPr>
        <w:pStyle w:val="Style5"/>
        <w:numPr>
          <w:ilvl w:val="0"/>
          <w:numId w:val="0"/>
        </w:numPr>
        <w:spacing w:line="22" w:lineRule="atLeast"/>
        <w:jc w:val="both"/>
        <w:rPr>
          <w:sz w:val="18"/>
          <w:szCs w:val="18"/>
        </w:rPr>
      </w:pPr>
    </w:p>
    <w:p w14:paraId="107D9669" w14:textId="79F25556" w:rsidR="00F9452B" w:rsidRPr="00A74D23" w:rsidRDefault="00D50CD1" w:rsidP="009D6EE5">
      <w:pPr>
        <w:pStyle w:val="Style5"/>
        <w:numPr>
          <w:ilvl w:val="0"/>
          <w:numId w:val="0"/>
        </w:numPr>
        <w:spacing w:line="22" w:lineRule="atLeast"/>
        <w:jc w:val="both"/>
        <w:rPr>
          <w:i/>
          <w:iCs/>
          <w:sz w:val="18"/>
          <w:szCs w:val="18"/>
        </w:rPr>
      </w:pPr>
      <w:r w:rsidRPr="00A74D23">
        <w:rPr>
          <w:i/>
          <w:iCs/>
          <w:sz w:val="18"/>
          <w:szCs w:val="18"/>
        </w:rPr>
        <w:t xml:space="preserve">Source : ENCORE </w:t>
      </w:r>
    </w:p>
    <w:p w14:paraId="349F14BD" w14:textId="5D24917A" w:rsidR="00DE3313" w:rsidRPr="00A74D23" w:rsidRDefault="00DE3313" w:rsidP="009D6EE5">
      <w:pPr>
        <w:pStyle w:val="Style5"/>
        <w:numPr>
          <w:ilvl w:val="0"/>
          <w:numId w:val="0"/>
        </w:numPr>
        <w:spacing w:line="22" w:lineRule="atLeast"/>
        <w:jc w:val="both"/>
        <w:rPr>
          <w:i/>
          <w:iCs/>
          <w:sz w:val="18"/>
          <w:szCs w:val="18"/>
        </w:rPr>
      </w:pPr>
      <w:r w:rsidRPr="00A74D23">
        <w:rPr>
          <w:i/>
          <w:iCs/>
          <w:sz w:val="18"/>
          <w:szCs w:val="18"/>
        </w:rPr>
        <w:t xml:space="preserve">Mix de GICS 2 et GICS 4 </w:t>
      </w:r>
    </w:p>
    <w:p w14:paraId="5BDF2253" w14:textId="353E7E3C" w:rsidR="009C45B7" w:rsidRPr="00A74D23" w:rsidRDefault="009C45B7" w:rsidP="009D6EE5">
      <w:pPr>
        <w:pStyle w:val="Style5"/>
        <w:numPr>
          <w:ilvl w:val="0"/>
          <w:numId w:val="0"/>
        </w:numPr>
        <w:spacing w:line="22" w:lineRule="atLeast"/>
        <w:jc w:val="both"/>
        <w:rPr>
          <w:i/>
          <w:iCs/>
          <w:sz w:val="18"/>
          <w:szCs w:val="18"/>
        </w:rPr>
      </w:pPr>
      <w:r w:rsidRPr="00A74D23">
        <w:rPr>
          <w:i/>
          <w:iCs/>
          <w:sz w:val="18"/>
          <w:szCs w:val="18"/>
        </w:rPr>
        <w:t xml:space="preserve">Les cases en blanc représentent des dépendances non étudiées </w:t>
      </w:r>
    </w:p>
    <w:p w14:paraId="6C3C54D0" w14:textId="16FBA611" w:rsidR="00EA6CDB" w:rsidRPr="00A74D23" w:rsidRDefault="002F5F7C" w:rsidP="009D6EE5">
      <w:pPr>
        <w:pStyle w:val="Style5"/>
        <w:numPr>
          <w:ilvl w:val="0"/>
          <w:numId w:val="0"/>
        </w:numPr>
        <w:spacing w:line="22" w:lineRule="atLeast"/>
        <w:jc w:val="both"/>
        <w:rPr>
          <w:i/>
          <w:iCs/>
          <w:sz w:val="18"/>
          <w:szCs w:val="18"/>
        </w:rPr>
      </w:pPr>
      <w:r w:rsidRPr="00A74D23">
        <w:rPr>
          <w:i/>
          <w:iCs/>
          <w:sz w:val="18"/>
          <w:szCs w:val="18"/>
        </w:rPr>
        <w:t>Score /5 (5 étant le plus haut niveau de dépendance)</w:t>
      </w:r>
    </w:p>
    <w:p w14:paraId="42A78EC9" w14:textId="5BFF5B46" w:rsidR="00F9452B" w:rsidRPr="00A74D23" w:rsidRDefault="00F9452B" w:rsidP="009D6EE5">
      <w:pPr>
        <w:pStyle w:val="Style5"/>
        <w:numPr>
          <w:ilvl w:val="0"/>
          <w:numId w:val="0"/>
        </w:numPr>
        <w:spacing w:line="22" w:lineRule="atLeast"/>
        <w:jc w:val="both"/>
        <w:rPr>
          <w:sz w:val="20"/>
          <w:szCs w:val="20"/>
        </w:rPr>
      </w:pPr>
    </w:p>
    <w:p w14:paraId="107560AB" w14:textId="77777777" w:rsidR="00D10AFE" w:rsidRPr="00A74D23" w:rsidRDefault="00D10AFE" w:rsidP="009D6EE5">
      <w:pPr>
        <w:pStyle w:val="Style5"/>
        <w:numPr>
          <w:ilvl w:val="0"/>
          <w:numId w:val="0"/>
        </w:numPr>
        <w:spacing w:line="22" w:lineRule="atLeast"/>
        <w:jc w:val="both"/>
        <w:rPr>
          <w:sz w:val="20"/>
          <w:szCs w:val="20"/>
        </w:rPr>
      </w:pPr>
    </w:p>
    <w:p w14:paraId="260BE3F9" w14:textId="77777777" w:rsidR="00B04D34" w:rsidRPr="00A74D23" w:rsidRDefault="009C45B7" w:rsidP="009D6EE5">
      <w:pPr>
        <w:pStyle w:val="Style5"/>
        <w:numPr>
          <w:ilvl w:val="0"/>
          <w:numId w:val="0"/>
        </w:numPr>
        <w:spacing w:line="22" w:lineRule="atLeast"/>
        <w:jc w:val="both"/>
        <w:rPr>
          <w:sz w:val="20"/>
          <w:szCs w:val="20"/>
        </w:rPr>
      </w:pPr>
      <w:r w:rsidRPr="00A74D23">
        <w:rPr>
          <w:sz w:val="20"/>
          <w:szCs w:val="20"/>
        </w:rPr>
        <w:t xml:space="preserve">Sur leurs opérations directes, certaines activités sont plus dépendantes </w:t>
      </w:r>
      <w:r w:rsidR="001E7788" w:rsidRPr="00A74D23">
        <w:rPr>
          <w:sz w:val="20"/>
          <w:szCs w:val="20"/>
        </w:rPr>
        <w:t xml:space="preserve">de la biodiversité </w:t>
      </w:r>
      <w:r w:rsidRPr="00A74D23">
        <w:rPr>
          <w:sz w:val="20"/>
          <w:szCs w:val="20"/>
        </w:rPr>
        <w:t xml:space="preserve">que d’autres, notamment </w:t>
      </w:r>
      <w:r w:rsidR="00B04D34" w:rsidRPr="00A74D23">
        <w:rPr>
          <w:sz w:val="20"/>
          <w:szCs w:val="20"/>
        </w:rPr>
        <w:t xml:space="preserve">2 secteurs qui ressortent particulièrement : </w:t>
      </w:r>
    </w:p>
    <w:p w14:paraId="1090D5B2" w14:textId="22AFC384" w:rsidR="00B04D34" w:rsidRPr="00A74D23" w:rsidRDefault="00DE3313" w:rsidP="00590DD1">
      <w:pPr>
        <w:pStyle w:val="Style5"/>
        <w:numPr>
          <w:ilvl w:val="4"/>
          <w:numId w:val="116"/>
        </w:numPr>
        <w:spacing w:line="22" w:lineRule="atLeast"/>
        <w:jc w:val="both"/>
        <w:rPr>
          <w:sz w:val="20"/>
          <w:szCs w:val="20"/>
          <w:lang w:val="en-US"/>
        </w:rPr>
      </w:pPr>
      <w:r w:rsidRPr="00A74D23">
        <w:rPr>
          <w:sz w:val="20"/>
          <w:szCs w:val="20"/>
          <w:lang w:val="en-US"/>
        </w:rPr>
        <w:t>Food, Beverages &amp; Tobacco</w:t>
      </w:r>
    </w:p>
    <w:p w14:paraId="6747B3E1" w14:textId="6807FC73" w:rsidR="00B95A9E" w:rsidRPr="00E71330" w:rsidRDefault="00D953C9" w:rsidP="00E71330">
      <w:pPr>
        <w:pStyle w:val="Style5"/>
        <w:numPr>
          <w:ilvl w:val="4"/>
          <w:numId w:val="116"/>
        </w:numPr>
        <w:spacing w:line="22" w:lineRule="atLeast"/>
        <w:jc w:val="both"/>
        <w:rPr>
          <w:sz w:val="20"/>
          <w:szCs w:val="20"/>
          <w:lang w:val="en-US"/>
        </w:rPr>
      </w:pPr>
      <w:r w:rsidRPr="00A74D23">
        <w:rPr>
          <w:sz w:val="20"/>
          <w:szCs w:val="20"/>
          <w:lang w:val="en-US"/>
        </w:rPr>
        <w:t>Pharmaceuticals &amp; biotechnology</w:t>
      </w:r>
    </w:p>
    <w:p w14:paraId="7D363BAF" w14:textId="77777777" w:rsidR="00B95A9E" w:rsidRDefault="00B95A9E" w:rsidP="009D6EE5">
      <w:pPr>
        <w:pStyle w:val="Style5"/>
        <w:numPr>
          <w:ilvl w:val="0"/>
          <w:numId w:val="0"/>
        </w:numPr>
        <w:spacing w:line="22" w:lineRule="atLeast"/>
        <w:ind w:left="851"/>
        <w:jc w:val="both"/>
        <w:rPr>
          <w:sz w:val="20"/>
          <w:szCs w:val="20"/>
          <w:lang w:val="en-US"/>
        </w:rPr>
      </w:pPr>
    </w:p>
    <w:p w14:paraId="111BA72B" w14:textId="77777777" w:rsidR="009E2211" w:rsidRDefault="009E2211" w:rsidP="00E71330">
      <w:pPr>
        <w:pStyle w:val="Style5"/>
        <w:numPr>
          <w:ilvl w:val="0"/>
          <w:numId w:val="0"/>
        </w:numPr>
        <w:spacing w:line="22" w:lineRule="atLeast"/>
        <w:jc w:val="both"/>
        <w:rPr>
          <w:sz w:val="20"/>
          <w:szCs w:val="20"/>
          <w:lang w:val="en-US"/>
        </w:rPr>
      </w:pPr>
    </w:p>
    <w:p w14:paraId="3E49F54D" w14:textId="77777777" w:rsidR="009E2211" w:rsidRDefault="009E2211" w:rsidP="009D6EE5">
      <w:pPr>
        <w:pStyle w:val="Style5"/>
        <w:numPr>
          <w:ilvl w:val="0"/>
          <w:numId w:val="0"/>
        </w:numPr>
        <w:spacing w:line="22" w:lineRule="atLeast"/>
        <w:ind w:left="851"/>
        <w:jc w:val="both"/>
        <w:rPr>
          <w:sz w:val="20"/>
          <w:szCs w:val="20"/>
          <w:lang w:val="en-US"/>
        </w:rPr>
      </w:pPr>
    </w:p>
    <w:p w14:paraId="5E16D7F5" w14:textId="77777777" w:rsidR="009E2211" w:rsidRDefault="009E2211" w:rsidP="009D6EE5">
      <w:pPr>
        <w:pStyle w:val="Style5"/>
        <w:numPr>
          <w:ilvl w:val="0"/>
          <w:numId w:val="0"/>
        </w:numPr>
        <w:spacing w:line="22" w:lineRule="atLeast"/>
        <w:ind w:left="851"/>
        <w:jc w:val="both"/>
        <w:rPr>
          <w:sz w:val="20"/>
          <w:szCs w:val="20"/>
          <w:lang w:val="en-US"/>
        </w:rPr>
      </w:pPr>
    </w:p>
    <w:p w14:paraId="0085691F" w14:textId="77777777" w:rsidR="009E2211" w:rsidRPr="00A74D23" w:rsidRDefault="009E2211" w:rsidP="009D6EE5">
      <w:pPr>
        <w:pStyle w:val="Style5"/>
        <w:numPr>
          <w:ilvl w:val="0"/>
          <w:numId w:val="0"/>
        </w:numPr>
        <w:spacing w:line="22" w:lineRule="atLeast"/>
        <w:ind w:left="851"/>
        <w:jc w:val="both"/>
        <w:rPr>
          <w:sz w:val="20"/>
          <w:szCs w:val="20"/>
          <w:lang w:val="en-US"/>
        </w:rPr>
      </w:pPr>
    </w:p>
    <w:p w14:paraId="339706A7" w14:textId="33905C83" w:rsidR="00512D73" w:rsidRDefault="002A6305" w:rsidP="00B95A9E">
      <w:pPr>
        <w:pStyle w:val="Style5"/>
        <w:numPr>
          <w:ilvl w:val="0"/>
          <w:numId w:val="0"/>
        </w:numPr>
        <w:spacing w:line="22" w:lineRule="atLeast"/>
        <w:jc w:val="both"/>
        <w:rPr>
          <w:b/>
          <w:bCs/>
          <w:sz w:val="24"/>
          <w:szCs w:val="24"/>
        </w:rPr>
      </w:pPr>
      <w:r w:rsidRPr="00A74D23">
        <w:rPr>
          <w:b/>
          <w:bCs/>
          <w:sz w:val="24"/>
          <w:szCs w:val="24"/>
        </w:rPr>
        <w:t xml:space="preserve">Niveau de dépendance à la biodiversité par secteur – </w:t>
      </w:r>
      <w:r w:rsidR="009A0B45" w:rsidRPr="00A74D23">
        <w:rPr>
          <w:b/>
          <w:bCs/>
          <w:sz w:val="24"/>
          <w:szCs w:val="24"/>
        </w:rPr>
        <w:t>Ofi Invest AM</w:t>
      </w:r>
    </w:p>
    <w:p w14:paraId="73C9D7CC" w14:textId="77777777" w:rsidR="00C551E9" w:rsidRPr="00A74D23" w:rsidRDefault="00C551E9" w:rsidP="00B95A9E">
      <w:pPr>
        <w:pStyle w:val="Style5"/>
        <w:numPr>
          <w:ilvl w:val="0"/>
          <w:numId w:val="0"/>
        </w:numPr>
        <w:spacing w:line="22" w:lineRule="atLeast"/>
        <w:jc w:val="both"/>
        <w:rPr>
          <w:b/>
          <w:bCs/>
          <w:sz w:val="24"/>
          <w:szCs w:val="24"/>
        </w:rPr>
      </w:pPr>
    </w:p>
    <w:p w14:paraId="561C87C7" w14:textId="224A8982" w:rsidR="00EA1A93" w:rsidRDefault="00495330" w:rsidP="009D6EE5">
      <w:pPr>
        <w:pStyle w:val="Style5"/>
        <w:numPr>
          <w:ilvl w:val="0"/>
          <w:numId w:val="0"/>
        </w:numPr>
        <w:spacing w:line="22" w:lineRule="atLeast"/>
        <w:jc w:val="both"/>
        <w:rPr>
          <w:sz w:val="20"/>
          <w:szCs w:val="20"/>
        </w:rPr>
      </w:pPr>
      <w:r w:rsidRPr="00A74D23">
        <w:rPr>
          <w:sz w:val="20"/>
          <w:szCs w:val="20"/>
        </w:rPr>
        <w:t>Ofi</w:t>
      </w:r>
      <w:r w:rsidR="008E646F" w:rsidRPr="00A74D23">
        <w:rPr>
          <w:sz w:val="20"/>
          <w:szCs w:val="20"/>
        </w:rPr>
        <w:t xml:space="preserve"> Invest AM a développé un indicateur de dépendance fondé sur la base de données en libre accès ENCORE, qui recense, pour une nomenclature d’activités économiques, le nombre et le niveau d’intensité des dépendances aux services écosystémiques. Lorsqu’une activité exercée par une entreprise en portefeuille présente un niveau de dépendance jugé critique</w:t>
      </w:r>
      <w:r w:rsidR="009016E9" w:rsidRPr="00A74D23">
        <w:rPr>
          <w:sz w:val="20"/>
          <w:szCs w:val="20"/>
        </w:rPr>
        <w:t xml:space="preserve">, </w:t>
      </w:r>
      <w:r w:rsidR="008E646F" w:rsidRPr="00A74D23">
        <w:rPr>
          <w:sz w:val="20"/>
          <w:szCs w:val="20"/>
        </w:rPr>
        <w:t>correspondant au niveau « très fortement dépendant » selon l’échelle de matérialité d’ENCORE</w:t>
      </w:r>
      <w:r w:rsidR="00EA1A93" w:rsidRPr="00A74D23">
        <w:rPr>
          <w:sz w:val="20"/>
          <w:szCs w:val="20"/>
        </w:rPr>
        <w:t xml:space="preserve">, </w:t>
      </w:r>
      <w:r w:rsidR="008E646F" w:rsidRPr="00A74D23">
        <w:rPr>
          <w:sz w:val="20"/>
          <w:szCs w:val="20"/>
        </w:rPr>
        <w:t>le Critical Dependency Score (CDS) de cette activité est fixé à 100 % (et à 0 % dans le cas contraire). Le CDS de l’entreprise est ensuite calculé comme la somme pondérée des CDS de chacune de ses activités, en fonction de leur poids relatif. Pour chaque émetteur, l’analyse des dépendances est menée séparément pour les activités de production et pour la chaîne d’approvisionnement. Ces indicateurs reposent sur l’agrégation des dépendances critiques associées aux 21 services écosystémiques évalués par Carbon4 Finance.</w:t>
      </w:r>
      <w:r w:rsidR="00E0067F" w:rsidRPr="00A74D23">
        <w:rPr>
          <w:sz w:val="20"/>
          <w:szCs w:val="20"/>
        </w:rPr>
        <w:t xml:space="preserve"> </w:t>
      </w:r>
      <w:r w:rsidR="008E646F" w:rsidRPr="00A74D23">
        <w:rPr>
          <w:sz w:val="20"/>
          <w:szCs w:val="20"/>
        </w:rPr>
        <w:t>L’indice de référence utilisé pour l’année 202</w:t>
      </w:r>
      <w:r w:rsidR="009B57EC" w:rsidRPr="00A74D23">
        <w:rPr>
          <w:sz w:val="20"/>
          <w:szCs w:val="20"/>
        </w:rPr>
        <w:t>5</w:t>
      </w:r>
      <w:r w:rsidR="008E646F" w:rsidRPr="00A74D23">
        <w:rPr>
          <w:sz w:val="20"/>
          <w:szCs w:val="20"/>
        </w:rPr>
        <w:t xml:space="preserve"> est identique à celui retenu pour l’analyse des pressions : le Bank of America Merrill Lynch Euro Corporate Index, composé d’obligations </w:t>
      </w:r>
      <w:r w:rsidR="002A6305" w:rsidRPr="00A74D23">
        <w:rPr>
          <w:sz w:val="20"/>
          <w:szCs w:val="20"/>
        </w:rPr>
        <w:t>Investment</w:t>
      </w:r>
      <w:r w:rsidR="008E646F" w:rsidRPr="00A74D23">
        <w:rPr>
          <w:sz w:val="20"/>
          <w:szCs w:val="20"/>
        </w:rPr>
        <w:t xml:space="preserve"> </w:t>
      </w:r>
      <w:r w:rsidR="00E0067F" w:rsidRPr="00A74D23">
        <w:rPr>
          <w:sz w:val="20"/>
          <w:szCs w:val="20"/>
        </w:rPr>
        <w:t>grades libellés</w:t>
      </w:r>
      <w:r w:rsidR="008E646F" w:rsidRPr="00A74D23">
        <w:rPr>
          <w:sz w:val="20"/>
          <w:szCs w:val="20"/>
        </w:rPr>
        <w:t xml:space="preserve"> en euros et émises par des entreprises.</w:t>
      </w:r>
    </w:p>
    <w:p w14:paraId="1276A794" w14:textId="77777777" w:rsidR="00E71330" w:rsidRDefault="00E71330" w:rsidP="009D6EE5">
      <w:pPr>
        <w:pStyle w:val="Style5"/>
        <w:numPr>
          <w:ilvl w:val="0"/>
          <w:numId w:val="0"/>
        </w:numPr>
        <w:spacing w:line="22" w:lineRule="atLeast"/>
        <w:jc w:val="both"/>
        <w:rPr>
          <w:sz w:val="20"/>
          <w:szCs w:val="20"/>
        </w:rPr>
      </w:pPr>
    </w:p>
    <w:p w14:paraId="689623B5" w14:textId="77777777" w:rsidR="00E71330" w:rsidRDefault="00E71330" w:rsidP="009D6EE5">
      <w:pPr>
        <w:pStyle w:val="Style5"/>
        <w:numPr>
          <w:ilvl w:val="0"/>
          <w:numId w:val="0"/>
        </w:numPr>
        <w:spacing w:line="22" w:lineRule="atLeast"/>
        <w:jc w:val="both"/>
        <w:rPr>
          <w:sz w:val="20"/>
          <w:szCs w:val="20"/>
        </w:rPr>
      </w:pPr>
    </w:p>
    <w:p w14:paraId="67788B13" w14:textId="77777777" w:rsidR="00E71330" w:rsidRDefault="00E71330" w:rsidP="009D6EE5">
      <w:pPr>
        <w:pStyle w:val="Style5"/>
        <w:numPr>
          <w:ilvl w:val="0"/>
          <w:numId w:val="0"/>
        </w:numPr>
        <w:spacing w:line="22" w:lineRule="atLeast"/>
        <w:jc w:val="both"/>
        <w:rPr>
          <w:sz w:val="20"/>
          <w:szCs w:val="20"/>
        </w:rPr>
      </w:pPr>
    </w:p>
    <w:p w14:paraId="36A9AAE5" w14:textId="003669E5" w:rsidR="00E71330" w:rsidRDefault="00E71330" w:rsidP="009D6EE5">
      <w:pPr>
        <w:pStyle w:val="Style5"/>
        <w:numPr>
          <w:ilvl w:val="0"/>
          <w:numId w:val="0"/>
        </w:numPr>
        <w:spacing w:line="22" w:lineRule="atLeast"/>
        <w:jc w:val="both"/>
        <w:rPr>
          <w:sz w:val="20"/>
          <w:szCs w:val="20"/>
        </w:rPr>
      </w:pPr>
      <w:r>
        <w:rPr>
          <w:noProof/>
        </w:rPr>
        <w:drawing>
          <wp:inline distT="0" distB="0" distL="0" distR="0" wp14:anchorId="4289160A" wp14:editId="7879EFE5">
            <wp:extent cx="6300470" cy="2597150"/>
            <wp:effectExtent l="0" t="0" r="5080" b="12700"/>
            <wp:docPr id="10869586" name="Graphique 1">
              <a:extLst xmlns:a="http://schemas.openxmlformats.org/drawingml/2006/main">
                <a:ext uri="{FF2B5EF4-FFF2-40B4-BE49-F238E27FC236}">
                  <a16:creationId xmlns:a16="http://schemas.microsoft.com/office/drawing/2014/main" id="{3B4CF52C-F8CB-49E4-9256-243DEFDF58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44E234D2" w14:textId="64A469AB" w:rsidR="00D953C9" w:rsidRPr="00A74D23" w:rsidRDefault="00D953C9" w:rsidP="009D6EE5">
      <w:pPr>
        <w:pStyle w:val="Style5"/>
        <w:numPr>
          <w:ilvl w:val="0"/>
          <w:numId w:val="0"/>
        </w:numPr>
        <w:spacing w:line="22" w:lineRule="atLeast"/>
        <w:jc w:val="both"/>
        <w:rPr>
          <w:i/>
          <w:iCs/>
          <w:sz w:val="16"/>
          <w:szCs w:val="16"/>
        </w:rPr>
      </w:pPr>
      <w:r w:rsidRPr="00A74D23">
        <w:rPr>
          <w:i/>
          <w:iCs/>
          <w:sz w:val="18"/>
          <w:szCs w:val="18"/>
        </w:rPr>
        <w:t>Source :</w:t>
      </w:r>
      <w:r w:rsidRPr="00A74D23">
        <w:rPr>
          <w:sz w:val="18"/>
          <w:szCs w:val="18"/>
        </w:rPr>
        <w:t xml:space="preserve"> </w:t>
      </w:r>
      <w:r w:rsidR="00FE6C04" w:rsidRPr="00A74D23">
        <w:rPr>
          <w:i/>
          <w:iCs/>
          <w:sz w:val="18"/>
          <w:szCs w:val="18"/>
        </w:rPr>
        <w:t>Ofi Invest</w:t>
      </w:r>
      <w:r w:rsidRPr="00A74D23">
        <w:rPr>
          <w:i/>
          <w:iCs/>
          <w:sz w:val="18"/>
          <w:szCs w:val="18"/>
        </w:rPr>
        <w:t xml:space="preserve"> AM</w:t>
      </w:r>
    </w:p>
    <w:p w14:paraId="351130BC" w14:textId="5B5D930A" w:rsidR="00D953C9" w:rsidRPr="00A74D23" w:rsidRDefault="00D953C9" w:rsidP="009D6EE5">
      <w:pPr>
        <w:pStyle w:val="Style5"/>
        <w:numPr>
          <w:ilvl w:val="0"/>
          <w:numId w:val="0"/>
        </w:numPr>
        <w:spacing w:line="22" w:lineRule="atLeast"/>
        <w:jc w:val="both"/>
        <w:rPr>
          <w:i/>
          <w:iCs/>
          <w:sz w:val="18"/>
          <w:szCs w:val="18"/>
        </w:rPr>
      </w:pPr>
      <w:r w:rsidRPr="00A74D23">
        <w:rPr>
          <w:i/>
          <w:iCs/>
          <w:sz w:val="18"/>
          <w:szCs w:val="18"/>
        </w:rPr>
        <w:t xml:space="preserve">Périmètre : Abeille </w:t>
      </w:r>
      <w:r w:rsidR="00E71330">
        <w:rPr>
          <w:i/>
          <w:iCs/>
          <w:sz w:val="18"/>
          <w:szCs w:val="18"/>
        </w:rPr>
        <w:t>Retraite Professionnelle</w:t>
      </w:r>
      <w:r w:rsidRPr="00A74D23">
        <w:rPr>
          <w:i/>
          <w:iCs/>
          <w:sz w:val="18"/>
          <w:szCs w:val="18"/>
        </w:rPr>
        <w:t xml:space="preserve"> consolidé – 31/12/2025</w:t>
      </w:r>
    </w:p>
    <w:p w14:paraId="6F876AF8" w14:textId="43E8E448" w:rsidR="00D953C9" w:rsidRDefault="00D953C9" w:rsidP="009D6EE5">
      <w:pPr>
        <w:pStyle w:val="Style5"/>
        <w:numPr>
          <w:ilvl w:val="0"/>
          <w:numId w:val="0"/>
        </w:numPr>
        <w:spacing w:line="22" w:lineRule="atLeast"/>
        <w:jc w:val="both"/>
        <w:rPr>
          <w:i/>
          <w:iCs/>
          <w:sz w:val="18"/>
          <w:szCs w:val="18"/>
        </w:rPr>
      </w:pPr>
      <w:r w:rsidRPr="00A74D23">
        <w:rPr>
          <w:i/>
          <w:iCs/>
          <w:sz w:val="18"/>
          <w:szCs w:val="18"/>
        </w:rPr>
        <w:t>Taux de couverture : 9</w:t>
      </w:r>
      <w:r w:rsidR="00513D79" w:rsidRPr="00A74D23">
        <w:rPr>
          <w:i/>
          <w:iCs/>
          <w:sz w:val="18"/>
          <w:szCs w:val="18"/>
        </w:rPr>
        <w:t>0</w:t>
      </w:r>
      <w:r w:rsidRPr="00A74D23">
        <w:rPr>
          <w:i/>
          <w:iCs/>
          <w:sz w:val="18"/>
          <w:szCs w:val="18"/>
        </w:rPr>
        <w:t>%</w:t>
      </w:r>
    </w:p>
    <w:p w14:paraId="1AB22D0F" w14:textId="77777777" w:rsidR="00CB711F" w:rsidRPr="00A74D23" w:rsidRDefault="00CB711F" w:rsidP="009D6EE5">
      <w:pPr>
        <w:pStyle w:val="Style5"/>
        <w:numPr>
          <w:ilvl w:val="0"/>
          <w:numId w:val="0"/>
        </w:numPr>
        <w:spacing w:line="22" w:lineRule="atLeast"/>
        <w:jc w:val="both"/>
        <w:rPr>
          <w:i/>
          <w:iCs/>
          <w:sz w:val="18"/>
          <w:szCs w:val="18"/>
        </w:rPr>
      </w:pPr>
    </w:p>
    <w:p w14:paraId="3A04613F" w14:textId="77777777" w:rsidR="00D953C9" w:rsidRPr="00A74D23" w:rsidRDefault="00D953C9" w:rsidP="009D6EE5">
      <w:pPr>
        <w:pStyle w:val="Style5"/>
        <w:numPr>
          <w:ilvl w:val="0"/>
          <w:numId w:val="0"/>
        </w:numPr>
        <w:spacing w:line="22" w:lineRule="atLeast"/>
        <w:jc w:val="both"/>
        <w:rPr>
          <w:b/>
          <w:bCs/>
          <w:sz w:val="24"/>
          <w:szCs w:val="24"/>
        </w:rPr>
      </w:pPr>
    </w:p>
    <w:p w14:paraId="43636859" w14:textId="7805B18A" w:rsidR="00416F24" w:rsidRPr="00A74D23" w:rsidRDefault="009016E9" w:rsidP="009D6EE5">
      <w:pPr>
        <w:pStyle w:val="Style5"/>
        <w:numPr>
          <w:ilvl w:val="0"/>
          <w:numId w:val="0"/>
        </w:numPr>
        <w:spacing w:line="22" w:lineRule="atLeast"/>
        <w:jc w:val="both"/>
        <w:rPr>
          <w:sz w:val="20"/>
          <w:szCs w:val="20"/>
        </w:rPr>
      </w:pPr>
      <w:r w:rsidRPr="00A74D23">
        <w:rPr>
          <w:sz w:val="20"/>
          <w:szCs w:val="20"/>
        </w:rPr>
        <w:t xml:space="preserve">Les niveaux de dépendance sur la chaîne d’approvisionnement et production sont </w:t>
      </w:r>
      <w:r w:rsidR="002274AC" w:rsidRPr="00A74D23">
        <w:rPr>
          <w:sz w:val="20"/>
          <w:szCs w:val="20"/>
        </w:rPr>
        <w:t>en ligne avec l’an dernier</w:t>
      </w:r>
      <w:r w:rsidR="005A13BC" w:rsidRPr="00A74D23">
        <w:rPr>
          <w:sz w:val="20"/>
          <w:szCs w:val="20"/>
        </w:rPr>
        <w:t xml:space="preserve">, et légèrement moins exposé que l’indice. </w:t>
      </w:r>
    </w:p>
    <w:p w14:paraId="03AC56A1" w14:textId="77777777" w:rsidR="00EA1A93" w:rsidRPr="00A74D23" w:rsidRDefault="00EA1A93" w:rsidP="009D6EE5">
      <w:pPr>
        <w:pStyle w:val="Style5"/>
        <w:numPr>
          <w:ilvl w:val="0"/>
          <w:numId w:val="0"/>
        </w:numPr>
        <w:spacing w:line="22" w:lineRule="atLeast"/>
        <w:jc w:val="both"/>
        <w:rPr>
          <w:sz w:val="20"/>
          <w:szCs w:val="20"/>
        </w:rPr>
      </w:pPr>
    </w:p>
    <w:p w14:paraId="03AFB4E3" w14:textId="1123C092" w:rsidR="00416F24" w:rsidRDefault="00416F24" w:rsidP="009D6EE5">
      <w:pPr>
        <w:pStyle w:val="Style5"/>
        <w:numPr>
          <w:ilvl w:val="0"/>
          <w:numId w:val="0"/>
        </w:numPr>
        <w:spacing w:line="22" w:lineRule="atLeast"/>
        <w:jc w:val="both"/>
        <w:rPr>
          <w:sz w:val="20"/>
          <w:szCs w:val="20"/>
        </w:rPr>
      </w:pPr>
    </w:p>
    <w:p w14:paraId="597E8B73" w14:textId="77777777" w:rsidR="00E71330" w:rsidRDefault="00E71330" w:rsidP="009D6EE5">
      <w:pPr>
        <w:pStyle w:val="Style5"/>
        <w:numPr>
          <w:ilvl w:val="0"/>
          <w:numId w:val="0"/>
        </w:numPr>
        <w:spacing w:line="22" w:lineRule="atLeast"/>
        <w:jc w:val="both"/>
        <w:rPr>
          <w:sz w:val="20"/>
          <w:szCs w:val="20"/>
        </w:rPr>
      </w:pPr>
    </w:p>
    <w:p w14:paraId="5121CEF8" w14:textId="77777777" w:rsidR="00E71330" w:rsidRDefault="00E71330" w:rsidP="009D6EE5">
      <w:pPr>
        <w:pStyle w:val="Style5"/>
        <w:numPr>
          <w:ilvl w:val="0"/>
          <w:numId w:val="0"/>
        </w:numPr>
        <w:spacing w:line="22" w:lineRule="atLeast"/>
        <w:jc w:val="both"/>
        <w:rPr>
          <w:sz w:val="20"/>
          <w:szCs w:val="20"/>
        </w:rPr>
      </w:pPr>
    </w:p>
    <w:p w14:paraId="43E3A669" w14:textId="77777777" w:rsidR="00E71330" w:rsidRDefault="00E71330" w:rsidP="009D6EE5">
      <w:pPr>
        <w:pStyle w:val="Style5"/>
        <w:numPr>
          <w:ilvl w:val="0"/>
          <w:numId w:val="0"/>
        </w:numPr>
        <w:spacing w:line="22" w:lineRule="atLeast"/>
        <w:jc w:val="both"/>
        <w:rPr>
          <w:sz w:val="20"/>
          <w:szCs w:val="20"/>
        </w:rPr>
      </w:pPr>
    </w:p>
    <w:p w14:paraId="6923ED11" w14:textId="77777777" w:rsidR="00E71330" w:rsidRPr="00A74D23" w:rsidRDefault="00E71330" w:rsidP="009D6EE5">
      <w:pPr>
        <w:pStyle w:val="Style5"/>
        <w:numPr>
          <w:ilvl w:val="0"/>
          <w:numId w:val="0"/>
        </w:numPr>
        <w:spacing w:line="22" w:lineRule="atLeast"/>
        <w:jc w:val="both"/>
        <w:rPr>
          <w:sz w:val="20"/>
          <w:szCs w:val="20"/>
        </w:rPr>
      </w:pPr>
    </w:p>
    <w:p w14:paraId="06BB2409" w14:textId="6EE4E8E0" w:rsidR="00416F24" w:rsidRPr="00A74D23" w:rsidRDefault="00416F24" w:rsidP="009D6EE5">
      <w:pPr>
        <w:pStyle w:val="Style1"/>
        <w:numPr>
          <w:ilvl w:val="0"/>
          <w:numId w:val="0"/>
        </w:numPr>
        <w:tabs>
          <w:tab w:val="clear" w:pos="2010"/>
          <w:tab w:val="left" w:pos="1134"/>
        </w:tabs>
        <w:spacing w:line="22" w:lineRule="atLeast"/>
        <w:jc w:val="both"/>
        <w:rPr>
          <w:rFonts w:cs="Open Sans"/>
          <w:i w:val="0"/>
          <w:color w:val="auto"/>
          <w:sz w:val="20"/>
        </w:rPr>
      </w:pPr>
      <w:r w:rsidRPr="00A74D23">
        <w:rPr>
          <w:rFonts w:cs="Open Sans"/>
          <w:noProof/>
        </w:rPr>
        <mc:AlternateContent>
          <mc:Choice Requires="wps">
            <w:drawing>
              <wp:anchor distT="0" distB="0" distL="114300" distR="114300" simplePos="0" relativeHeight="251463680" behindDoc="0" locked="0" layoutInCell="1" allowOverlap="1" wp14:anchorId="3B0C0904" wp14:editId="4A814424">
                <wp:simplePos x="0" y="0"/>
                <wp:positionH relativeFrom="margin">
                  <wp:posOffset>1655146</wp:posOffset>
                </wp:positionH>
                <wp:positionV relativeFrom="paragraph">
                  <wp:posOffset>5640</wp:posOffset>
                </wp:positionV>
                <wp:extent cx="2667635" cy="356646"/>
                <wp:effectExtent l="0" t="0" r="0" b="5715"/>
                <wp:wrapNone/>
                <wp:docPr id="752527705" name="Rectangle : coins arrondis 752527705"/>
                <wp:cNvGraphicFramePr/>
                <a:graphic xmlns:a="http://schemas.openxmlformats.org/drawingml/2006/main">
                  <a:graphicData uri="http://schemas.microsoft.com/office/word/2010/wordprocessingShape">
                    <wps:wsp>
                      <wps:cNvSpPr/>
                      <wps:spPr>
                        <a:xfrm>
                          <a:off x="0" y="0"/>
                          <a:ext cx="2667635" cy="356646"/>
                        </a:xfrm>
                        <a:prstGeom prst="roundRect">
                          <a:avLst>
                            <a:gd name="adj" fmla="val 0"/>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364AF3" w14:textId="77777777" w:rsidR="00416F24" w:rsidRPr="00AB3F01" w:rsidRDefault="00416F24" w:rsidP="00416F24">
                            <w:pPr>
                              <w:jc w:val="center"/>
                              <w:rPr>
                                <w:b/>
                                <w:bCs/>
                                <w:color w:val="000000" w:themeColor="text1"/>
                                <w:sz w:val="36"/>
                                <w:szCs w:val="36"/>
                              </w:rPr>
                            </w:pPr>
                            <w:r w:rsidRPr="00AB3F01">
                              <w:rPr>
                                <w:rFonts w:ascii="Source Sans Pro" w:hAnsi="Source Sans Pro"/>
                                <w:b/>
                                <w:bCs/>
                                <w:color w:val="000000" w:themeColor="text1"/>
                                <w:sz w:val="32"/>
                                <w:szCs w:val="32"/>
                              </w:rPr>
                              <w:t>En conclusion</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0C0904" id="Rectangle : coins arrondis 752527705" o:spid="_x0000_s1172" style="position:absolute;left:0;text-align:left;margin-left:130.35pt;margin-top:.45pt;width:210.05pt;height:28.1pt;z-index:25146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" fillcolor="#ffc000" stroked="f" strokeweight="1pt">
                <v:stroke joinstyle="miter"/>
                <v:textbox inset="2.5mm,1mm,2.5mm,1mm">
                  <w:txbxContent>
                    <w:p w14:paraId="49364AF3" w14:textId="77777777" w:rsidR="00416F24" w:rsidRPr="00AB3F01" w:rsidRDefault="00416F24" w:rsidP="00416F24">
                      <w:pPr>
                        <w:jc w:val="center"/>
                        <w:rPr>
                          <w:b/>
                          <w:bCs/>
                          <w:color w:val="000000" w:themeColor="text1"/>
                          <w:sz w:val="36"/>
                          <w:szCs w:val="36"/>
                        </w:rPr>
                      </w:pPr>
                      <w:r w:rsidRPr="00AB3F01">
                        <w:rPr>
                          <w:rFonts w:ascii="Source Sans Pro" w:hAnsi="Source Sans Pro"/>
                          <w:b/>
                          <w:bCs/>
                          <w:color w:val="000000" w:themeColor="text1"/>
                          <w:sz w:val="32"/>
                          <w:szCs w:val="32"/>
                        </w:rPr>
                        <w:t>En conclusion</w:t>
                      </w:r>
                    </w:p>
                  </w:txbxContent>
                </v:textbox>
                <w10:wrap anchorx="margin"/>
              </v:roundrect>
            </w:pict>
          </mc:Fallback>
        </mc:AlternateContent>
      </w:r>
      <w:r w:rsidRPr="00A74D23">
        <w:rPr>
          <w:rFonts w:eastAsia="Calibri" w:cs="Open Sans"/>
          <w:i w:val="0"/>
          <w:iCs w:val="0"/>
          <w:noProof/>
          <w:sz w:val="20"/>
          <w:szCs w:val="20"/>
        </w:rPr>
        <mc:AlternateContent>
          <mc:Choice Requires="wpg">
            <w:drawing>
              <wp:anchor distT="0" distB="0" distL="114300" distR="114300" simplePos="0" relativeHeight="251461632" behindDoc="0" locked="0" layoutInCell="1" allowOverlap="1" wp14:anchorId="6105CADE" wp14:editId="44E9702D">
                <wp:simplePos x="0" y="0"/>
                <wp:positionH relativeFrom="margin">
                  <wp:align>left</wp:align>
                </wp:positionH>
                <wp:positionV relativeFrom="paragraph">
                  <wp:posOffset>4721</wp:posOffset>
                </wp:positionV>
                <wp:extent cx="390025" cy="281534"/>
                <wp:effectExtent l="0" t="0" r="10160" b="23495"/>
                <wp:wrapNone/>
                <wp:docPr id="318050845" name="Groupe 132"/>
                <wp:cNvGraphicFramePr/>
                <a:graphic xmlns:a="http://schemas.openxmlformats.org/drawingml/2006/main">
                  <a:graphicData uri="http://schemas.microsoft.com/office/word/2010/wordprocessingGroup">
                    <wpg:wgp>
                      <wpg:cNvGrpSpPr/>
                      <wpg:grpSpPr>
                        <a:xfrm>
                          <a:off x="0" y="0"/>
                          <a:ext cx="390025" cy="281534"/>
                          <a:chOff x="0" y="0"/>
                          <a:chExt cx="480287" cy="346688"/>
                        </a:xfrm>
                      </wpg:grpSpPr>
                      <wps:wsp>
                        <wps:cNvPr id="1489342606"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1058103181"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73E0A811" id="Groupe 132" o:spid="_x0000_s1026" style="position:absolute;margin-left:0;margin-top:.35pt;width:30.7pt;height:22.15pt;z-index:251461632;mso-position-horizontal:left;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p>
    <w:p w14:paraId="54623041" w14:textId="57DFE3EB" w:rsidR="00416F24" w:rsidRPr="00A74D23" w:rsidRDefault="00A41F9E" w:rsidP="009D6EE5">
      <w:pPr>
        <w:pStyle w:val="Style1"/>
        <w:numPr>
          <w:ilvl w:val="0"/>
          <w:numId w:val="0"/>
        </w:numPr>
        <w:tabs>
          <w:tab w:val="clear" w:pos="2010"/>
          <w:tab w:val="left" w:pos="1134"/>
        </w:tabs>
        <w:spacing w:line="22" w:lineRule="atLeast"/>
        <w:jc w:val="both"/>
        <w:rPr>
          <w:rFonts w:cs="Open Sans"/>
          <w:i w:val="0"/>
          <w:color w:val="auto"/>
          <w:sz w:val="20"/>
        </w:rPr>
      </w:pPr>
      <w:r w:rsidRPr="00A74D23">
        <w:rPr>
          <w:rFonts w:cs="Open Sans"/>
          <w:noProof/>
        </w:rPr>
        <mc:AlternateContent>
          <mc:Choice Requires="wps">
            <w:drawing>
              <wp:anchor distT="0" distB="0" distL="114300" distR="114300" simplePos="0" relativeHeight="251457536" behindDoc="0" locked="0" layoutInCell="1" allowOverlap="1" wp14:anchorId="01E754B3" wp14:editId="43379B78">
                <wp:simplePos x="0" y="0"/>
                <wp:positionH relativeFrom="margin">
                  <wp:posOffset>68185</wp:posOffset>
                </wp:positionH>
                <wp:positionV relativeFrom="paragraph">
                  <wp:posOffset>194753</wp:posOffset>
                </wp:positionV>
                <wp:extent cx="5753100" cy="2441276"/>
                <wp:effectExtent l="0" t="0" r="0" b="0"/>
                <wp:wrapNone/>
                <wp:docPr id="149525637" name="Zone de texte 149525637"/>
                <wp:cNvGraphicFramePr/>
                <a:graphic xmlns:a="http://schemas.openxmlformats.org/drawingml/2006/main">
                  <a:graphicData uri="http://schemas.microsoft.com/office/word/2010/wordprocessingShape">
                    <wps:wsp>
                      <wps:cNvSpPr txBox="1"/>
                      <wps:spPr>
                        <a:xfrm>
                          <a:off x="0" y="0"/>
                          <a:ext cx="5753100" cy="2441276"/>
                        </a:xfrm>
                        <a:prstGeom prst="rect">
                          <a:avLst/>
                        </a:prstGeom>
                        <a:solidFill>
                          <a:schemeClr val="lt1"/>
                        </a:solidFill>
                        <a:ln w="6350">
                          <a:noFill/>
                        </a:ln>
                      </wps:spPr>
                      <wps:txbx>
                        <w:txbxContent>
                          <w:p w14:paraId="4CB1491B" w14:textId="709FF510" w:rsidR="00416F24" w:rsidRDefault="00A41F9E" w:rsidP="00416F24">
                            <w:pPr>
                              <w:pStyle w:val="Style1"/>
                              <w:numPr>
                                <w:ilvl w:val="0"/>
                                <w:numId w:val="0"/>
                              </w:numPr>
                              <w:tabs>
                                <w:tab w:val="left" w:pos="426"/>
                              </w:tabs>
                              <w:jc w:val="both"/>
                              <w:rPr>
                                <w:rFonts w:ascii="Source Sans Pro" w:hAnsi="Source Sans Pro" w:cstheme="minorBidi"/>
                                <w:i w:val="0"/>
                                <w:color w:val="auto"/>
                                <w:sz w:val="20"/>
                                <w:szCs w:val="22"/>
                              </w:rPr>
                            </w:pPr>
                            <w:r w:rsidRPr="00A41F9E">
                              <w:rPr>
                                <w:rFonts w:ascii="Source Sans Pro" w:hAnsi="Source Sans Pro" w:cstheme="minorBidi"/>
                                <w:i w:val="0"/>
                                <w:color w:val="auto"/>
                                <w:sz w:val="20"/>
                                <w:szCs w:val="22"/>
                              </w:rPr>
                              <w:t xml:space="preserve">Les risques liés à la biodiversité accusent encore un retard de maturité significatif par rapport aux risques climatiques, tant sur le plan des données disponibles que des méthodologies de mesure. Face à ce constat, nos efforts doivent se concentrer en priorité sur les secteurs présentant de fortes dépendances aux écosystèmes, en particulier l'agriculture, et sur les entreprises les plus exposées, notamment via </w:t>
                            </w:r>
                            <w:r w:rsidR="003D3D7F">
                              <w:rPr>
                                <w:rFonts w:ascii="Source Sans Pro" w:hAnsi="Source Sans Pro" w:cstheme="minorBidi"/>
                                <w:i w:val="0"/>
                                <w:color w:val="auto"/>
                                <w:sz w:val="20"/>
                                <w:szCs w:val="22"/>
                              </w:rPr>
                              <w:t>l’</w:t>
                            </w:r>
                            <w:r w:rsidRPr="00A41F9E">
                              <w:rPr>
                                <w:rFonts w:ascii="Source Sans Pro" w:hAnsi="Source Sans Pro" w:cstheme="minorBidi"/>
                                <w:i w:val="0"/>
                                <w:color w:val="auto"/>
                                <w:sz w:val="20"/>
                                <w:szCs w:val="22"/>
                              </w:rPr>
                              <w:t xml:space="preserve">engagement </w:t>
                            </w:r>
                            <w:r w:rsidR="003D3D7F">
                              <w:rPr>
                                <w:rFonts w:ascii="Source Sans Pro" w:hAnsi="Source Sans Pro" w:cstheme="minorBidi"/>
                                <w:i w:val="0"/>
                                <w:color w:val="auto"/>
                                <w:sz w:val="20"/>
                                <w:szCs w:val="22"/>
                              </w:rPr>
                              <w:t xml:space="preserve">groupe </w:t>
                            </w:r>
                            <w:r w:rsidRPr="00A41F9E">
                              <w:rPr>
                                <w:rFonts w:ascii="Source Sans Pro" w:hAnsi="Source Sans Pro" w:cstheme="minorBidi"/>
                                <w:i w:val="0"/>
                                <w:color w:val="auto"/>
                                <w:sz w:val="20"/>
                                <w:szCs w:val="22"/>
                              </w:rPr>
                              <w:t>dans des initiatives telles que Nature Action 100+. Au</w:t>
                            </w:r>
                            <w:r w:rsidRPr="00A41F9E">
                              <w:rPr>
                                <w:rFonts w:ascii="Cambria Math" w:hAnsi="Cambria Math" w:cs="Cambria Math"/>
                                <w:i w:val="0"/>
                                <w:color w:val="auto"/>
                                <w:sz w:val="20"/>
                                <w:szCs w:val="22"/>
                              </w:rPr>
                              <w:t>‑</w:t>
                            </w:r>
                            <w:r w:rsidRPr="00A41F9E">
                              <w:rPr>
                                <w:rFonts w:ascii="Source Sans Pro" w:hAnsi="Source Sans Pro" w:cstheme="minorBidi"/>
                                <w:i w:val="0"/>
                                <w:color w:val="auto"/>
                                <w:sz w:val="20"/>
                                <w:szCs w:val="22"/>
                              </w:rPr>
                              <w:t>del</w:t>
                            </w:r>
                            <w:r w:rsidRPr="00A41F9E">
                              <w:rPr>
                                <w:rFonts w:ascii="Source Sans Pro" w:hAnsi="Source Sans Pro" w:cs="Source Sans Pro"/>
                                <w:i w:val="0"/>
                                <w:color w:val="auto"/>
                                <w:sz w:val="20"/>
                                <w:szCs w:val="22"/>
                              </w:rPr>
                              <w:t>à</w:t>
                            </w:r>
                            <w:r w:rsidRPr="00A41F9E">
                              <w:rPr>
                                <w:rFonts w:ascii="Source Sans Pro" w:hAnsi="Source Sans Pro" w:cstheme="minorBidi"/>
                                <w:i w:val="0"/>
                                <w:color w:val="auto"/>
                                <w:sz w:val="20"/>
                                <w:szCs w:val="22"/>
                              </w:rPr>
                              <w:t xml:space="preserve"> de cette priorisation sectorielle, il est désormais impératif de faire converger les politiques climat et biodiversité et d'adopter une approche intégrée des « risques nature » dans leur globalité. </w:t>
                            </w:r>
                            <w:r w:rsidR="00B31EA0">
                              <w:rPr>
                                <w:rFonts w:ascii="Source Sans Pro" w:hAnsi="Source Sans Pro" w:cstheme="minorBidi"/>
                                <w:i w:val="0"/>
                                <w:color w:val="auto"/>
                                <w:sz w:val="20"/>
                                <w:szCs w:val="22"/>
                              </w:rPr>
                              <w:t>C’est un</w:t>
                            </w:r>
                            <w:r w:rsidRPr="00A41F9E">
                              <w:rPr>
                                <w:rFonts w:ascii="Source Sans Pro" w:hAnsi="Source Sans Pro" w:cstheme="minorBidi"/>
                                <w:i w:val="0"/>
                                <w:color w:val="auto"/>
                                <w:sz w:val="20"/>
                                <w:szCs w:val="22"/>
                              </w:rPr>
                              <w:t xml:space="preserve"> levier stratégique essentiel pour renforcer la cohérence de notre dispositif et anticiper les interdépendances </w:t>
                            </w:r>
                            <w:r w:rsidR="00B31EA0">
                              <w:rPr>
                                <w:rFonts w:ascii="Source Sans Pro" w:hAnsi="Source Sans Pro" w:cstheme="minorBidi"/>
                                <w:i w:val="0"/>
                                <w:color w:val="auto"/>
                                <w:sz w:val="20"/>
                                <w:szCs w:val="22"/>
                              </w:rPr>
                              <w:t>des deux enjeux.</w:t>
                            </w:r>
                          </w:p>
                          <w:p w14:paraId="45690C9A" w14:textId="77777777" w:rsidR="00B31EA0" w:rsidRDefault="00B31EA0" w:rsidP="00416F24">
                            <w:pPr>
                              <w:pStyle w:val="Style1"/>
                              <w:numPr>
                                <w:ilvl w:val="0"/>
                                <w:numId w:val="0"/>
                              </w:numPr>
                              <w:tabs>
                                <w:tab w:val="left" w:pos="426"/>
                              </w:tabs>
                              <w:jc w:val="both"/>
                              <w:rPr>
                                <w:rFonts w:ascii="Source Sans Pro" w:hAnsi="Source Sans Pro" w:cstheme="minorBidi"/>
                                <w:i w:val="0"/>
                                <w:color w:val="auto"/>
                                <w:sz w:val="20"/>
                                <w:szCs w:val="22"/>
                              </w:rPr>
                            </w:pPr>
                          </w:p>
                          <w:p w14:paraId="1E687263" w14:textId="586C61E7" w:rsidR="00A41F9E" w:rsidRDefault="00933092" w:rsidP="00A41F9E">
                            <w:pPr>
                              <w:pStyle w:val="Style1"/>
                              <w:numPr>
                                <w:ilvl w:val="0"/>
                                <w:numId w:val="0"/>
                              </w:numPr>
                              <w:ind w:left="26"/>
                            </w:pPr>
                            <w:r>
                              <w:rPr>
                                <w:noProof/>
                              </w:rPr>
                              <w:drawing>
                                <wp:inline distT="0" distB="0" distL="0" distR="0" wp14:anchorId="0EBB7600" wp14:editId="50F4BD4C">
                                  <wp:extent cx="802411" cy="770113"/>
                                  <wp:effectExtent l="0" t="0" r="0" b="0"/>
                                  <wp:docPr id="16735402" name="Imag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flipH="1">
                                            <a:off x="0" y="0"/>
                                            <a:ext cx="820903" cy="787860"/>
                                          </a:xfrm>
                                          <a:prstGeom prst="rect">
                                            <a:avLst/>
                                          </a:prstGeom>
                                          <a:noFill/>
                                          <a:ln>
                                            <a:noFill/>
                                          </a:ln>
                                        </pic:spPr>
                                      </pic:pic>
                                    </a:graphicData>
                                  </a:graphic>
                                </wp:inline>
                              </w:drawing>
                            </w:r>
                            <w:r w:rsidR="00755BD8">
                              <w:rPr>
                                <w:rFonts w:ascii="Source Sans Pro" w:hAnsi="Source Sans Pro"/>
                                <w:b/>
                                <w:i w:val="0"/>
                                <w:color w:val="000000" w:themeColor="text1"/>
                                <w:sz w:val="20"/>
                              </w:rPr>
                              <w:t xml:space="preserve">    </w:t>
                            </w:r>
                            <w:r w:rsidR="00A41F9E" w:rsidRPr="0030398A">
                              <w:rPr>
                                <w:rFonts w:ascii="Source Sans Pro" w:hAnsi="Source Sans Pro"/>
                                <w:b/>
                                <w:i w:val="0"/>
                                <w:color w:val="000000" w:themeColor="text1"/>
                                <w:sz w:val="20"/>
                              </w:rPr>
                              <w:t xml:space="preserve">Regis </w:t>
                            </w:r>
                            <w:r w:rsidR="00A41F9E">
                              <w:rPr>
                                <w:rFonts w:ascii="Source Sans Pro" w:hAnsi="Source Sans Pro"/>
                                <w:b/>
                                <w:i w:val="0"/>
                                <w:color w:val="000000" w:themeColor="text1"/>
                                <w:sz w:val="20"/>
                              </w:rPr>
                              <w:t xml:space="preserve">WEISSLINGER, </w:t>
                            </w:r>
                            <w:r w:rsidR="00A41F9E" w:rsidRPr="00D4571A">
                              <w:rPr>
                                <w:rFonts w:ascii="Source Sans Pro" w:hAnsi="Source Sans Pro"/>
                                <w:b/>
                                <w:i w:val="0"/>
                                <w:color w:val="000000" w:themeColor="text1"/>
                                <w:sz w:val="20"/>
                              </w:rPr>
                              <w:t xml:space="preserve">Directeur </w:t>
                            </w:r>
                            <w:r w:rsidR="00A41F9E">
                              <w:rPr>
                                <w:rFonts w:ascii="Source Sans Pro" w:hAnsi="Source Sans Pro"/>
                                <w:b/>
                                <w:i w:val="0"/>
                                <w:color w:val="000000" w:themeColor="text1"/>
                                <w:sz w:val="20"/>
                              </w:rPr>
                              <w:t>des Risques</w:t>
                            </w:r>
                          </w:p>
                          <w:p w14:paraId="484E81BA" w14:textId="77777777" w:rsidR="00416F24" w:rsidRDefault="00416F24" w:rsidP="00416F24">
                            <w:pPr>
                              <w:pStyle w:val="Style1"/>
                              <w:numPr>
                                <w:ilvl w:val="0"/>
                                <w:numId w:val="0"/>
                              </w:numPr>
                              <w:tabs>
                                <w:tab w:val="left" w:pos="426"/>
                              </w:tabs>
                              <w:jc w:val="both"/>
                              <w:rPr>
                                <w:rFonts w:ascii="Source Sans Pro" w:hAnsi="Source Sans Pro" w:cstheme="minorBidi"/>
                                <w:i w:val="0"/>
                                <w:color w:val="auto"/>
                                <w:sz w:val="20"/>
                                <w:szCs w:val="22"/>
                              </w:rPr>
                            </w:pPr>
                          </w:p>
                          <w:p w14:paraId="06D38C26" w14:textId="77777777" w:rsidR="00416F24" w:rsidRPr="004C7A7B" w:rsidRDefault="00416F24" w:rsidP="00416F24">
                            <w:pPr>
                              <w:pStyle w:val="Style1"/>
                              <w:numPr>
                                <w:ilvl w:val="0"/>
                                <w:numId w:val="0"/>
                              </w:numPr>
                              <w:tabs>
                                <w:tab w:val="left" w:pos="426"/>
                              </w:tabs>
                              <w:jc w:val="both"/>
                              <w:rPr>
                                <w:rFonts w:ascii="Source Sans Pro" w:hAnsi="Source Sans Pro" w:cstheme="minorBidi"/>
                                <w:i w:val="0"/>
                                <w:color w:val="auto"/>
                                <w:sz w:val="20"/>
                                <w:szCs w:val="22"/>
                              </w:rPr>
                            </w:pPr>
                          </w:p>
                          <w:p w14:paraId="7CB43D88" w14:textId="77777777" w:rsidR="00416F24" w:rsidRDefault="00416F24" w:rsidP="00416F24">
                            <w:pPr>
                              <w:pStyle w:val="Style1"/>
                              <w:numPr>
                                <w:ilvl w:val="0"/>
                                <w:numId w:val="0"/>
                              </w:numPr>
                              <w:tabs>
                                <w:tab w:val="left" w:pos="426"/>
                              </w:tabs>
                              <w:jc w:val="both"/>
                              <w:rPr>
                                <w:rFonts w:ascii="Source Sans Pro" w:hAnsi="Source Sans Pro"/>
                                <w:b/>
                                <w:i w:val="0"/>
                                <w:color w:val="auto"/>
                                <w:sz w:val="20"/>
                              </w:rPr>
                            </w:pPr>
                            <w:r>
                              <w:rPr>
                                <w:noProof/>
                              </w:rPr>
                              <w:drawing>
                                <wp:inline distT="0" distB="0" distL="0" distR="0" wp14:anchorId="37578208" wp14:editId="33243357">
                                  <wp:extent cx="628571" cy="876190"/>
                                  <wp:effectExtent l="0" t="0" r="635" b="635"/>
                                  <wp:docPr id="4542491" name="Image 1" descr="Une image contenant Visage humain, habits, personne, Fro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200193" name="Image 1" descr="Une image contenant Visage humain, habits, personne, Front&#10;&#10;Le contenu généré par l’IA peut être incorrect."/>
                                          <pic:cNvPicPr/>
                                        </pic:nvPicPr>
                                        <pic:blipFill>
                                          <a:blip r:embed="rId102"/>
                                          <a:stretch>
                                            <a:fillRect/>
                                          </a:stretch>
                                        </pic:blipFill>
                                        <pic:spPr>
                                          <a:xfrm>
                                            <a:off x="0" y="0"/>
                                            <a:ext cx="628571" cy="876190"/>
                                          </a:xfrm>
                                          <a:prstGeom prst="rect">
                                            <a:avLst/>
                                          </a:prstGeom>
                                        </pic:spPr>
                                      </pic:pic>
                                    </a:graphicData>
                                  </a:graphic>
                                </wp:inline>
                              </w:drawing>
                            </w:r>
                          </w:p>
                          <w:p w14:paraId="29A97F4C" w14:textId="77777777" w:rsidR="00416F24" w:rsidRPr="00D4571A" w:rsidRDefault="00416F24" w:rsidP="00416F24">
                            <w:pPr>
                              <w:pStyle w:val="Style1"/>
                              <w:numPr>
                                <w:ilvl w:val="0"/>
                                <w:numId w:val="0"/>
                              </w:numPr>
                              <w:tabs>
                                <w:tab w:val="left" w:pos="426"/>
                              </w:tabs>
                              <w:jc w:val="both"/>
                              <w:rPr>
                                <w:rFonts w:ascii="Source Sans Pro" w:hAnsi="Source Sans Pro"/>
                                <w:color w:val="auto"/>
                                <w:sz w:val="20"/>
                              </w:rPr>
                            </w:pPr>
                            <w:r>
                              <w:rPr>
                                <w:rFonts w:ascii="Source Sans Pro" w:hAnsi="Source Sans Pro"/>
                                <w:b/>
                                <w:i w:val="0"/>
                                <w:color w:val="auto"/>
                                <w:sz w:val="20"/>
                              </w:rPr>
                              <w:t>Victorien Poncelet</w:t>
                            </w:r>
                            <w:r w:rsidRPr="00D4571A">
                              <w:rPr>
                                <w:rFonts w:ascii="Source Sans Pro" w:hAnsi="Source Sans Pro"/>
                                <w:b/>
                                <w:i w:val="0"/>
                                <w:color w:val="auto"/>
                                <w:sz w:val="20"/>
                              </w:rPr>
                              <w:t xml:space="preserve"> (Directeur des </w:t>
                            </w:r>
                            <w:r>
                              <w:rPr>
                                <w:rFonts w:ascii="Source Sans Pro" w:hAnsi="Source Sans Pro"/>
                                <w:b/>
                                <w:i w:val="0"/>
                                <w:color w:val="auto"/>
                                <w:sz w:val="20"/>
                              </w:rPr>
                              <w:t>Risques</w:t>
                            </w:r>
                            <w:r w:rsidRPr="00D4571A">
                              <w:rPr>
                                <w:rFonts w:ascii="Source Sans Pro" w:hAnsi="Source Sans Pro"/>
                                <w:b/>
                                <w:i w:val="0"/>
                                <w:color w:val="auto"/>
                                <w:sz w:val="20"/>
                              </w:rPr>
                              <w:t xml:space="preserve"> d’Abeille Assurances)</w:t>
                            </w:r>
                            <w:r w:rsidRPr="00D4571A">
                              <w:rPr>
                                <w:rFonts w:ascii="Source Sans Pro" w:hAnsi="Source Sans Pro"/>
                                <w:b/>
                                <w:sz w:val="20"/>
                              </w:rPr>
                              <w:t> </w:t>
                            </w:r>
                          </w:p>
                          <w:p w14:paraId="668547DF" w14:textId="77777777" w:rsidR="00416F24" w:rsidRPr="00D4571A" w:rsidRDefault="00416F24" w:rsidP="00416F24">
                            <w:pPr>
                              <w:pStyle w:val="Style1"/>
                              <w:numPr>
                                <w:ilvl w:val="0"/>
                                <w:numId w:val="0"/>
                              </w:numPr>
                              <w:tabs>
                                <w:tab w:val="left" w:pos="426"/>
                              </w:tabs>
                              <w:jc w:val="both"/>
                              <w:rPr>
                                <w:rFonts w:ascii="Source Sans Pro" w:hAnsi="Source Sans Pro"/>
                                <w:color w:val="auto"/>
                                <w:sz w:val="20"/>
                              </w:rPr>
                            </w:pPr>
                          </w:p>
                          <w:p w14:paraId="222317DF" w14:textId="77777777" w:rsidR="00416F24" w:rsidRPr="00474EE1" w:rsidRDefault="00416F24" w:rsidP="00416F24">
                            <w:pPr>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754B3" id="Zone de texte 149525637" o:spid="_x0000_s1173" type="#_x0000_t202" style="position:absolute;left:0;text-align:left;margin-left:5.35pt;margin-top:15.35pt;width:453pt;height:192.25pt;z-index:25145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" fillcolor="white [3201]" stroked="f" strokeweight=".5pt">
                <v:textbox>
                  <w:txbxContent>
                    <w:p w14:paraId="4CB1491B" w14:textId="709FF510" w:rsidR="00416F24" w:rsidRDefault="00A41F9E" w:rsidP="00416F24">
                      <w:pPr>
                        <w:pStyle w:val="Style1"/>
                        <w:numPr>
                          <w:ilvl w:val="0"/>
                          <w:numId w:val="0"/>
                        </w:numPr>
                        <w:tabs>
                          <w:tab w:val="left" w:pos="426"/>
                        </w:tabs>
                        <w:jc w:val="both"/>
                        <w:rPr>
                          <w:rFonts w:ascii="Source Sans Pro" w:hAnsi="Source Sans Pro" w:cstheme="minorBidi"/>
                          <w:i w:val="0"/>
                          <w:color w:val="auto"/>
                          <w:sz w:val="20"/>
                          <w:szCs w:val="22"/>
                        </w:rPr>
                      </w:pPr>
                      <w:r w:rsidRPr="00A41F9E">
                        <w:rPr>
                          <w:rFonts w:ascii="Source Sans Pro" w:hAnsi="Source Sans Pro" w:cstheme="minorBidi"/>
                          <w:i w:val="0"/>
                          <w:color w:val="auto"/>
                          <w:sz w:val="20"/>
                          <w:szCs w:val="22"/>
                        </w:rPr>
                        <w:t xml:space="preserve">Les risques liés à la biodiversité accusent encore un retard de maturité significatif par rapport aux risques climatiques, tant sur le plan des données disponibles que des méthodologies de mesure. Face à ce constat, nos efforts doivent se concentrer en priorité sur les secteurs présentant de fortes dépendances aux écosystèmes, en particulier l'agriculture, et sur les entreprises les plus exposées, notamment via </w:t>
                      </w:r>
                      <w:r w:rsidR="003D3D7F">
                        <w:rPr>
                          <w:rFonts w:ascii="Source Sans Pro" w:hAnsi="Source Sans Pro" w:cstheme="minorBidi"/>
                          <w:i w:val="0"/>
                          <w:color w:val="auto"/>
                          <w:sz w:val="20"/>
                          <w:szCs w:val="22"/>
                        </w:rPr>
                        <w:t>l’</w:t>
                      </w:r>
                      <w:r w:rsidRPr="00A41F9E">
                        <w:rPr>
                          <w:rFonts w:ascii="Source Sans Pro" w:hAnsi="Source Sans Pro" w:cstheme="minorBidi"/>
                          <w:i w:val="0"/>
                          <w:color w:val="auto"/>
                          <w:sz w:val="20"/>
                          <w:szCs w:val="22"/>
                        </w:rPr>
                        <w:t xml:space="preserve">engagement </w:t>
                      </w:r>
                      <w:r w:rsidR="003D3D7F">
                        <w:rPr>
                          <w:rFonts w:ascii="Source Sans Pro" w:hAnsi="Source Sans Pro" w:cstheme="minorBidi"/>
                          <w:i w:val="0"/>
                          <w:color w:val="auto"/>
                          <w:sz w:val="20"/>
                          <w:szCs w:val="22"/>
                        </w:rPr>
                        <w:t xml:space="preserve">groupe </w:t>
                      </w:r>
                      <w:r w:rsidRPr="00A41F9E">
                        <w:rPr>
                          <w:rFonts w:ascii="Source Sans Pro" w:hAnsi="Source Sans Pro" w:cstheme="minorBidi"/>
                          <w:i w:val="0"/>
                          <w:color w:val="auto"/>
                          <w:sz w:val="20"/>
                          <w:szCs w:val="22"/>
                        </w:rPr>
                        <w:t>dans des initiatives telles que Nature Action 100+. Au</w:t>
                      </w:r>
                      <w:r w:rsidRPr="00A41F9E">
                        <w:rPr>
                          <w:rFonts w:ascii="Cambria Math" w:hAnsi="Cambria Math" w:cs="Cambria Math"/>
                          <w:i w:val="0"/>
                          <w:color w:val="auto"/>
                          <w:sz w:val="20"/>
                          <w:szCs w:val="22"/>
                        </w:rPr>
                        <w:t>‑</w:t>
                      </w:r>
                      <w:r w:rsidRPr="00A41F9E">
                        <w:rPr>
                          <w:rFonts w:ascii="Source Sans Pro" w:hAnsi="Source Sans Pro" w:cstheme="minorBidi"/>
                          <w:i w:val="0"/>
                          <w:color w:val="auto"/>
                          <w:sz w:val="20"/>
                          <w:szCs w:val="22"/>
                        </w:rPr>
                        <w:t>del</w:t>
                      </w:r>
                      <w:r w:rsidRPr="00A41F9E">
                        <w:rPr>
                          <w:rFonts w:ascii="Source Sans Pro" w:hAnsi="Source Sans Pro" w:cs="Source Sans Pro"/>
                          <w:i w:val="0"/>
                          <w:color w:val="auto"/>
                          <w:sz w:val="20"/>
                          <w:szCs w:val="22"/>
                        </w:rPr>
                        <w:t>à</w:t>
                      </w:r>
                      <w:r w:rsidRPr="00A41F9E">
                        <w:rPr>
                          <w:rFonts w:ascii="Source Sans Pro" w:hAnsi="Source Sans Pro" w:cstheme="minorBidi"/>
                          <w:i w:val="0"/>
                          <w:color w:val="auto"/>
                          <w:sz w:val="20"/>
                          <w:szCs w:val="22"/>
                        </w:rPr>
                        <w:t xml:space="preserve"> de cette priorisation sectorielle, il est désormais impératif de faire converger les politiques climat et biodiversité et d'adopter une approche intégrée des « risques nature » dans leur globalité. </w:t>
                      </w:r>
                      <w:r w:rsidR="00B31EA0">
                        <w:rPr>
                          <w:rFonts w:ascii="Source Sans Pro" w:hAnsi="Source Sans Pro" w:cstheme="minorBidi"/>
                          <w:i w:val="0"/>
                          <w:color w:val="auto"/>
                          <w:sz w:val="20"/>
                          <w:szCs w:val="22"/>
                        </w:rPr>
                        <w:t>C’est un</w:t>
                      </w:r>
                      <w:r w:rsidRPr="00A41F9E">
                        <w:rPr>
                          <w:rFonts w:ascii="Source Sans Pro" w:hAnsi="Source Sans Pro" w:cstheme="minorBidi"/>
                          <w:i w:val="0"/>
                          <w:color w:val="auto"/>
                          <w:sz w:val="20"/>
                          <w:szCs w:val="22"/>
                        </w:rPr>
                        <w:t xml:space="preserve"> levier stratégique essentiel pour renforcer la cohérence de notre dispositif et anticiper les interdépendances </w:t>
                      </w:r>
                      <w:r w:rsidR="00B31EA0">
                        <w:rPr>
                          <w:rFonts w:ascii="Source Sans Pro" w:hAnsi="Source Sans Pro" w:cstheme="minorBidi"/>
                          <w:i w:val="0"/>
                          <w:color w:val="auto"/>
                          <w:sz w:val="20"/>
                          <w:szCs w:val="22"/>
                        </w:rPr>
                        <w:t>des deux enjeux.</w:t>
                      </w:r>
                    </w:p>
                    <w:p w14:paraId="45690C9A" w14:textId="77777777" w:rsidR="00B31EA0" w:rsidRDefault="00B31EA0" w:rsidP="00416F24">
                      <w:pPr>
                        <w:pStyle w:val="Style1"/>
                        <w:numPr>
                          <w:ilvl w:val="0"/>
                          <w:numId w:val="0"/>
                        </w:numPr>
                        <w:tabs>
                          <w:tab w:val="left" w:pos="426"/>
                        </w:tabs>
                        <w:jc w:val="both"/>
                        <w:rPr>
                          <w:rFonts w:ascii="Source Sans Pro" w:hAnsi="Source Sans Pro" w:cstheme="minorBidi"/>
                          <w:i w:val="0"/>
                          <w:color w:val="auto"/>
                          <w:sz w:val="20"/>
                          <w:szCs w:val="22"/>
                        </w:rPr>
                      </w:pPr>
                    </w:p>
                    <w:p w14:paraId="1E687263" w14:textId="586C61E7" w:rsidR="00A41F9E" w:rsidRDefault="00933092" w:rsidP="00A41F9E">
                      <w:pPr>
                        <w:pStyle w:val="Style1"/>
                        <w:numPr>
                          <w:ilvl w:val="0"/>
                          <w:numId w:val="0"/>
                        </w:numPr>
                        <w:ind w:left="26"/>
                      </w:pPr>
                      <w:r>
                        <w:rPr>
                          <w:noProof/>
                        </w:rPr>
                        <w:drawing>
                          <wp:inline distT="0" distB="0" distL="0" distR="0" wp14:anchorId="0EBB7600" wp14:editId="50F4BD4C">
                            <wp:extent cx="802411" cy="770113"/>
                            <wp:effectExtent l="0" t="0" r="0" b="0"/>
                            <wp:docPr id="16735402" name="Imag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flipH="1">
                                      <a:off x="0" y="0"/>
                                      <a:ext cx="820903" cy="787860"/>
                                    </a:xfrm>
                                    <a:prstGeom prst="rect">
                                      <a:avLst/>
                                    </a:prstGeom>
                                    <a:noFill/>
                                    <a:ln>
                                      <a:noFill/>
                                    </a:ln>
                                  </pic:spPr>
                                </pic:pic>
                              </a:graphicData>
                            </a:graphic>
                          </wp:inline>
                        </w:drawing>
                      </w:r>
                      <w:r w:rsidR="00755BD8">
                        <w:rPr>
                          <w:rFonts w:ascii="Source Sans Pro" w:hAnsi="Source Sans Pro"/>
                          <w:b/>
                          <w:i w:val="0"/>
                          <w:color w:val="000000" w:themeColor="text1"/>
                          <w:sz w:val="20"/>
                        </w:rPr>
                        <w:t xml:space="preserve">    </w:t>
                      </w:r>
                      <w:r w:rsidR="00A41F9E" w:rsidRPr="0030398A">
                        <w:rPr>
                          <w:rFonts w:ascii="Source Sans Pro" w:hAnsi="Source Sans Pro"/>
                          <w:b/>
                          <w:i w:val="0"/>
                          <w:color w:val="000000" w:themeColor="text1"/>
                          <w:sz w:val="20"/>
                        </w:rPr>
                        <w:t xml:space="preserve">Regis </w:t>
                      </w:r>
                      <w:r w:rsidR="00A41F9E">
                        <w:rPr>
                          <w:rFonts w:ascii="Source Sans Pro" w:hAnsi="Source Sans Pro"/>
                          <w:b/>
                          <w:i w:val="0"/>
                          <w:color w:val="000000" w:themeColor="text1"/>
                          <w:sz w:val="20"/>
                        </w:rPr>
                        <w:t xml:space="preserve">WEISSLINGER, </w:t>
                      </w:r>
                      <w:r w:rsidR="00A41F9E" w:rsidRPr="00D4571A">
                        <w:rPr>
                          <w:rFonts w:ascii="Source Sans Pro" w:hAnsi="Source Sans Pro"/>
                          <w:b/>
                          <w:i w:val="0"/>
                          <w:color w:val="000000" w:themeColor="text1"/>
                          <w:sz w:val="20"/>
                        </w:rPr>
                        <w:t xml:space="preserve">Directeur </w:t>
                      </w:r>
                      <w:r w:rsidR="00A41F9E">
                        <w:rPr>
                          <w:rFonts w:ascii="Source Sans Pro" w:hAnsi="Source Sans Pro"/>
                          <w:b/>
                          <w:i w:val="0"/>
                          <w:color w:val="000000" w:themeColor="text1"/>
                          <w:sz w:val="20"/>
                        </w:rPr>
                        <w:t>des Risques</w:t>
                      </w:r>
                    </w:p>
                    <w:p w14:paraId="484E81BA" w14:textId="77777777" w:rsidR="00416F24" w:rsidRDefault="00416F24" w:rsidP="00416F24">
                      <w:pPr>
                        <w:pStyle w:val="Style1"/>
                        <w:numPr>
                          <w:ilvl w:val="0"/>
                          <w:numId w:val="0"/>
                        </w:numPr>
                        <w:tabs>
                          <w:tab w:val="left" w:pos="426"/>
                        </w:tabs>
                        <w:jc w:val="both"/>
                        <w:rPr>
                          <w:rFonts w:ascii="Source Sans Pro" w:hAnsi="Source Sans Pro" w:cstheme="minorBidi"/>
                          <w:i w:val="0"/>
                          <w:color w:val="auto"/>
                          <w:sz w:val="20"/>
                          <w:szCs w:val="22"/>
                        </w:rPr>
                      </w:pPr>
                    </w:p>
                    <w:p w14:paraId="06D38C26" w14:textId="77777777" w:rsidR="00416F24" w:rsidRPr="004C7A7B" w:rsidRDefault="00416F24" w:rsidP="00416F24">
                      <w:pPr>
                        <w:pStyle w:val="Style1"/>
                        <w:numPr>
                          <w:ilvl w:val="0"/>
                          <w:numId w:val="0"/>
                        </w:numPr>
                        <w:tabs>
                          <w:tab w:val="left" w:pos="426"/>
                        </w:tabs>
                        <w:jc w:val="both"/>
                        <w:rPr>
                          <w:rFonts w:ascii="Source Sans Pro" w:hAnsi="Source Sans Pro" w:cstheme="minorBidi"/>
                          <w:i w:val="0"/>
                          <w:color w:val="auto"/>
                          <w:sz w:val="20"/>
                          <w:szCs w:val="22"/>
                        </w:rPr>
                      </w:pPr>
                    </w:p>
                    <w:p w14:paraId="7CB43D88" w14:textId="77777777" w:rsidR="00416F24" w:rsidRDefault="00416F24" w:rsidP="00416F24">
                      <w:pPr>
                        <w:pStyle w:val="Style1"/>
                        <w:numPr>
                          <w:ilvl w:val="0"/>
                          <w:numId w:val="0"/>
                        </w:numPr>
                        <w:tabs>
                          <w:tab w:val="left" w:pos="426"/>
                        </w:tabs>
                        <w:jc w:val="both"/>
                        <w:rPr>
                          <w:rFonts w:ascii="Source Sans Pro" w:hAnsi="Source Sans Pro"/>
                          <w:b/>
                          <w:i w:val="0"/>
                          <w:color w:val="auto"/>
                          <w:sz w:val="20"/>
                        </w:rPr>
                      </w:pPr>
                      <w:r>
                        <w:rPr>
                          <w:noProof/>
                        </w:rPr>
                        <w:drawing>
                          <wp:inline distT="0" distB="0" distL="0" distR="0" wp14:anchorId="37578208" wp14:editId="33243357">
                            <wp:extent cx="628571" cy="876190"/>
                            <wp:effectExtent l="0" t="0" r="635" b="635"/>
                            <wp:docPr id="4542491" name="Image 1" descr="Une image contenant Visage humain, habits, personne, Fro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200193" name="Image 1" descr="Une image contenant Visage humain, habits, personne, Front&#10;&#10;Le contenu généré par l’IA peut être incorrect."/>
                                    <pic:cNvPicPr/>
                                  </pic:nvPicPr>
                                  <pic:blipFill>
                                    <a:blip r:embed="rId103"/>
                                    <a:stretch>
                                      <a:fillRect/>
                                    </a:stretch>
                                  </pic:blipFill>
                                  <pic:spPr>
                                    <a:xfrm>
                                      <a:off x="0" y="0"/>
                                      <a:ext cx="628571" cy="876190"/>
                                    </a:xfrm>
                                    <a:prstGeom prst="rect">
                                      <a:avLst/>
                                    </a:prstGeom>
                                  </pic:spPr>
                                </pic:pic>
                              </a:graphicData>
                            </a:graphic>
                          </wp:inline>
                        </w:drawing>
                      </w:r>
                    </w:p>
                    <w:p w14:paraId="29A97F4C" w14:textId="77777777" w:rsidR="00416F24" w:rsidRPr="00D4571A" w:rsidRDefault="00416F24" w:rsidP="00416F24">
                      <w:pPr>
                        <w:pStyle w:val="Style1"/>
                        <w:numPr>
                          <w:ilvl w:val="0"/>
                          <w:numId w:val="0"/>
                        </w:numPr>
                        <w:tabs>
                          <w:tab w:val="left" w:pos="426"/>
                        </w:tabs>
                        <w:jc w:val="both"/>
                        <w:rPr>
                          <w:rFonts w:ascii="Source Sans Pro" w:hAnsi="Source Sans Pro"/>
                          <w:color w:val="auto"/>
                          <w:sz w:val="20"/>
                        </w:rPr>
                      </w:pPr>
                      <w:r>
                        <w:rPr>
                          <w:rFonts w:ascii="Source Sans Pro" w:hAnsi="Source Sans Pro"/>
                          <w:b/>
                          <w:i w:val="0"/>
                          <w:color w:val="auto"/>
                          <w:sz w:val="20"/>
                        </w:rPr>
                        <w:t>Victorien Poncelet</w:t>
                      </w:r>
                      <w:r w:rsidRPr="00D4571A">
                        <w:rPr>
                          <w:rFonts w:ascii="Source Sans Pro" w:hAnsi="Source Sans Pro"/>
                          <w:b/>
                          <w:i w:val="0"/>
                          <w:color w:val="auto"/>
                          <w:sz w:val="20"/>
                        </w:rPr>
                        <w:t xml:space="preserve"> (Directeur des </w:t>
                      </w:r>
                      <w:r>
                        <w:rPr>
                          <w:rFonts w:ascii="Source Sans Pro" w:hAnsi="Source Sans Pro"/>
                          <w:b/>
                          <w:i w:val="0"/>
                          <w:color w:val="auto"/>
                          <w:sz w:val="20"/>
                        </w:rPr>
                        <w:t>Risques</w:t>
                      </w:r>
                      <w:r w:rsidRPr="00D4571A">
                        <w:rPr>
                          <w:rFonts w:ascii="Source Sans Pro" w:hAnsi="Source Sans Pro"/>
                          <w:b/>
                          <w:i w:val="0"/>
                          <w:color w:val="auto"/>
                          <w:sz w:val="20"/>
                        </w:rPr>
                        <w:t xml:space="preserve"> d’Abeille Assurances)</w:t>
                      </w:r>
                      <w:r w:rsidRPr="00D4571A">
                        <w:rPr>
                          <w:rFonts w:ascii="Source Sans Pro" w:hAnsi="Source Sans Pro"/>
                          <w:b/>
                          <w:sz w:val="20"/>
                        </w:rPr>
                        <w:t> </w:t>
                      </w:r>
                    </w:p>
                    <w:p w14:paraId="668547DF" w14:textId="77777777" w:rsidR="00416F24" w:rsidRPr="00D4571A" w:rsidRDefault="00416F24" w:rsidP="00416F24">
                      <w:pPr>
                        <w:pStyle w:val="Style1"/>
                        <w:numPr>
                          <w:ilvl w:val="0"/>
                          <w:numId w:val="0"/>
                        </w:numPr>
                        <w:tabs>
                          <w:tab w:val="left" w:pos="426"/>
                        </w:tabs>
                        <w:jc w:val="both"/>
                        <w:rPr>
                          <w:rFonts w:ascii="Source Sans Pro" w:hAnsi="Source Sans Pro"/>
                          <w:color w:val="auto"/>
                          <w:sz w:val="20"/>
                        </w:rPr>
                      </w:pPr>
                    </w:p>
                    <w:p w14:paraId="222317DF" w14:textId="77777777" w:rsidR="00416F24" w:rsidRPr="00474EE1" w:rsidRDefault="00416F24" w:rsidP="00416F24">
                      <w:pPr>
                        <w:rPr>
                          <w:lang w:val="fr-FR"/>
                        </w:rPr>
                      </w:pPr>
                    </w:p>
                  </w:txbxContent>
                </v:textbox>
                <w10:wrap anchorx="margin"/>
              </v:shape>
            </w:pict>
          </mc:Fallback>
        </mc:AlternateContent>
      </w:r>
      <w:r w:rsidRPr="00A74D23">
        <w:rPr>
          <w:rFonts w:eastAsia="Calibri" w:cs="Open Sans"/>
          <w:i w:val="0"/>
          <w:iCs w:val="0"/>
          <w:noProof/>
          <w:color w:val="auto"/>
          <w:sz w:val="20"/>
          <w:szCs w:val="20"/>
          <w:lang w:eastAsia="fr-FR"/>
        </w:rPr>
        <mc:AlternateContent>
          <mc:Choice Requires="wpg">
            <w:drawing>
              <wp:anchor distT="0" distB="0" distL="114300" distR="114300" simplePos="0" relativeHeight="251459584" behindDoc="0" locked="0" layoutInCell="1" allowOverlap="1" wp14:anchorId="4AE4FE73" wp14:editId="6C52F0B6">
                <wp:simplePos x="0" y="0"/>
                <wp:positionH relativeFrom="margin">
                  <wp:posOffset>5644122</wp:posOffset>
                </wp:positionH>
                <wp:positionV relativeFrom="paragraph">
                  <wp:posOffset>2099310</wp:posOffset>
                </wp:positionV>
                <wp:extent cx="389890" cy="281305"/>
                <wp:effectExtent l="0" t="0" r="10160" b="23495"/>
                <wp:wrapNone/>
                <wp:docPr id="693967314" name="Groupe 132"/>
                <wp:cNvGraphicFramePr/>
                <a:graphic xmlns:a="http://schemas.openxmlformats.org/drawingml/2006/main">
                  <a:graphicData uri="http://schemas.microsoft.com/office/word/2010/wordprocessingGroup">
                    <wpg:wgp>
                      <wpg:cNvGrpSpPr/>
                      <wpg:grpSpPr>
                        <a:xfrm flipH="1">
                          <a:off x="0" y="0"/>
                          <a:ext cx="389890" cy="281305"/>
                          <a:chOff x="0" y="0"/>
                          <a:chExt cx="480287" cy="346688"/>
                        </a:xfrm>
                      </wpg:grpSpPr>
                      <wps:wsp>
                        <wps:cNvPr id="774508748"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91194700"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62066427" id="Groupe 132" o:spid="_x0000_s1026" style="position:absolute;margin-left:444.4pt;margin-top:165.3pt;width:30.7pt;height:22.15pt;flip:x;z-index:251459584;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r w:rsidR="00416F24" w:rsidRPr="00A74D23">
        <w:rPr>
          <w:rFonts w:cs="Open Sans"/>
          <w:noProof/>
        </w:rPr>
        <mc:AlternateContent>
          <mc:Choice Requires="wps">
            <w:drawing>
              <wp:inline distT="0" distB="0" distL="0" distR="0" wp14:anchorId="4CB5203B" wp14:editId="1E4A3682">
                <wp:extent cx="5829300" cy="2794958"/>
                <wp:effectExtent l="0" t="0" r="19050" b="24765"/>
                <wp:docPr id="1408304367" name="Rectangle : coins arrondis 1408304367"/>
                <wp:cNvGraphicFramePr/>
                <a:graphic xmlns:a="http://schemas.openxmlformats.org/drawingml/2006/main">
                  <a:graphicData uri="http://schemas.microsoft.com/office/word/2010/wordprocessingShape">
                    <wps:wsp>
                      <wps:cNvSpPr/>
                      <wps:spPr>
                        <a:xfrm>
                          <a:off x="0" y="0"/>
                          <a:ext cx="5829300" cy="2794958"/>
                        </a:xfrm>
                        <a:prstGeom prst="roundRect">
                          <a:avLst>
                            <a:gd name="adj" fmla="val 889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D2608F" w14:textId="77777777" w:rsidR="00416F24" w:rsidRPr="006209BA" w:rsidRDefault="00416F24" w:rsidP="00416F24">
                            <w:pPr>
                              <w:pStyle w:val="Citation0"/>
                              <w:rPr>
                                <w:color w:val="auto"/>
                              </w:rPr>
                            </w:pPr>
                          </w:p>
                        </w:txbxContent>
                      </wps:txbx>
                      <wps:bodyPr rot="0" spcFirstLastPara="0" vertOverflow="overflow" horzOverflow="overflow" vert="horz" wrap="square" lIns="180000" tIns="108000" rIns="180000" bIns="108000" numCol="1" spcCol="0" rtlCol="0" fromWordArt="0" anchor="ctr" anchorCtr="0" forceAA="0" compatLnSpc="1">
                        <a:prstTxWarp prst="textNoShape">
                          <a:avLst/>
                        </a:prstTxWarp>
                        <a:noAutofit/>
                      </wps:bodyPr>
                    </wps:wsp>
                  </a:graphicData>
                </a:graphic>
              </wp:inline>
            </w:drawing>
          </mc:Choice>
          <mc:Fallback>
            <w:pict>
              <v:roundrect w14:anchorId="4CB5203B" id="Rectangle : coins arrondis 1408304367" o:spid="_x0000_s1174" style="width:459pt;height:220.1pt;visibility:visible;mso-wrap-style:square;mso-left-percent:-10001;mso-top-percent:-10001;mso-position-horizontal:absolute;mso-position-horizontal-relative:char;mso-position-vertical:absolute;mso-position-vertical-relative:line;mso-left-percent:-10001;mso-top-percent:-10001;v-text-anchor:middle" arcsize="58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" fillcolor="white [3212]" strokecolor="black [3213]" strokeweight="1pt">
                <v:stroke joinstyle="miter"/>
                <v:textbox inset="5mm,3mm,5mm,3mm">
                  <w:txbxContent>
                    <w:p w14:paraId="0ED2608F" w14:textId="77777777" w:rsidR="00416F24" w:rsidRPr="006209BA" w:rsidRDefault="00416F24" w:rsidP="00416F24">
                      <w:pPr>
                        <w:pStyle w:val="Citation0"/>
                        <w:rPr>
                          <w:color w:val="auto"/>
                        </w:rPr>
                      </w:pPr>
                    </w:p>
                  </w:txbxContent>
                </v:textbox>
                <w10:anchorlock/>
              </v:roundrect>
            </w:pict>
          </mc:Fallback>
        </mc:AlternateContent>
      </w:r>
    </w:p>
    <w:p w14:paraId="55E21649" w14:textId="77777777" w:rsidR="00416F24" w:rsidRPr="00A74D23" w:rsidRDefault="00416F24" w:rsidP="009D6EE5">
      <w:pPr>
        <w:pStyle w:val="Style1"/>
        <w:numPr>
          <w:ilvl w:val="0"/>
          <w:numId w:val="0"/>
        </w:numPr>
        <w:tabs>
          <w:tab w:val="clear" w:pos="2010"/>
          <w:tab w:val="left" w:pos="1134"/>
        </w:tabs>
        <w:spacing w:line="22" w:lineRule="atLeast"/>
        <w:jc w:val="both"/>
        <w:rPr>
          <w:rFonts w:cs="Open Sans"/>
          <w:i w:val="0"/>
          <w:color w:val="auto"/>
          <w:sz w:val="20"/>
        </w:rPr>
      </w:pPr>
    </w:p>
    <w:p w14:paraId="6DEA3E97" w14:textId="77777777" w:rsidR="000B30FC" w:rsidRPr="00A74D23" w:rsidRDefault="000B30FC" w:rsidP="009D6EE5">
      <w:pPr>
        <w:pStyle w:val="Style1"/>
        <w:numPr>
          <w:ilvl w:val="0"/>
          <w:numId w:val="0"/>
        </w:numPr>
        <w:tabs>
          <w:tab w:val="clear" w:pos="2010"/>
          <w:tab w:val="left" w:pos="1134"/>
        </w:tabs>
        <w:spacing w:line="22" w:lineRule="atLeast"/>
        <w:jc w:val="both"/>
        <w:rPr>
          <w:rFonts w:cs="Open Sans"/>
          <w:i w:val="0"/>
          <w:color w:val="auto"/>
          <w:sz w:val="20"/>
        </w:rPr>
      </w:pPr>
    </w:p>
    <w:p w14:paraId="6AC479F8" w14:textId="77777777" w:rsidR="000B30FC" w:rsidRPr="00A74D23" w:rsidRDefault="000B30FC" w:rsidP="009D6EE5">
      <w:pPr>
        <w:pStyle w:val="Style1"/>
        <w:numPr>
          <w:ilvl w:val="0"/>
          <w:numId w:val="0"/>
        </w:numPr>
        <w:tabs>
          <w:tab w:val="clear" w:pos="2010"/>
          <w:tab w:val="left" w:pos="1134"/>
        </w:tabs>
        <w:spacing w:line="22" w:lineRule="atLeast"/>
        <w:jc w:val="both"/>
        <w:rPr>
          <w:rFonts w:cs="Open Sans"/>
          <w:i w:val="0"/>
          <w:color w:val="auto"/>
          <w:sz w:val="20"/>
        </w:rPr>
      </w:pPr>
    </w:p>
    <w:p w14:paraId="3CE31F7F" w14:textId="77777777" w:rsidR="00CE7CFF" w:rsidRDefault="00CE7CFF" w:rsidP="009D6EE5">
      <w:pPr>
        <w:pStyle w:val="Style5"/>
        <w:numPr>
          <w:ilvl w:val="0"/>
          <w:numId w:val="0"/>
        </w:numPr>
        <w:spacing w:line="22" w:lineRule="atLeast"/>
        <w:ind w:left="851"/>
        <w:jc w:val="both"/>
        <w:rPr>
          <w:sz w:val="20"/>
          <w:szCs w:val="20"/>
        </w:rPr>
      </w:pPr>
    </w:p>
    <w:p w14:paraId="525C837C" w14:textId="77777777" w:rsidR="0062017D" w:rsidRPr="00A74D23" w:rsidRDefault="0062017D" w:rsidP="009D6EE5">
      <w:pPr>
        <w:pStyle w:val="Style5"/>
        <w:numPr>
          <w:ilvl w:val="0"/>
          <w:numId w:val="0"/>
        </w:numPr>
        <w:spacing w:line="22" w:lineRule="atLeast"/>
        <w:ind w:left="851"/>
        <w:jc w:val="both"/>
        <w:rPr>
          <w:sz w:val="20"/>
          <w:szCs w:val="20"/>
        </w:rPr>
      </w:pPr>
    </w:p>
    <w:p w14:paraId="0AC4D89C" w14:textId="39FB4FEF" w:rsidR="009E2E0B" w:rsidRPr="007E01FC" w:rsidRDefault="009E2E0B" w:rsidP="00590DD1">
      <w:pPr>
        <w:pStyle w:val="Style5"/>
        <w:numPr>
          <w:ilvl w:val="2"/>
          <w:numId w:val="67"/>
        </w:numPr>
        <w:spacing w:line="22" w:lineRule="atLeast"/>
        <w:ind w:left="1276" w:hanging="916"/>
        <w:jc w:val="both"/>
        <w:rPr>
          <w:color w:val="8A2C24" w:themeColor="accent2"/>
          <w:sz w:val="28"/>
          <w:szCs w:val="28"/>
        </w:rPr>
      </w:pPr>
      <w:r w:rsidRPr="007E01FC">
        <w:rPr>
          <w:color w:val="8A2C24" w:themeColor="accent2"/>
          <w:sz w:val="28"/>
          <w:szCs w:val="28"/>
        </w:rPr>
        <w:t>Focus sur le risque déforestation</w:t>
      </w:r>
    </w:p>
    <w:p w14:paraId="292E5826" w14:textId="77777777" w:rsidR="00EA1A93" w:rsidRPr="00A74D23" w:rsidRDefault="00EA1A93" w:rsidP="009D6EE5">
      <w:pPr>
        <w:pStyle w:val="Style5"/>
        <w:numPr>
          <w:ilvl w:val="0"/>
          <w:numId w:val="0"/>
        </w:numPr>
        <w:spacing w:line="22" w:lineRule="atLeast"/>
        <w:ind w:left="709" w:hanging="360"/>
        <w:jc w:val="both"/>
        <w:rPr>
          <w:color w:val="000000" w:themeColor="text1"/>
          <w:sz w:val="20"/>
          <w:szCs w:val="20"/>
        </w:rPr>
      </w:pPr>
    </w:p>
    <w:p w14:paraId="61055A7B" w14:textId="1E367F1E" w:rsidR="00EA1A93" w:rsidRPr="00A74D23" w:rsidRDefault="00F016A8" w:rsidP="009D6EE5">
      <w:pPr>
        <w:pStyle w:val="Style5"/>
        <w:numPr>
          <w:ilvl w:val="0"/>
          <w:numId w:val="0"/>
        </w:numPr>
        <w:spacing w:line="22" w:lineRule="atLeast"/>
        <w:ind w:left="142"/>
        <w:jc w:val="both"/>
        <w:rPr>
          <w:color w:val="000000" w:themeColor="text1"/>
          <w:sz w:val="20"/>
          <w:szCs w:val="20"/>
        </w:rPr>
      </w:pPr>
      <w:r w:rsidRPr="00A74D23">
        <w:rPr>
          <w:color w:val="000000" w:themeColor="text1"/>
          <w:sz w:val="20"/>
          <w:szCs w:val="20"/>
        </w:rPr>
        <w:t>La déforestation constitue l’un des principaux moteurs de l’érosion de la biodiversité et du changement climatique, en contribuant à la perte d’habitats naturels, à la diminution des services écosystémiques et à l’augmentation des émissions de gaz à effet de serre. Consciente de l’ampleur de ces enjeux et des risques financiers associés, Abeille Assurances attache une importance particulière à la mesure et à la maîtrise de son exposition à la déforestation, afin d’orienter ses décisions d’investissement et d’engagement vers des pratiques plus responsables et compatibles avec la préservation des écosystèmes.</w:t>
      </w:r>
    </w:p>
    <w:p w14:paraId="631E1DF8" w14:textId="77777777" w:rsidR="00EA1A93" w:rsidRPr="00A74D23" w:rsidRDefault="00EA1A93" w:rsidP="009D6EE5">
      <w:pPr>
        <w:pStyle w:val="Style5"/>
        <w:numPr>
          <w:ilvl w:val="0"/>
          <w:numId w:val="0"/>
        </w:numPr>
        <w:spacing w:line="22" w:lineRule="atLeast"/>
        <w:ind w:left="709" w:hanging="360"/>
        <w:jc w:val="both"/>
        <w:rPr>
          <w:color w:val="000000" w:themeColor="text1"/>
          <w:sz w:val="20"/>
          <w:szCs w:val="20"/>
        </w:rPr>
      </w:pPr>
    </w:p>
    <w:p w14:paraId="1A48B996" w14:textId="77777777" w:rsidR="00EA1A93" w:rsidRPr="00A74D23" w:rsidRDefault="00EA1A93" w:rsidP="009D6EE5">
      <w:pPr>
        <w:pStyle w:val="Style5"/>
        <w:numPr>
          <w:ilvl w:val="0"/>
          <w:numId w:val="0"/>
        </w:numPr>
        <w:spacing w:line="22" w:lineRule="atLeast"/>
        <w:ind w:left="709" w:hanging="360"/>
        <w:jc w:val="both"/>
        <w:rPr>
          <w:color w:val="000000" w:themeColor="text1"/>
          <w:sz w:val="20"/>
          <w:szCs w:val="20"/>
        </w:rPr>
      </w:pPr>
    </w:p>
    <w:p w14:paraId="7B05BFAE" w14:textId="77777777" w:rsidR="00F016A8" w:rsidRPr="00A74D23" w:rsidRDefault="00F016A8" w:rsidP="009D6EE5">
      <w:pPr>
        <w:pStyle w:val="Style5"/>
        <w:numPr>
          <w:ilvl w:val="0"/>
          <w:numId w:val="0"/>
        </w:numPr>
        <w:spacing w:line="22" w:lineRule="atLeast"/>
        <w:ind w:left="142"/>
        <w:jc w:val="both"/>
      </w:pPr>
      <w:r w:rsidRPr="00A74D23">
        <w:rPr>
          <w:b/>
          <w:bCs/>
        </w:rPr>
        <w:t>Indicateurs mobilisés (KRI)</w:t>
      </w:r>
    </w:p>
    <w:p w14:paraId="26977A50" w14:textId="789B4EFA" w:rsidR="00F016A8" w:rsidRPr="00A74D23" w:rsidRDefault="00F016A8" w:rsidP="009D6EE5">
      <w:pPr>
        <w:pStyle w:val="Style5"/>
        <w:numPr>
          <w:ilvl w:val="0"/>
          <w:numId w:val="0"/>
        </w:numPr>
        <w:spacing w:line="22" w:lineRule="atLeast"/>
        <w:ind w:left="142"/>
        <w:jc w:val="both"/>
        <w:rPr>
          <w:sz w:val="20"/>
          <w:szCs w:val="20"/>
        </w:rPr>
      </w:pPr>
      <w:r w:rsidRPr="00A74D23">
        <w:rPr>
          <w:sz w:val="20"/>
          <w:szCs w:val="20"/>
        </w:rPr>
        <w:t>L’évaluation des risques de déforestation repose sur plusieurs indicateurs de suivi, parmi lesquels :</w:t>
      </w:r>
    </w:p>
    <w:p w14:paraId="46932A49" w14:textId="1F1A52E4" w:rsidR="00F016A8" w:rsidRPr="00A74D23" w:rsidRDefault="0079495A" w:rsidP="00590DD1">
      <w:pPr>
        <w:pStyle w:val="Style5"/>
        <w:numPr>
          <w:ilvl w:val="0"/>
          <w:numId w:val="59"/>
        </w:numPr>
        <w:spacing w:line="22" w:lineRule="atLeast"/>
        <w:jc w:val="both"/>
        <w:rPr>
          <w:b/>
          <w:bCs/>
          <w:sz w:val="20"/>
          <w:szCs w:val="20"/>
        </w:rPr>
      </w:pPr>
      <w:r w:rsidRPr="00A74D23">
        <w:rPr>
          <w:b/>
          <w:bCs/>
          <w:sz w:val="20"/>
          <w:szCs w:val="20"/>
        </w:rPr>
        <w:t xml:space="preserve">Score </w:t>
      </w:r>
      <w:r w:rsidR="000A3116" w:rsidRPr="00A74D23">
        <w:rPr>
          <w:b/>
          <w:bCs/>
          <w:sz w:val="20"/>
          <w:szCs w:val="20"/>
        </w:rPr>
        <w:t>d’exposition à la déforestation, via Forest IQ</w:t>
      </w:r>
    </w:p>
    <w:p w14:paraId="61BA4437" w14:textId="6BF0C302" w:rsidR="000A3116" w:rsidRPr="00A74D23" w:rsidRDefault="000A3116" w:rsidP="00590DD1">
      <w:pPr>
        <w:pStyle w:val="Style5"/>
        <w:numPr>
          <w:ilvl w:val="0"/>
          <w:numId w:val="59"/>
        </w:numPr>
        <w:spacing w:line="22" w:lineRule="atLeast"/>
        <w:jc w:val="both"/>
        <w:rPr>
          <w:b/>
          <w:bCs/>
          <w:sz w:val="20"/>
          <w:szCs w:val="20"/>
        </w:rPr>
      </w:pPr>
      <w:r w:rsidRPr="00A74D23">
        <w:rPr>
          <w:b/>
          <w:bCs/>
          <w:sz w:val="20"/>
          <w:szCs w:val="20"/>
        </w:rPr>
        <w:t>Score de reporting déforestation, via Forest IQ</w:t>
      </w:r>
    </w:p>
    <w:p w14:paraId="49336944" w14:textId="77777777" w:rsidR="00C72EDA" w:rsidRPr="00A74D23" w:rsidRDefault="00C72EDA" w:rsidP="009D6EE5">
      <w:pPr>
        <w:pStyle w:val="Style5"/>
        <w:numPr>
          <w:ilvl w:val="0"/>
          <w:numId w:val="0"/>
        </w:numPr>
        <w:spacing w:line="22" w:lineRule="atLeast"/>
        <w:jc w:val="both"/>
        <w:rPr>
          <w:sz w:val="20"/>
          <w:szCs w:val="20"/>
        </w:rPr>
      </w:pPr>
    </w:p>
    <w:p w14:paraId="23EA0D25" w14:textId="77777777" w:rsidR="00C72EDA" w:rsidRPr="00A74D23" w:rsidRDefault="00C72EDA" w:rsidP="009D6EE5">
      <w:pPr>
        <w:pStyle w:val="Style5"/>
        <w:numPr>
          <w:ilvl w:val="0"/>
          <w:numId w:val="0"/>
        </w:numPr>
        <w:spacing w:line="22" w:lineRule="atLeast"/>
        <w:jc w:val="both"/>
        <w:rPr>
          <w:sz w:val="20"/>
          <w:szCs w:val="20"/>
        </w:rPr>
      </w:pPr>
    </w:p>
    <w:p w14:paraId="5CFA42FC" w14:textId="24276A61" w:rsidR="00AC50F3" w:rsidRPr="00A74D23" w:rsidRDefault="00AC50F3" w:rsidP="009D6EE5">
      <w:pPr>
        <w:pStyle w:val="Style5"/>
        <w:numPr>
          <w:ilvl w:val="0"/>
          <w:numId w:val="0"/>
        </w:numPr>
        <w:spacing w:line="22" w:lineRule="atLeast"/>
        <w:jc w:val="both"/>
        <w:rPr>
          <w:sz w:val="20"/>
          <w:szCs w:val="20"/>
        </w:rPr>
      </w:pPr>
      <w:r w:rsidRPr="00A74D23">
        <w:rPr>
          <w:sz w:val="20"/>
          <w:szCs w:val="20"/>
        </w:rPr>
        <w:t>L’analyse présentée ci</w:t>
      </w:r>
      <w:r w:rsidRPr="00A74D23">
        <w:rPr>
          <w:rFonts w:ascii="Cambria Math" w:hAnsi="Cambria Math" w:cs="Cambria Math"/>
          <w:sz w:val="20"/>
          <w:szCs w:val="20"/>
        </w:rPr>
        <w:t>‑</w:t>
      </w:r>
      <w:r w:rsidRPr="00A74D23">
        <w:rPr>
          <w:sz w:val="20"/>
          <w:szCs w:val="20"/>
        </w:rPr>
        <w:t xml:space="preserve">dessous met en </w:t>
      </w:r>
      <w:r w:rsidRPr="00A74D23">
        <w:rPr>
          <w:rFonts w:cs="Source Sans Pro"/>
          <w:sz w:val="20"/>
          <w:szCs w:val="20"/>
        </w:rPr>
        <w:t>é</w:t>
      </w:r>
      <w:r w:rsidRPr="00A74D23">
        <w:rPr>
          <w:sz w:val="20"/>
          <w:szCs w:val="20"/>
        </w:rPr>
        <w:t>vidence que, sur le p</w:t>
      </w:r>
      <w:r w:rsidRPr="00A74D23">
        <w:rPr>
          <w:rFonts w:cs="Source Sans Pro"/>
          <w:sz w:val="20"/>
          <w:szCs w:val="20"/>
        </w:rPr>
        <w:t>é</w:t>
      </w:r>
      <w:r w:rsidRPr="00A74D23">
        <w:rPr>
          <w:sz w:val="20"/>
          <w:szCs w:val="20"/>
        </w:rPr>
        <w:t>rim</w:t>
      </w:r>
      <w:r w:rsidRPr="00A74D23">
        <w:rPr>
          <w:rFonts w:cs="Source Sans Pro"/>
          <w:sz w:val="20"/>
          <w:szCs w:val="20"/>
        </w:rPr>
        <w:t>è</w:t>
      </w:r>
      <w:r w:rsidRPr="00A74D23">
        <w:rPr>
          <w:sz w:val="20"/>
          <w:szCs w:val="20"/>
        </w:rPr>
        <w:t>tre actuellement couvert par Forest IQ, encore limit</w:t>
      </w:r>
      <w:r w:rsidRPr="00A74D23">
        <w:rPr>
          <w:rFonts w:cs="Source Sans Pro"/>
          <w:sz w:val="20"/>
          <w:szCs w:val="20"/>
        </w:rPr>
        <w:t>é</w:t>
      </w:r>
      <w:r w:rsidRPr="00A74D23">
        <w:rPr>
          <w:sz w:val="20"/>
          <w:szCs w:val="20"/>
        </w:rPr>
        <w:t xml:space="preserve"> </w:t>
      </w:r>
      <w:r w:rsidRPr="00A74D23">
        <w:rPr>
          <w:rFonts w:cs="Source Sans Pro"/>
          <w:sz w:val="20"/>
          <w:szCs w:val="20"/>
        </w:rPr>
        <w:t>à</w:t>
      </w:r>
      <w:r w:rsidRPr="00A74D23">
        <w:rPr>
          <w:sz w:val="20"/>
          <w:szCs w:val="20"/>
        </w:rPr>
        <w:t xml:space="preserve"> 40 %, </w:t>
      </w:r>
      <w:r w:rsidR="009C1A21">
        <w:rPr>
          <w:sz w:val="20"/>
          <w:szCs w:val="20"/>
        </w:rPr>
        <w:t>59</w:t>
      </w:r>
      <w:r w:rsidRPr="00A74D23">
        <w:rPr>
          <w:sz w:val="20"/>
          <w:szCs w:val="20"/>
        </w:rPr>
        <w:t>% des encours d</w:t>
      </w:r>
      <w:r w:rsidRPr="00A74D23">
        <w:rPr>
          <w:rFonts w:cs="Source Sans Pro"/>
          <w:sz w:val="20"/>
          <w:szCs w:val="20"/>
        </w:rPr>
        <w:t>’</w:t>
      </w:r>
      <w:r w:rsidRPr="00A74D23">
        <w:rPr>
          <w:sz w:val="20"/>
          <w:szCs w:val="20"/>
        </w:rPr>
        <w:t xml:space="preserve">Abeille </w:t>
      </w:r>
      <w:r w:rsidR="009C1A21">
        <w:rPr>
          <w:sz w:val="20"/>
          <w:szCs w:val="20"/>
        </w:rPr>
        <w:t>Retraite Professionnelle</w:t>
      </w:r>
      <w:r w:rsidRPr="00A74D23">
        <w:rPr>
          <w:sz w:val="20"/>
          <w:szCs w:val="20"/>
        </w:rPr>
        <w:t xml:space="preserve"> pr</w:t>
      </w:r>
      <w:r w:rsidRPr="00A74D23">
        <w:rPr>
          <w:rFonts w:cs="Source Sans Pro"/>
          <w:sz w:val="20"/>
          <w:szCs w:val="20"/>
        </w:rPr>
        <w:t>é</w:t>
      </w:r>
      <w:r w:rsidRPr="00A74D23">
        <w:rPr>
          <w:sz w:val="20"/>
          <w:szCs w:val="20"/>
        </w:rPr>
        <w:t xml:space="preserve">sentent une exposition à minima « forte » </w:t>
      </w:r>
      <w:r w:rsidRPr="00A74D23">
        <w:rPr>
          <w:rFonts w:cs="Source Sans Pro"/>
          <w:sz w:val="20"/>
          <w:szCs w:val="20"/>
        </w:rPr>
        <w:t>à</w:t>
      </w:r>
      <w:r w:rsidRPr="00A74D23">
        <w:rPr>
          <w:sz w:val="20"/>
          <w:szCs w:val="20"/>
        </w:rPr>
        <w:t xml:space="preserve"> la d</w:t>
      </w:r>
      <w:r w:rsidRPr="00A74D23">
        <w:rPr>
          <w:rFonts w:cs="Source Sans Pro"/>
          <w:sz w:val="20"/>
          <w:szCs w:val="20"/>
        </w:rPr>
        <w:t>é</w:t>
      </w:r>
      <w:r w:rsidRPr="00A74D23">
        <w:rPr>
          <w:sz w:val="20"/>
          <w:szCs w:val="20"/>
        </w:rPr>
        <w:t xml:space="preserve">forestation. </w:t>
      </w:r>
    </w:p>
    <w:p w14:paraId="78084CDA" w14:textId="222BECDD" w:rsidR="000A3116" w:rsidRPr="00A74D23" w:rsidRDefault="000A3116" w:rsidP="009D6EE5">
      <w:pPr>
        <w:pStyle w:val="Style5"/>
        <w:numPr>
          <w:ilvl w:val="0"/>
          <w:numId w:val="0"/>
        </w:numPr>
        <w:spacing w:line="22" w:lineRule="atLeast"/>
        <w:jc w:val="both"/>
        <w:rPr>
          <w:sz w:val="20"/>
          <w:szCs w:val="20"/>
        </w:rPr>
      </w:pPr>
    </w:p>
    <w:p w14:paraId="50FA90BD" w14:textId="5E80E7B3" w:rsidR="000A3116" w:rsidRPr="00A74D23" w:rsidRDefault="009C1A21" w:rsidP="009D6EE5">
      <w:pPr>
        <w:pStyle w:val="Style5"/>
        <w:numPr>
          <w:ilvl w:val="0"/>
          <w:numId w:val="0"/>
        </w:numPr>
        <w:spacing w:line="22" w:lineRule="atLeast"/>
        <w:jc w:val="both"/>
        <w:rPr>
          <w:sz w:val="20"/>
          <w:szCs w:val="20"/>
        </w:rPr>
      </w:pPr>
      <w:r>
        <w:rPr>
          <w:noProof/>
        </w:rPr>
        <mc:AlternateContent>
          <mc:Choice Requires="cx1">
            <w:drawing>
              <wp:inline distT="0" distB="0" distL="0" distR="0" wp14:anchorId="17B723BA" wp14:editId="0BE8DC67">
                <wp:extent cx="5819896" cy="2749950"/>
                <wp:effectExtent l="0" t="0" r="9525" b="12700"/>
                <wp:docPr id="641510334" name="Graphique 1">
                  <a:extLst xmlns:a="http://schemas.openxmlformats.org/drawingml/2006/main">
                    <a:ext uri="{FF2B5EF4-FFF2-40B4-BE49-F238E27FC236}">
                      <a16:creationId xmlns:a16="http://schemas.microsoft.com/office/drawing/2014/main" id="{71434ECE-27C8-42ED-BE04-28F1D12891A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04"/>
                  </a:graphicData>
                </a:graphic>
              </wp:inline>
            </w:drawing>
          </mc:Choice>
          <mc:Fallback>
            <w:drawing>
              <wp:inline distT="0" distB="0" distL="0" distR="0" wp14:anchorId="17B723BA" wp14:editId="0BE8DC67">
                <wp:extent cx="5819896" cy="2749950"/>
                <wp:effectExtent l="0" t="0" r="9525" b="12700"/>
                <wp:docPr id="641510334" name="Graphique 1">
                  <a:extLst xmlns:a="http://schemas.openxmlformats.org/drawingml/2006/main">
                    <a:ext uri="{FF2B5EF4-FFF2-40B4-BE49-F238E27FC236}">
                      <a16:creationId xmlns:a16="http://schemas.microsoft.com/office/drawing/2014/main" id="{71434ECE-27C8-42ED-BE04-28F1D12891A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41510334" name="Graphique 1">
                          <a:extLst>
                            <a:ext uri="{FF2B5EF4-FFF2-40B4-BE49-F238E27FC236}">
                              <a16:creationId xmlns:a16="http://schemas.microsoft.com/office/drawing/2014/main" id="{71434ECE-27C8-42ED-BE04-28F1D12891A5}"/>
                            </a:ext>
                          </a:extLst>
                        </pic:cNvPr>
                        <pic:cNvPicPr>
                          <a:picLocks noGrp="1" noRot="1" noChangeAspect="1" noMove="1" noResize="1" noEditPoints="1" noAdjustHandles="1" noChangeArrowheads="1" noChangeShapeType="1"/>
                        </pic:cNvPicPr>
                      </pic:nvPicPr>
                      <pic:blipFill>
                        <a:blip r:embed="rId110"/>
                        <a:stretch>
                          <a:fillRect/>
                        </a:stretch>
                      </pic:blipFill>
                      <pic:spPr>
                        <a:xfrm>
                          <a:off x="0" y="0"/>
                          <a:ext cx="5819775" cy="2749550"/>
                        </a:xfrm>
                        <a:prstGeom prst="rect">
                          <a:avLst/>
                        </a:prstGeom>
                      </pic:spPr>
                    </pic:pic>
                  </a:graphicData>
                </a:graphic>
              </wp:inline>
            </w:drawing>
          </mc:Fallback>
        </mc:AlternateContent>
      </w:r>
    </w:p>
    <w:p w14:paraId="29289C69" w14:textId="115F8CC0" w:rsidR="0075547B" w:rsidRPr="008202EA" w:rsidRDefault="0075547B" w:rsidP="009D6EE5">
      <w:pPr>
        <w:pStyle w:val="Style5"/>
        <w:numPr>
          <w:ilvl w:val="0"/>
          <w:numId w:val="0"/>
        </w:numPr>
        <w:spacing w:line="22" w:lineRule="atLeast"/>
        <w:jc w:val="both"/>
        <w:rPr>
          <w:i/>
          <w:iCs/>
          <w:sz w:val="16"/>
          <w:szCs w:val="16"/>
        </w:rPr>
      </w:pPr>
      <w:r w:rsidRPr="008202EA">
        <w:rPr>
          <w:i/>
          <w:iCs/>
          <w:sz w:val="18"/>
          <w:szCs w:val="18"/>
        </w:rPr>
        <w:t>Source : Forest IQ</w:t>
      </w:r>
    </w:p>
    <w:p w14:paraId="16053F97" w14:textId="0D59B912" w:rsidR="0075547B" w:rsidRPr="008202EA" w:rsidRDefault="0075547B" w:rsidP="009D6EE5">
      <w:pPr>
        <w:pStyle w:val="Style5"/>
        <w:numPr>
          <w:ilvl w:val="0"/>
          <w:numId w:val="0"/>
        </w:numPr>
        <w:spacing w:line="22" w:lineRule="atLeast"/>
        <w:jc w:val="both"/>
        <w:rPr>
          <w:i/>
          <w:iCs/>
          <w:sz w:val="18"/>
          <w:szCs w:val="18"/>
        </w:rPr>
      </w:pPr>
      <w:r w:rsidRPr="008202EA">
        <w:rPr>
          <w:i/>
          <w:iCs/>
          <w:sz w:val="18"/>
          <w:szCs w:val="18"/>
        </w:rPr>
        <w:t xml:space="preserve">Périmètre : Abeille </w:t>
      </w:r>
      <w:r w:rsidR="009C1A21">
        <w:rPr>
          <w:i/>
          <w:iCs/>
          <w:sz w:val="18"/>
          <w:szCs w:val="18"/>
        </w:rPr>
        <w:t>Retraite Professionnelle</w:t>
      </w:r>
      <w:r w:rsidRPr="008202EA">
        <w:rPr>
          <w:i/>
          <w:iCs/>
          <w:sz w:val="18"/>
          <w:szCs w:val="18"/>
        </w:rPr>
        <w:t xml:space="preserve"> consolidé – 31/12/2025</w:t>
      </w:r>
    </w:p>
    <w:p w14:paraId="6265365B" w14:textId="45656AAD" w:rsidR="0075547B" w:rsidRPr="008202EA" w:rsidRDefault="0075547B" w:rsidP="009D6EE5">
      <w:pPr>
        <w:pStyle w:val="Style5"/>
        <w:numPr>
          <w:ilvl w:val="0"/>
          <w:numId w:val="0"/>
        </w:numPr>
        <w:spacing w:line="22" w:lineRule="atLeast"/>
        <w:jc w:val="both"/>
        <w:rPr>
          <w:i/>
          <w:iCs/>
          <w:sz w:val="18"/>
          <w:szCs w:val="18"/>
        </w:rPr>
      </w:pPr>
      <w:r w:rsidRPr="008202EA">
        <w:rPr>
          <w:i/>
          <w:iCs/>
          <w:sz w:val="18"/>
          <w:szCs w:val="18"/>
        </w:rPr>
        <w:t xml:space="preserve">Taux de couverture : </w:t>
      </w:r>
      <w:r w:rsidR="00067319" w:rsidRPr="008202EA">
        <w:rPr>
          <w:i/>
          <w:iCs/>
          <w:sz w:val="18"/>
          <w:szCs w:val="18"/>
        </w:rPr>
        <w:t>40</w:t>
      </w:r>
      <w:r w:rsidRPr="008202EA">
        <w:rPr>
          <w:i/>
          <w:iCs/>
          <w:sz w:val="18"/>
          <w:szCs w:val="18"/>
        </w:rPr>
        <w:t>%</w:t>
      </w:r>
    </w:p>
    <w:p w14:paraId="0689765D" w14:textId="77777777" w:rsidR="00EE5D07" w:rsidRPr="00A74D23" w:rsidRDefault="00EE5D07" w:rsidP="009D6EE5">
      <w:pPr>
        <w:pStyle w:val="Style5"/>
        <w:numPr>
          <w:ilvl w:val="0"/>
          <w:numId w:val="0"/>
        </w:numPr>
        <w:spacing w:line="22" w:lineRule="atLeast"/>
        <w:jc w:val="both"/>
        <w:rPr>
          <w:sz w:val="20"/>
          <w:szCs w:val="20"/>
        </w:rPr>
      </w:pPr>
    </w:p>
    <w:p w14:paraId="34F9BF1F" w14:textId="7E04504C" w:rsidR="0034222C" w:rsidRPr="00A74D23" w:rsidRDefault="00A1558A" w:rsidP="009D6EE5">
      <w:pPr>
        <w:pStyle w:val="Style5"/>
        <w:numPr>
          <w:ilvl w:val="0"/>
          <w:numId w:val="0"/>
        </w:numPr>
        <w:spacing w:line="22" w:lineRule="atLeast"/>
        <w:jc w:val="both"/>
        <w:rPr>
          <w:sz w:val="20"/>
          <w:szCs w:val="20"/>
        </w:rPr>
      </w:pPr>
      <w:r w:rsidRPr="00A74D23">
        <w:rPr>
          <w:sz w:val="20"/>
          <w:szCs w:val="20"/>
        </w:rPr>
        <w:t xml:space="preserve">Dans un second temps, nous avons approfondi cette analyse </w:t>
      </w:r>
      <w:r w:rsidRPr="00A74D23">
        <w:rPr>
          <w:rFonts w:cs="Source Sans Pro"/>
          <w:sz w:val="20"/>
          <w:szCs w:val="20"/>
        </w:rPr>
        <w:t>à</w:t>
      </w:r>
      <w:r w:rsidRPr="00A74D23">
        <w:rPr>
          <w:sz w:val="20"/>
          <w:szCs w:val="20"/>
        </w:rPr>
        <w:t xml:space="preserve"> partir de Forest IQ en examinant la r</w:t>
      </w:r>
      <w:r w:rsidRPr="00A74D23">
        <w:rPr>
          <w:rFonts w:cs="Source Sans Pro"/>
          <w:sz w:val="20"/>
          <w:szCs w:val="20"/>
        </w:rPr>
        <w:t>é</w:t>
      </w:r>
      <w:r w:rsidRPr="00A74D23">
        <w:rPr>
          <w:sz w:val="20"/>
          <w:szCs w:val="20"/>
        </w:rPr>
        <w:t>partition de cette poche fortement expos</w:t>
      </w:r>
      <w:r w:rsidRPr="00A74D23">
        <w:rPr>
          <w:rFonts w:cs="Source Sans Pro"/>
          <w:sz w:val="20"/>
          <w:szCs w:val="20"/>
        </w:rPr>
        <w:t>é</w:t>
      </w:r>
      <w:r w:rsidRPr="00A74D23">
        <w:rPr>
          <w:sz w:val="20"/>
          <w:szCs w:val="20"/>
        </w:rPr>
        <w:t xml:space="preserve">e </w:t>
      </w:r>
      <w:r w:rsidRPr="00A74D23">
        <w:rPr>
          <w:rFonts w:cs="Source Sans Pro"/>
          <w:sz w:val="20"/>
          <w:szCs w:val="20"/>
        </w:rPr>
        <w:t>à</w:t>
      </w:r>
      <w:r w:rsidRPr="00A74D23">
        <w:rPr>
          <w:sz w:val="20"/>
          <w:szCs w:val="20"/>
        </w:rPr>
        <w:t xml:space="preserve"> la d</w:t>
      </w:r>
      <w:r w:rsidRPr="00A74D23">
        <w:rPr>
          <w:rFonts w:cs="Source Sans Pro"/>
          <w:sz w:val="20"/>
          <w:szCs w:val="20"/>
        </w:rPr>
        <w:t>é</w:t>
      </w:r>
      <w:r w:rsidRPr="00A74D23">
        <w:rPr>
          <w:sz w:val="20"/>
          <w:szCs w:val="20"/>
        </w:rPr>
        <w:t>forestation selon les diff</w:t>
      </w:r>
      <w:r w:rsidRPr="00A74D23">
        <w:rPr>
          <w:rFonts w:cs="Source Sans Pro"/>
          <w:sz w:val="20"/>
          <w:szCs w:val="20"/>
        </w:rPr>
        <w:t>é</w:t>
      </w:r>
      <w:r w:rsidRPr="00A74D23">
        <w:rPr>
          <w:sz w:val="20"/>
          <w:szCs w:val="20"/>
        </w:rPr>
        <w:t>rents niveaux de gestion du risque de d</w:t>
      </w:r>
      <w:r w:rsidRPr="00A74D23">
        <w:rPr>
          <w:rFonts w:cs="Source Sans Pro"/>
          <w:sz w:val="20"/>
          <w:szCs w:val="20"/>
        </w:rPr>
        <w:t>é</w:t>
      </w:r>
      <w:r w:rsidRPr="00A74D23">
        <w:rPr>
          <w:sz w:val="20"/>
          <w:szCs w:val="20"/>
        </w:rPr>
        <w:t>forestation identifi</w:t>
      </w:r>
      <w:r w:rsidRPr="00A74D23">
        <w:rPr>
          <w:rFonts w:cs="Source Sans Pro"/>
          <w:sz w:val="20"/>
          <w:szCs w:val="20"/>
        </w:rPr>
        <w:t>é</w:t>
      </w:r>
      <w:r w:rsidRPr="00A74D23">
        <w:rPr>
          <w:sz w:val="20"/>
          <w:szCs w:val="20"/>
        </w:rPr>
        <w:t>s.</w:t>
      </w:r>
    </w:p>
    <w:p w14:paraId="0A12435E" w14:textId="77777777" w:rsidR="000A3116" w:rsidRPr="00A74D23" w:rsidRDefault="000A3116" w:rsidP="009D6EE5">
      <w:pPr>
        <w:pStyle w:val="Style5"/>
        <w:numPr>
          <w:ilvl w:val="0"/>
          <w:numId w:val="0"/>
        </w:numPr>
        <w:spacing w:line="22" w:lineRule="atLeast"/>
        <w:jc w:val="both"/>
        <w:rPr>
          <w:sz w:val="20"/>
          <w:szCs w:val="20"/>
        </w:rPr>
      </w:pPr>
    </w:p>
    <w:p w14:paraId="6B7406EE" w14:textId="19B2AF75" w:rsidR="005E4A58" w:rsidRPr="00A74D23" w:rsidRDefault="009C1A21" w:rsidP="009D6EE5">
      <w:pPr>
        <w:pStyle w:val="Style5"/>
        <w:numPr>
          <w:ilvl w:val="0"/>
          <w:numId w:val="0"/>
        </w:numPr>
        <w:spacing w:line="22" w:lineRule="atLeast"/>
        <w:jc w:val="both"/>
        <w:rPr>
          <w:noProof/>
        </w:rPr>
      </w:pPr>
      <w:r>
        <w:rPr>
          <w:noProof/>
        </w:rPr>
        <mc:AlternateContent>
          <mc:Choice Requires="cx1">
            <w:drawing>
              <wp:inline distT="0" distB="0" distL="0" distR="0" wp14:anchorId="7701C96F" wp14:editId="3E00C270">
                <wp:extent cx="5893174" cy="2717987"/>
                <wp:effectExtent l="0" t="0" r="12700" b="6350"/>
                <wp:docPr id="1072863758" name="Graphique 1">
                  <a:extLst xmlns:a="http://schemas.openxmlformats.org/drawingml/2006/main">
                    <a:ext uri="{FF2B5EF4-FFF2-40B4-BE49-F238E27FC236}">
                      <a16:creationId xmlns:a16="http://schemas.microsoft.com/office/drawing/2014/main" id="{1232841D-5E4E-46DD-A500-3505A4F92AA5}"/>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1"/>
                  </a:graphicData>
                </a:graphic>
              </wp:inline>
            </w:drawing>
          </mc:Choice>
          <mc:Fallback>
            <w:drawing>
              <wp:inline distT="0" distB="0" distL="0" distR="0" wp14:anchorId="7701C96F" wp14:editId="3E00C270">
                <wp:extent cx="5893174" cy="2717987"/>
                <wp:effectExtent l="0" t="0" r="12700" b="6350"/>
                <wp:docPr id="1072863758" name="Graphique 1">
                  <a:extLst xmlns:a="http://schemas.openxmlformats.org/drawingml/2006/main">
                    <a:ext uri="{FF2B5EF4-FFF2-40B4-BE49-F238E27FC236}">
                      <a16:creationId xmlns:a16="http://schemas.microsoft.com/office/drawing/2014/main" id="{1232841D-5E4E-46DD-A500-3505A4F92AA5}"/>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72863758" name="Graphique 1">
                          <a:extLst>
                            <a:ext uri="{FF2B5EF4-FFF2-40B4-BE49-F238E27FC236}">
                              <a16:creationId xmlns:a16="http://schemas.microsoft.com/office/drawing/2014/main" id="{1232841D-5E4E-46DD-A500-3505A4F92AA5}"/>
                            </a:ext>
                          </a:extLst>
                        </pic:cNvPr>
                        <pic:cNvPicPr>
                          <a:picLocks noGrp="1" noRot="1" noChangeAspect="1" noMove="1" noResize="1" noEditPoints="1" noAdjustHandles="1" noChangeArrowheads="1" noChangeShapeType="1"/>
                        </pic:cNvPicPr>
                      </pic:nvPicPr>
                      <pic:blipFill>
                        <a:blip r:embed="rId112"/>
                        <a:stretch>
                          <a:fillRect/>
                        </a:stretch>
                      </pic:blipFill>
                      <pic:spPr>
                        <a:xfrm>
                          <a:off x="0" y="0"/>
                          <a:ext cx="5892800" cy="2717800"/>
                        </a:xfrm>
                        <a:prstGeom prst="rect">
                          <a:avLst/>
                        </a:prstGeom>
                      </pic:spPr>
                    </pic:pic>
                  </a:graphicData>
                </a:graphic>
              </wp:inline>
            </w:drawing>
          </mc:Fallback>
        </mc:AlternateContent>
      </w:r>
    </w:p>
    <w:p w14:paraId="11A50349" w14:textId="77777777" w:rsidR="00947AF2" w:rsidRPr="00A74D23" w:rsidRDefault="00947AF2" w:rsidP="009D6EE5">
      <w:pPr>
        <w:pStyle w:val="Style5"/>
        <w:numPr>
          <w:ilvl w:val="0"/>
          <w:numId w:val="0"/>
        </w:numPr>
        <w:spacing w:line="22" w:lineRule="atLeast"/>
        <w:jc w:val="both"/>
        <w:rPr>
          <w:i/>
          <w:iCs/>
          <w:sz w:val="16"/>
          <w:szCs w:val="16"/>
        </w:rPr>
      </w:pPr>
      <w:r w:rsidRPr="00A74D23">
        <w:rPr>
          <w:i/>
          <w:iCs/>
          <w:sz w:val="18"/>
          <w:szCs w:val="18"/>
        </w:rPr>
        <w:t>Source : Forest IQ</w:t>
      </w:r>
    </w:p>
    <w:p w14:paraId="027BB1B5" w14:textId="4C70723E" w:rsidR="00947AF2" w:rsidRPr="00A74D23" w:rsidRDefault="00947AF2" w:rsidP="009D6EE5">
      <w:pPr>
        <w:pStyle w:val="Style5"/>
        <w:numPr>
          <w:ilvl w:val="0"/>
          <w:numId w:val="0"/>
        </w:numPr>
        <w:spacing w:line="22" w:lineRule="atLeast"/>
        <w:jc w:val="both"/>
        <w:rPr>
          <w:i/>
          <w:iCs/>
          <w:sz w:val="18"/>
          <w:szCs w:val="18"/>
        </w:rPr>
      </w:pPr>
      <w:r w:rsidRPr="00A74D23">
        <w:rPr>
          <w:i/>
          <w:iCs/>
          <w:sz w:val="18"/>
          <w:szCs w:val="18"/>
        </w:rPr>
        <w:t xml:space="preserve">Périmètre : Abeille </w:t>
      </w:r>
      <w:r w:rsidR="009C1A21">
        <w:rPr>
          <w:i/>
          <w:iCs/>
          <w:sz w:val="18"/>
          <w:szCs w:val="18"/>
        </w:rPr>
        <w:t>Retraite Professionnelle</w:t>
      </w:r>
      <w:r w:rsidRPr="00A74D23">
        <w:rPr>
          <w:i/>
          <w:iCs/>
          <w:sz w:val="18"/>
          <w:szCs w:val="18"/>
        </w:rPr>
        <w:t xml:space="preserve"> consolidé – 31/12/2025</w:t>
      </w:r>
    </w:p>
    <w:p w14:paraId="5E5D2A58" w14:textId="77777777" w:rsidR="00947AF2" w:rsidRPr="00A74D23" w:rsidRDefault="00947AF2" w:rsidP="009D6EE5">
      <w:pPr>
        <w:pStyle w:val="Style5"/>
        <w:numPr>
          <w:ilvl w:val="0"/>
          <w:numId w:val="0"/>
        </w:numPr>
        <w:spacing w:line="22" w:lineRule="atLeast"/>
        <w:jc w:val="both"/>
        <w:rPr>
          <w:i/>
          <w:iCs/>
          <w:sz w:val="18"/>
          <w:szCs w:val="18"/>
        </w:rPr>
      </w:pPr>
      <w:r w:rsidRPr="00A74D23">
        <w:rPr>
          <w:i/>
          <w:iCs/>
          <w:sz w:val="18"/>
          <w:szCs w:val="18"/>
        </w:rPr>
        <w:t>Taux de couverture : 40%</w:t>
      </w:r>
    </w:p>
    <w:p w14:paraId="4DF9A346" w14:textId="77777777" w:rsidR="000A3116" w:rsidRPr="00A74D23" w:rsidRDefault="000A3116" w:rsidP="009D6EE5">
      <w:pPr>
        <w:pStyle w:val="Style5"/>
        <w:numPr>
          <w:ilvl w:val="0"/>
          <w:numId w:val="0"/>
        </w:numPr>
        <w:spacing w:line="22" w:lineRule="atLeast"/>
        <w:jc w:val="both"/>
        <w:rPr>
          <w:sz w:val="20"/>
          <w:szCs w:val="20"/>
        </w:rPr>
      </w:pPr>
    </w:p>
    <w:p w14:paraId="38278508" w14:textId="77777777" w:rsidR="0034222C" w:rsidRPr="00A74D23" w:rsidRDefault="0034222C" w:rsidP="009D6EE5">
      <w:pPr>
        <w:pStyle w:val="Style5"/>
        <w:numPr>
          <w:ilvl w:val="0"/>
          <w:numId w:val="0"/>
        </w:numPr>
        <w:spacing w:line="22" w:lineRule="atLeast"/>
        <w:jc w:val="both"/>
        <w:rPr>
          <w:sz w:val="20"/>
          <w:szCs w:val="20"/>
        </w:rPr>
      </w:pPr>
    </w:p>
    <w:p w14:paraId="67057B3C" w14:textId="646D662D" w:rsidR="008A02BA" w:rsidRPr="00A74D23" w:rsidRDefault="008A02BA" w:rsidP="009D6EE5">
      <w:pPr>
        <w:pStyle w:val="Style5"/>
        <w:numPr>
          <w:ilvl w:val="0"/>
          <w:numId w:val="0"/>
        </w:numPr>
        <w:spacing w:line="22" w:lineRule="atLeast"/>
        <w:jc w:val="both"/>
        <w:rPr>
          <w:b/>
          <w:bCs/>
          <w:sz w:val="32"/>
          <w:szCs w:val="32"/>
        </w:rPr>
      </w:pPr>
      <w:r w:rsidRPr="00A74D23">
        <w:rPr>
          <w:rFonts w:cs="Open Sans"/>
          <w:noProof/>
          <w:sz w:val="20"/>
        </w:rPr>
        <mc:AlternateContent>
          <mc:Choice Requires="wps">
            <w:drawing>
              <wp:anchor distT="0" distB="0" distL="114300" distR="114300" simplePos="0" relativeHeight="251742208" behindDoc="0" locked="0" layoutInCell="1" allowOverlap="1" wp14:anchorId="7228B14B" wp14:editId="28B31319">
                <wp:simplePos x="0" y="0"/>
                <wp:positionH relativeFrom="margin">
                  <wp:posOffset>7800</wp:posOffset>
                </wp:positionH>
                <wp:positionV relativeFrom="paragraph">
                  <wp:posOffset>19421</wp:posOffset>
                </wp:positionV>
                <wp:extent cx="6061075" cy="836763"/>
                <wp:effectExtent l="0" t="0" r="0" b="1905"/>
                <wp:wrapNone/>
                <wp:docPr id="1799592146" name="Rectangle 5"/>
                <wp:cNvGraphicFramePr/>
                <a:graphic xmlns:a="http://schemas.openxmlformats.org/drawingml/2006/main">
                  <a:graphicData uri="http://schemas.microsoft.com/office/word/2010/wordprocessingShape">
                    <wps:wsp>
                      <wps:cNvSpPr/>
                      <wps:spPr>
                        <a:xfrm>
                          <a:off x="0" y="0"/>
                          <a:ext cx="6061075" cy="836763"/>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433C48" w14:textId="5075E887" w:rsidR="008A02BA" w:rsidRPr="00BB2CA5" w:rsidRDefault="008A02BA" w:rsidP="008A02BA">
                            <w:pPr>
                              <w:spacing w:line="276" w:lineRule="auto"/>
                              <w:jc w:val="both"/>
                              <w:rPr>
                                <w:rFonts w:asciiTheme="minorHAnsi" w:hAnsiTheme="minorHAnsi" w:cs="Open Sans"/>
                                <w:color w:val="000000" w:themeColor="text1"/>
                                <w:sz w:val="20"/>
                                <w:lang w:val="fr-FR"/>
                              </w:rPr>
                            </w:pPr>
                            <w:r w:rsidRPr="008A02BA">
                              <w:rPr>
                                <w:rFonts w:asciiTheme="minorHAnsi" w:eastAsiaTheme="minorHAnsi" w:hAnsiTheme="minorHAnsi" w:cstheme="minorBidi"/>
                                <w:b/>
                                <w:bCs/>
                                <w:color w:val="000000" w:themeColor="text1"/>
                                <w:sz w:val="20"/>
                                <w:szCs w:val="20"/>
                                <w:lang w:val="fr-FR"/>
                              </w:rPr>
                              <w:t>L’analyse menée ci</w:t>
                            </w:r>
                            <w:r w:rsidRPr="008A02BA">
                              <w:rPr>
                                <w:rFonts w:ascii="Cambria Math" w:eastAsiaTheme="minorHAnsi" w:hAnsi="Cambria Math" w:cs="Cambria Math"/>
                                <w:b/>
                                <w:bCs/>
                                <w:color w:val="000000" w:themeColor="text1"/>
                                <w:sz w:val="20"/>
                                <w:szCs w:val="20"/>
                                <w:lang w:val="fr-FR"/>
                              </w:rPr>
                              <w:t>‑</w:t>
                            </w:r>
                            <w:r w:rsidRPr="008A02BA">
                              <w:rPr>
                                <w:rFonts w:asciiTheme="minorHAnsi" w:eastAsiaTheme="minorHAnsi" w:hAnsiTheme="minorHAnsi" w:cstheme="minorBidi"/>
                                <w:b/>
                                <w:bCs/>
                                <w:color w:val="000000" w:themeColor="text1"/>
                                <w:sz w:val="20"/>
                                <w:szCs w:val="20"/>
                                <w:lang w:val="fr-FR"/>
                              </w:rPr>
                              <w:t>dessus montre que la quasi</w:t>
                            </w:r>
                            <w:r w:rsidRPr="008A02BA">
                              <w:rPr>
                                <w:rFonts w:ascii="Cambria Math" w:eastAsiaTheme="minorHAnsi" w:hAnsi="Cambria Math" w:cs="Cambria Math"/>
                                <w:b/>
                                <w:bCs/>
                                <w:color w:val="000000" w:themeColor="text1"/>
                                <w:sz w:val="20"/>
                                <w:szCs w:val="20"/>
                                <w:lang w:val="fr-FR"/>
                              </w:rPr>
                              <w:t>‑</w:t>
                            </w:r>
                            <w:r w:rsidRPr="008A02BA">
                              <w:rPr>
                                <w:rFonts w:asciiTheme="minorHAnsi" w:eastAsiaTheme="minorHAnsi" w:hAnsiTheme="minorHAnsi" w:cstheme="minorBidi"/>
                                <w:b/>
                                <w:bCs/>
                                <w:color w:val="000000" w:themeColor="text1"/>
                                <w:sz w:val="20"/>
                                <w:szCs w:val="20"/>
                                <w:lang w:val="fr-FR"/>
                              </w:rPr>
                              <w:t>totalit</w:t>
                            </w:r>
                            <w:r w:rsidRPr="008A02BA">
                              <w:rPr>
                                <w:rFonts w:ascii="Source Sans Pro" w:eastAsiaTheme="minorHAnsi" w:hAnsi="Source Sans Pro" w:cs="Source Sans Pro"/>
                                <w:b/>
                                <w:bCs/>
                                <w:color w:val="000000" w:themeColor="text1"/>
                                <w:sz w:val="20"/>
                                <w:szCs w:val="20"/>
                                <w:lang w:val="fr-FR"/>
                              </w:rPr>
                              <w:t>é</w:t>
                            </w:r>
                            <w:r w:rsidRPr="008A02BA">
                              <w:rPr>
                                <w:rFonts w:asciiTheme="minorHAnsi" w:eastAsiaTheme="minorHAnsi" w:hAnsiTheme="minorHAnsi" w:cstheme="minorBidi"/>
                                <w:b/>
                                <w:bCs/>
                                <w:color w:val="000000" w:themeColor="text1"/>
                                <w:sz w:val="20"/>
                                <w:szCs w:val="20"/>
                                <w:lang w:val="fr-FR"/>
                              </w:rPr>
                              <w:t xml:space="preserve"> des entreprises fortement expos</w:t>
                            </w:r>
                            <w:r w:rsidRPr="008A02BA">
                              <w:rPr>
                                <w:rFonts w:ascii="Source Sans Pro" w:eastAsiaTheme="minorHAnsi" w:hAnsi="Source Sans Pro" w:cs="Source Sans Pro"/>
                                <w:b/>
                                <w:bCs/>
                                <w:color w:val="000000" w:themeColor="text1"/>
                                <w:sz w:val="20"/>
                                <w:szCs w:val="20"/>
                                <w:lang w:val="fr-FR"/>
                              </w:rPr>
                              <w:t>é</w:t>
                            </w:r>
                            <w:r w:rsidRPr="008A02BA">
                              <w:rPr>
                                <w:rFonts w:asciiTheme="minorHAnsi" w:eastAsiaTheme="minorHAnsi" w:hAnsiTheme="minorHAnsi" w:cstheme="minorBidi"/>
                                <w:b/>
                                <w:bCs/>
                                <w:color w:val="000000" w:themeColor="text1"/>
                                <w:sz w:val="20"/>
                                <w:szCs w:val="20"/>
                                <w:lang w:val="fr-FR"/>
                              </w:rPr>
                              <w:t xml:space="preserve">es </w:t>
                            </w:r>
                            <w:r w:rsidRPr="008A02BA">
                              <w:rPr>
                                <w:rFonts w:ascii="Source Sans Pro" w:eastAsiaTheme="minorHAnsi" w:hAnsi="Source Sans Pro" w:cs="Source Sans Pro"/>
                                <w:b/>
                                <w:bCs/>
                                <w:color w:val="000000" w:themeColor="text1"/>
                                <w:sz w:val="20"/>
                                <w:szCs w:val="20"/>
                                <w:lang w:val="fr-FR"/>
                              </w:rPr>
                              <w:t>à</w:t>
                            </w:r>
                            <w:r w:rsidRPr="008A02BA">
                              <w:rPr>
                                <w:rFonts w:asciiTheme="minorHAnsi" w:eastAsiaTheme="minorHAnsi" w:hAnsiTheme="minorHAnsi" w:cstheme="minorBidi"/>
                                <w:b/>
                                <w:bCs/>
                                <w:color w:val="000000" w:themeColor="text1"/>
                                <w:sz w:val="20"/>
                                <w:szCs w:val="20"/>
                                <w:lang w:val="fr-FR"/>
                              </w:rPr>
                              <w:t xml:space="preserve"> la d</w:t>
                            </w:r>
                            <w:r w:rsidRPr="008A02BA">
                              <w:rPr>
                                <w:rFonts w:ascii="Source Sans Pro" w:eastAsiaTheme="minorHAnsi" w:hAnsi="Source Sans Pro" w:cs="Source Sans Pro"/>
                                <w:b/>
                                <w:bCs/>
                                <w:color w:val="000000" w:themeColor="text1"/>
                                <w:sz w:val="20"/>
                                <w:szCs w:val="20"/>
                                <w:lang w:val="fr-FR"/>
                              </w:rPr>
                              <w:t>é</w:t>
                            </w:r>
                            <w:r w:rsidRPr="008A02BA">
                              <w:rPr>
                                <w:rFonts w:asciiTheme="minorHAnsi" w:eastAsiaTheme="minorHAnsi" w:hAnsiTheme="minorHAnsi" w:cstheme="minorBidi"/>
                                <w:b/>
                                <w:bCs/>
                                <w:color w:val="000000" w:themeColor="text1"/>
                                <w:sz w:val="20"/>
                                <w:szCs w:val="20"/>
                                <w:lang w:val="fr-FR"/>
                              </w:rPr>
                              <w:t>forestation, soit 9</w:t>
                            </w:r>
                            <w:r w:rsidR="009C1A21">
                              <w:rPr>
                                <w:rFonts w:asciiTheme="minorHAnsi" w:eastAsiaTheme="minorHAnsi" w:hAnsiTheme="minorHAnsi" w:cstheme="minorBidi"/>
                                <w:b/>
                                <w:bCs/>
                                <w:color w:val="000000" w:themeColor="text1"/>
                                <w:sz w:val="20"/>
                                <w:szCs w:val="20"/>
                                <w:lang w:val="fr-FR"/>
                              </w:rPr>
                              <w:t>1</w:t>
                            </w:r>
                            <w:r w:rsidRPr="008A02BA">
                              <w:rPr>
                                <w:rFonts w:asciiTheme="minorHAnsi" w:eastAsiaTheme="minorHAnsi" w:hAnsiTheme="minorHAnsi" w:cstheme="minorBidi"/>
                                <w:b/>
                                <w:bCs/>
                                <w:color w:val="000000" w:themeColor="text1"/>
                                <w:sz w:val="20"/>
                                <w:szCs w:val="20"/>
                                <w:lang w:val="fr-FR"/>
                              </w:rPr>
                              <w:t xml:space="preserve"> %, pr</w:t>
                            </w:r>
                            <w:r w:rsidRPr="008A02BA">
                              <w:rPr>
                                <w:rFonts w:ascii="Source Sans Pro" w:eastAsiaTheme="minorHAnsi" w:hAnsi="Source Sans Pro" w:cs="Source Sans Pro"/>
                                <w:b/>
                                <w:bCs/>
                                <w:color w:val="000000" w:themeColor="text1"/>
                                <w:sz w:val="20"/>
                                <w:szCs w:val="20"/>
                                <w:lang w:val="fr-FR"/>
                              </w:rPr>
                              <w:t>é</w:t>
                            </w:r>
                            <w:r w:rsidRPr="008A02BA">
                              <w:rPr>
                                <w:rFonts w:asciiTheme="minorHAnsi" w:eastAsiaTheme="minorHAnsi" w:hAnsiTheme="minorHAnsi" w:cstheme="minorBidi"/>
                                <w:b/>
                                <w:bCs/>
                                <w:color w:val="000000" w:themeColor="text1"/>
                                <w:sz w:val="20"/>
                                <w:szCs w:val="20"/>
                                <w:lang w:val="fr-FR"/>
                              </w:rPr>
                              <w:t xml:space="preserve">sentent un niveau faible de </w:t>
                            </w:r>
                            <w:r w:rsidR="000A0769">
                              <w:rPr>
                                <w:rFonts w:asciiTheme="minorHAnsi" w:eastAsiaTheme="minorHAnsi" w:hAnsiTheme="minorHAnsi" w:cstheme="minorBidi"/>
                                <w:b/>
                                <w:bCs/>
                                <w:color w:val="000000" w:themeColor="text1"/>
                                <w:sz w:val="20"/>
                                <w:szCs w:val="20"/>
                                <w:lang w:val="fr-FR"/>
                              </w:rPr>
                              <w:t>transparence</w:t>
                            </w:r>
                            <w:r w:rsidR="000A0769" w:rsidRPr="008A02BA">
                              <w:rPr>
                                <w:rFonts w:asciiTheme="minorHAnsi" w:eastAsiaTheme="minorHAnsi" w:hAnsiTheme="minorHAnsi" w:cstheme="minorBidi"/>
                                <w:b/>
                                <w:bCs/>
                                <w:color w:val="000000" w:themeColor="text1"/>
                                <w:sz w:val="20"/>
                                <w:szCs w:val="20"/>
                                <w:lang w:val="fr-FR"/>
                              </w:rPr>
                              <w:t xml:space="preserve"> </w:t>
                            </w:r>
                            <w:r w:rsidRPr="008A02BA">
                              <w:rPr>
                                <w:rFonts w:asciiTheme="minorHAnsi" w:eastAsiaTheme="minorHAnsi" w:hAnsiTheme="minorHAnsi" w:cstheme="minorBidi"/>
                                <w:b/>
                                <w:bCs/>
                                <w:color w:val="000000" w:themeColor="text1"/>
                                <w:sz w:val="20"/>
                                <w:szCs w:val="20"/>
                                <w:lang w:val="fr-FR"/>
                              </w:rPr>
                              <w:t xml:space="preserve">et de gestion de ce risque. Ces constats appellent une vigilance accrue de la part des </w:t>
                            </w:r>
                            <w:r w:rsidRPr="008A02BA">
                              <w:rPr>
                                <w:rFonts w:ascii="Source Sans Pro" w:eastAsiaTheme="minorHAnsi" w:hAnsi="Source Sans Pro" w:cs="Source Sans Pro"/>
                                <w:b/>
                                <w:bCs/>
                                <w:color w:val="000000" w:themeColor="text1"/>
                                <w:sz w:val="20"/>
                                <w:szCs w:val="20"/>
                                <w:lang w:val="fr-FR"/>
                              </w:rPr>
                              <w:t>é</w:t>
                            </w:r>
                            <w:r w:rsidRPr="008A02BA">
                              <w:rPr>
                                <w:rFonts w:asciiTheme="minorHAnsi" w:eastAsiaTheme="minorHAnsi" w:hAnsiTheme="minorHAnsi" w:cstheme="minorBidi"/>
                                <w:b/>
                                <w:bCs/>
                                <w:color w:val="000000" w:themeColor="text1"/>
                                <w:sz w:val="20"/>
                                <w:szCs w:val="20"/>
                                <w:lang w:val="fr-FR"/>
                              </w:rPr>
                              <w:t>quipes d</w:t>
                            </w:r>
                            <w:r w:rsidRPr="008A02BA">
                              <w:rPr>
                                <w:rFonts w:ascii="Source Sans Pro" w:eastAsiaTheme="minorHAnsi" w:hAnsi="Source Sans Pro" w:cs="Source Sans Pro"/>
                                <w:b/>
                                <w:bCs/>
                                <w:color w:val="000000" w:themeColor="text1"/>
                                <w:sz w:val="20"/>
                                <w:szCs w:val="20"/>
                                <w:lang w:val="fr-FR"/>
                              </w:rPr>
                              <w:t>’</w:t>
                            </w:r>
                            <w:r w:rsidRPr="008A02BA">
                              <w:rPr>
                                <w:rFonts w:asciiTheme="minorHAnsi" w:eastAsiaTheme="minorHAnsi" w:hAnsiTheme="minorHAnsi" w:cstheme="minorBidi"/>
                                <w:b/>
                                <w:bCs/>
                                <w:color w:val="000000" w:themeColor="text1"/>
                                <w:sz w:val="20"/>
                                <w:szCs w:val="20"/>
                                <w:lang w:val="fr-FR"/>
                              </w:rPr>
                              <w:t>Abeille Assurances afin de piloter ces expositions de mani</w:t>
                            </w:r>
                            <w:r w:rsidRPr="008A02BA">
                              <w:rPr>
                                <w:rFonts w:ascii="Source Sans Pro" w:eastAsiaTheme="minorHAnsi" w:hAnsi="Source Sans Pro" w:cs="Source Sans Pro"/>
                                <w:b/>
                                <w:bCs/>
                                <w:color w:val="000000" w:themeColor="text1"/>
                                <w:sz w:val="20"/>
                                <w:szCs w:val="20"/>
                                <w:lang w:val="fr-FR"/>
                              </w:rPr>
                              <w:t>è</w:t>
                            </w:r>
                            <w:r w:rsidRPr="008A02BA">
                              <w:rPr>
                                <w:rFonts w:asciiTheme="minorHAnsi" w:eastAsiaTheme="minorHAnsi" w:hAnsiTheme="minorHAnsi" w:cstheme="minorBidi"/>
                                <w:b/>
                                <w:bCs/>
                                <w:color w:val="000000" w:themeColor="text1"/>
                                <w:sz w:val="20"/>
                                <w:szCs w:val="20"/>
                                <w:lang w:val="fr-FR"/>
                              </w:rPr>
                              <w:t>re rigoureuse et renforcer la ma</w:t>
                            </w:r>
                            <w:r w:rsidRPr="008A02BA">
                              <w:rPr>
                                <w:rFonts w:ascii="Source Sans Pro" w:eastAsiaTheme="minorHAnsi" w:hAnsi="Source Sans Pro" w:cs="Source Sans Pro"/>
                                <w:b/>
                                <w:bCs/>
                                <w:color w:val="000000" w:themeColor="text1"/>
                                <w:sz w:val="20"/>
                                <w:szCs w:val="20"/>
                                <w:lang w:val="fr-FR"/>
                              </w:rPr>
                              <w:t>î</w:t>
                            </w:r>
                            <w:r w:rsidRPr="008A02BA">
                              <w:rPr>
                                <w:rFonts w:asciiTheme="minorHAnsi" w:eastAsiaTheme="minorHAnsi" w:hAnsiTheme="minorHAnsi" w:cstheme="minorBidi"/>
                                <w:b/>
                                <w:bCs/>
                                <w:color w:val="000000" w:themeColor="text1"/>
                                <w:sz w:val="20"/>
                                <w:szCs w:val="20"/>
                                <w:lang w:val="fr-FR"/>
                              </w:rPr>
                              <w:t>trise des risques associ</w:t>
                            </w:r>
                            <w:r w:rsidRPr="008A02BA">
                              <w:rPr>
                                <w:rFonts w:ascii="Source Sans Pro" w:eastAsiaTheme="minorHAnsi" w:hAnsi="Source Sans Pro" w:cs="Source Sans Pro"/>
                                <w:b/>
                                <w:bCs/>
                                <w:color w:val="000000" w:themeColor="text1"/>
                                <w:sz w:val="20"/>
                                <w:szCs w:val="20"/>
                                <w:lang w:val="fr-FR"/>
                              </w:rPr>
                              <w:t>é</w:t>
                            </w:r>
                            <w:r w:rsidRPr="008A02BA">
                              <w:rPr>
                                <w:rFonts w:asciiTheme="minorHAnsi" w:eastAsiaTheme="minorHAnsi" w:hAnsiTheme="minorHAnsi" w:cstheme="minorBidi"/>
                                <w:b/>
                                <w:bCs/>
                                <w:color w:val="000000" w:themeColor="text1"/>
                                <w:sz w:val="20"/>
                                <w:szCs w:val="20"/>
                                <w:lang w:val="fr-FR"/>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28B14B" id="_x0000_s1175" style="position:absolute;left:0;text-align:left;margin-left:.6pt;margin-top:1.55pt;width:477.25pt;height:65.9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" fillcolor="#ffd400 [3204]" stroked="f" strokeweight="1pt">
                <v:textbox>
                  <w:txbxContent>
                    <w:p w14:paraId="4B433C48" w14:textId="5075E887" w:rsidR="008A02BA" w:rsidRPr="00BB2CA5" w:rsidRDefault="008A02BA" w:rsidP="008A02BA">
                      <w:pPr>
                        <w:spacing w:line="276" w:lineRule="auto"/>
                        <w:jc w:val="both"/>
                        <w:rPr>
                          <w:rFonts w:asciiTheme="minorHAnsi" w:hAnsiTheme="minorHAnsi" w:cs="Open Sans"/>
                          <w:color w:val="000000" w:themeColor="text1"/>
                          <w:sz w:val="20"/>
                          <w:lang w:val="fr-FR"/>
                        </w:rPr>
                      </w:pPr>
                      <w:r w:rsidRPr="008A02BA">
                        <w:rPr>
                          <w:rFonts w:asciiTheme="minorHAnsi" w:eastAsiaTheme="minorHAnsi" w:hAnsiTheme="minorHAnsi" w:cstheme="minorBidi"/>
                          <w:b/>
                          <w:bCs/>
                          <w:color w:val="000000" w:themeColor="text1"/>
                          <w:sz w:val="20"/>
                          <w:szCs w:val="20"/>
                          <w:lang w:val="fr-FR"/>
                        </w:rPr>
                        <w:t>L’analyse menée ci</w:t>
                      </w:r>
                      <w:r w:rsidRPr="008A02BA">
                        <w:rPr>
                          <w:rFonts w:ascii="Cambria Math" w:eastAsiaTheme="minorHAnsi" w:hAnsi="Cambria Math" w:cs="Cambria Math"/>
                          <w:b/>
                          <w:bCs/>
                          <w:color w:val="000000" w:themeColor="text1"/>
                          <w:sz w:val="20"/>
                          <w:szCs w:val="20"/>
                          <w:lang w:val="fr-FR"/>
                        </w:rPr>
                        <w:t>‑</w:t>
                      </w:r>
                      <w:r w:rsidRPr="008A02BA">
                        <w:rPr>
                          <w:rFonts w:asciiTheme="minorHAnsi" w:eastAsiaTheme="minorHAnsi" w:hAnsiTheme="minorHAnsi" w:cstheme="minorBidi"/>
                          <w:b/>
                          <w:bCs/>
                          <w:color w:val="000000" w:themeColor="text1"/>
                          <w:sz w:val="20"/>
                          <w:szCs w:val="20"/>
                          <w:lang w:val="fr-FR"/>
                        </w:rPr>
                        <w:t>dessus montre que la quasi</w:t>
                      </w:r>
                      <w:r w:rsidRPr="008A02BA">
                        <w:rPr>
                          <w:rFonts w:ascii="Cambria Math" w:eastAsiaTheme="minorHAnsi" w:hAnsi="Cambria Math" w:cs="Cambria Math"/>
                          <w:b/>
                          <w:bCs/>
                          <w:color w:val="000000" w:themeColor="text1"/>
                          <w:sz w:val="20"/>
                          <w:szCs w:val="20"/>
                          <w:lang w:val="fr-FR"/>
                        </w:rPr>
                        <w:t>‑</w:t>
                      </w:r>
                      <w:r w:rsidRPr="008A02BA">
                        <w:rPr>
                          <w:rFonts w:asciiTheme="minorHAnsi" w:eastAsiaTheme="minorHAnsi" w:hAnsiTheme="minorHAnsi" w:cstheme="minorBidi"/>
                          <w:b/>
                          <w:bCs/>
                          <w:color w:val="000000" w:themeColor="text1"/>
                          <w:sz w:val="20"/>
                          <w:szCs w:val="20"/>
                          <w:lang w:val="fr-FR"/>
                        </w:rPr>
                        <w:t>totalit</w:t>
                      </w:r>
                      <w:r w:rsidRPr="008A02BA">
                        <w:rPr>
                          <w:rFonts w:ascii="Source Sans Pro" w:eastAsiaTheme="minorHAnsi" w:hAnsi="Source Sans Pro" w:cs="Source Sans Pro"/>
                          <w:b/>
                          <w:bCs/>
                          <w:color w:val="000000" w:themeColor="text1"/>
                          <w:sz w:val="20"/>
                          <w:szCs w:val="20"/>
                          <w:lang w:val="fr-FR"/>
                        </w:rPr>
                        <w:t>é</w:t>
                      </w:r>
                      <w:r w:rsidRPr="008A02BA">
                        <w:rPr>
                          <w:rFonts w:asciiTheme="minorHAnsi" w:eastAsiaTheme="minorHAnsi" w:hAnsiTheme="minorHAnsi" w:cstheme="minorBidi"/>
                          <w:b/>
                          <w:bCs/>
                          <w:color w:val="000000" w:themeColor="text1"/>
                          <w:sz w:val="20"/>
                          <w:szCs w:val="20"/>
                          <w:lang w:val="fr-FR"/>
                        </w:rPr>
                        <w:t xml:space="preserve"> des entreprises fortement expos</w:t>
                      </w:r>
                      <w:r w:rsidRPr="008A02BA">
                        <w:rPr>
                          <w:rFonts w:ascii="Source Sans Pro" w:eastAsiaTheme="minorHAnsi" w:hAnsi="Source Sans Pro" w:cs="Source Sans Pro"/>
                          <w:b/>
                          <w:bCs/>
                          <w:color w:val="000000" w:themeColor="text1"/>
                          <w:sz w:val="20"/>
                          <w:szCs w:val="20"/>
                          <w:lang w:val="fr-FR"/>
                        </w:rPr>
                        <w:t>é</w:t>
                      </w:r>
                      <w:r w:rsidRPr="008A02BA">
                        <w:rPr>
                          <w:rFonts w:asciiTheme="minorHAnsi" w:eastAsiaTheme="minorHAnsi" w:hAnsiTheme="minorHAnsi" w:cstheme="minorBidi"/>
                          <w:b/>
                          <w:bCs/>
                          <w:color w:val="000000" w:themeColor="text1"/>
                          <w:sz w:val="20"/>
                          <w:szCs w:val="20"/>
                          <w:lang w:val="fr-FR"/>
                        </w:rPr>
                        <w:t xml:space="preserve">es </w:t>
                      </w:r>
                      <w:r w:rsidRPr="008A02BA">
                        <w:rPr>
                          <w:rFonts w:ascii="Source Sans Pro" w:eastAsiaTheme="minorHAnsi" w:hAnsi="Source Sans Pro" w:cs="Source Sans Pro"/>
                          <w:b/>
                          <w:bCs/>
                          <w:color w:val="000000" w:themeColor="text1"/>
                          <w:sz w:val="20"/>
                          <w:szCs w:val="20"/>
                          <w:lang w:val="fr-FR"/>
                        </w:rPr>
                        <w:t>à</w:t>
                      </w:r>
                      <w:r w:rsidRPr="008A02BA">
                        <w:rPr>
                          <w:rFonts w:asciiTheme="minorHAnsi" w:eastAsiaTheme="minorHAnsi" w:hAnsiTheme="minorHAnsi" w:cstheme="minorBidi"/>
                          <w:b/>
                          <w:bCs/>
                          <w:color w:val="000000" w:themeColor="text1"/>
                          <w:sz w:val="20"/>
                          <w:szCs w:val="20"/>
                          <w:lang w:val="fr-FR"/>
                        </w:rPr>
                        <w:t xml:space="preserve"> la d</w:t>
                      </w:r>
                      <w:r w:rsidRPr="008A02BA">
                        <w:rPr>
                          <w:rFonts w:ascii="Source Sans Pro" w:eastAsiaTheme="minorHAnsi" w:hAnsi="Source Sans Pro" w:cs="Source Sans Pro"/>
                          <w:b/>
                          <w:bCs/>
                          <w:color w:val="000000" w:themeColor="text1"/>
                          <w:sz w:val="20"/>
                          <w:szCs w:val="20"/>
                          <w:lang w:val="fr-FR"/>
                        </w:rPr>
                        <w:t>é</w:t>
                      </w:r>
                      <w:r w:rsidRPr="008A02BA">
                        <w:rPr>
                          <w:rFonts w:asciiTheme="minorHAnsi" w:eastAsiaTheme="minorHAnsi" w:hAnsiTheme="minorHAnsi" w:cstheme="minorBidi"/>
                          <w:b/>
                          <w:bCs/>
                          <w:color w:val="000000" w:themeColor="text1"/>
                          <w:sz w:val="20"/>
                          <w:szCs w:val="20"/>
                          <w:lang w:val="fr-FR"/>
                        </w:rPr>
                        <w:t>forestation, soit 9</w:t>
                      </w:r>
                      <w:r w:rsidR="009C1A21">
                        <w:rPr>
                          <w:rFonts w:asciiTheme="minorHAnsi" w:eastAsiaTheme="minorHAnsi" w:hAnsiTheme="minorHAnsi" w:cstheme="minorBidi"/>
                          <w:b/>
                          <w:bCs/>
                          <w:color w:val="000000" w:themeColor="text1"/>
                          <w:sz w:val="20"/>
                          <w:szCs w:val="20"/>
                          <w:lang w:val="fr-FR"/>
                        </w:rPr>
                        <w:t>1</w:t>
                      </w:r>
                      <w:r w:rsidRPr="008A02BA">
                        <w:rPr>
                          <w:rFonts w:asciiTheme="minorHAnsi" w:eastAsiaTheme="minorHAnsi" w:hAnsiTheme="minorHAnsi" w:cstheme="minorBidi"/>
                          <w:b/>
                          <w:bCs/>
                          <w:color w:val="000000" w:themeColor="text1"/>
                          <w:sz w:val="20"/>
                          <w:szCs w:val="20"/>
                          <w:lang w:val="fr-FR"/>
                        </w:rPr>
                        <w:t xml:space="preserve"> %, pr</w:t>
                      </w:r>
                      <w:r w:rsidRPr="008A02BA">
                        <w:rPr>
                          <w:rFonts w:ascii="Source Sans Pro" w:eastAsiaTheme="minorHAnsi" w:hAnsi="Source Sans Pro" w:cs="Source Sans Pro"/>
                          <w:b/>
                          <w:bCs/>
                          <w:color w:val="000000" w:themeColor="text1"/>
                          <w:sz w:val="20"/>
                          <w:szCs w:val="20"/>
                          <w:lang w:val="fr-FR"/>
                        </w:rPr>
                        <w:t>é</w:t>
                      </w:r>
                      <w:r w:rsidRPr="008A02BA">
                        <w:rPr>
                          <w:rFonts w:asciiTheme="minorHAnsi" w:eastAsiaTheme="minorHAnsi" w:hAnsiTheme="minorHAnsi" w:cstheme="minorBidi"/>
                          <w:b/>
                          <w:bCs/>
                          <w:color w:val="000000" w:themeColor="text1"/>
                          <w:sz w:val="20"/>
                          <w:szCs w:val="20"/>
                          <w:lang w:val="fr-FR"/>
                        </w:rPr>
                        <w:t xml:space="preserve">sentent un niveau faible de </w:t>
                      </w:r>
                      <w:r w:rsidR="000A0769">
                        <w:rPr>
                          <w:rFonts w:asciiTheme="minorHAnsi" w:eastAsiaTheme="minorHAnsi" w:hAnsiTheme="minorHAnsi" w:cstheme="minorBidi"/>
                          <w:b/>
                          <w:bCs/>
                          <w:color w:val="000000" w:themeColor="text1"/>
                          <w:sz w:val="20"/>
                          <w:szCs w:val="20"/>
                          <w:lang w:val="fr-FR"/>
                        </w:rPr>
                        <w:t>transparence</w:t>
                      </w:r>
                      <w:r w:rsidR="000A0769" w:rsidRPr="008A02BA">
                        <w:rPr>
                          <w:rFonts w:asciiTheme="minorHAnsi" w:eastAsiaTheme="minorHAnsi" w:hAnsiTheme="minorHAnsi" w:cstheme="minorBidi"/>
                          <w:b/>
                          <w:bCs/>
                          <w:color w:val="000000" w:themeColor="text1"/>
                          <w:sz w:val="20"/>
                          <w:szCs w:val="20"/>
                          <w:lang w:val="fr-FR"/>
                        </w:rPr>
                        <w:t xml:space="preserve"> </w:t>
                      </w:r>
                      <w:r w:rsidRPr="008A02BA">
                        <w:rPr>
                          <w:rFonts w:asciiTheme="minorHAnsi" w:eastAsiaTheme="minorHAnsi" w:hAnsiTheme="minorHAnsi" w:cstheme="minorBidi"/>
                          <w:b/>
                          <w:bCs/>
                          <w:color w:val="000000" w:themeColor="text1"/>
                          <w:sz w:val="20"/>
                          <w:szCs w:val="20"/>
                          <w:lang w:val="fr-FR"/>
                        </w:rPr>
                        <w:t xml:space="preserve">et de gestion de ce risque. Ces constats appellent une vigilance accrue de la part des </w:t>
                      </w:r>
                      <w:r w:rsidRPr="008A02BA">
                        <w:rPr>
                          <w:rFonts w:ascii="Source Sans Pro" w:eastAsiaTheme="minorHAnsi" w:hAnsi="Source Sans Pro" w:cs="Source Sans Pro"/>
                          <w:b/>
                          <w:bCs/>
                          <w:color w:val="000000" w:themeColor="text1"/>
                          <w:sz w:val="20"/>
                          <w:szCs w:val="20"/>
                          <w:lang w:val="fr-FR"/>
                        </w:rPr>
                        <w:t>é</w:t>
                      </w:r>
                      <w:r w:rsidRPr="008A02BA">
                        <w:rPr>
                          <w:rFonts w:asciiTheme="minorHAnsi" w:eastAsiaTheme="minorHAnsi" w:hAnsiTheme="minorHAnsi" w:cstheme="minorBidi"/>
                          <w:b/>
                          <w:bCs/>
                          <w:color w:val="000000" w:themeColor="text1"/>
                          <w:sz w:val="20"/>
                          <w:szCs w:val="20"/>
                          <w:lang w:val="fr-FR"/>
                        </w:rPr>
                        <w:t>quipes d</w:t>
                      </w:r>
                      <w:r w:rsidRPr="008A02BA">
                        <w:rPr>
                          <w:rFonts w:ascii="Source Sans Pro" w:eastAsiaTheme="minorHAnsi" w:hAnsi="Source Sans Pro" w:cs="Source Sans Pro"/>
                          <w:b/>
                          <w:bCs/>
                          <w:color w:val="000000" w:themeColor="text1"/>
                          <w:sz w:val="20"/>
                          <w:szCs w:val="20"/>
                          <w:lang w:val="fr-FR"/>
                        </w:rPr>
                        <w:t>’</w:t>
                      </w:r>
                      <w:r w:rsidRPr="008A02BA">
                        <w:rPr>
                          <w:rFonts w:asciiTheme="minorHAnsi" w:eastAsiaTheme="minorHAnsi" w:hAnsiTheme="minorHAnsi" w:cstheme="minorBidi"/>
                          <w:b/>
                          <w:bCs/>
                          <w:color w:val="000000" w:themeColor="text1"/>
                          <w:sz w:val="20"/>
                          <w:szCs w:val="20"/>
                          <w:lang w:val="fr-FR"/>
                        </w:rPr>
                        <w:t>Abeille Assurances afin de piloter ces expositions de mani</w:t>
                      </w:r>
                      <w:r w:rsidRPr="008A02BA">
                        <w:rPr>
                          <w:rFonts w:ascii="Source Sans Pro" w:eastAsiaTheme="minorHAnsi" w:hAnsi="Source Sans Pro" w:cs="Source Sans Pro"/>
                          <w:b/>
                          <w:bCs/>
                          <w:color w:val="000000" w:themeColor="text1"/>
                          <w:sz w:val="20"/>
                          <w:szCs w:val="20"/>
                          <w:lang w:val="fr-FR"/>
                        </w:rPr>
                        <w:t>è</w:t>
                      </w:r>
                      <w:r w:rsidRPr="008A02BA">
                        <w:rPr>
                          <w:rFonts w:asciiTheme="minorHAnsi" w:eastAsiaTheme="minorHAnsi" w:hAnsiTheme="minorHAnsi" w:cstheme="minorBidi"/>
                          <w:b/>
                          <w:bCs/>
                          <w:color w:val="000000" w:themeColor="text1"/>
                          <w:sz w:val="20"/>
                          <w:szCs w:val="20"/>
                          <w:lang w:val="fr-FR"/>
                        </w:rPr>
                        <w:t>re rigoureuse et renforcer la ma</w:t>
                      </w:r>
                      <w:r w:rsidRPr="008A02BA">
                        <w:rPr>
                          <w:rFonts w:ascii="Source Sans Pro" w:eastAsiaTheme="minorHAnsi" w:hAnsi="Source Sans Pro" w:cs="Source Sans Pro"/>
                          <w:b/>
                          <w:bCs/>
                          <w:color w:val="000000" w:themeColor="text1"/>
                          <w:sz w:val="20"/>
                          <w:szCs w:val="20"/>
                          <w:lang w:val="fr-FR"/>
                        </w:rPr>
                        <w:t>î</w:t>
                      </w:r>
                      <w:r w:rsidRPr="008A02BA">
                        <w:rPr>
                          <w:rFonts w:asciiTheme="minorHAnsi" w:eastAsiaTheme="minorHAnsi" w:hAnsiTheme="minorHAnsi" w:cstheme="minorBidi"/>
                          <w:b/>
                          <w:bCs/>
                          <w:color w:val="000000" w:themeColor="text1"/>
                          <w:sz w:val="20"/>
                          <w:szCs w:val="20"/>
                          <w:lang w:val="fr-FR"/>
                        </w:rPr>
                        <w:t>trise des risques associ</w:t>
                      </w:r>
                      <w:r w:rsidRPr="008A02BA">
                        <w:rPr>
                          <w:rFonts w:ascii="Source Sans Pro" w:eastAsiaTheme="minorHAnsi" w:hAnsi="Source Sans Pro" w:cs="Source Sans Pro"/>
                          <w:b/>
                          <w:bCs/>
                          <w:color w:val="000000" w:themeColor="text1"/>
                          <w:sz w:val="20"/>
                          <w:szCs w:val="20"/>
                          <w:lang w:val="fr-FR"/>
                        </w:rPr>
                        <w:t>é</w:t>
                      </w:r>
                      <w:r w:rsidRPr="008A02BA">
                        <w:rPr>
                          <w:rFonts w:asciiTheme="minorHAnsi" w:eastAsiaTheme="minorHAnsi" w:hAnsiTheme="minorHAnsi" w:cstheme="minorBidi"/>
                          <w:b/>
                          <w:bCs/>
                          <w:color w:val="000000" w:themeColor="text1"/>
                          <w:sz w:val="20"/>
                          <w:szCs w:val="20"/>
                          <w:lang w:val="fr-FR"/>
                        </w:rPr>
                        <w:t>s.</w:t>
                      </w:r>
                    </w:p>
                  </w:txbxContent>
                </v:textbox>
                <w10:wrap anchorx="margin"/>
              </v:rect>
            </w:pict>
          </mc:Fallback>
        </mc:AlternateContent>
      </w:r>
    </w:p>
    <w:p w14:paraId="14C3F0C8" w14:textId="77777777" w:rsidR="00F865C1" w:rsidRPr="00A74D23" w:rsidRDefault="00F865C1" w:rsidP="009D6EE5">
      <w:pPr>
        <w:pStyle w:val="Style5"/>
        <w:numPr>
          <w:ilvl w:val="0"/>
          <w:numId w:val="0"/>
        </w:numPr>
        <w:spacing w:line="22" w:lineRule="atLeast"/>
        <w:jc w:val="both"/>
        <w:rPr>
          <w:b/>
          <w:bCs/>
          <w:sz w:val="32"/>
          <w:szCs w:val="32"/>
        </w:rPr>
      </w:pPr>
    </w:p>
    <w:p w14:paraId="74FBA3EA" w14:textId="0FC92209" w:rsidR="007D5F31" w:rsidRPr="00A74D23" w:rsidRDefault="007D5F31" w:rsidP="009D6EE5">
      <w:pPr>
        <w:pStyle w:val="Style5"/>
        <w:numPr>
          <w:ilvl w:val="0"/>
          <w:numId w:val="0"/>
        </w:numPr>
        <w:spacing w:line="22" w:lineRule="atLeast"/>
        <w:jc w:val="both"/>
        <w:rPr>
          <w:b/>
          <w:bCs/>
          <w:sz w:val="32"/>
          <w:szCs w:val="32"/>
        </w:rPr>
      </w:pPr>
    </w:p>
    <w:p w14:paraId="597CEE13" w14:textId="77777777" w:rsidR="007D5F31" w:rsidRPr="00A74D23" w:rsidRDefault="007D5F31" w:rsidP="009D6EE5">
      <w:pPr>
        <w:pStyle w:val="Style5"/>
        <w:numPr>
          <w:ilvl w:val="0"/>
          <w:numId w:val="0"/>
        </w:numPr>
        <w:spacing w:line="22" w:lineRule="atLeast"/>
        <w:jc w:val="both"/>
        <w:rPr>
          <w:b/>
          <w:bCs/>
          <w:sz w:val="32"/>
          <w:szCs w:val="32"/>
        </w:rPr>
      </w:pPr>
    </w:p>
    <w:p w14:paraId="33365E43" w14:textId="77777777" w:rsidR="007D5F31" w:rsidRPr="00A74D23" w:rsidRDefault="007D5F31" w:rsidP="009D6EE5">
      <w:pPr>
        <w:pStyle w:val="Style5"/>
        <w:numPr>
          <w:ilvl w:val="0"/>
          <w:numId w:val="0"/>
        </w:numPr>
        <w:spacing w:line="22" w:lineRule="atLeast"/>
        <w:jc w:val="both"/>
        <w:rPr>
          <w:b/>
          <w:bCs/>
          <w:sz w:val="32"/>
          <w:szCs w:val="32"/>
        </w:rPr>
      </w:pPr>
    </w:p>
    <w:p w14:paraId="6AA626EB" w14:textId="7459A6D9" w:rsidR="0019275C" w:rsidRPr="00A74D23" w:rsidRDefault="0019275C" w:rsidP="00590DD1">
      <w:pPr>
        <w:pStyle w:val="Paragraphedeliste"/>
        <w:numPr>
          <w:ilvl w:val="1"/>
          <w:numId w:val="67"/>
        </w:numPr>
        <w:spacing w:line="22" w:lineRule="atLeast"/>
        <w:ind w:left="709"/>
        <w:jc w:val="both"/>
        <w:rPr>
          <w:b/>
          <w:bCs/>
          <w:sz w:val="32"/>
          <w:szCs w:val="32"/>
        </w:rPr>
      </w:pPr>
      <w:r w:rsidRPr="00A74D23">
        <w:rPr>
          <w:b/>
          <w:bCs/>
          <w:sz w:val="32"/>
          <w:szCs w:val="32"/>
        </w:rPr>
        <w:t xml:space="preserve">Portefeuille d’investissements souverains </w:t>
      </w:r>
    </w:p>
    <w:p w14:paraId="6C513853" w14:textId="77777777" w:rsidR="00B43B11" w:rsidRPr="00A74D23" w:rsidRDefault="00B43B11" w:rsidP="009D6EE5">
      <w:pPr>
        <w:spacing w:line="22" w:lineRule="atLeast"/>
        <w:jc w:val="both"/>
        <w:rPr>
          <w:rFonts w:asciiTheme="minorHAnsi" w:hAnsiTheme="minorHAnsi"/>
          <w:b/>
          <w:bCs/>
          <w:sz w:val="32"/>
          <w:szCs w:val="32"/>
        </w:rPr>
      </w:pPr>
    </w:p>
    <w:p w14:paraId="1A9DD732" w14:textId="77777777" w:rsidR="00CD6AB9" w:rsidRPr="00A74D23" w:rsidRDefault="00CD6AB9" w:rsidP="00590DD1">
      <w:pPr>
        <w:pStyle w:val="Style5"/>
        <w:numPr>
          <w:ilvl w:val="2"/>
          <w:numId w:val="67"/>
        </w:numPr>
        <w:spacing w:line="22" w:lineRule="atLeast"/>
        <w:ind w:left="993" w:hanging="938"/>
        <w:jc w:val="both"/>
        <w:rPr>
          <w:i/>
          <w:iCs/>
          <w:color w:val="8A2C24" w:themeColor="accent2"/>
          <w:sz w:val="28"/>
          <w:szCs w:val="28"/>
        </w:rPr>
      </w:pPr>
      <w:r w:rsidRPr="00A74D23">
        <w:rPr>
          <w:i/>
          <w:iCs/>
          <w:color w:val="8A2C24" w:themeColor="accent2"/>
          <w:sz w:val="28"/>
          <w:szCs w:val="28"/>
        </w:rPr>
        <w:t>Les risques liés au changement climatique</w:t>
      </w:r>
    </w:p>
    <w:p w14:paraId="554AF899" w14:textId="77777777" w:rsidR="002167D4" w:rsidRPr="00A74D23" w:rsidRDefault="002167D4" w:rsidP="00AC50F3">
      <w:pPr>
        <w:pStyle w:val="Style5"/>
        <w:numPr>
          <w:ilvl w:val="0"/>
          <w:numId w:val="0"/>
        </w:numPr>
        <w:spacing w:line="22" w:lineRule="atLeast"/>
        <w:ind w:left="993"/>
        <w:jc w:val="both"/>
        <w:rPr>
          <w:b/>
          <w:bCs/>
          <w:sz w:val="28"/>
          <w:szCs w:val="28"/>
        </w:rPr>
      </w:pPr>
    </w:p>
    <w:p w14:paraId="36659DC4" w14:textId="77777777" w:rsidR="005D6893" w:rsidRPr="00A74D23" w:rsidRDefault="005D6893" w:rsidP="00590DD1">
      <w:pPr>
        <w:pStyle w:val="Style5"/>
        <w:numPr>
          <w:ilvl w:val="0"/>
          <w:numId w:val="117"/>
        </w:numPr>
        <w:spacing w:line="22" w:lineRule="atLeast"/>
        <w:jc w:val="both"/>
        <w:rPr>
          <w:b/>
          <w:bCs/>
          <w:sz w:val="28"/>
          <w:szCs w:val="28"/>
        </w:rPr>
      </w:pPr>
      <w:r w:rsidRPr="00A74D23">
        <w:rPr>
          <w:b/>
          <w:bCs/>
          <w:sz w:val="28"/>
          <w:szCs w:val="28"/>
        </w:rPr>
        <w:t>Risques de transition climatique</w:t>
      </w:r>
    </w:p>
    <w:p w14:paraId="0B07CA7D" w14:textId="77777777" w:rsidR="000B6459" w:rsidRPr="00A74D23" w:rsidRDefault="000B6459" w:rsidP="00726D26">
      <w:pPr>
        <w:pStyle w:val="Style5"/>
        <w:numPr>
          <w:ilvl w:val="0"/>
          <w:numId w:val="0"/>
        </w:numPr>
        <w:spacing w:after="120" w:line="22" w:lineRule="atLeast"/>
        <w:contextualSpacing w:val="0"/>
        <w:jc w:val="both"/>
        <w:rPr>
          <w:sz w:val="20"/>
          <w:szCs w:val="20"/>
        </w:rPr>
      </w:pPr>
      <w:r w:rsidRPr="00A74D23">
        <w:rPr>
          <w:sz w:val="20"/>
          <w:szCs w:val="20"/>
        </w:rPr>
        <w:t>Les risques de transition climatique pour les États sont, comme pour les entreprises, étroitement liés aux scénarios de transition retenus. Ils résultent principalement des choix de politiques publiques, des trajectoires de décarbonation et des engagements climatiques pris au niveau national et international. Leur appréhension est toutefois plus complexe que pour les entreprises, dans la mesure où les États sont à la fois les acteurs exposés et les décideurs des règles qui encadrent la transition.</w:t>
      </w:r>
    </w:p>
    <w:p w14:paraId="0448CB50" w14:textId="39557446" w:rsidR="003031CC" w:rsidRPr="00A74D23" w:rsidRDefault="000B6459" w:rsidP="009D6EE5">
      <w:pPr>
        <w:pStyle w:val="Style5"/>
        <w:numPr>
          <w:ilvl w:val="0"/>
          <w:numId w:val="0"/>
        </w:numPr>
        <w:spacing w:line="22" w:lineRule="atLeast"/>
        <w:jc w:val="both"/>
        <w:rPr>
          <w:sz w:val="20"/>
          <w:szCs w:val="20"/>
        </w:rPr>
      </w:pPr>
      <w:r w:rsidRPr="00A74D23">
        <w:rPr>
          <w:sz w:val="20"/>
          <w:szCs w:val="20"/>
        </w:rPr>
        <w:t>Ces risques peuvent néanmoins se matérialiser à travers des engagements internationaux, tels que l’Accord de Paris, des cadres régionaux comme la réglementation européenne, ou encore via des impacts macroéconomiques liés à l’adaptation des modèles économiques, fiscaux et énergétiques.</w:t>
      </w:r>
    </w:p>
    <w:p w14:paraId="2DBE4D1E" w14:textId="77777777" w:rsidR="003031CC" w:rsidRPr="00A74D23" w:rsidRDefault="003031CC" w:rsidP="009D6EE5">
      <w:pPr>
        <w:pStyle w:val="Style5"/>
        <w:numPr>
          <w:ilvl w:val="0"/>
          <w:numId w:val="0"/>
        </w:numPr>
        <w:spacing w:line="22" w:lineRule="atLeast"/>
        <w:jc w:val="both"/>
        <w:rPr>
          <w:sz w:val="20"/>
          <w:szCs w:val="20"/>
        </w:rPr>
      </w:pPr>
    </w:p>
    <w:p w14:paraId="5B6DBC87" w14:textId="77777777" w:rsidR="003031CC" w:rsidRPr="00A74D23" w:rsidRDefault="003031CC" w:rsidP="009D6EE5">
      <w:pPr>
        <w:pStyle w:val="Style5"/>
        <w:numPr>
          <w:ilvl w:val="0"/>
          <w:numId w:val="0"/>
        </w:numPr>
        <w:spacing w:line="22" w:lineRule="atLeast"/>
        <w:jc w:val="both"/>
      </w:pPr>
      <w:r w:rsidRPr="00A74D23">
        <w:rPr>
          <w:b/>
          <w:bCs/>
        </w:rPr>
        <w:t>Indicateurs mobilisés (KRI)</w:t>
      </w:r>
    </w:p>
    <w:p w14:paraId="1BE66FCC" w14:textId="035B3DA9" w:rsidR="003031CC" w:rsidRPr="00A74D23" w:rsidRDefault="003031CC" w:rsidP="009D6EE5">
      <w:pPr>
        <w:pStyle w:val="Style5"/>
        <w:numPr>
          <w:ilvl w:val="0"/>
          <w:numId w:val="0"/>
        </w:numPr>
        <w:spacing w:line="22" w:lineRule="atLeast"/>
        <w:jc w:val="both"/>
        <w:rPr>
          <w:sz w:val="20"/>
          <w:szCs w:val="20"/>
        </w:rPr>
      </w:pPr>
      <w:r w:rsidRPr="00A74D23">
        <w:rPr>
          <w:sz w:val="20"/>
          <w:szCs w:val="20"/>
        </w:rPr>
        <w:t>L’évaluation des risques de transition climatique sur le portefeuille souverains repose sur plusieurs indicateurs de suivi, parmi lesquels :</w:t>
      </w:r>
    </w:p>
    <w:p w14:paraId="3E97C890" w14:textId="56205D1C" w:rsidR="003031CC" w:rsidRPr="00A74D23" w:rsidRDefault="003031CC" w:rsidP="00590DD1">
      <w:pPr>
        <w:pStyle w:val="Style5"/>
        <w:numPr>
          <w:ilvl w:val="0"/>
          <w:numId w:val="59"/>
        </w:numPr>
        <w:spacing w:line="22" w:lineRule="atLeast"/>
        <w:jc w:val="both"/>
        <w:rPr>
          <w:b/>
          <w:bCs/>
          <w:sz w:val="20"/>
          <w:szCs w:val="20"/>
        </w:rPr>
      </w:pPr>
      <w:r w:rsidRPr="00A74D23">
        <w:rPr>
          <w:b/>
          <w:bCs/>
          <w:sz w:val="20"/>
          <w:szCs w:val="20"/>
        </w:rPr>
        <w:t>L’ASCOR Improvement Score</w:t>
      </w:r>
      <w:r w:rsidR="00A751D2" w:rsidRPr="00A74D23">
        <w:rPr>
          <w:sz w:val="20"/>
          <w:szCs w:val="20"/>
        </w:rPr>
        <w:t>, présenté en partie G</w:t>
      </w:r>
      <w:r w:rsidR="00254E35" w:rsidRPr="00A74D23">
        <w:rPr>
          <w:sz w:val="20"/>
          <w:szCs w:val="20"/>
        </w:rPr>
        <w:t>, et démontre un risque faible</w:t>
      </w:r>
    </w:p>
    <w:p w14:paraId="5B90C1F5" w14:textId="77777777" w:rsidR="003031CC" w:rsidRPr="00A74D23" w:rsidRDefault="003031CC" w:rsidP="009D6EE5">
      <w:pPr>
        <w:pStyle w:val="Style5"/>
        <w:numPr>
          <w:ilvl w:val="0"/>
          <w:numId w:val="0"/>
        </w:numPr>
        <w:spacing w:line="22" w:lineRule="atLeast"/>
        <w:jc w:val="both"/>
        <w:rPr>
          <w:sz w:val="20"/>
          <w:szCs w:val="20"/>
        </w:rPr>
      </w:pPr>
    </w:p>
    <w:p w14:paraId="38E2F8D6" w14:textId="77777777" w:rsidR="005D6893" w:rsidRPr="00A74D23" w:rsidRDefault="005D6893" w:rsidP="009D6EE5">
      <w:pPr>
        <w:pStyle w:val="Style5"/>
        <w:numPr>
          <w:ilvl w:val="0"/>
          <w:numId w:val="0"/>
        </w:numPr>
        <w:spacing w:line="22" w:lineRule="atLeast"/>
        <w:jc w:val="both"/>
        <w:rPr>
          <w:b/>
          <w:bCs/>
          <w:sz w:val="24"/>
          <w:szCs w:val="24"/>
        </w:rPr>
      </w:pPr>
    </w:p>
    <w:p w14:paraId="452ED731" w14:textId="24C872A5" w:rsidR="005D6893" w:rsidRPr="00A74D23" w:rsidRDefault="005D6893" w:rsidP="00590DD1">
      <w:pPr>
        <w:pStyle w:val="Style5"/>
        <w:numPr>
          <w:ilvl w:val="0"/>
          <w:numId w:val="101"/>
        </w:numPr>
        <w:spacing w:line="22" w:lineRule="atLeast"/>
        <w:ind w:left="426"/>
        <w:jc w:val="both"/>
        <w:rPr>
          <w:b/>
          <w:bCs/>
          <w:sz w:val="28"/>
          <w:szCs w:val="28"/>
        </w:rPr>
      </w:pPr>
      <w:r w:rsidRPr="00A74D23">
        <w:rPr>
          <w:b/>
          <w:bCs/>
          <w:sz w:val="28"/>
          <w:szCs w:val="28"/>
        </w:rPr>
        <w:t>Risques physiques du changement climatique</w:t>
      </w:r>
    </w:p>
    <w:p w14:paraId="33887801" w14:textId="660689B7" w:rsidR="00D14AE9" w:rsidRPr="00A74D23" w:rsidRDefault="00DA14C6" w:rsidP="009D6EE5">
      <w:pPr>
        <w:pStyle w:val="Style5"/>
        <w:numPr>
          <w:ilvl w:val="0"/>
          <w:numId w:val="0"/>
        </w:numPr>
        <w:spacing w:line="22" w:lineRule="atLeast"/>
        <w:jc w:val="both"/>
        <w:rPr>
          <w:sz w:val="20"/>
          <w:szCs w:val="20"/>
        </w:rPr>
      </w:pPr>
      <w:r w:rsidRPr="00A74D23">
        <w:rPr>
          <w:sz w:val="20"/>
          <w:szCs w:val="20"/>
        </w:rPr>
        <w:t>Les risques physiques sont plus aisés à analyser pour les émetteurs souverains que pour les entreprises, dans la mesure où les enjeux sont majoritairement localisés, ne nécessitent pas l’analyse de chaînes de valeur complexes et bénéficient généralement de données publiques disponibles du fait de l’engagement des États.</w:t>
      </w:r>
    </w:p>
    <w:p w14:paraId="752C837C" w14:textId="77777777" w:rsidR="00DA14C6" w:rsidRPr="00A74D23" w:rsidRDefault="00DA14C6" w:rsidP="009D6EE5">
      <w:pPr>
        <w:pStyle w:val="Style5"/>
        <w:numPr>
          <w:ilvl w:val="0"/>
          <w:numId w:val="0"/>
        </w:numPr>
        <w:spacing w:line="22" w:lineRule="atLeast"/>
        <w:jc w:val="both"/>
        <w:rPr>
          <w:sz w:val="20"/>
          <w:szCs w:val="20"/>
        </w:rPr>
      </w:pPr>
    </w:p>
    <w:p w14:paraId="67C7E396" w14:textId="77777777" w:rsidR="00D14AE9" w:rsidRPr="00A74D23" w:rsidRDefault="00D14AE9" w:rsidP="009D6EE5">
      <w:pPr>
        <w:pStyle w:val="Style5"/>
        <w:numPr>
          <w:ilvl w:val="0"/>
          <w:numId w:val="0"/>
        </w:numPr>
        <w:spacing w:line="22" w:lineRule="atLeast"/>
        <w:jc w:val="both"/>
      </w:pPr>
      <w:r w:rsidRPr="00A74D23">
        <w:rPr>
          <w:b/>
          <w:bCs/>
        </w:rPr>
        <w:t>Indicateurs mobilisés (KRI)</w:t>
      </w:r>
    </w:p>
    <w:p w14:paraId="7A72D059" w14:textId="2DE97D66" w:rsidR="00D14AE9" w:rsidRPr="00A74D23" w:rsidRDefault="00D14AE9" w:rsidP="009D6EE5">
      <w:pPr>
        <w:pStyle w:val="Style5"/>
        <w:numPr>
          <w:ilvl w:val="0"/>
          <w:numId w:val="0"/>
        </w:numPr>
        <w:spacing w:line="22" w:lineRule="atLeast"/>
        <w:jc w:val="both"/>
        <w:rPr>
          <w:sz w:val="20"/>
          <w:szCs w:val="20"/>
        </w:rPr>
      </w:pPr>
      <w:r w:rsidRPr="00A74D23">
        <w:rPr>
          <w:sz w:val="20"/>
          <w:szCs w:val="20"/>
        </w:rPr>
        <w:t xml:space="preserve">L’évaluation des risques </w:t>
      </w:r>
      <w:r w:rsidR="00BB4968" w:rsidRPr="00A74D23">
        <w:rPr>
          <w:sz w:val="20"/>
          <w:szCs w:val="20"/>
        </w:rPr>
        <w:t xml:space="preserve">physiques du changement </w:t>
      </w:r>
      <w:r w:rsidRPr="00A74D23">
        <w:rPr>
          <w:sz w:val="20"/>
          <w:szCs w:val="20"/>
        </w:rPr>
        <w:t>climatique sur le portefeuille souverain repose sur plusieurs indicateurs de suivi, parmi lesquels :</w:t>
      </w:r>
    </w:p>
    <w:p w14:paraId="21AFE4E3" w14:textId="5C8D7705" w:rsidR="00D14AE9" w:rsidRPr="00A74D23" w:rsidRDefault="004646A3" w:rsidP="00590DD1">
      <w:pPr>
        <w:pStyle w:val="Style5"/>
        <w:numPr>
          <w:ilvl w:val="0"/>
          <w:numId w:val="59"/>
        </w:numPr>
        <w:spacing w:line="22" w:lineRule="atLeast"/>
        <w:jc w:val="both"/>
        <w:rPr>
          <w:b/>
          <w:bCs/>
          <w:sz w:val="20"/>
          <w:szCs w:val="20"/>
        </w:rPr>
      </w:pPr>
      <w:r w:rsidRPr="00A74D23">
        <w:rPr>
          <w:b/>
          <w:bCs/>
          <w:sz w:val="20"/>
          <w:szCs w:val="20"/>
        </w:rPr>
        <w:t>Le score ND GAIN</w:t>
      </w:r>
    </w:p>
    <w:p w14:paraId="111EDB18" w14:textId="77777777" w:rsidR="00D14AE9" w:rsidRDefault="00D14AE9" w:rsidP="009D6EE5">
      <w:pPr>
        <w:pStyle w:val="Style5"/>
        <w:numPr>
          <w:ilvl w:val="0"/>
          <w:numId w:val="0"/>
        </w:numPr>
        <w:spacing w:line="22" w:lineRule="atLeast"/>
        <w:jc w:val="both"/>
        <w:rPr>
          <w:sz w:val="20"/>
          <w:szCs w:val="20"/>
        </w:rPr>
      </w:pPr>
    </w:p>
    <w:p w14:paraId="10E830D6" w14:textId="77777777" w:rsidR="00FD2A7E" w:rsidRDefault="00FD2A7E" w:rsidP="009D6EE5">
      <w:pPr>
        <w:pStyle w:val="Style5"/>
        <w:numPr>
          <w:ilvl w:val="0"/>
          <w:numId w:val="0"/>
        </w:numPr>
        <w:spacing w:line="22" w:lineRule="atLeast"/>
        <w:jc w:val="both"/>
        <w:rPr>
          <w:sz w:val="20"/>
          <w:szCs w:val="20"/>
        </w:rPr>
      </w:pPr>
    </w:p>
    <w:p w14:paraId="21E150AE" w14:textId="77777777" w:rsidR="00FD2A7E" w:rsidRDefault="00FD2A7E" w:rsidP="009D6EE5">
      <w:pPr>
        <w:pStyle w:val="Style5"/>
        <w:numPr>
          <w:ilvl w:val="0"/>
          <w:numId w:val="0"/>
        </w:numPr>
        <w:spacing w:line="22" w:lineRule="atLeast"/>
        <w:jc w:val="both"/>
        <w:rPr>
          <w:sz w:val="20"/>
          <w:szCs w:val="20"/>
        </w:rPr>
      </w:pPr>
    </w:p>
    <w:p w14:paraId="5FC35FA1" w14:textId="77777777" w:rsidR="00FD2A7E" w:rsidRDefault="00FD2A7E" w:rsidP="009D6EE5">
      <w:pPr>
        <w:pStyle w:val="Style5"/>
        <w:numPr>
          <w:ilvl w:val="0"/>
          <w:numId w:val="0"/>
        </w:numPr>
        <w:spacing w:line="22" w:lineRule="atLeast"/>
        <w:jc w:val="both"/>
        <w:rPr>
          <w:sz w:val="20"/>
          <w:szCs w:val="20"/>
        </w:rPr>
      </w:pPr>
    </w:p>
    <w:p w14:paraId="43F32844" w14:textId="77777777" w:rsidR="00FD2A7E" w:rsidRDefault="00FD2A7E" w:rsidP="009D6EE5">
      <w:pPr>
        <w:pStyle w:val="Style5"/>
        <w:numPr>
          <w:ilvl w:val="0"/>
          <w:numId w:val="0"/>
        </w:numPr>
        <w:spacing w:line="22" w:lineRule="atLeast"/>
        <w:jc w:val="both"/>
        <w:rPr>
          <w:sz w:val="20"/>
          <w:szCs w:val="20"/>
        </w:rPr>
      </w:pPr>
    </w:p>
    <w:p w14:paraId="11FEEC3C" w14:textId="77777777" w:rsidR="00FD2A7E" w:rsidRDefault="00FD2A7E" w:rsidP="009D6EE5">
      <w:pPr>
        <w:pStyle w:val="Style5"/>
        <w:numPr>
          <w:ilvl w:val="0"/>
          <w:numId w:val="0"/>
        </w:numPr>
        <w:spacing w:line="22" w:lineRule="atLeast"/>
        <w:jc w:val="both"/>
        <w:rPr>
          <w:sz w:val="20"/>
          <w:szCs w:val="20"/>
        </w:rPr>
      </w:pPr>
    </w:p>
    <w:p w14:paraId="1559B451" w14:textId="77777777" w:rsidR="00FD2A7E" w:rsidRDefault="00FD2A7E" w:rsidP="009D6EE5">
      <w:pPr>
        <w:pStyle w:val="Style5"/>
        <w:numPr>
          <w:ilvl w:val="0"/>
          <w:numId w:val="0"/>
        </w:numPr>
        <w:spacing w:line="22" w:lineRule="atLeast"/>
        <w:jc w:val="both"/>
        <w:rPr>
          <w:sz w:val="20"/>
          <w:szCs w:val="20"/>
        </w:rPr>
      </w:pPr>
    </w:p>
    <w:p w14:paraId="6F7BDCDC" w14:textId="77777777" w:rsidR="00FD2A7E" w:rsidRDefault="00FD2A7E" w:rsidP="009D6EE5">
      <w:pPr>
        <w:pStyle w:val="Style5"/>
        <w:numPr>
          <w:ilvl w:val="0"/>
          <w:numId w:val="0"/>
        </w:numPr>
        <w:spacing w:line="22" w:lineRule="atLeast"/>
        <w:jc w:val="both"/>
        <w:rPr>
          <w:sz w:val="20"/>
          <w:szCs w:val="20"/>
        </w:rPr>
      </w:pPr>
    </w:p>
    <w:p w14:paraId="6843D3C5" w14:textId="77777777" w:rsidR="00FD2A7E" w:rsidRDefault="00FD2A7E" w:rsidP="009D6EE5">
      <w:pPr>
        <w:pStyle w:val="Style5"/>
        <w:numPr>
          <w:ilvl w:val="0"/>
          <w:numId w:val="0"/>
        </w:numPr>
        <w:spacing w:line="22" w:lineRule="atLeast"/>
        <w:jc w:val="both"/>
        <w:rPr>
          <w:sz w:val="20"/>
          <w:szCs w:val="20"/>
        </w:rPr>
      </w:pPr>
    </w:p>
    <w:p w14:paraId="24ECA40D" w14:textId="77777777" w:rsidR="00FD2A7E" w:rsidRDefault="00FD2A7E" w:rsidP="009D6EE5">
      <w:pPr>
        <w:pStyle w:val="Style5"/>
        <w:numPr>
          <w:ilvl w:val="0"/>
          <w:numId w:val="0"/>
        </w:numPr>
        <w:spacing w:line="22" w:lineRule="atLeast"/>
        <w:jc w:val="both"/>
        <w:rPr>
          <w:sz w:val="20"/>
          <w:szCs w:val="20"/>
        </w:rPr>
      </w:pPr>
    </w:p>
    <w:p w14:paraId="30664917" w14:textId="77777777" w:rsidR="00FD2A7E" w:rsidRDefault="00FD2A7E" w:rsidP="009D6EE5">
      <w:pPr>
        <w:pStyle w:val="Style5"/>
        <w:numPr>
          <w:ilvl w:val="0"/>
          <w:numId w:val="0"/>
        </w:numPr>
        <w:spacing w:line="22" w:lineRule="atLeast"/>
        <w:jc w:val="both"/>
        <w:rPr>
          <w:sz w:val="20"/>
          <w:szCs w:val="20"/>
        </w:rPr>
      </w:pPr>
    </w:p>
    <w:p w14:paraId="53FE198C" w14:textId="77777777" w:rsidR="00FD2A7E" w:rsidRDefault="00FD2A7E" w:rsidP="009D6EE5">
      <w:pPr>
        <w:pStyle w:val="Style5"/>
        <w:numPr>
          <w:ilvl w:val="0"/>
          <w:numId w:val="0"/>
        </w:numPr>
        <w:spacing w:line="22" w:lineRule="atLeast"/>
        <w:jc w:val="both"/>
        <w:rPr>
          <w:sz w:val="20"/>
          <w:szCs w:val="20"/>
        </w:rPr>
      </w:pPr>
    </w:p>
    <w:p w14:paraId="2CEED490" w14:textId="77777777" w:rsidR="00FD2A7E" w:rsidRDefault="00FD2A7E" w:rsidP="009D6EE5">
      <w:pPr>
        <w:pStyle w:val="Style5"/>
        <w:numPr>
          <w:ilvl w:val="0"/>
          <w:numId w:val="0"/>
        </w:numPr>
        <w:spacing w:line="22" w:lineRule="atLeast"/>
        <w:jc w:val="both"/>
        <w:rPr>
          <w:sz w:val="20"/>
          <w:szCs w:val="20"/>
        </w:rPr>
      </w:pPr>
    </w:p>
    <w:p w14:paraId="59025310" w14:textId="77777777" w:rsidR="00FD2A7E" w:rsidRDefault="00FD2A7E" w:rsidP="009D6EE5">
      <w:pPr>
        <w:pStyle w:val="Style5"/>
        <w:numPr>
          <w:ilvl w:val="0"/>
          <w:numId w:val="0"/>
        </w:numPr>
        <w:spacing w:line="22" w:lineRule="atLeast"/>
        <w:jc w:val="both"/>
        <w:rPr>
          <w:sz w:val="20"/>
          <w:szCs w:val="20"/>
        </w:rPr>
      </w:pPr>
    </w:p>
    <w:p w14:paraId="3C1DCF94" w14:textId="77777777" w:rsidR="00FD2A7E" w:rsidRDefault="00FD2A7E" w:rsidP="009D6EE5">
      <w:pPr>
        <w:pStyle w:val="Style5"/>
        <w:numPr>
          <w:ilvl w:val="0"/>
          <w:numId w:val="0"/>
        </w:numPr>
        <w:spacing w:line="22" w:lineRule="atLeast"/>
        <w:jc w:val="both"/>
        <w:rPr>
          <w:sz w:val="20"/>
          <w:szCs w:val="20"/>
        </w:rPr>
      </w:pPr>
    </w:p>
    <w:p w14:paraId="509AD88C" w14:textId="77777777" w:rsidR="00FD2A7E" w:rsidRDefault="00FD2A7E" w:rsidP="009D6EE5">
      <w:pPr>
        <w:pStyle w:val="Style5"/>
        <w:numPr>
          <w:ilvl w:val="0"/>
          <w:numId w:val="0"/>
        </w:numPr>
        <w:spacing w:line="22" w:lineRule="atLeast"/>
        <w:jc w:val="both"/>
        <w:rPr>
          <w:sz w:val="20"/>
          <w:szCs w:val="20"/>
        </w:rPr>
      </w:pPr>
    </w:p>
    <w:p w14:paraId="41B2A125" w14:textId="77777777" w:rsidR="00FD2A7E" w:rsidRDefault="00FD2A7E" w:rsidP="009D6EE5">
      <w:pPr>
        <w:pStyle w:val="Style5"/>
        <w:numPr>
          <w:ilvl w:val="0"/>
          <w:numId w:val="0"/>
        </w:numPr>
        <w:spacing w:line="22" w:lineRule="atLeast"/>
        <w:jc w:val="both"/>
        <w:rPr>
          <w:sz w:val="20"/>
          <w:szCs w:val="20"/>
        </w:rPr>
      </w:pPr>
    </w:p>
    <w:p w14:paraId="3F9A0492" w14:textId="77777777" w:rsidR="00FD2A7E" w:rsidRDefault="00FD2A7E" w:rsidP="009D6EE5">
      <w:pPr>
        <w:pStyle w:val="Style5"/>
        <w:numPr>
          <w:ilvl w:val="0"/>
          <w:numId w:val="0"/>
        </w:numPr>
        <w:spacing w:line="22" w:lineRule="atLeast"/>
        <w:jc w:val="both"/>
        <w:rPr>
          <w:sz w:val="20"/>
          <w:szCs w:val="20"/>
        </w:rPr>
      </w:pPr>
    </w:p>
    <w:p w14:paraId="40A22FE4" w14:textId="77777777" w:rsidR="00FD2A7E" w:rsidRDefault="00FD2A7E" w:rsidP="009D6EE5">
      <w:pPr>
        <w:pStyle w:val="Style5"/>
        <w:numPr>
          <w:ilvl w:val="0"/>
          <w:numId w:val="0"/>
        </w:numPr>
        <w:spacing w:line="22" w:lineRule="atLeast"/>
        <w:jc w:val="both"/>
        <w:rPr>
          <w:sz w:val="20"/>
          <w:szCs w:val="20"/>
        </w:rPr>
      </w:pPr>
    </w:p>
    <w:p w14:paraId="036C8655" w14:textId="77777777" w:rsidR="00FD2A7E" w:rsidRDefault="00FD2A7E" w:rsidP="009D6EE5">
      <w:pPr>
        <w:pStyle w:val="Style5"/>
        <w:numPr>
          <w:ilvl w:val="0"/>
          <w:numId w:val="0"/>
        </w:numPr>
        <w:spacing w:line="22" w:lineRule="atLeast"/>
        <w:jc w:val="both"/>
        <w:rPr>
          <w:sz w:val="20"/>
          <w:szCs w:val="20"/>
        </w:rPr>
      </w:pPr>
    </w:p>
    <w:p w14:paraId="00E7F415" w14:textId="77777777" w:rsidR="00FD2A7E" w:rsidRDefault="00FD2A7E" w:rsidP="009D6EE5">
      <w:pPr>
        <w:pStyle w:val="Style5"/>
        <w:numPr>
          <w:ilvl w:val="0"/>
          <w:numId w:val="0"/>
        </w:numPr>
        <w:spacing w:line="22" w:lineRule="atLeast"/>
        <w:jc w:val="both"/>
        <w:rPr>
          <w:sz w:val="20"/>
          <w:szCs w:val="20"/>
        </w:rPr>
      </w:pPr>
    </w:p>
    <w:p w14:paraId="4B904361" w14:textId="77777777" w:rsidR="00FD2A7E" w:rsidRDefault="00FD2A7E" w:rsidP="009D6EE5">
      <w:pPr>
        <w:pStyle w:val="Style5"/>
        <w:numPr>
          <w:ilvl w:val="0"/>
          <w:numId w:val="0"/>
        </w:numPr>
        <w:spacing w:line="22" w:lineRule="atLeast"/>
        <w:jc w:val="both"/>
        <w:rPr>
          <w:sz w:val="20"/>
          <w:szCs w:val="20"/>
        </w:rPr>
      </w:pPr>
    </w:p>
    <w:p w14:paraId="55C41635" w14:textId="77777777" w:rsidR="00FD2A7E" w:rsidRDefault="00FD2A7E" w:rsidP="009D6EE5">
      <w:pPr>
        <w:pStyle w:val="Style5"/>
        <w:numPr>
          <w:ilvl w:val="0"/>
          <w:numId w:val="0"/>
        </w:numPr>
        <w:spacing w:line="22" w:lineRule="atLeast"/>
        <w:jc w:val="both"/>
        <w:rPr>
          <w:sz w:val="20"/>
          <w:szCs w:val="20"/>
        </w:rPr>
      </w:pPr>
    </w:p>
    <w:p w14:paraId="0CEDAFA7" w14:textId="77777777" w:rsidR="00FD2A7E" w:rsidRPr="00A74D23" w:rsidRDefault="00FD2A7E" w:rsidP="009D6EE5">
      <w:pPr>
        <w:pStyle w:val="Style5"/>
        <w:numPr>
          <w:ilvl w:val="0"/>
          <w:numId w:val="0"/>
        </w:numPr>
        <w:spacing w:line="22" w:lineRule="atLeast"/>
        <w:jc w:val="both"/>
        <w:rPr>
          <w:sz w:val="20"/>
          <w:szCs w:val="20"/>
        </w:rPr>
      </w:pPr>
    </w:p>
    <w:p w14:paraId="4E9D2991" w14:textId="77777777" w:rsidR="00BB4968" w:rsidRPr="00A74D23" w:rsidRDefault="00BB4968" w:rsidP="00AC50F3">
      <w:pPr>
        <w:pStyle w:val="Style5"/>
        <w:numPr>
          <w:ilvl w:val="0"/>
          <w:numId w:val="0"/>
        </w:numPr>
        <w:spacing w:line="22" w:lineRule="atLeast"/>
        <w:jc w:val="both"/>
        <w:rPr>
          <w:sz w:val="20"/>
          <w:szCs w:val="20"/>
        </w:rPr>
      </w:pPr>
    </w:p>
    <w:p w14:paraId="702490B1" w14:textId="64CD7E8B" w:rsidR="00BB4968" w:rsidRPr="00A74D23" w:rsidRDefault="00BB4968" w:rsidP="00AC50F3">
      <w:pPr>
        <w:pStyle w:val="Style5"/>
        <w:numPr>
          <w:ilvl w:val="0"/>
          <w:numId w:val="0"/>
        </w:numPr>
        <w:spacing w:line="22" w:lineRule="atLeast"/>
        <w:jc w:val="both"/>
        <w:rPr>
          <w:b/>
          <w:bCs/>
          <w:sz w:val="24"/>
          <w:szCs w:val="24"/>
        </w:rPr>
      </w:pPr>
      <w:r w:rsidRPr="00A74D23">
        <w:rPr>
          <w:b/>
          <w:bCs/>
          <w:sz w:val="24"/>
          <w:szCs w:val="24"/>
        </w:rPr>
        <w:t xml:space="preserve">Score ND Gain </w:t>
      </w:r>
    </w:p>
    <w:p w14:paraId="677B2A1F" w14:textId="77777777" w:rsidR="005D6893" w:rsidRPr="00A74D23" w:rsidRDefault="005D6893" w:rsidP="009D6EE5">
      <w:pPr>
        <w:pStyle w:val="Style5"/>
        <w:numPr>
          <w:ilvl w:val="0"/>
          <w:numId w:val="0"/>
        </w:numPr>
        <w:spacing w:line="22" w:lineRule="atLeast"/>
        <w:jc w:val="both"/>
        <w:rPr>
          <w:sz w:val="20"/>
          <w:szCs w:val="20"/>
        </w:rPr>
      </w:pPr>
    </w:p>
    <w:p w14:paraId="00CDEBE4" w14:textId="14D6DF4E" w:rsidR="004646A3" w:rsidRPr="00A74D23" w:rsidRDefault="00E139FB" w:rsidP="009D6EE5">
      <w:pPr>
        <w:pStyle w:val="Style5"/>
        <w:numPr>
          <w:ilvl w:val="0"/>
          <w:numId w:val="0"/>
        </w:numPr>
        <w:spacing w:line="22" w:lineRule="atLeast"/>
        <w:jc w:val="both"/>
        <w:rPr>
          <w:sz w:val="20"/>
          <w:szCs w:val="20"/>
        </w:rPr>
      </w:pPr>
      <w:r w:rsidRPr="00A74D23">
        <w:rPr>
          <w:noProof/>
        </w:rPr>
        <w:drawing>
          <wp:inline distT="0" distB="0" distL="0" distR="0" wp14:anchorId="63BB936C" wp14:editId="5C695654">
            <wp:extent cx="5761355" cy="4563374"/>
            <wp:effectExtent l="0" t="0" r="10795" b="8890"/>
            <wp:docPr id="762314393" name="Graphique 1">
              <a:extLst xmlns:a="http://schemas.openxmlformats.org/drawingml/2006/main">
                <a:ext uri="{FF2B5EF4-FFF2-40B4-BE49-F238E27FC236}">
                  <a16:creationId xmlns:a16="http://schemas.microsoft.com/office/drawing/2014/main" id="{8D0A5CA9-4D8F-4B4C-AF7F-51082F6D58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2A95B924" w14:textId="4CD1DDA1" w:rsidR="00947AF2" w:rsidRPr="00A74D23" w:rsidRDefault="00947AF2" w:rsidP="009D6EE5">
      <w:pPr>
        <w:pStyle w:val="Style5"/>
        <w:numPr>
          <w:ilvl w:val="0"/>
          <w:numId w:val="0"/>
        </w:numPr>
        <w:spacing w:line="22" w:lineRule="atLeast"/>
        <w:jc w:val="both"/>
        <w:rPr>
          <w:i/>
          <w:iCs/>
          <w:sz w:val="16"/>
          <w:szCs w:val="16"/>
        </w:rPr>
      </w:pPr>
      <w:r w:rsidRPr="00A74D23">
        <w:rPr>
          <w:i/>
          <w:iCs/>
          <w:sz w:val="18"/>
          <w:szCs w:val="18"/>
        </w:rPr>
        <w:t>Source : ND GAIN</w:t>
      </w:r>
    </w:p>
    <w:p w14:paraId="4CEC7424" w14:textId="16F2CDA3" w:rsidR="00947AF2" w:rsidRPr="00A74D23" w:rsidRDefault="00947AF2" w:rsidP="009D6EE5">
      <w:pPr>
        <w:pStyle w:val="Style5"/>
        <w:numPr>
          <w:ilvl w:val="0"/>
          <w:numId w:val="0"/>
        </w:numPr>
        <w:spacing w:line="22" w:lineRule="atLeast"/>
        <w:jc w:val="both"/>
        <w:rPr>
          <w:i/>
          <w:iCs/>
          <w:sz w:val="18"/>
          <w:szCs w:val="18"/>
        </w:rPr>
      </w:pPr>
      <w:r w:rsidRPr="00A74D23">
        <w:rPr>
          <w:i/>
          <w:iCs/>
          <w:sz w:val="18"/>
          <w:szCs w:val="18"/>
        </w:rPr>
        <w:t>Périmètre : Abeille Assurances consolidé souverain – 31/12/2025</w:t>
      </w:r>
    </w:p>
    <w:p w14:paraId="26306FA8" w14:textId="19F8A2AB" w:rsidR="00947AF2" w:rsidRPr="00A74D23" w:rsidRDefault="00947AF2" w:rsidP="009D6EE5">
      <w:pPr>
        <w:pStyle w:val="Style5"/>
        <w:numPr>
          <w:ilvl w:val="0"/>
          <w:numId w:val="0"/>
        </w:numPr>
        <w:spacing w:line="22" w:lineRule="atLeast"/>
        <w:jc w:val="both"/>
        <w:rPr>
          <w:i/>
          <w:iCs/>
          <w:sz w:val="18"/>
          <w:szCs w:val="18"/>
        </w:rPr>
      </w:pPr>
      <w:r w:rsidRPr="00A74D23">
        <w:rPr>
          <w:i/>
          <w:iCs/>
          <w:sz w:val="18"/>
          <w:szCs w:val="18"/>
        </w:rPr>
        <w:t>Taux de couverture : 100%</w:t>
      </w:r>
    </w:p>
    <w:p w14:paraId="6C6254F7" w14:textId="3A61562A" w:rsidR="004646A3" w:rsidRPr="00A74D23" w:rsidRDefault="004646A3" w:rsidP="009D6EE5">
      <w:pPr>
        <w:pStyle w:val="Style5"/>
        <w:numPr>
          <w:ilvl w:val="0"/>
          <w:numId w:val="0"/>
        </w:numPr>
        <w:spacing w:line="22" w:lineRule="atLeast"/>
        <w:jc w:val="both"/>
        <w:rPr>
          <w:sz w:val="20"/>
          <w:szCs w:val="20"/>
        </w:rPr>
      </w:pPr>
    </w:p>
    <w:p w14:paraId="6BFF9D97" w14:textId="157854F0" w:rsidR="004646A3" w:rsidRPr="00A74D23" w:rsidRDefault="007E01FC" w:rsidP="00FD2A7E">
      <w:pPr>
        <w:pStyle w:val="Style5"/>
        <w:numPr>
          <w:ilvl w:val="0"/>
          <w:numId w:val="0"/>
        </w:numPr>
        <w:spacing w:line="22" w:lineRule="atLeast"/>
        <w:jc w:val="center"/>
        <w:rPr>
          <w:sz w:val="20"/>
          <w:szCs w:val="20"/>
        </w:rPr>
      </w:pPr>
      <w:r>
        <w:rPr>
          <w:noProof/>
        </w:rPr>
        <w:drawing>
          <wp:inline distT="0" distB="0" distL="0" distR="0" wp14:anchorId="491A932F" wp14:editId="7508393C">
            <wp:extent cx="2143354" cy="1406502"/>
            <wp:effectExtent l="0" t="0" r="0" b="3810"/>
            <wp:docPr id="1518303298" name="Imag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81122" cy="1431286"/>
                    </a:xfrm>
                    <a:prstGeom prst="rect">
                      <a:avLst/>
                    </a:prstGeom>
                    <a:noFill/>
                    <a:ln>
                      <a:noFill/>
                    </a:ln>
                  </pic:spPr>
                </pic:pic>
              </a:graphicData>
            </a:graphic>
          </wp:inline>
        </w:drawing>
      </w:r>
    </w:p>
    <w:p w14:paraId="64D5868A" w14:textId="21B3AB52" w:rsidR="004646A3" w:rsidRPr="00A74D23" w:rsidRDefault="004646A3" w:rsidP="009D6EE5">
      <w:pPr>
        <w:pStyle w:val="Style5"/>
        <w:numPr>
          <w:ilvl w:val="0"/>
          <w:numId w:val="0"/>
        </w:numPr>
        <w:spacing w:line="22" w:lineRule="atLeast"/>
        <w:jc w:val="both"/>
        <w:rPr>
          <w:sz w:val="20"/>
          <w:szCs w:val="20"/>
        </w:rPr>
      </w:pPr>
    </w:p>
    <w:p w14:paraId="1580697B" w14:textId="4AECCA85" w:rsidR="004646A3" w:rsidRPr="00A74D23" w:rsidRDefault="00F326BE" w:rsidP="00461CD2">
      <w:pPr>
        <w:pStyle w:val="Style5"/>
        <w:numPr>
          <w:ilvl w:val="0"/>
          <w:numId w:val="0"/>
        </w:numPr>
        <w:spacing w:after="120" w:line="22" w:lineRule="atLeast"/>
        <w:contextualSpacing w:val="0"/>
        <w:jc w:val="both"/>
        <w:rPr>
          <w:sz w:val="20"/>
          <w:szCs w:val="20"/>
        </w:rPr>
      </w:pPr>
      <w:r w:rsidRPr="00A74D23">
        <w:rPr>
          <w:sz w:val="20"/>
          <w:szCs w:val="20"/>
        </w:rPr>
        <w:t>Notre analyse des indicateurs ND Gain de l’Université de Notre Dame</w:t>
      </w:r>
      <w:r w:rsidR="00AC50F3" w:rsidRPr="00A74D23">
        <w:rPr>
          <w:sz w:val="20"/>
          <w:szCs w:val="20"/>
        </w:rPr>
        <w:t xml:space="preserve"> </w:t>
      </w:r>
      <w:r w:rsidRPr="00A74D23">
        <w:rPr>
          <w:sz w:val="20"/>
          <w:szCs w:val="20"/>
        </w:rPr>
        <w:t>concernant la préparation et la vulnérabilité des souverains au changement climatique montre que la quasi-totalité de nos souverains sont peu exposés, relativement à l’ensemble des pays du monde, au changement climatique.</w:t>
      </w:r>
    </w:p>
    <w:p w14:paraId="3433849D" w14:textId="4D18A18D" w:rsidR="009C5FF6" w:rsidRPr="00A74D23" w:rsidRDefault="00F326BE" w:rsidP="009D6EE5">
      <w:pPr>
        <w:pStyle w:val="Style5"/>
        <w:numPr>
          <w:ilvl w:val="0"/>
          <w:numId w:val="0"/>
        </w:numPr>
        <w:spacing w:line="22" w:lineRule="atLeast"/>
        <w:jc w:val="both"/>
        <w:rPr>
          <w:b/>
          <w:bCs/>
          <w:sz w:val="24"/>
          <w:szCs w:val="24"/>
        </w:rPr>
      </w:pPr>
      <w:r w:rsidRPr="00A74D23">
        <w:rPr>
          <w:sz w:val="20"/>
          <w:szCs w:val="20"/>
        </w:rPr>
        <w:t>Le score moyen ND GAIN du portefeuille est très élevé (66,9)</w:t>
      </w:r>
      <w:r w:rsidR="00E7475E" w:rsidRPr="00A74D23">
        <w:rPr>
          <w:sz w:val="20"/>
          <w:szCs w:val="20"/>
        </w:rPr>
        <w:t xml:space="preserve"> et légèrement </w:t>
      </w:r>
      <w:r w:rsidR="00AC50F3" w:rsidRPr="00A74D23">
        <w:rPr>
          <w:sz w:val="20"/>
          <w:szCs w:val="20"/>
        </w:rPr>
        <w:t>plus faible</w:t>
      </w:r>
      <w:r w:rsidR="00E7475E" w:rsidRPr="00A74D23">
        <w:rPr>
          <w:sz w:val="20"/>
          <w:szCs w:val="20"/>
        </w:rPr>
        <w:t xml:space="preserve"> que l’an dernier (67,3) notamment </w:t>
      </w:r>
      <w:r w:rsidR="009C5FF6" w:rsidRPr="00A74D23">
        <w:rPr>
          <w:sz w:val="20"/>
          <w:szCs w:val="20"/>
        </w:rPr>
        <w:t>par</w:t>
      </w:r>
      <w:r w:rsidR="00E7475E" w:rsidRPr="00A74D23">
        <w:rPr>
          <w:sz w:val="20"/>
          <w:szCs w:val="20"/>
        </w:rPr>
        <w:t xml:space="preserve"> une hausse des encours sur les obligations souveraines mexicaines. </w:t>
      </w:r>
    </w:p>
    <w:p w14:paraId="5EDA3E82" w14:textId="77777777" w:rsidR="002167D4" w:rsidRPr="00A74D23" w:rsidRDefault="002167D4" w:rsidP="009D6EE5">
      <w:pPr>
        <w:pStyle w:val="Style5"/>
        <w:numPr>
          <w:ilvl w:val="0"/>
          <w:numId w:val="0"/>
        </w:numPr>
        <w:spacing w:line="22" w:lineRule="atLeast"/>
        <w:ind w:left="1440" w:hanging="360"/>
        <w:jc w:val="both"/>
        <w:rPr>
          <w:b/>
          <w:bCs/>
          <w:sz w:val="28"/>
          <w:szCs w:val="28"/>
        </w:rPr>
      </w:pPr>
    </w:p>
    <w:p w14:paraId="0FA24828" w14:textId="21A349C1" w:rsidR="00DA14C6" w:rsidRPr="007E01FC" w:rsidRDefault="00DA14C6" w:rsidP="00590DD1">
      <w:pPr>
        <w:pStyle w:val="Style5"/>
        <w:numPr>
          <w:ilvl w:val="2"/>
          <w:numId w:val="67"/>
        </w:numPr>
        <w:spacing w:line="22" w:lineRule="atLeast"/>
        <w:ind w:left="1276" w:hanging="916"/>
        <w:jc w:val="both"/>
        <w:rPr>
          <w:i/>
          <w:iCs/>
          <w:color w:val="8A2C24" w:themeColor="accent2"/>
          <w:sz w:val="28"/>
          <w:szCs w:val="28"/>
        </w:rPr>
      </w:pPr>
      <w:r w:rsidRPr="007E01FC">
        <w:rPr>
          <w:i/>
          <w:iCs/>
          <w:color w:val="8A2C24" w:themeColor="accent2"/>
          <w:sz w:val="28"/>
          <w:szCs w:val="28"/>
        </w:rPr>
        <w:t>Les risques liés à la perte de biodiversité</w:t>
      </w:r>
    </w:p>
    <w:p w14:paraId="1F540F6E" w14:textId="6882D28A" w:rsidR="00F00BD2" w:rsidRPr="00A74D23" w:rsidRDefault="00F00BD2" w:rsidP="009D6EE5">
      <w:pPr>
        <w:spacing w:line="22" w:lineRule="atLeast"/>
        <w:jc w:val="both"/>
        <w:rPr>
          <w:rFonts w:asciiTheme="minorHAnsi" w:hAnsiTheme="minorHAnsi"/>
          <w:b/>
          <w:bCs/>
          <w:sz w:val="32"/>
          <w:szCs w:val="32"/>
          <w:lang w:val="fr-FR"/>
        </w:rPr>
      </w:pPr>
    </w:p>
    <w:p w14:paraId="229D1C76" w14:textId="77777777" w:rsidR="00734ABB" w:rsidRPr="00A74D23" w:rsidRDefault="006018EE" w:rsidP="00461CD2">
      <w:pPr>
        <w:spacing w:after="120" w:line="22" w:lineRule="atLeast"/>
        <w:jc w:val="both"/>
        <w:rPr>
          <w:rFonts w:asciiTheme="minorHAnsi" w:hAnsiTheme="minorHAnsi"/>
          <w:sz w:val="20"/>
          <w:szCs w:val="20"/>
          <w:lang w:val="fr-FR"/>
        </w:rPr>
      </w:pPr>
      <w:r w:rsidRPr="00A74D23">
        <w:rPr>
          <w:rFonts w:asciiTheme="minorHAnsi" w:hAnsiTheme="minorHAnsi"/>
          <w:sz w:val="20"/>
          <w:szCs w:val="20"/>
          <w:lang w:val="fr-FR"/>
        </w:rPr>
        <w:t xml:space="preserve">Les risques de transition liés à la biodiversité sont particulièrement complexes à analyser au niveau souverain, en raison de l’absence de cadre international commun et harmonisé. Chaque pays protège son patrimoine naturel selon ses priorités propres et en fonction des bénéfices directs qu’il en retire, notamment en matière culturelle ou touristique, comme l’illustre le cas du Costa Rica. De manière générale, plus un pays est exposé à des risques physiques ou présente une forte dépendance aux écosystèmes, plus le risque de transition associé est élevé. Plusieurs indicateurs permettent néanmoins d’analyser la résilience du portefeuille face à la vulnérabilité liée à la perte de biodiversité. </w:t>
      </w:r>
    </w:p>
    <w:p w14:paraId="31D97B6E" w14:textId="77777777" w:rsidR="00734ABB" w:rsidRPr="00A74D23" w:rsidRDefault="00734ABB" w:rsidP="009D6EE5">
      <w:pPr>
        <w:spacing w:line="22" w:lineRule="atLeast"/>
        <w:jc w:val="both"/>
        <w:rPr>
          <w:rFonts w:asciiTheme="minorHAnsi" w:hAnsiTheme="minorHAnsi"/>
          <w:sz w:val="20"/>
          <w:szCs w:val="20"/>
          <w:lang w:val="fr-FR"/>
        </w:rPr>
      </w:pPr>
      <w:r w:rsidRPr="00A74D23">
        <w:rPr>
          <w:rFonts w:asciiTheme="minorHAnsi" w:hAnsiTheme="minorHAnsi"/>
          <w:sz w:val="20"/>
          <w:szCs w:val="20"/>
          <w:lang w:val="fr-FR"/>
        </w:rPr>
        <w:t>À cet égard, l’exposition significative du portefeuille à la France, classée 12ᵉ au niveau mondial selon l’indicateur Ecosystem Vitality du classement Yale, constitue un signal positif quant à sa résilience globale.</w:t>
      </w:r>
    </w:p>
    <w:p w14:paraId="0BD2D246" w14:textId="77777777" w:rsidR="00734ABB" w:rsidRPr="00A74D23" w:rsidRDefault="00734ABB" w:rsidP="009D6EE5">
      <w:pPr>
        <w:spacing w:line="22" w:lineRule="atLeast"/>
        <w:jc w:val="both"/>
        <w:rPr>
          <w:rFonts w:asciiTheme="minorHAnsi" w:hAnsiTheme="minorHAnsi"/>
          <w:sz w:val="20"/>
          <w:szCs w:val="20"/>
          <w:lang w:val="fr-FR"/>
        </w:rPr>
      </w:pPr>
    </w:p>
    <w:p w14:paraId="08F2B7B8" w14:textId="77777777" w:rsidR="00734ABB" w:rsidRPr="00A74D23" w:rsidRDefault="00734ABB" w:rsidP="009D6EE5">
      <w:pPr>
        <w:pStyle w:val="Style5"/>
        <w:numPr>
          <w:ilvl w:val="0"/>
          <w:numId w:val="0"/>
        </w:numPr>
        <w:spacing w:line="22" w:lineRule="atLeast"/>
        <w:ind w:left="142"/>
        <w:jc w:val="both"/>
        <w:rPr>
          <w:sz w:val="20"/>
          <w:szCs w:val="20"/>
        </w:rPr>
      </w:pPr>
      <w:r w:rsidRPr="00A74D23">
        <w:rPr>
          <w:b/>
          <w:bCs/>
          <w:sz w:val="20"/>
          <w:szCs w:val="20"/>
        </w:rPr>
        <w:t>Indicateurs mobilisés (KRI)</w:t>
      </w:r>
    </w:p>
    <w:p w14:paraId="627EB7A7" w14:textId="5EC29F62" w:rsidR="00734ABB" w:rsidRPr="00A74D23" w:rsidRDefault="00734ABB" w:rsidP="009D6EE5">
      <w:pPr>
        <w:pStyle w:val="Style5"/>
        <w:numPr>
          <w:ilvl w:val="0"/>
          <w:numId w:val="0"/>
        </w:numPr>
        <w:spacing w:line="22" w:lineRule="atLeast"/>
        <w:ind w:left="142"/>
        <w:jc w:val="both"/>
        <w:rPr>
          <w:sz w:val="20"/>
          <w:szCs w:val="20"/>
        </w:rPr>
      </w:pPr>
      <w:r w:rsidRPr="00A74D23">
        <w:rPr>
          <w:sz w:val="20"/>
          <w:szCs w:val="20"/>
        </w:rPr>
        <w:t>L’évaluation des risques biodiversité sur le portefeuille souverains repose sur plusieurs indicateurs de suivi, parmi lesquels :</w:t>
      </w:r>
    </w:p>
    <w:p w14:paraId="32587786" w14:textId="0EB00072" w:rsidR="00734ABB" w:rsidRPr="00A74D23" w:rsidRDefault="005C5207" w:rsidP="00590DD1">
      <w:pPr>
        <w:pStyle w:val="Style5"/>
        <w:numPr>
          <w:ilvl w:val="0"/>
          <w:numId w:val="59"/>
        </w:numPr>
        <w:spacing w:line="22" w:lineRule="atLeast"/>
        <w:jc w:val="both"/>
        <w:rPr>
          <w:b/>
          <w:bCs/>
          <w:sz w:val="20"/>
          <w:szCs w:val="20"/>
          <w:lang w:val="en-US"/>
        </w:rPr>
      </w:pPr>
      <w:r w:rsidRPr="00A74D23">
        <w:rPr>
          <w:b/>
          <w:bCs/>
          <w:sz w:val="20"/>
          <w:szCs w:val="20"/>
          <w:lang w:val="en-US"/>
        </w:rPr>
        <w:t>Ecosystem Vitality Score, Yale University</w:t>
      </w:r>
    </w:p>
    <w:p w14:paraId="58BE260D" w14:textId="47427247" w:rsidR="005C5207" w:rsidRPr="00A74D23" w:rsidRDefault="005C5207" w:rsidP="00590DD1">
      <w:pPr>
        <w:pStyle w:val="Style5"/>
        <w:numPr>
          <w:ilvl w:val="0"/>
          <w:numId w:val="59"/>
        </w:numPr>
        <w:spacing w:line="22" w:lineRule="atLeast"/>
        <w:jc w:val="both"/>
        <w:rPr>
          <w:b/>
          <w:bCs/>
          <w:sz w:val="20"/>
          <w:szCs w:val="20"/>
        </w:rPr>
      </w:pPr>
      <w:r w:rsidRPr="00A74D23">
        <w:rPr>
          <w:b/>
          <w:bCs/>
          <w:sz w:val="20"/>
          <w:szCs w:val="20"/>
        </w:rPr>
        <w:t xml:space="preserve">WWF </w:t>
      </w:r>
      <w:r w:rsidR="00341789" w:rsidRPr="00A74D23">
        <w:rPr>
          <w:b/>
          <w:bCs/>
          <w:sz w:val="20"/>
          <w:szCs w:val="20"/>
        </w:rPr>
        <w:t xml:space="preserve">Biodiversity </w:t>
      </w:r>
      <w:r w:rsidRPr="00A74D23">
        <w:rPr>
          <w:b/>
          <w:bCs/>
          <w:sz w:val="20"/>
          <w:szCs w:val="20"/>
        </w:rPr>
        <w:t>Risk Filter</w:t>
      </w:r>
      <w:r w:rsidR="00341789" w:rsidRPr="00A74D23">
        <w:rPr>
          <w:b/>
          <w:bCs/>
          <w:sz w:val="20"/>
          <w:szCs w:val="20"/>
        </w:rPr>
        <w:t xml:space="preserve"> Country,</w:t>
      </w:r>
      <w:r w:rsidRPr="00A74D23">
        <w:rPr>
          <w:b/>
          <w:bCs/>
          <w:sz w:val="20"/>
          <w:szCs w:val="20"/>
        </w:rPr>
        <w:t xml:space="preserve"> score sur le risque physique</w:t>
      </w:r>
    </w:p>
    <w:p w14:paraId="41A12BD5" w14:textId="1F28817D" w:rsidR="00C21856" w:rsidRPr="00A74D23" w:rsidRDefault="00C21856" w:rsidP="009D6EE5">
      <w:pPr>
        <w:pStyle w:val="Style5"/>
        <w:numPr>
          <w:ilvl w:val="0"/>
          <w:numId w:val="0"/>
        </w:numPr>
        <w:spacing w:line="22" w:lineRule="atLeast"/>
        <w:jc w:val="both"/>
        <w:rPr>
          <w:b/>
          <w:bCs/>
          <w:sz w:val="20"/>
          <w:szCs w:val="20"/>
        </w:rPr>
      </w:pPr>
    </w:p>
    <w:p w14:paraId="49955F62" w14:textId="5655E8AE" w:rsidR="00590676" w:rsidRPr="00A74D23" w:rsidRDefault="00AC50F3" w:rsidP="009D6EE5">
      <w:pPr>
        <w:pStyle w:val="Style5"/>
        <w:numPr>
          <w:ilvl w:val="0"/>
          <w:numId w:val="0"/>
        </w:numPr>
        <w:spacing w:line="22" w:lineRule="atLeast"/>
        <w:jc w:val="both"/>
        <w:rPr>
          <w:b/>
          <w:bCs/>
          <w:sz w:val="20"/>
          <w:szCs w:val="20"/>
        </w:rPr>
      </w:pPr>
      <w:r w:rsidRPr="00A74D23">
        <w:rPr>
          <w:rFonts w:cs="Open Sans"/>
          <w:noProof/>
        </w:rPr>
        <mc:AlternateContent>
          <mc:Choice Requires="wps">
            <w:drawing>
              <wp:anchor distT="0" distB="0" distL="114300" distR="114300" simplePos="0" relativeHeight="251504640" behindDoc="1" locked="0" layoutInCell="1" allowOverlap="1" wp14:anchorId="2360AAE5" wp14:editId="23593188">
                <wp:simplePos x="0" y="0"/>
                <wp:positionH relativeFrom="margin">
                  <wp:posOffset>-121285</wp:posOffset>
                </wp:positionH>
                <wp:positionV relativeFrom="paragraph">
                  <wp:posOffset>494665</wp:posOffset>
                </wp:positionV>
                <wp:extent cx="5936615" cy="1785620"/>
                <wp:effectExtent l="0" t="0" r="6985" b="5080"/>
                <wp:wrapNone/>
                <wp:docPr id="1165643579" name="Rectangle : coins arrondis 1165643579"/>
                <wp:cNvGraphicFramePr/>
                <a:graphic xmlns:a="http://schemas.openxmlformats.org/drawingml/2006/main">
                  <a:graphicData uri="http://schemas.microsoft.com/office/word/2010/wordprocessingShape">
                    <wps:wsp>
                      <wps:cNvSpPr/>
                      <wps:spPr>
                        <a:xfrm>
                          <a:off x="0" y="0"/>
                          <a:ext cx="5936615" cy="1785620"/>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025FD1" w14:textId="35D2CB71" w:rsidR="00AB7CEE" w:rsidRDefault="00AB7CEE" w:rsidP="00AB7CEE">
                            <w:pPr>
                              <w:ind w:right="335"/>
                              <w:jc w:val="both"/>
                              <w:rPr>
                                <w:rFonts w:asciiTheme="minorHAnsi" w:hAnsiTheme="minorHAnsi"/>
                                <w:color w:val="000000" w:themeColor="text1"/>
                                <w:sz w:val="20"/>
                                <w:szCs w:val="20"/>
                                <w:lang w:val="fr-FR"/>
                              </w:rPr>
                            </w:pPr>
                          </w:p>
                          <w:p w14:paraId="1EA94D02" w14:textId="77777777" w:rsidR="006E0895" w:rsidRDefault="006E0895" w:rsidP="00AB7CEE">
                            <w:pPr>
                              <w:ind w:right="335"/>
                              <w:jc w:val="both"/>
                              <w:rPr>
                                <w:rFonts w:asciiTheme="minorHAnsi" w:hAnsiTheme="minorHAnsi"/>
                                <w:color w:val="000000" w:themeColor="text1"/>
                                <w:sz w:val="20"/>
                                <w:szCs w:val="20"/>
                                <w:lang w:val="fr-FR"/>
                              </w:rPr>
                            </w:pPr>
                          </w:p>
                          <w:p w14:paraId="35F722BA" w14:textId="707BD7FB" w:rsidR="0059741F" w:rsidRDefault="0059741F" w:rsidP="0059741F">
                            <w:pPr>
                              <w:ind w:right="335"/>
                              <w:jc w:val="both"/>
                              <w:rPr>
                                <w:rFonts w:asciiTheme="minorHAnsi" w:hAnsiTheme="minorHAnsi"/>
                                <w:color w:val="000000" w:themeColor="text1"/>
                                <w:sz w:val="20"/>
                                <w:szCs w:val="20"/>
                                <w:lang w:val="fr-FR"/>
                              </w:rPr>
                            </w:pPr>
                            <w:r w:rsidRPr="0059741F">
                              <w:rPr>
                                <w:rFonts w:asciiTheme="minorHAnsi" w:hAnsiTheme="minorHAnsi"/>
                                <w:color w:val="000000" w:themeColor="text1"/>
                                <w:sz w:val="20"/>
                                <w:szCs w:val="20"/>
                                <w:lang w:val="fr-FR"/>
                              </w:rPr>
                              <w:t xml:space="preserve">Le </w:t>
                            </w:r>
                            <w:r w:rsidRPr="0059741F">
                              <w:rPr>
                                <w:rFonts w:asciiTheme="minorHAnsi" w:hAnsiTheme="minorHAnsi"/>
                                <w:b/>
                                <w:bCs/>
                                <w:color w:val="000000" w:themeColor="text1"/>
                                <w:sz w:val="20"/>
                                <w:szCs w:val="20"/>
                                <w:lang w:val="fr-FR"/>
                              </w:rPr>
                              <w:t>WWF Biodiversity Risk Filter Country</w:t>
                            </w:r>
                            <w:r w:rsidRPr="0059741F">
                              <w:rPr>
                                <w:rFonts w:asciiTheme="minorHAnsi" w:hAnsiTheme="minorHAnsi"/>
                                <w:color w:val="000000" w:themeColor="text1"/>
                                <w:sz w:val="20"/>
                                <w:szCs w:val="20"/>
                                <w:lang w:val="fr-FR"/>
                              </w:rPr>
                              <w:t xml:space="preserve"> est un outil qui permet d’évaluer le niveau de risque biodiversité d’un pays, en combinant risques physiques, dépendances aux écosystèmes et gouvernance environnementale.</w:t>
                            </w:r>
                            <w:r>
                              <w:rPr>
                                <w:rFonts w:asciiTheme="minorHAnsi" w:hAnsiTheme="minorHAnsi"/>
                                <w:color w:val="000000" w:themeColor="text1"/>
                                <w:sz w:val="20"/>
                                <w:szCs w:val="20"/>
                                <w:lang w:val="fr-FR"/>
                              </w:rPr>
                              <w:t xml:space="preserve"> </w:t>
                            </w:r>
                            <w:r w:rsidRPr="0059741F">
                              <w:rPr>
                                <w:rFonts w:asciiTheme="minorHAnsi" w:hAnsiTheme="minorHAnsi"/>
                                <w:color w:val="000000" w:themeColor="text1"/>
                                <w:sz w:val="20"/>
                                <w:szCs w:val="20"/>
                                <w:lang w:val="fr-FR"/>
                              </w:rPr>
                              <w:t>Il s’appuie sur des données scientifiques publiques et comparables entre pays</w:t>
                            </w:r>
                            <w:r>
                              <w:rPr>
                                <w:rFonts w:asciiTheme="minorHAnsi" w:hAnsiTheme="minorHAnsi"/>
                                <w:color w:val="000000" w:themeColor="text1"/>
                                <w:sz w:val="20"/>
                                <w:szCs w:val="20"/>
                                <w:lang w:val="fr-FR"/>
                              </w:rPr>
                              <w:t xml:space="preserve"> et</w:t>
                            </w:r>
                            <w:r w:rsidRPr="0059741F">
                              <w:rPr>
                                <w:rFonts w:asciiTheme="minorHAnsi" w:hAnsiTheme="minorHAnsi"/>
                                <w:color w:val="000000" w:themeColor="text1"/>
                                <w:sz w:val="20"/>
                                <w:szCs w:val="20"/>
                                <w:lang w:val="fr-FR"/>
                              </w:rPr>
                              <w:t xml:space="preserve"> permet d’identifier les États les plus vulnérables à la perte de biodiversité.</w:t>
                            </w:r>
                            <w:r>
                              <w:rPr>
                                <w:rFonts w:asciiTheme="minorHAnsi" w:hAnsiTheme="minorHAnsi"/>
                                <w:color w:val="000000" w:themeColor="text1"/>
                                <w:sz w:val="20"/>
                                <w:szCs w:val="20"/>
                                <w:lang w:val="fr-FR"/>
                              </w:rPr>
                              <w:t xml:space="preserve"> </w:t>
                            </w:r>
                            <w:r w:rsidRPr="0059741F">
                              <w:rPr>
                                <w:rFonts w:asciiTheme="minorHAnsi" w:hAnsiTheme="minorHAnsi"/>
                                <w:color w:val="000000" w:themeColor="text1"/>
                                <w:sz w:val="20"/>
                                <w:szCs w:val="20"/>
                                <w:lang w:val="fr-FR"/>
                              </w:rPr>
                              <w:t>Pour Abeille Assurances, il est pertinent pour analyser et piloter l’exposition du portefeuille souverain aux risques liés à la biodiversité</w:t>
                            </w:r>
                            <w:r>
                              <w:rPr>
                                <w:rFonts w:asciiTheme="minorHAnsi" w:hAnsiTheme="minorHAnsi"/>
                                <w:color w:val="000000" w:themeColor="text1"/>
                                <w:sz w:val="20"/>
                                <w:szCs w:val="20"/>
                                <w:lang w:val="fr-FR"/>
                              </w:rPr>
                              <w:t xml:space="preserve">. </w:t>
                            </w:r>
                            <w:r w:rsidR="00766A95">
                              <w:rPr>
                                <w:rFonts w:asciiTheme="minorHAnsi" w:hAnsiTheme="minorHAnsi"/>
                                <w:color w:val="000000" w:themeColor="text1"/>
                                <w:sz w:val="20"/>
                                <w:szCs w:val="20"/>
                                <w:lang w:val="fr-FR"/>
                              </w:rPr>
                              <w:t>Les pays sont classés en 5 catégories de risque en fonction de leur score</w:t>
                            </w:r>
                            <w:r w:rsidR="005A7096">
                              <w:rPr>
                                <w:rFonts w:asciiTheme="minorHAnsi" w:hAnsiTheme="minorHAnsi"/>
                                <w:color w:val="000000" w:themeColor="text1"/>
                                <w:sz w:val="20"/>
                                <w:szCs w:val="20"/>
                                <w:lang w:val="fr-FR"/>
                              </w:rPr>
                              <w:t xml:space="preserve"> (De « très fort » à « très faible »)</w:t>
                            </w:r>
                          </w:p>
                          <w:p w14:paraId="33CC887A" w14:textId="77777777" w:rsidR="0059741F" w:rsidRDefault="0059741F" w:rsidP="0059741F">
                            <w:pPr>
                              <w:ind w:right="335"/>
                              <w:jc w:val="both"/>
                              <w:rPr>
                                <w:rFonts w:asciiTheme="minorHAnsi" w:hAnsiTheme="minorHAnsi"/>
                                <w:color w:val="000000" w:themeColor="text1"/>
                                <w:sz w:val="20"/>
                                <w:szCs w:val="20"/>
                                <w:lang w:val="fr-FR"/>
                              </w:rPr>
                            </w:pPr>
                          </w:p>
                          <w:p w14:paraId="347F05D5" w14:textId="77777777" w:rsidR="0059741F" w:rsidRPr="00FC28EF" w:rsidRDefault="0059741F" w:rsidP="0059741F">
                            <w:pPr>
                              <w:ind w:right="335"/>
                              <w:jc w:val="both"/>
                              <w:rPr>
                                <w:rFonts w:asciiTheme="minorHAnsi" w:hAnsiTheme="minorHAnsi"/>
                                <w:color w:val="000000" w:themeColor="text1"/>
                                <w:sz w:val="20"/>
                                <w:szCs w:val="20"/>
                                <w:lang w:val="fr-FR"/>
                              </w:rPr>
                            </w:pPr>
                          </w:p>
                        </w:txbxContent>
                      </wps:txbx>
                      <wps:bodyPr rot="0" spcFirstLastPara="0" vertOverflow="overflow" horzOverflow="overflow" vert="horz" wrap="square" lIns="180000" tIns="72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60AAE5" id="Rectangle : coins arrondis 1165643579" o:spid="_x0000_s1176" style="position:absolute;left:0;text-align:left;margin-left:-9.55pt;margin-top:38.95pt;width:467.45pt;height:140.6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" fillcolor="#d8d8d8 [2732]" stroked="f" strokeweight="1pt">
                <v:stroke joinstyle="miter"/>
                <v:textbox inset="5mm,2mm,5mm,3mm">
                  <w:txbxContent>
                    <w:p w14:paraId="10025FD1" w14:textId="35D2CB71" w:rsidR="00AB7CEE" w:rsidRDefault="00AB7CEE" w:rsidP="00AB7CEE">
                      <w:pPr>
                        <w:ind w:right="335"/>
                        <w:jc w:val="both"/>
                        <w:rPr>
                          <w:rFonts w:asciiTheme="minorHAnsi" w:hAnsiTheme="minorHAnsi"/>
                          <w:color w:val="000000" w:themeColor="text1"/>
                          <w:sz w:val="20"/>
                          <w:szCs w:val="20"/>
                          <w:lang w:val="fr-FR"/>
                        </w:rPr>
                      </w:pPr>
                    </w:p>
                    <w:p w14:paraId="1EA94D02" w14:textId="77777777" w:rsidR="006E0895" w:rsidRDefault="006E0895" w:rsidP="00AB7CEE">
                      <w:pPr>
                        <w:ind w:right="335"/>
                        <w:jc w:val="both"/>
                        <w:rPr>
                          <w:rFonts w:asciiTheme="minorHAnsi" w:hAnsiTheme="minorHAnsi"/>
                          <w:color w:val="000000" w:themeColor="text1"/>
                          <w:sz w:val="20"/>
                          <w:szCs w:val="20"/>
                          <w:lang w:val="fr-FR"/>
                        </w:rPr>
                      </w:pPr>
                    </w:p>
                    <w:p w14:paraId="35F722BA" w14:textId="707BD7FB" w:rsidR="0059741F" w:rsidRDefault="0059741F" w:rsidP="0059741F">
                      <w:pPr>
                        <w:ind w:right="335"/>
                        <w:jc w:val="both"/>
                        <w:rPr>
                          <w:rFonts w:asciiTheme="minorHAnsi" w:hAnsiTheme="minorHAnsi"/>
                          <w:color w:val="000000" w:themeColor="text1"/>
                          <w:sz w:val="20"/>
                          <w:szCs w:val="20"/>
                          <w:lang w:val="fr-FR"/>
                        </w:rPr>
                      </w:pPr>
                      <w:r w:rsidRPr="0059741F">
                        <w:rPr>
                          <w:rFonts w:asciiTheme="minorHAnsi" w:hAnsiTheme="minorHAnsi"/>
                          <w:color w:val="000000" w:themeColor="text1"/>
                          <w:sz w:val="20"/>
                          <w:szCs w:val="20"/>
                          <w:lang w:val="fr-FR"/>
                        </w:rPr>
                        <w:t xml:space="preserve">Le </w:t>
                      </w:r>
                      <w:r w:rsidRPr="0059741F">
                        <w:rPr>
                          <w:rFonts w:asciiTheme="minorHAnsi" w:hAnsiTheme="minorHAnsi"/>
                          <w:b/>
                          <w:bCs/>
                          <w:color w:val="000000" w:themeColor="text1"/>
                          <w:sz w:val="20"/>
                          <w:szCs w:val="20"/>
                          <w:lang w:val="fr-FR"/>
                        </w:rPr>
                        <w:t>WWF Biodiversity Risk Filter Country</w:t>
                      </w:r>
                      <w:r w:rsidRPr="0059741F">
                        <w:rPr>
                          <w:rFonts w:asciiTheme="minorHAnsi" w:hAnsiTheme="minorHAnsi"/>
                          <w:color w:val="000000" w:themeColor="text1"/>
                          <w:sz w:val="20"/>
                          <w:szCs w:val="20"/>
                          <w:lang w:val="fr-FR"/>
                        </w:rPr>
                        <w:t xml:space="preserve"> est un outil qui permet d’évaluer le niveau de risque biodiversité d’un pays, en combinant risques physiques, dépendances aux écosystèmes et gouvernance environnementale.</w:t>
                      </w:r>
                      <w:r>
                        <w:rPr>
                          <w:rFonts w:asciiTheme="minorHAnsi" w:hAnsiTheme="minorHAnsi"/>
                          <w:color w:val="000000" w:themeColor="text1"/>
                          <w:sz w:val="20"/>
                          <w:szCs w:val="20"/>
                          <w:lang w:val="fr-FR"/>
                        </w:rPr>
                        <w:t xml:space="preserve"> </w:t>
                      </w:r>
                      <w:r w:rsidRPr="0059741F">
                        <w:rPr>
                          <w:rFonts w:asciiTheme="minorHAnsi" w:hAnsiTheme="minorHAnsi"/>
                          <w:color w:val="000000" w:themeColor="text1"/>
                          <w:sz w:val="20"/>
                          <w:szCs w:val="20"/>
                          <w:lang w:val="fr-FR"/>
                        </w:rPr>
                        <w:t>Il s’appuie sur des données scientifiques publiques et comparables entre pays</w:t>
                      </w:r>
                      <w:r>
                        <w:rPr>
                          <w:rFonts w:asciiTheme="minorHAnsi" w:hAnsiTheme="minorHAnsi"/>
                          <w:color w:val="000000" w:themeColor="text1"/>
                          <w:sz w:val="20"/>
                          <w:szCs w:val="20"/>
                          <w:lang w:val="fr-FR"/>
                        </w:rPr>
                        <w:t xml:space="preserve"> et</w:t>
                      </w:r>
                      <w:r w:rsidRPr="0059741F">
                        <w:rPr>
                          <w:rFonts w:asciiTheme="minorHAnsi" w:hAnsiTheme="minorHAnsi"/>
                          <w:color w:val="000000" w:themeColor="text1"/>
                          <w:sz w:val="20"/>
                          <w:szCs w:val="20"/>
                          <w:lang w:val="fr-FR"/>
                        </w:rPr>
                        <w:t xml:space="preserve"> permet d’identifier les États les plus vulnérables à la perte de biodiversité.</w:t>
                      </w:r>
                      <w:r>
                        <w:rPr>
                          <w:rFonts w:asciiTheme="minorHAnsi" w:hAnsiTheme="minorHAnsi"/>
                          <w:color w:val="000000" w:themeColor="text1"/>
                          <w:sz w:val="20"/>
                          <w:szCs w:val="20"/>
                          <w:lang w:val="fr-FR"/>
                        </w:rPr>
                        <w:t xml:space="preserve"> </w:t>
                      </w:r>
                      <w:r w:rsidRPr="0059741F">
                        <w:rPr>
                          <w:rFonts w:asciiTheme="minorHAnsi" w:hAnsiTheme="minorHAnsi"/>
                          <w:color w:val="000000" w:themeColor="text1"/>
                          <w:sz w:val="20"/>
                          <w:szCs w:val="20"/>
                          <w:lang w:val="fr-FR"/>
                        </w:rPr>
                        <w:t>Pour Abeille Assurances, il est pertinent pour analyser et piloter l’exposition du portefeuille souverain aux risques liés à la biodiversité</w:t>
                      </w:r>
                      <w:r>
                        <w:rPr>
                          <w:rFonts w:asciiTheme="minorHAnsi" w:hAnsiTheme="minorHAnsi"/>
                          <w:color w:val="000000" w:themeColor="text1"/>
                          <w:sz w:val="20"/>
                          <w:szCs w:val="20"/>
                          <w:lang w:val="fr-FR"/>
                        </w:rPr>
                        <w:t xml:space="preserve">. </w:t>
                      </w:r>
                      <w:r w:rsidR="00766A95">
                        <w:rPr>
                          <w:rFonts w:asciiTheme="minorHAnsi" w:hAnsiTheme="minorHAnsi"/>
                          <w:color w:val="000000" w:themeColor="text1"/>
                          <w:sz w:val="20"/>
                          <w:szCs w:val="20"/>
                          <w:lang w:val="fr-FR"/>
                        </w:rPr>
                        <w:t>Les pays sont classés en 5 catégories de risque en fonction de leur score</w:t>
                      </w:r>
                      <w:r w:rsidR="005A7096">
                        <w:rPr>
                          <w:rFonts w:asciiTheme="minorHAnsi" w:hAnsiTheme="minorHAnsi"/>
                          <w:color w:val="000000" w:themeColor="text1"/>
                          <w:sz w:val="20"/>
                          <w:szCs w:val="20"/>
                          <w:lang w:val="fr-FR"/>
                        </w:rPr>
                        <w:t xml:space="preserve"> (De « très fort » à « très faible »)</w:t>
                      </w:r>
                    </w:p>
                    <w:p w14:paraId="33CC887A" w14:textId="77777777" w:rsidR="0059741F" w:rsidRDefault="0059741F" w:rsidP="0059741F">
                      <w:pPr>
                        <w:ind w:right="335"/>
                        <w:jc w:val="both"/>
                        <w:rPr>
                          <w:rFonts w:asciiTheme="minorHAnsi" w:hAnsiTheme="minorHAnsi"/>
                          <w:color w:val="000000" w:themeColor="text1"/>
                          <w:sz w:val="20"/>
                          <w:szCs w:val="20"/>
                          <w:lang w:val="fr-FR"/>
                        </w:rPr>
                      </w:pPr>
                    </w:p>
                    <w:p w14:paraId="347F05D5" w14:textId="77777777" w:rsidR="0059741F" w:rsidRPr="00FC28EF" w:rsidRDefault="0059741F" w:rsidP="0059741F">
                      <w:pPr>
                        <w:ind w:right="335"/>
                        <w:jc w:val="both"/>
                        <w:rPr>
                          <w:rFonts w:asciiTheme="minorHAnsi" w:hAnsiTheme="minorHAnsi"/>
                          <w:color w:val="000000" w:themeColor="text1"/>
                          <w:sz w:val="20"/>
                          <w:szCs w:val="20"/>
                          <w:lang w:val="fr-FR"/>
                        </w:rPr>
                      </w:pPr>
                    </w:p>
                  </w:txbxContent>
                </v:textbox>
                <w10:wrap anchorx="margin"/>
              </v:roundrect>
            </w:pict>
          </mc:Fallback>
        </mc:AlternateContent>
      </w:r>
      <w:r w:rsidRPr="00A74D23">
        <w:rPr>
          <w:b/>
          <w:bCs/>
          <w:noProof/>
          <w:color w:val="000000" w:themeColor="text1"/>
        </w:rPr>
        <w:drawing>
          <wp:anchor distT="0" distB="0" distL="114300" distR="114300" simplePos="0" relativeHeight="251506688" behindDoc="0" locked="0" layoutInCell="1" allowOverlap="1" wp14:anchorId="4315DCC3" wp14:editId="2FCDF271">
            <wp:simplePos x="0" y="0"/>
            <wp:positionH relativeFrom="margin">
              <wp:posOffset>2255520</wp:posOffset>
            </wp:positionH>
            <wp:positionV relativeFrom="paragraph">
              <wp:posOffset>46990</wp:posOffset>
            </wp:positionV>
            <wp:extent cx="1095375" cy="847725"/>
            <wp:effectExtent l="0" t="0" r="9525" b="9525"/>
            <wp:wrapSquare wrapText="bothSides"/>
            <wp:docPr id="48561032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95375" cy="847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1E70DD" w14:textId="15955D31" w:rsidR="00E861A3" w:rsidRPr="00A74D23" w:rsidRDefault="00E861A3" w:rsidP="009D6EE5">
      <w:pPr>
        <w:pStyle w:val="Style5"/>
        <w:numPr>
          <w:ilvl w:val="0"/>
          <w:numId w:val="0"/>
        </w:numPr>
        <w:spacing w:line="22" w:lineRule="atLeast"/>
        <w:jc w:val="both"/>
        <w:rPr>
          <w:b/>
          <w:bCs/>
          <w:sz w:val="20"/>
          <w:szCs w:val="20"/>
        </w:rPr>
      </w:pPr>
    </w:p>
    <w:p w14:paraId="22E10F81" w14:textId="01F2AFFB" w:rsidR="00AB7CEE" w:rsidRPr="00A74D23" w:rsidRDefault="00AB7CEE" w:rsidP="009D6EE5">
      <w:pPr>
        <w:pStyle w:val="Style5"/>
        <w:numPr>
          <w:ilvl w:val="0"/>
          <w:numId w:val="0"/>
        </w:numPr>
        <w:spacing w:line="22" w:lineRule="atLeast"/>
        <w:jc w:val="both"/>
        <w:rPr>
          <w:b/>
          <w:bCs/>
          <w:sz w:val="20"/>
          <w:szCs w:val="20"/>
        </w:rPr>
      </w:pPr>
    </w:p>
    <w:p w14:paraId="73A03FAB" w14:textId="3890453D" w:rsidR="00AB7CEE" w:rsidRPr="00A74D23" w:rsidRDefault="00AB7CEE" w:rsidP="009D6EE5">
      <w:pPr>
        <w:pStyle w:val="Style5"/>
        <w:numPr>
          <w:ilvl w:val="0"/>
          <w:numId w:val="0"/>
        </w:numPr>
        <w:spacing w:line="22" w:lineRule="atLeast"/>
        <w:jc w:val="both"/>
        <w:rPr>
          <w:b/>
          <w:bCs/>
          <w:sz w:val="20"/>
          <w:szCs w:val="20"/>
        </w:rPr>
      </w:pPr>
    </w:p>
    <w:p w14:paraId="4D3E4D00" w14:textId="3D239904" w:rsidR="00AB7CEE" w:rsidRPr="00A74D23" w:rsidRDefault="00AB7CEE" w:rsidP="009D6EE5">
      <w:pPr>
        <w:pStyle w:val="Style5"/>
        <w:numPr>
          <w:ilvl w:val="0"/>
          <w:numId w:val="0"/>
        </w:numPr>
        <w:spacing w:line="22" w:lineRule="atLeast"/>
        <w:jc w:val="both"/>
        <w:rPr>
          <w:b/>
          <w:bCs/>
          <w:sz w:val="20"/>
          <w:szCs w:val="20"/>
        </w:rPr>
      </w:pPr>
    </w:p>
    <w:p w14:paraId="7077E0C4" w14:textId="42A2F330" w:rsidR="00AB7CEE" w:rsidRPr="00A74D23" w:rsidRDefault="00AB7CEE" w:rsidP="009D6EE5">
      <w:pPr>
        <w:pStyle w:val="Style5"/>
        <w:numPr>
          <w:ilvl w:val="0"/>
          <w:numId w:val="0"/>
        </w:numPr>
        <w:spacing w:line="22" w:lineRule="atLeast"/>
        <w:jc w:val="both"/>
        <w:rPr>
          <w:b/>
          <w:bCs/>
          <w:sz w:val="20"/>
          <w:szCs w:val="20"/>
        </w:rPr>
      </w:pPr>
    </w:p>
    <w:p w14:paraId="2D7C5F9C" w14:textId="6FBD31CB" w:rsidR="00AB7CEE" w:rsidRPr="00A74D23" w:rsidRDefault="00AB7CEE" w:rsidP="009D6EE5">
      <w:pPr>
        <w:pStyle w:val="Style5"/>
        <w:numPr>
          <w:ilvl w:val="0"/>
          <w:numId w:val="0"/>
        </w:numPr>
        <w:spacing w:line="22" w:lineRule="atLeast"/>
        <w:jc w:val="both"/>
        <w:rPr>
          <w:b/>
          <w:bCs/>
          <w:sz w:val="20"/>
          <w:szCs w:val="20"/>
        </w:rPr>
      </w:pPr>
    </w:p>
    <w:p w14:paraId="3CBB754B" w14:textId="64AF44E7" w:rsidR="00AB7CEE" w:rsidRPr="00A74D23" w:rsidRDefault="00AB7CEE" w:rsidP="009D6EE5">
      <w:pPr>
        <w:pStyle w:val="Style5"/>
        <w:numPr>
          <w:ilvl w:val="0"/>
          <w:numId w:val="0"/>
        </w:numPr>
        <w:spacing w:line="22" w:lineRule="atLeast"/>
        <w:jc w:val="both"/>
        <w:rPr>
          <w:b/>
          <w:bCs/>
          <w:sz w:val="20"/>
          <w:szCs w:val="20"/>
        </w:rPr>
      </w:pPr>
    </w:p>
    <w:p w14:paraId="67DE1DBD" w14:textId="77777777" w:rsidR="00AB7CEE" w:rsidRPr="00A74D23" w:rsidRDefault="00AB7CEE" w:rsidP="009D6EE5">
      <w:pPr>
        <w:pStyle w:val="Style5"/>
        <w:numPr>
          <w:ilvl w:val="0"/>
          <w:numId w:val="0"/>
        </w:numPr>
        <w:spacing w:line="22" w:lineRule="atLeast"/>
        <w:jc w:val="both"/>
        <w:rPr>
          <w:b/>
          <w:bCs/>
          <w:sz w:val="20"/>
          <w:szCs w:val="20"/>
        </w:rPr>
      </w:pPr>
    </w:p>
    <w:p w14:paraId="4217396A" w14:textId="1011D4C3" w:rsidR="00AB7CEE" w:rsidRPr="00A74D23" w:rsidRDefault="00AB7CEE" w:rsidP="009D6EE5">
      <w:pPr>
        <w:pStyle w:val="Style5"/>
        <w:numPr>
          <w:ilvl w:val="0"/>
          <w:numId w:val="0"/>
        </w:numPr>
        <w:spacing w:line="22" w:lineRule="atLeast"/>
        <w:jc w:val="both"/>
        <w:rPr>
          <w:b/>
          <w:bCs/>
          <w:sz w:val="20"/>
          <w:szCs w:val="20"/>
        </w:rPr>
      </w:pPr>
    </w:p>
    <w:p w14:paraId="520C374A" w14:textId="4E9896E5" w:rsidR="00E861A3" w:rsidRPr="00A74D23" w:rsidRDefault="00E861A3" w:rsidP="009D6EE5">
      <w:pPr>
        <w:pStyle w:val="Style5"/>
        <w:numPr>
          <w:ilvl w:val="0"/>
          <w:numId w:val="0"/>
        </w:numPr>
        <w:spacing w:line="22" w:lineRule="atLeast"/>
        <w:jc w:val="both"/>
        <w:rPr>
          <w:b/>
          <w:bCs/>
          <w:sz w:val="20"/>
          <w:szCs w:val="20"/>
        </w:rPr>
      </w:pPr>
    </w:p>
    <w:p w14:paraId="7A36E3AB" w14:textId="375317BD" w:rsidR="00E861A3" w:rsidRPr="00A74D23" w:rsidRDefault="00E861A3" w:rsidP="009D6EE5">
      <w:pPr>
        <w:pStyle w:val="Style5"/>
        <w:numPr>
          <w:ilvl w:val="0"/>
          <w:numId w:val="0"/>
        </w:numPr>
        <w:spacing w:line="22" w:lineRule="atLeast"/>
        <w:jc w:val="both"/>
        <w:rPr>
          <w:b/>
          <w:bCs/>
          <w:sz w:val="20"/>
          <w:szCs w:val="20"/>
        </w:rPr>
      </w:pPr>
    </w:p>
    <w:p w14:paraId="578E1018" w14:textId="04AE0679" w:rsidR="00F36D40" w:rsidRPr="00A74D23" w:rsidRDefault="00F36D40" w:rsidP="009D6EE5">
      <w:pPr>
        <w:spacing w:line="22" w:lineRule="atLeast"/>
        <w:jc w:val="both"/>
        <w:rPr>
          <w:rFonts w:asciiTheme="minorHAnsi" w:hAnsiTheme="minorHAnsi"/>
          <w:b/>
          <w:bCs/>
          <w:sz w:val="32"/>
          <w:szCs w:val="32"/>
          <w:lang w:val="fr-FR"/>
        </w:rPr>
      </w:pPr>
    </w:p>
    <w:p w14:paraId="430089D7" w14:textId="1FF5AC7D" w:rsidR="00590676" w:rsidRPr="00A74D23" w:rsidRDefault="00590676" w:rsidP="009D6EE5">
      <w:pPr>
        <w:spacing w:line="22" w:lineRule="atLeast"/>
        <w:jc w:val="both"/>
        <w:rPr>
          <w:rFonts w:asciiTheme="minorHAnsi" w:hAnsiTheme="minorHAnsi"/>
          <w:b/>
          <w:bCs/>
          <w:sz w:val="32"/>
          <w:szCs w:val="32"/>
          <w:lang w:val="fr-FR"/>
        </w:rPr>
      </w:pPr>
    </w:p>
    <w:p w14:paraId="3A777C62" w14:textId="174AE564" w:rsidR="005A7096" w:rsidRPr="00FD2A7E" w:rsidRDefault="00AC50F3" w:rsidP="009D6EE5">
      <w:pPr>
        <w:spacing w:line="22" w:lineRule="atLeast"/>
        <w:jc w:val="both"/>
        <w:rPr>
          <w:rFonts w:asciiTheme="minorHAnsi" w:hAnsiTheme="minorHAnsi"/>
          <w:sz w:val="20"/>
          <w:szCs w:val="20"/>
          <w:lang w:val="fr-FR"/>
        </w:rPr>
      </w:pPr>
      <w:r w:rsidRPr="00A74D23">
        <w:rPr>
          <w:rFonts w:asciiTheme="minorHAnsi" w:hAnsiTheme="minorHAnsi"/>
          <w:sz w:val="20"/>
          <w:szCs w:val="20"/>
          <w:lang w:val="fr-FR"/>
        </w:rPr>
        <w:t xml:space="preserve">Comme l’illustrent les résultats ci-dessous, la quasi-totalité des encours souverains se situent dans la tranche moyenne « Medium » en niveau de risque physique. </w:t>
      </w:r>
    </w:p>
    <w:p w14:paraId="2DD0B637" w14:textId="77777777" w:rsidR="005A7096" w:rsidRPr="000B03D0" w:rsidRDefault="005A7096" w:rsidP="009D6EE5">
      <w:pPr>
        <w:spacing w:line="22" w:lineRule="atLeast"/>
        <w:jc w:val="both"/>
        <w:rPr>
          <w:rFonts w:asciiTheme="minorHAnsi" w:hAnsiTheme="minorHAnsi"/>
          <w:noProof/>
          <w:lang w:val="fr-FR"/>
        </w:rPr>
      </w:pPr>
    </w:p>
    <w:p w14:paraId="693250DA" w14:textId="6DD08442" w:rsidR="005A7096" w:rsidRPr="00A74D23" w:rsidRDefault="007F2993" w:rsidP="005A7096">
      <w:pPr>
        <w:spacing w:line="22" w:lineRule="atLeast"/>
        <w:rPr>
          <w:rFonts w:asciiTheme="minorHAnsi" w:hAnsiTheme="minorHAnsi"/>
          <w:noProof/>
        </w:rPr>
      </w:pPr>
      <w:r>
        <w:rPr>
          <w:noProof/>
        </w:rPr>
        <mc:AlternateContent>
          <mc:Choice Requires="cx1">
            <w:drawing>
              <wp:inline distT="0" distB="0" distL="0" distR="0" wp14:anchorId="736EDBEC" wp14:editId="7EF1AF72">
                <wp:extent cx="4914900" cy="2924175"/>
                <wp:effectExtent l="0" t="0" r="0" b="9525"/>
                <wp:docPr id="1197706469" name="Graphique 1">
                  <a:extLst xmlns:a="http://schemas.openxmlformats.org/drawingml/2006/main">
                    <a:ext uri="{FF2B5EF4-FFF2-40B4-BE49-F238E27FC236}">
                      <a16:creationId xmlns:a16="http://schemas.microsoft.com/office/drawing/2014/main" id="{D1C3124C-5678-4996-A076-E813F22C86C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116"/>
                  </a:graphicData>
                </a:graphic>
              </wp:inline>
            </w:drawing>
          </mc:Choice>
          <mc:Fallback>
            <w:drawing>
              <wp:inline distT="0" distB="0" distL="0" distR="0" wp14:anchorId="736EDBEC" wp14:editId="7EF1AF72">
                <wp:extent cx="4914900" cy="2924175"/>
                <wp:effectExtent l="0" t="0" r="0" b="9525"/>
                <wp:docPr id="1197706469" name="Graphique 1">
                  <a:extLst xmlns:a="http://schemas.openxmlformats.org/drawingml/2006/main">
                    <a:ext uri="{FF2B5EF4-FFF2-40B4-BE49-F238E27FC236}">
                      <a16:creationId xmlns:a16="http://schemas.microsoft.com/office/drawing/2014/main" id="{D1C3124C-5678-4996-A076-E813F22C86C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97706469" name="Graphique 1">
                          <a:extLst>
                            <a:ext uri="{FF2B5EF4-FFF2-40B4-BE49-F238E27FC236}">
                              <a16:creationId xmlns:a16="http://schemas.microsoft.com/office/drawing/2014/main" id="{D1C3124C-5678-4996-A076-E813F22C86CC}"/>
                            </a:ext>
                          </a:extLst>
                        </pic:cNvPr>
                        <pic:cNvPicPr>
                          <a:picLocks noGrp="1" noRot="1" noChangeAspect="1" noMove="1" noResize="1" noEditPoints="1" noAdjustHandles="1" noChangeArrowheads="1" noChangeShapeType="1"/>
                        </pic:cNvPicPr>
                      </pic:nvPicPr>
                      <pic:blipFill>
                        <a:blip r:embed="rId117"/>
                        <a:stretch>
                          <a:fillRect/>
                        </a:stretch>
                      </pic:blipFill>
                      <pic:spPr>
                        <a:xfrm>
                          <a:off x="0" y="0"/>
                          <a:ext cx="4914900" cy="2924175"/>
                        </a:xfrm>
                        <a:prstGeom prst="rect">
                          <a:avLst/>
                        </a:prstGeom>
                      </pic:spPr>
                    </pic:pic>
                  </a:graphicData>
                </a:graphic>
              </wp:inline>
            </w:drawing>
          </mc:Fallback>
        </mc:AlternateContent>
      </w:r>
    </w:p>
    <w:p w14:paraId="33B0AB89" w14:textId="43D228C3" w:rsidR="00947AF2" w:rsidRPr="00A74D23" w:rsidRDefault="00947AF2" w:rsidP="009D6EE5">
      <w:pPr>
        <w:pStyle w:val="Style5"/>
        <w:numPr>
          <w:ilvl w:val="0"/>
          <w:numId w:val="0"/>
        </w:numPr>
        <w:spacing w:line="22" w:lineRule="atLeast"/>
        <w:jc w:val="both"/>
        <w:rPr>
          <w:i/>
          <w:iCs/>
          <w:sz w:val="16"/>
          <w:szCs w:val="16"/>
        </w:rPr>
      </w:pPr>
      <w:r w:rsidRPr="00A74D23">
        <w:rPr>
          <w:i/>
          <w:iCs/>
          <w:sz w:val="18"/>
          <w:szCs w:val="18"/>
        </w:rPr>
        <w:t xml:space="preserve">Source : </w:t>
      </w:r>
      <w:r w:rsidR="00BE1DD6" w:rsidRPr="00A74D23">
        <w:rPr>
          <w:i/>
          <w:iCs/>
          <w:sz w:val="18"/>
          <w:szCs w:val="18"/>
        </w:rPr>
        <w:t>WWF Risk Filter</w:t>
      </w:r>
    </w:p>
    <w:p w14:paraId="0F1E30E3" w14:textId="66EBFB84" w:rsidR="00974009" w:rsidRDefault="00974009" w:rsidP="009D6EE5">
      <w:pPr>
        <w:pStyle w:val="Style5"/>
        <w:numPr>
          <w:ilvl w:val="0"/>
          <w:numId w:val="0"/>
        </w:numPr>
        <w:spacing w:line="22" w:lineRule="atLeast"/>
        <w:jc w:val="both"/>
        <w:rPr>
          <w:i/>
          <w:iCs/>
          <w:sz w:val="18"/>
          <w:szCs w:val="18"/>
        </w:rPr>
      </w:pPr>
      <w:r w:rsidRPr="00A74D23">
        <w:rPr>
          <w:i/>
          <w:iCs/>
          <w:sz w:val="18"/>
          <w:szCs w:val="18"/>
        </w:rPr>
        <w:t xml:space="preserve">Périmètre : </w:t>
      </w:r>
      <w:r>
        <w:rPr>
          <w:i/>
          <w:iCs/>
          <w:sz w:val="18"/>
          <w:szCs w:val="18"/>
        </w:rPr>
        <w:t>Portefeuille de mandats Abeille Retraite Professionnelle (hors UC)</w:t>
      </w:r>
      <w:r w:rsidRPr="00A74D23">
        <w:rPr>
          <w:i/>
          <w:iCs/>
          <w:sz w:val="18"/>
          <w:szCs w:val="18"/>
        </w:rPr>
        <w:t xml:space="preserve"> – 31/12/2025</w:t>
      </w:r>
    </w:p>
    <w:p w14:paraId="02386283" w14:textId="50A96F43" w:rsidR="00947AF2" w:rsidRPr="00A74D23" w:rsidRDefault="00947AF2" w:rsidP="009D6EE5">
      <w:pPr>
        <w:pStyle w:val="Style5"/>
        <w:numPr>
          <w:ilvl w:val="0"/>
          <w:numId w:val="0"/>
        </w:numPr>
        <w:spacing w:line="22" w:lineRule="atLeast"/>
        <w:jc w:val="both"/>
        <w:rPr>
          <w:i/>
          <w:iCs/>
          <w:sz w:val="18"/>
          <w:szCs w:val="18"/>
        </w:rPr>
      </w:pPr>
      <w:r w:rsidRPr="00A74D23">
        <w:rPr>
          <w:i/>
          <w:iCs/>
          <w:sz w:val="18"/>
          <w:szCs w:val="18"/>
        </w:rPr>
        <w:t>Taux de couverture : 100%</w:t>
      </w:r>
    </w:p>
    <w:p w14:paraId="2EAC94D2" w14:textId="35C0C4A2" w:rsidR="00431C57" w:rsidRPr="00A74D23" w:rsidRDefault="00431C57" w:rsidP="009D6EE5">
      <w:pPr>
        <w:pStyle w:val="Style5"/>
        <w:numPr>
          <w:ilvl w:val="0"/>
          <w:numId w:val="0"/>
        </w:numPr>
        <w:spacing w:line="22" w:lineRule="atLeast"/>
        <w:jc w:val="both"/>
        <w:rPr>
          <w:sz w:val="20"/>
          <w:szCs w:val="20"/>
        </w:rPr>
      </w:pPr>
      <w:r w:rsidRPr="00A74D23">
        <w:rPr>
          <w:noProof/>
          <w:sz w:val="20"/>
          <w:szCs w:val="20"/>
        </w:rPr>
        <mc:AlternateContent>
          <mc:Choice Requires="wps">
            <w:drawing>
              <wp:anchor distT="0" distB="0" distL="114300" distR="114300" simplePos="0" relativeHeight="251750400" behindDoc="0" locked="0" layoutInCell="1" allowOverlap="1" wp14:anchorId="3F44428F" wp14:editId="0E80CABC">
                <wp:simplePos x="0" y="0"/>
                <wp:positionH relativeFrom="column">
                  <wp:posOffset>2017503</wp:posOffset>
                </wp:positionH>
                <wp:positionV relativeFrom="paragraph">
                  <wp:posOffset>257762</wp:posOffset>
                </wp:positionV>
                <wp:extent cx="2006600" cy="301925"/>
                <wp:effectExtent l="0" t="0" r="0" b="3175"/>
                <wp:wrapNone/>
                <wp:docPr id="539923515" name="Rectangle 3"/>
                <wp:cNvGraphicFramePr/>
                <a:graphic xmlns:a="http://schemas.openxmlformats.org/drawingml/2006/main">
                  <a:graphicData uri="http://schemas.microsoft.com/office/word/2010/wordprocessingShape">
                    <wps:wsp>
                      <wps:cNvSpPr/>
                      <wps:spPr>
                        <a:xfrm>
                          <a:off x="0" y="0"/>
                          <a:ext cx="2006600" cy="30192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C512E9" w14:textId="5B7D46F8" w:rsidR="00431C57" w:rsidRPr="00295BA2" w:rsidRDefault="00431C57" w:rsidP="00431C57">
                            <w:pPr>
                              <w:jc w:val="center"/>
                              <w:rPr>
                                <w:rFonts w:asciiTheme="minorHAnsi" w:hAnsiTheme="minorHAnsi"/>
                                <w:b/>
                                <w:bCs/>
                                <w:color w:val="000000" w:themeColor="text1"/>
                                <w:lang w:val="fr-FR"/>
                              </w:rPr>
                            </w:pPr>
                            <w:r w:rsidRPr="00295BA2">
                              <w:rPr>
                                <w:rFonts w:asciiTheme="minorHAnsi" w:hAnsiTheme="minorHAnsi"/>
                                <w:b/>
                                <w:bCs/>
                                <w:color w:val="000000" w:themeColor="text1"/>
                                <w:lang w:val="fr-FR"/>
                              </w:rPr>
                              <w:t>En conclusion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4428F" id="_x0000_s1177" style="position:absolute;left:0;text-align:left;margin-left:158.85pt;margin-top:20.3pt;width:158pt;height:23.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" fillcolor="#ffd400 [3204]" stroked="f" strokeweight="1pt">
                <v:textbox>
                  <w:txbxContent>
                    <w:p w14:paraId="07C512E9" w14:textId="5B7D46F8" w:rsidR="00431C57" w:rsidRPr="00295BA2" w:rsidRDefault="00431C57" w:rsidP="00431C57">
                      <w:pPr>
                        <w:jc w:val="center"/>
                        <w:rPr>
                          <w:rFonts w:asciiTheme="minorHAnsi" w:hAnsiTheme="minorHAnsi"/>
                          <w:b/>
                          <w:bCs/>
                          <w:color w:val="000000" w:themeColor="text1"/>
                          <w:lang w:val="fr-FR"/>
                        </w:rPr>
                      </w:pPr>
                      <w:r w:rsidRPr="00295BA2">
                        <w:rPr>
                          <w:rFonts w:asciiTheme="minorHAnsi" w:hAnsiTheme="minorHAnsi"/>
                          <w:b/>
                          <w:bCs/>
                          <w:color w:val="000000" w:themeColor="text1"/>
                          <w:lang w:val="fr-FR"/>
                        </w:rPr>
                        <w:t>En conclusion</w:t>
                      </w:r>
                    </w:p>
                  </w:txbxContent>
                </v:textbox>
              </v:rect>
            </w:pict>
          </mc:Fallback>
        </mc:AlternateContent>
      </w:r>
    </w:p>
    <w:p w14:paraId="074E9FC3" w14:textId="4F9689D5" w:rsidR="00431C57" w:rsidRPr="00A74D23" w:rsidRDefault="00431C57" w:rsidP="009D6EE5">
      <w:pPr>
        <w:spacing w:line="22" w:lineRule="atLeast"/>
        <w:jc w:val="both"/>
        <w:rPr>
          <w:rFonts w:asciiTheme="minorHAnsi" w:hAnsiTheme="minorHAnsi" w:cs="Open Sans"/>
          <w:sz w:val="20"/>
          <w:lang w:val="fr-FR"/>
        </w:rPr>
      </w:pPr>
    </w:p>
    <w:p w14:paraId="6E53BD53" w14:textId="63B3410F" w:rsidR="00431C57" w:rsidRPr="00A74D23" w:rsidRDefault="00431C57" w:rsidP="009D6EE5">
      <w:pPr>
        <w:pStyle w:val="Style1"/>
        <w:numPr>
          <w:ilvl w:val="0"/>
          <w:numId w:val="0"/>
        </w:numPr>
        <w:tabs>
          <w:tab w:val="clear" w:pos="2010"/>
          <w:tab w:val="left" w:pos="1134"/>
        </w:tabs>
        <w:spacing w:line="22" w:lineRule="atLeast"/>
        <w:ind w:firstLine="284"/>
        <w:jc w:val="both"/>
        <w:rPr>
          <w:rFonts w:cs="Open Sans"/>
          <w:i w:val="0"/>
          <w:color w:val="auto"/>
          <w:sz w:val="20"/>
        </w:rPr>
      </w:pPr>
      <w:r w:rsidRPr="00A74D23">
        <w:rPr>
          <w:rFonts w:cs="Open Sans"/>
          <w:noProof/>
        </w:rPr>
        <mc:AlternateContent>
          <mc:Choice Requires="wps">
            <w:drawing>
              <wp:anchor distT="0" distB="0" distL="114300" distR="114300" simplePos="0" relativeHeight="251744256" behindDoc="0" locked="0" layoutInCell="1" allowOverlap="1" wp14:anchorId="1D930FEB" wp14:editId="1F25BDBF">
                <wp:simplePos x="0" y="0"/>
                <wp:positionH relativeFrom="column">
                  <wp:posOffset>415519</wp:posOffset>
                </wp:positionH>
                <wp:positionV relativeFrom="paragraph">
                  <wp:posOffset>5232</wp:posOffset>
                </wp:positionV>
                <wp:extent cx="5259047" cy="2806700"/>
                <wp:effectExtent l="0" t="0" r="0" b="0"/>
                <wp:wrapNone/>
                <wp:docPr id="383735951" name="Zone de texte 383735951"/>
                <wp:cNvGraphicFramePr/>
                <a:graphic xmlns:a="http://schemas.openxmlformats.org/drawingml/2006/main">
                  <a:graphicData uri="http://schemas.microsoft.com/office/word/2010/wordprocessingShape">
                    <wps:wsp>
                      <wps:cNvSpPr txBox="1"/>
                      <wps:spPr>
                        <a:xfrm>
                          <a:off x="0" y="0"/>
                          <a:ext cx="5259047" cy="2806700"/>
                        </a:xfrm>
                        <a:prstGeom prst="rect">
                          <a:avLst/>
                        </a:prstGeom>
                        <a:solidFill>
                          <a:schemeClr val="lt1"/>
                        </a:solidFill>
                        <a:ln w="6350">
                          <a:noFill/>
                        </a:ln>
                      </wps:spPr>
                      <wps:txbx>
                        <w:txbxContent>
                          <w:p w14:paraId="442970D5" w14:textId="77777777" w:rsidR="00431C57" w:rsidRDefault="00431C57" w:rsidP="00431C57">
                            <w:pPr>
                              <w:pStyle w:val="Style1"/>
                              <w:numPr>
                                <w:ilvl w:val="0"/>
                                <w:numId w:val="0"/>
                              </w:numPr>
                              <w:tabs>
                                <w:tab w:val="left" w:pos="426"/>
                              </w:tabs>
                              <w:jc w:val="both"/>
                              <w:rPr>
                                <w:rFonts w:ascii="Source Sans Pro" w:hAnsi="Source Sans Pro"/>
                                <w:i w:val="0"/>
                                <w:iCs w:val="0"/>
                                <w:color w:val="000000" w:themeColor="text1"/>
                                <w:sz w:val="20"/>
                              </w:rPr>
                            </w:pPr>
                            <w:r>
                              <w:rPr>
                                <w:rFonts w:ascii="Source Sans Pro" w:hAnsi="Source Sans Pro"/>
                                <w:i w:val="0"/>
                                <w:iCs w:val="0"/>
                                <w:color w:val="000000" w:themeColor="text1"/>
                                <w:sz w:val="20"/>
                              </w:rPr>
                              <w:t xml:space="preserve">              </w:t>
                            </w:r>
                          </w:p>
                          <w:p w14:paraId="0A1E8703" w14:textId="613B7A9A" w:rsidR="00091DF9" w:rsidRDefault="00091DF9" w:rsidP="00431C57">
                            <w:pPr>
                              <w:pStyle w:val="Style1"/>
                              <w:numPr>
                                <w:ilvl w:val="0"/>
                                <w:numId w:val="0"/>
                              </w:numPr>
                              <w:ind w:left="26"/>
                              <w:rPr>
                                <w:rFonts w:ascii="Source Sans Pro" w:hAnsi="Source Sans Pro"/>
                                <w:b/>
                                <w:i w:val="0"/>
                                <w:color w:val="000000" w:themeColor="text1"/>
                                <w:sz w:val="20"/>
                              </w:rPr>
                            </w:pPr>
                            <w:r w:rsidRPr="00091DF9">
                              <w:rPr>
                                <w:rFonts w:ascii="Source Sans Pro" w:hAnsi="Source Sans Pro"/>
                                <w:i w:val="0"/>
                                <w:iCs w:val="0"/>
                                <w:color w:val="000000" w:themeColor="text1"/>
                                <w:sz w:val="20"/>
                              </w:rPr>
                              <w:t xml:space="preserve">L’approche </w:t>
                            </w:r>
                            <w:r w:rsidR="00763326">
                              <w:rPr>
                                <w:rFonts w:ascii="Source Sans Pro" w:hAnsi="Source Sans Pro"/>
                                <w:i w:val="0"/>
                                <w:iCs w:val="0"/>
                                <w:color w:val="000000" w:themeColor="text1"/>
                                <w:sz w:val="20"/>
                              </w:rPr>
                              <w:t xml:space="preserve">de mesure </w:t>
                            </w:r>
                            <w:r w:rsidRPr="00091DF9">
                              <w:rPr>
                                <w:rFonts w:ascii="Source Sans Pro" w:hAnsi="Source Sans Pro"/>
                                <w:i w:val="0"/>
                                <w:iCs w:val="0"/>
                                <w:color w:val="000000" w:themeColor="text1"/>
                                <w:sz w:val="20"/>
                              </w:rPr>
                              <w:t xml:space="preserve">des risques </w:t>
                            </w:r>
                            <w:r w:rsidR="00763326">
                              <w:rPr>
                                <w:rFonts w:ascii="Source Sans Pro" w:hAnsi="Source Sans Pro"/>
                                <w:i w:val="0"/>
                                <w:iCs w:val="0"/>
                                <w:color w:val="000000" w:themeColor="text1"/>
                                <w:sz w:val="20"/>
                              </w:rPr>
                              <w:t xml:space="preserve">nature sur les </w:t>
                            </w:r>
                            <w:r w:rsidRPr="00091DF9">
                              <w:rPr>
                                <w:rFonts w:ascii="Source Sans Pro" w:hAnsi="Source Sans Pro"/>
                                <w:i w:val="0"/>
                                <w:iCs w:val="0"/>
                                <w:color w:val="000000" w:themeColor="text1"/>
                                <w:sz w:val="20"/>
                              </w:rPr>
                              <w:t>souverains diffère sensiblement de celle appliquée aux entreprises. Les États sont à la fois exposés aux risques climatiques et de biodiversité et aux cadres réglementaires et engagements qu’ils se fixent eux</w:t>
                            </w:r>
                            <w:r w:rsidRPr="00091DF9">
                              <w:rPr>
                                <w:rFonts w:ascii="Cambria Math" w:hAnsi="Cambria Math" w:cs="Cambria Math"/>
                                <w:i w:val="0"/>
                                <w:iCs w:val="0"/>
                                <w:color w:val="000000" w:themeColor="text1"/>
                                <w:sz w:val="20"/>
                              </w:rPr>
                              <w:t>‑</w:t>
                            </w:r>
                            <w:r w:rsidRPr="00091DF9">
                              <w:rPr>
                                <w:rFonts w:ascii="Source Sans Pro" w:hAnsi="Source Sans Pro"/>
                                <w:i w:val="0"/>
                                <w:iCs w:val="0"/>
                                <w:color w:val="000000" w:themeColor="text1"/>
                                <w:sz w:val="20"/>
                              </w:rPr>
                              <w:t>m</w:t>
                            </w:r>
                            <w:r w:rsidRPr="00091DF9">
                              <w:rPr>
                                <w:rFonts w:ascii="Source Sans Pro" w:hAnsi="Source Sans Pro" w:cs="Source Sans Pro"/>
                                <w:i w:val="0"/>
                                <w:iCs w:val="0"/>
                                <w:color w:val="000000" w:themeColor="text1"/>
                                <w:sz w:val="20"/>
                              </w:rPr>
                              <w:t>ê</w:t>
                            </w:r>
                            <w:r w:rsidRPr="00091DF9">
                              <w:rPr>
                                <w:rFonts w:ascii="Source Sans Pro" w:hAnsi="Source Sans Pro"/>
                                <w:i w:val="0"/>
                                <w:iCs w:val="0"/>
                                <w:color w:val="000000" w:themeColor="text1"/>
                                <w:sz w:val="20"/>
                              </w:rPr>
                              <w:t>mes, notamment dans le cadre de l</w:t>
                            </w:r>
                            <w:r w:rsidRPr="00091DF9">
                              <w:rPr>
                                <w:rFonts w:ascii="Source Sans Pro" w:hAnsi="Source Sans Pro" w:cs="Source Sans Pro"/>
                                <w:i w:val="0"/>
                                <w:iCs w:val="0"/>
                                <w:color w:val="000000" w:themeColor="text1"/>
                                <w:sz w:val="20"/>
                              </w:rPr>
                              <w:t>’</w:t>
                            </w:r>
                            <w:r w:rsidRPr="00091DF9">
                              <w:rPr>
                                <w:rFonts w:ascii="Source Sans Pro" w:hAnsi="Source Sans Pro"/>
                                <w:i w:val="0"/>
                                <w:iCs w:val="0"/>
                                <w:color w:val="000000" w:themeColor="text1"/>
                                <w:sz w:val="20"/>
                              </w:rPr>
                              <w:t>Accord de Paris et des COP Biodiversit</w:t>
                            </w:r>
                            <w:r w:rsidRPr="00091DF9">
                              <w:rPr>
                                <w:rFonts w:ascii="Source Sans Pro" w:hAnsi="Source Sans Pro" w:cs="Source Sans Pro"/>
                                <w:i w:val="0"/>
                                <w:iCs w:val="0"/>
                                <w:color w:val="000000" w:themeColor="text1"/>
                                <w:sz w:val="20"/>
                              </w:rPr>
                              <w:t>é</w:t>
                            </w:r>
                            <w:r w:rsidRPr="00091DF9">
                              <w:rPr>
                                <w:rFonts w:ascii="Source Sans Pro" w:hAnsi="Source Sans Pro"/>
                                <w:i w:val="0"/>
                                <w:iCs w:val="0"/>
                                <w:color w:val="000000" w:themeColor="text1"/>
                                <w:sz w:val="20"/>
                              </w:rPr>
                              <w:t xml:space="preserve">. </w:t>
                            </w:r>
                            <w:r w:rsidRPr="00763326">
                              <w:rPr>
                                <w:rFonts w:ascii="Source Sans Pro" w:hAnsi="Source Sans Pro"/>
                                <w:b/>
                                <w:bCs/>
                                <w:i w:val="0"/>
                                <w:iCs w:val="0"/>
                                <w:color w:val="000000" w:themeColor="text1"/>
                                <w:sz w:val="20"/>
                              </w:rPr>
                              <w:t>La r</w:t>
                            </w:r>
                            <w:r w:rsidRPr="00763326">
                              <w:rPr>
                                <w:rFonts w:ascii="Source Sans Pro" w:hAnsi="Source Sans Pro" w:cs="Source Sans Pro"/>
                                <w:b/>
                                <w:bCs/>
                                <w:i w:val="0"/>
                                <w:iCs w:val="0"/>
                                <w:color w:val="000000" w:themeColor="text1"/>
                                <w:sz w:val="20"/>
                              </w:rPr>
                              <w:t>é</w:t>
                            </w:r>
                            <w:r w:rsidRPr="00763326">
                              <w:rPr>
                                <w:rFonts w:ascii="Source Sans Pro" w:hAnsi="Source Sans Pro"/>
                                <w:b/>
                                <w:bCs/>
                                <w:i w:val="0"/>
                                <w:iCs w:val="0"/>
                                <w:color w:val="000000" w:themeColor="text1"/>
                                <w:sz w:val="20"/>
                              </w:rPr>
                              <w:t>silience des territoires constitue d</w:t>
                            </w:r>
                            <w:r w:rsidRPr="00763326">
                              <w:rPr>
                                <w:rFonts w:ascii="Source Sans Pro" w:hAnsi="Source Sans Pro" w:cs="Source Sans Pro"/>
                                <w:b/>
                                <w:bCs/>
                                <w:i w:val="0"/>
                                <w:iCs w:val="0"/>
                                <w:color w:val="000000" w:themeColor="text1"/>
                                <w:sz w:val="20"/>
                              </w:rPr>
                              <w:t>è</w:t>
                            </w:r>
                            <w:r w:rsidRPr="00763326">
                              <w:rPr>
                                <w:rFonts w:ascii="Source Sans Pro" w:hAnsi="Source Sans Pro"/>
                                <w:b/>
                                <w:bCs/>
                                <w:i w:val="0"/>
                                <w:iCs w:val="0"/>
                                <w:color w:val="000000" w:themeColor="text1"/>
                                <w:sz w:val="20"/>
                              </w:rPr>
                              <w:t>s lors un enjeu central</w:t>
                            </w:r>
                            <w:r w:rsidRPr="00091DF9">
                              <w:rPr>
                                <w:rFonts w:ascii="Source Sans Pro" w:hAnsi="Source Sans Pro"/>
                                <w:i w:val="0"/>
                                <w:iCs w:val="0"/>
                                <w:color w:val="000000" w:themeColor="text1"/>
                                <w:sz w:val="20"/>
                              </w:rPr>
                              <w:t xml:space="preserve"> pour garantir la soutenabilit</w:t>
                            </w:r>
                            <w:r w:rsidRPr="00091DF9">
                              <w:rPr>
                                <w:rFonts w:ascii="Source Sans Pro" w:hAnsi="Source Sans Pro" w:cs="Source Sans Pro"/>
                                <w:i w:val="0"/>
                                <w:iCs w:val="0"/>
                                <w:color w:val="000000" w:themeColor="text1"/>
                                <w:sz w:val="20"/>
                              </w:rPr>
                              <w:t>é</w:t>
                            </w:r>
                            <w:r w:rsidRPr="00091DF9">
                              <w:rPr>
                                <w:rFonts w:ascii="Source Sans Pro" w:hAnsi="Source Sans Pro"/>
                                <w:i w:val="0"/>
                                <w:iCs w:val="0"/>
                                <w:color w:val="000000" w:themeColor="text1"/>
                                <w:sz w:val="20"/>
                              </w:rPr>
                              <w:t xml:space="preserve"> financi</w:t>
                            </w:r>
                            <w:r w:rsidRPr="00091DF9">
                              <w:rPr>
                                <w:rFonts w:ascii="Source Sans Pro" w:hAnsi="Source Sans Pro" w:cs="Source Sans Pro"/>
                                <w:i w:val="0"/>
                                <w:iCs w:val="0"/>
                                <w:color w:val="000000" w:themeColor="text1"/>
                                <w:sz w:val="20"/>
                              </w:rPr>
                              <w:t>è</w:t>
                            </w:r>
                            <w:r w:rsidRPr="00091DF9">
                              <w:rPr>
                                <w:rFonts w:ascii="Source Sans Pro" w:hAnsi="Source Sans Pro"/>
                                <w:i w:val="0"/>
                                <w:iCs w:val="0"/>
                                <w:color w:val="000000" w:themeColor="text1"/>
                                <w:sz w:val="20"/>
                              </w:rPr>
                              <w:t xml:space="preserve">re et, </w:t>
                            </w:r>
                            <w:r w:rsidRPr="00091DF9">
                              <w:rPr>
                                <w:rFonts w:ascii="Source Sans Pro" w:hAnsi="Source Sans Pro" w:cs="Source Sans Pro"/>
                                <w:i w:val="0"/>
                                <w:iCs w:val="0"/>
                                <w:color w:val="000000" w:themeColor="text1"/>
                                <w:sz w:val="20"/>
                              </w:rPr>
                              <w:t>à</w:t>
                            </w:r>
                            <w:r w:rsidRPr="00091DF9">
                              <w:rPr>
                                <w:rFonts w:ascii="Source Sans Pro" w:hAnsi="Source Sans Pro"/>
                                <w:i w:val="0"/>
                                <w:iCs w:val="0"/>
                                <w:color w:val="000000" w:themeColor="text1"/>
                                <w:sz w:val="20"/>
                              </w:rPr>
                              <w:t xml:space="preserve"> terme, la solvabilit</w:t>
                            </w:r>
                            <w:r w:rsidRPr="00091DF9">
                              <w:rPr>
                                <w:rFonts w:ascii="Source Sans Pro" w:hAnsi="Source Sans Pro" w:cs="Source Sans Pro"/>
                                <w:i w:val="0"/>
                                <w:iCs w:val="0"/>
                                <w:color w:val="000000" w:themeColor="text1"/>
                                <w:sz w:val="20"/>
                              </w:rPr>
                              <w:t>é</w:t>
                            </w:r>
                            <w:r w:rsidRPr="00091DF9">
                              <w:rPr>
                                <w:rFonts w:ascii="Source Sans Pro" w:hAnsi="Source Sans Pro"/>
                                <w:i w:val="0"/>
                                <w:iCs w:val="0"/>
                                <w:color w:val="000000" w:themeColor="text1"/>
                                <w:sz w:val="20"/>
                              </w:rPr>
                              <w:t xml:space="preserve"> des </w:t>
                            </w:r>
                            <w:r w:rsidRPr="00091DF9">
                              <w:rPr>
                                <w:rFonts w:ascii="Source Sans Pro" w:hAnsi="Source Sans Pro" w:cs="Source Sans Pro"/>
                                <w:i w:val="0"/>
                                <w:iCs w:val="0"/>
                                <w:color w:val="000000" w:themeColor="text1"/>
                                <w:sz w:val="20"/>
                              </w:rPr>
                              <w:t>É</w:t>
                            </w:r>
                            <w:r w:rsidRPr="00091DF9">
                              <w:rPr>
                                <w:rFonts w:ascii="Source Sans Pro" w:hAnsi="Source Sans Pro"/>
                                <w:i w:val="0"/>
                                <w:iCs w:val="0"/>
                                <w:color w:val="000000" w:themeColor="text1"/>
                                <w:sz w:val="20"/>
                              </w:rPr>
                              <w:t xml:space="preserve">tats. Dans ce contexte, </w:t>
                            </w:r>
                            <w:r w:rsidRPr="00763326">
                              <w:rPr>
                                <w:rFonts w:ascii="Source Sans Pro" w:hAnsi="Source Sans Pro"/>
                                <w:b/>
                                <w:bCs/>
                                <w:i w:val="0"/>
                                <w:iCs w:val="0"/>
                                <w:color w:val="000000" w:themeColor="text1"/>
                                <w:sz w:val="20"/>
                              </w:rPr>
                              <w:t>l</w:t>
                            </w:r>
                            <w:r w:rsidRPr="00763326">
                              <w:rPr>
                                <w:rFonts w:ascii="Source Sans Pro" w:hAnsi="Source Sans Pro" w:cs="Source Sans Pro"/>
                                <w:b/>
                                <w:bCs/>
                                <w:i w:val="0"/>
                                <w:iCs w:val="0"/>
                                <w:color w:val="000000" w:themeColor="text1"/>
                                <w:sz w:val="20"/>
                              </w:rPr>
                              <w:t>’</w:t>
                            </w:r>
                            <w:r w:rsidRPr="00763326">
                              <w:rPr>
                                <w:rFonts w:ascii="Source Sans Pro" w:hAnsi="Source Sans Pro"/>
                                <w:b/>
                                <w:bCs/>
                                <w:i w:val="0"/>
                                <w:iCs w:val="0"/>
                                <w:color w:val="000000" w:themeColor="text1"/>
                                <w:sz w:val="20"/>
                              </w:rPr>
                              <w:t>exposition d</w:t>
                            </w:r>
                            <w:r w:rsidRPr="00763326">
                              <w:rPr>
                                <w:rFonts w:ascii="Source Sans Pro" w:hAnsi="Source Sans Pro" w:cs="Source Sans Pro"/>
                                <w:b/>
                                <w:bCs/>
                                <w:i w:val="0"/>
                                <w:iCs w:val="0"/>
                                <w:color w:val="000000" w:themeColor="text1"/>
                                <w:sz w:val="20"/>
                              </w:rPr>
                              <w:t>’</w:t>
                            </w:r>
                            <w:r w:rsidRPr="00763326">
                              <w:rPr>
                                <w:rFonts w:ascii="Source Sans Pro" w:hAnsi="Source Sans Pro"/>
                                <w:b/>
                                <w:bCs/>
                                <w:i w:val="0"/>
                                <w:iCs w:val="0"/>
                                <w:color w:val="000000" w:themeColor="text1"/>
                                <w:sz w:val="20"/>
                              </w:rPr>
                              <w:t xml:space="preserve">Abeille Assurances aux risques </w:t>
                            </w:r>
                            <w:r w:rsidR="00763326">
                              <w:rPr>
                                <w:rFonts w:ascii="Source Sans Pro" w:hAnsi="Source Sans Pro"/>
                                <w:b/>
                                <w:bCs/>
                                <w:i w:val="0"/>
                                <w:iCs w:val="0"/>
                                <w:color w:val="000000" w:themeColor="text1"/>
                                <w:sz w:val="20"/>
                              </w:rPr>
                              <w:t xml:space="preserve">nature </w:t>
                            </w:r>
                            <w:r w:rsidRPr="00763326">
                              <w:rPr>
                                <w:rFonts w:ascii="Source Sans Pro" w:hAnsi="Source Sans Pro"/>
                                <w:b/>
                                <w:bCs/>
                                <w:i w:val="0"/>
                                <w:iCs w:val="0"/>
                                <w:color w:val="000000" w:themeColor="text1"/>
                                <w:sz w:val="20"/>
                              </w:rPr>
                              <w:t xml:space="preserve">souverains demeure </w:t>
                            </w:r>
                            <w:r w:rsidR="00295BA2">
                              <w:rPr>
                                <w:rFonts w:ascii="Source Sans Pro" w:hAnsi="Source Sans Pro"/>
                                <w:b/>
                                <w:bCs/>
                                <w:i w:val="0"/>
                                <w:iCs w:val="0"/>
                                <w:color w:val="000000" w:themeColor="text1"/>
                                <w:sz w:val="20"/>
                              </w:rPr>
                              <w:t>relativement</w:t>
                            </w:r>
                            <w:r w:rsidRPr="00763326">
                              <w:rPr>
                                <w:rFonts w:ascii="Source Sans Pro" w:hAnsi="Source Sans Pro"/>
                                <w:b/>
                                <w:bCs/>
                                <w:i w:val="0"/>
                                <w:iCs w:val="0"/>
                                <w:color w:val="000000" w:themeColor="text1"/>
                                <w:sz w:val="20"/>
                              </w:rPr>
                              <w:t xml:space="preserve"> </w:t>
                            </w:r>
                            <w:r w:rsidR="00295BA2">
                              <w:rPr>
                                <w:rFonts w:ascii="Source Sans Pro" w:hAnsi="Source Sans Pro"/>
                                <w:b/>
                                <w:bCs/>
                                <w:i w:val="0"/>
                                <w:iCs w:val="0"/>
                                <w:color w:val="000000" w:themeColor="text1"/>
                                <w:sz w:val="20"/>
                              </w:rPr>
                              <w:t>modérée</w:t>
                            </w:r>
                            <w:r w:rsidRPr="00091DF9">
                              <w:rPr>
                                <w:rFonts w:ascii="Source Sans Pro" w:hAnsi="Source Sans Pro"/>
                                <w:i w:val="0"/>
                                <w:iCs w:val="0"/>
                                <w:color w:val="000000" w:themeColor="text1"/>
                                <w:sz w:val="20"/>
                              </w:rPr>
                              <w:t>, tout en appelant une vigilance continue face à l’évolution des trajectoires publiques et des capacités d’adaptation des territoires.</w:t>
                            </w:r>
                            <w:r w:rsidRPr="00D4571A">
                              <w:rPr>
                                <w:rFonts w:ascii="Source Sans Pro" w:hAnsi="Source Sans Pro"/>
                                <w:b/>
                                <w:i w:val="0"/>
                                <w:color w:val="000000" w:themeColor="text1"/>
                                <w:sz w:val="20"/>
                              </w:rPr>
                              <w:t xml:space="preserve"> </w:t>
                            </w:r>
                          </w:p>
                          <w:p w14:paraId="1E1E1D28" w14:textId="77777777" w:rsidR="00763326" w:rsidRDefault="00763326" w:rsidP="00431C57">
                            <w:pPr>
                              <w:pStyle w:val="Style1"/>
                              <w:numPr>
                                <w:ilvl w:val="0"/>
                                <w:numId w:val="0"/>
                              </w:numPr>
                              <w:ind w:left="26"/>
                              <w:rPr>
                                <w:rFonts w:ascii="Source Sans Pro" w:hAnsi="Source Sans Pro"/>
                                <w:b/>
                                <w:i w:val="0"/>
                                <w:color w:val="000000" w:themeColor="text1"/>
                                <w:sz w:val="20"/>
                              </w:rPr>
                            </w:pPr>
                          </w:p>
                          <w:p w14:paraId="188A8AFB" w14:textId="098595D9" w:rsidR="00431C57" w:rsidRDefault="00091DF9" w:rsidP="00431C57">
                            <w:pPr>
                              <w:pStyle w:val="Style1"/>
                              <w:numPr>
                                <w:ilvl w:val="0"/>
                                <w:numId w:val="0"/>
                              </w:numPr>
                              <w:ind w:left="26"/>
                            </w:pPr>
                            <w:r>
                              <w:rPr>
                                <w:noProof/>
                              </w:rPr>
                              <w:drawing>
                                <wp:inline distT="0" distB="0" distL="0" distR="0" wp14:anchorId="64D268E4" wp14:editId="770EE278">
                                  <wp:extent cx="683866" cy="724421"/>
                                  <wp:effectExtent l="0" t="0" r="2540" b="0"/>
                                  <wp:docPr id="653764332" name="Image 1" descr="Une image contenant Visage humain, Front, personne, Ment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687780" name="Image 1" descr="Une image contenant Visage humain, Front, personne, Menton&#10;&#10;Le contenu généré par l’IA peut être incorrect."/>
                                          <pic:cNvPicPr/>
                                        </pic:nvPicPr>
                                        <pic:blipFill>
                                          <a:blip r:embed="rId38"/>
                                          <a:stretch>
                                            <a:fillRect/>
                                          </a:stretch>
                                        </pic:blipFill>
                                        <pic:spPr>
                                          <a:xfrm>
                                            <a:off x="0" y="0"/>
                                            <a:ext cx="697139" cy="738481"/>
                                          </a:xfrm>
                                          <a:prstGeom prst="rect">
                                            <a:avLst/>
                                          </a:prstGeom>
                                        </pic:spPr>
                                      </pic:pic>
                                    </a:graphicData>
                                  </a:graphic>
                                </wp:inline>
                              </w:drawing>
                            </w:r>
                            <w:r w:rsidR="00431C57" w:rsidRPr="00D4571A">
                              <w:rPr>
                                <w:rFonts w:ascii="Source Sans Pro" w:hAnsi="Source Sans Pro"/>
                                <w:b/>
                                <w:i w:val="0"/>
                                <w:color w:val="000000" w:themeColor="text1"/>
                                <w:sz w:val="20"/>
                              </w:rPr>
                              <w:t>Jean-François COPPENOLLE</w:t>
                            </w:r>
                            <w:r w:rsidR="00431C57">
                              <w:rPr>
                                <w:rFonts w:ascii="Source Sans Pro" w:hAnsi="Source Sans Pro"/>
                                <w:b/>
                                <w:i w:val="0"/>
                                <w:color w:val="000000" w:themeColor="text1"/>
                                <w:sz w:val="20"/>
                              </w:rPr>
                              <w:t xml:space="preserve">, </w:t>
                            </w:r>
                            <w:r w:rsidR="00431C57" w:rsidRPr="00D4571A">
                              <w:rPr>
                                <w:rFonts w:ascii="Source Sans Pro" w:hAnsi="Source Sans Pro"/>
                                <w:b/>
                                <w:i w:val="0"/>
                                <w:color w:val="000000" w:themeColor="text1"/>
                                <w:sz w:val="20"/>
                              </w:rPr>
                              <w:t xml:space="preserve">Directeur </w:t>
                            </w:r>
                            <w:r w:rsidR="00431C57">
                              <w:rPr>
                                <w:rFonts w:ascii="Source Sans Pro" w:hAnsi="Source Sans Pro"/>
                                <w:b/>
                                <w:i w:val="0"/>
                                <w:color w:val="000000" w:themeColor="text1"/>
                                <w:sz w:val="20"/>
                              </w:rPr>
                              <w:t xml:space="preserve">d’investissement et du pôle </w:t>
                            </w:r>
                            <w:r w:rsidR="00431C57" w:rsidRPr="00D4571A">
                              <w:rPr>
                                <w:rFonts w:ascii="Source Sans Pro" w:hAnsi="Source Sans Pro"/>
                                <w:b/>
                                <w:i w:val="0"/>
                                <w:color w:val="000000" w:themeColor="text1"/>
                                <w:sz w:val="20"/>
                              </w:rPr>
                              <w:t>ISR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30FEB" id="Zone de texte 383735951" o:spid="_x0000_s1178" type="#_x0000_t202" style="position:absolute;left:0;text-align:left;margin-left:32.7pt;margin-top:.4pt;width:414.1pt;height:221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" fillcolor="white [3201]" stroked="f" strokeweight=".5pt">
                <v:textbox>
                  <w:txbxContent>
                    <w:p w14:paraId="442970D5" w14:textId="77777777" w:rsidR="00431C57" w:rsidRDefault="00431C57" w:rsidP="00431C57">
                      <w:pPr>
                        <w:pStyle w:val="Style1"/>
                        <w:numPr>
                          <w:ilvl w:val="0"/>
                          <w:numId w:val="0"/>
                        </w:numPr>
                        <w:tabs>
                          <w:tab w:val="left" w:pos="426"/>
                        </w:tabs>
                        <w:jc w:val="both"/>
                        <w:rPr>
                          <w:rFonts w:ascii="Source Sans Pro" w:hAnsi="Source Sans Pro"/>
                          <w:i w:val="0"/>
                          <w:iCs w:val="0"/>
                          <w:color w:val="000000" w:themeColor="text1"/>
                          <w:sz w:val="20"/>
                        </w:rPr>
                      </w:pPr>
                      <w:r>
                        <w:rPr>
                          <w:rFonts w:ascii="Source Sans Pro" w:hAnsi="Source Sans Pro"/>
                          <w:i w:val="0"/>
                          <w:iCs w:val="0"/>
                          <w:color w:val="000000" w:themeColor="text1"/>
                          <w:sz w:val="20"/>
                        </w:rPr>
                        <w:t xml:space="preserve">              </w:t>
                      </w:r>
                    </w:p>
                    <w:p w14:paraId="0A1E8703" w14:textId="613B7A9A" w:rsidR="00091DF9" w:rsidRDefault="00091DF9" w:rsidP="00431C57">
                      <w:pPr>
                        <w:pStyle w:val="Style1"/>
                        <w:numPr>
                          <w:ilvl w:val="0"/>
                          <w:numId w:val="0"/>
                        </w:numPr>
                        <w:ind w:left="26"/>
                        <w:rPr>
                          <w:rFonts w:ascii="Source Sans Pro" w:hAnsi="Source Sans Pro"/>
                          <w:b/>
                          <w:i w:val="0"/>
                          <w:color w:val="000000" w:themeColor="text1"/>
                          <w:sz w:val="20"/>
                        </w:rPr>
                      </w:pPr>
                      <w:r w:rsidRPr="00091DF9">
                        <w:rPr>
                          <w:rFonts w:ascii="Source Sans Pro" w:hAnsi="Source Sans Pro"/>
                          <w:i w:val="0"/>
                          <w:iCs w:val="0"/>
                          <w:color w:val="000000" w:themeColor="text1"/>
                          <w:sz w:val="20"/>
                        </w:rPr>
                        <w:t xml:space="preserve">L’approche </w:t>
                      </w:r>
                      <w:r w:rsidR="00763326">
                        <w:rPr>
                          <w:rFonts w:ascii="Source Sans Pro" w:hAnsi="Source Sans Pro"/>
                          <w:i w:val="0"/>
                          <w:iCs w:val="0"/>
                          <w:color w:val="000000" w:themeColor="text1"/>
                          <w:sz w:val="20"/>
                        </w:rPr>
                        <w:t xml:space="preserve">de mesure </w:t>
                      </w:r>
                      <w:r w:rsidRPr="00091DF9">
                        <w:rPr>
                          <w:rFonts w:ascii="Source Sans Pro" w:hAnsi="Source Sans Pro"/>
                          <w:i w:val="0"/>
                          <w:iCs w:val="0"/>
                          <w:color w:val="000000" w:themeColor="text1"/>
                          <w:sz w:val="20"/>
                        </w:rPr>
                        <w:t xml:space="preserve">des risques </w:t>
                      </w:r>
                      <w:r w:rsidR="00763326">
                        <w:rPr>
                          <w:rFonts w:ascii="Source Sans Pro" w:hAnsi="Source Sans Pro"/>
                          <w:i w:val="0"/>
                          <w:iCs w:val="0"/>
                          <w:color w:val="000000" w:themeColor="text1"/>
                          <w:sz w:val="20"/>
                        </w:rPr>
                        <w:t xml:space="preserve">nature sur les </w:t>
                      </w:r>
                      <w:r w:rsidRPr="00091DF9">
                        <w:rPr>
                          <w:rFonts w:ascii="Source Sans Pro" w:hAnsi="Source Sans Pro"/>
                          <w:i w:val="0"/>
                          <w:iCs w:val="0"/>
                          <w:color w:val="000000" w:themeColor="text1"/>
                          <w:sz w:val="20"/>
                        </w:rPr>
                        <w:t>souverains diffère sensiblement de celle appliquée aux entreprises. Les États sont à la fois exposés aux risques climatiques et de biodiversité et aux cadres réglementaires et engagements qu’ils se fixent eux</w:t>
                      </w:r>
                      <w:r w:rsidRPr="00091DF9">
                        <w:rPr>
                          <w:rFonts w:ascii="Cambria Math" w:hAnsi="Cambria Math" w:cs="Cambria Math"/>
                          <w:i w:val="0"/>
                          <w:iCs w:val="0"/>
                          <w:color w:val="000000" w:themeColor="text1"/>
                          <w:sz w:val="20"/>
                        </w:rPr>
                        <w:t>‑</w:t>
                      </w:r>
                      <w:r w:rsidRPr="00091DF9">
                        <w:rPr>
                          <w:rFonts w:ascii="Source Sans Pro" w:hAnsi="Source Sans Pro"/>
                          <w:i w:val="0"/>
                          <w:iCs w:val="0"/>
                          <w:color w:val="000000" w:themeColor="text1"/>
                          <w:sz w:val="20"/>
                        </w:rPr>
                        <w:t>m</w:t>
                      </w:r>
                      <w:r w:rsidRPr="00091DF9">
                        <w:rPr>
                          <w:rFonts w:ascii="Source Sans Pro" w:hAnsi="Source Sans Pro" w:cs="Source Sans Pro"/>
                          <w:i w:val="0"/>
                          <w:iCs w:val="0"/>
                          <w:color w:val="000000" w:themeColor="text1"/>
                          <w:sz w:val="20"/>
                        </w:rPr>
                        <w:t>ê</w:t>
                      </w:r>
                      <w:r w:rsidRPr="00091DF9">
                        <w:rPr>
                          <w:rFonts w:ascii="Source Sans Pro" w:hAnsi="Source Sans Pro"/>
                          <w:i w:val="0"/>
                          <w:iCs w:val="0"/>
                          <w:color w:val="000000" w:themeColor="text1"/>
                          <w:sz w:val="20"/>
                        </w:rPr>
                        <w:t>mes, notamment dans le cadre de l</w:t>
                      </w:r>
                      <w:r w:rsidRPr="00091DF9">
                        <w:rPr>
                          <w:rFonts w:ascii="Source Sans Pro" w:hAnsi="Source Sans Pro" w:cs="Source Sans Pro"/>
                          <w:i w:val="0"/>
                          <w:iCs w:val="0"/>
                          <w:color w:val="000000" w:themeColor="text1"/>
                          <w:sz w:val="20"/>
                        </w:rPr>
                        <w:t>’</w:t>
                      </w:r>
                      <w:r w:rsidRPr="00091DF9">
                        <w:rPr>
                          <w:rFonts w:ascii="Source Sans Pro" w:hAnsi="Source Sans Pro"/>
                          <w:i w:val="0"/>
                          <w:iCs w:val="0"/>
                          <w:color w:val="000000" w:themeColor="text1"/>
                          <w:sz w:val="20"/>
                        </w:rPr>
                        <w:t>Accord de Paris et des COP Biodiversit</w:t>
                      </w:r>
                      <w:r w:rsidRPr="00091DF9">
                        <w:rPr>
                          <w:rFonts w:ascii="Source Sans Pro" w:hAnsi="Source Sans Pro" w:cs="Source Sans Pro"/>
                          <w:i w:val="0"/>
                          <w:iCs w:val="0"/>
                          <w:color w:val="000000" w:themeColor="text1"/>
                          <w:sz w:val="20"/>
                        </w:rPr>
                        <w:t>é</w:t>
                      </w:r>
                      <w:r w:rsidRPr="00091DF9">
                        <w:rPr>
                          <w:rFonts w:ascii="Source Sans Pro" w:hAnsi="Source Sans Pro"/>
                          <w:i w:val="0"/>
                          <w:iCs w:val="0"/>
                          <w:color w:val="000000" w:themeColor="text1"/>
                          <w:sz w:val="20"/>
                        </w:rPr>
                        <w:t xml:space="preserve">. </w:t>
                      </w:r>
                      <w:r w:rsidRPr="00763326">
                        <w:rPr>
                          <w:rFonts w:ascii="Source Sans Pro" w:hAnsi="Source Sans Pro"/>
                          <w:b/>
                          <w:bCs/>
                          <w:i w:val="0"/>
                          <w:iCs w:val="0"/>
                          <w:color w:val="000000" w:themeColor="text1"/>
                          <w:sz w:val="20"/>
                        </w:rPr>
                        <w:t>La r</w:t>
                      </w:r>
                      <w:r w:rsidRPr="00763326">
                        <w:rPr>
                          <w:rFonts w:ascii="Source Sans Pro" w:hAnsi="Source Sans Pro" w:cs="Source Sans Pro"/>
                          <w:b/>
                          <w:bCs/>
                          <w:i w:val="0"/>
                          <w:iCs w:val="0"/>
                          <w:color w:val="000000" w:themeColor="text1"/>
                          <w:sz w:val="20"/>
                        </w:rPr>
                        <w:t>é</w:t>
                      </w:r>
                      <w:r w:rsidRPr="00763326">
                        <w:rPr>
                          <w:rFonts w:ascii="Source Sans Pro" w:hAnsi="Source Sans Pro"/>
                          <w:b/>
                          <w:bCs/>
                          <w:i w:val="0"/>
                          <w:iCs w:val="0"/>
                          <w:color w:val="000000" w:themeColor="text1"/>
                          <w:sz w:val="20"/>
                        </w:rPr>
                        <w:t>silience des territoires constitue d</w:t>
                      </w:r>
                      <w:r w:rsidRPr="00763326">
                        <w:rPr>
                          <w:rFonts w:ascii="Source Sans Pro" w:hAnsi="Source Sans Pro" w:cs="Source Sans Pro"/>
                          <w:b/>
                          <w:bCs/>
                          <w:i w:val="0"/>
                          <w:iCs w:val="0"/>
                          <w:color w:val="000000" w:themeColor="text1"/>
                          <w:sz w:val="20"/>
                        </w:rPr>
                        <w:t>è</w:t>
                      </w:r>
                      <w:r w:rsidRPr="00763326">
                        <w:rPr>
                          <w:rFonts w:ascii="Source Sans Pro" w:hAnsi="Source Sans Pro"/>
                          <w:b/>
                          <w:bCs/>
                          <w:i w:val="0"/>
                          <w:iCs w:val="0"/>
                          <w:color w:val="000000" w:themeColor="text1"/>
                          <w:sz w:val="20"/>
                        </w:rPr>
                        <w:t>s lors un enjeu central</w:t>
                      </w:r>
                      <w:r w:rsidRPr="00091DF9">
                        <w:rPr>
                          <w:rFonts w:ascii="Source Sans Pro" w:hAnsi="Source Sans Pro"/>
                          <w:i w:val="0"/>
                          <w:iCs w:val="0"/>
                          <w:color w:val="000000" w:themeColor="text1"/>
                          <w:sz w:val="20"/>
                        </w:rPr>
                        <w:t xml:space="preserve"> pour garantir la soutenabilit</w:t>
                      </w:r>
                      <w:r w:rsidRPr="00091DF9">
                        <w:rPr>
                          <w:rFonts w:ascii="Source Sans Pro" w:hAnsi="Source Sans Pro" w:cs="Source Sans Pro"/>
                          <w:i w:val="0"/>
                          <w:iCs w:val="0"/>
                          <w:color w:val="000000" w:themeColor="text1"/>
                          <w:sz w:val="20"/>
                        </w:rPr>
                        <w:t>é</w:t>
                      </w:r>
                      <w:r w:rsidRPr="00091DF9">
                        <w:rPr>
                          <w:rFonts w:ascii="Source Sans Pro" w:hAnsi="Source Sans Pro"/>
                          <w:i w:val="0"/>
                          <w:iCs w:val="0"/>
                          <w:color w:val="000000" w:themeColor="text1"/>
                          <w:sz w:val="20"/>
                        </w:rPr>
                        <w:t xml:space="preserve"> financi</w:t>
                      </w:r>
                      <w:r w:rsidRPr="00091DF9">
                        <w:rPr>
                          <w:rFonts w:ascii="Source Sans Pro" w:hAnsi="Source Sans Pro" w:cs="Source Sans Pro"/>
                          <w:i w:val="0"/>
                          <w:iCs w:val="0"/>
                          <w:color w:val="000000" w:themeColor="text1"/>
                          <w:sz w:val="20"/>
                        </w:rPr>
                        <w:t>è</w:t>
                      </w:r>
                      <w:r w:rsidRPr="00091DF9">
                        <w:rPr>
                          <w:rFonts w:ascii="Source Sans Pro" w:hAnsi="Source Sans Pro"/>
                          <w:i w:val="0"/>
                          <w:iCs w:val="0"/>
                          <w:color w:val="000000" w:themeColor="text1"/>
                          <w:sz w:val="20"/>
                        </w:rPr>
                        <w:t xml:space="preserve">re et, </w:t>
                      </w:r>
                      <w:r w:rsidRPr="00091DF9">
                        <w:rPr>
                          <w:rFonts w:ascii="Source Sans Pro" w:hAnsi="Source Sans Pro" w:cs="Source Sans Pro"/>
                          <w:i w:val="0"/>
                          <w:iCs w:val="0"/>
                          <w:color w:val="000000" w:themeColor="text1"/>
                          <w:sz w:val="20"/>
                        </w:rPr>
                        <w:t>à</w:t>
                      </w:r>
                      <w:r w:rsidRPr="00091DF9">
                        <w:rPr>
                          <w:rFonts w:ascii="Source Sans Pro" w:hAnsi="Source Sans Pro"/>
                          <w:i w:val="0"/>
                          <w:iCs w:val="0"/>
                          <w:color w:val="000000" w:themeColor="text1"/>
                          <w:sz w:val="20"/>
                        </w:rPr>
                        <w:t xml:space="preserve"> terme, la solvabilit</w:t>
                      </w:r>
                      <w:r w:rsidRPr="00091DF9">
                        <w:rPr>
                          <w:rFonts w:ascii="Source Sans Pro" w:hAnsi="Source Sans Pro" w:cs="Source Sans Pro"/>
                          <w:i w:val="0"/>
                          <w:iCs w:val="0"/>
                          <w:color w:val="000000" w:themeColor="text1"/>
                          <w:sz w:val="20"/>
                        </w:rPr>
                        <w:t>é</w:t>
                      </w:r>
                      <w:r w:rsidRPr="00091DF9">
                        <w:rPr>
                          <w:rFonts w:ascii="Source Sans Pro" w:hAnsi="Source Sans Pro"/>
                          <w:i w:val="0"/>
                          <w:iCs w:val="0"/>
                          <w:color w:val="000000" w:themeColor="text1"/>
                          <w:sz w:val="20"/>
                        </w:rPr>
                        <w:t xml:space="preserve"> des </w:t>
                      </w:r>
                      <w:r w:rsidRPr="00091DF9">
                        <w:rPr>
                          <w:rFonts w:ascii="Source Sans Pro" w:hAnsi="Source Sans Pro" w:cs="Source Sans Pro"/>
                          <w:i w:val="0"/>
                          <w:iCs w:val="0"/>
                          <w:color w:val="000000" w:themeColor="text1"/>
                          <w:sz w:val="20"/>
                        </w:rPr>
                        <w:t>É</w:t>
                      </w:r>
                      <w:r w:rsidRPr="00091DF9">
                        <w:rPr>
                          <w:rFonts w:ascii="Source Sans Pro" w:hAnsi="Source Sans Pro"/>
                          <w:i w:val="0"/>
                          <w:iCs w:val="0"/>
                          <w:color w:val="000000" w:themeColor="text1"/>
                          <w:sz w:val="20"/>
                        </w:rPr>
                        <w:t xml:space="preserve">tats. Dans ce contexte, </w:t>
                      </w:r>
                      <w:r w:rsidRPr="00763326">
                        <w:rPr>
                          <w:rFonts w:ascii="Source Sans Pro" w:hAnsi="Source Sans Pro"/>
                          <w:b/>
                          <w:bCs/>
                          <w:i w:val="0"/>
                          <w:iCs w:val="0"/>
                          <w:color w:val="000000" w:themeColor="text1"/>
                          <w:sz w:val="20"/>
                        </w:rPr>
                        <w:t>l</w:t>
                      </w:r>
                      <w:r w:rsidRPr="00763326">
                        <w:rPr>
                          <w:rFonts w:ascii="Source Sans Pro" w:hAnsi="Source Sans Pro" w:cs="Source Sans Pro"/>
                          <w:b/>
                          <w:bCs/>
                          <w:i w:val="0"/>
                          <w:iCs w:val="0"/>
                          <w:color w:val="000000" w:themeColor="text1"/>
                          <w:sz w:val="20"/>
                        </w:rPr>
                        <w:t>’</w:t>
                      </w:r>
                      <w:r w:rsidRPr="00763326">
                        <w:rPr>
                          <w:rFonts w:ascii="Source Sans Pro" w:hAnsi="Source Sans Pro"/>
                          <w:b/>
                          <w:bCs/>
                          <w:i w:val="0"/>
                          <w:iCs w:val="0"/>
                          <w:color w:val="000000" w:themeColor="text1"/>
                          <w:sz w:val="20"/>
                        </w:rPr>
                        <w:t>exposition d</w:t>
                      </w:r>
                      <w:r w:rsidRPr="00763326">
                        <w:rPr>
                          <w:rFonts w:ascii="Source Sans Pro" w:hAnsi="Source Sans Pro" w:cs="Source Sans Pro"/>
                          <w:b/>
                          <w:bCs/>
                          <w:i w:val="0"/>
                          <w:iCs w:val="0"/>
                          <w:color w:val="000000" w:themeColor="text1"/>
                          <w:sz w:val="20"/>
                        </w:rPr>
                        <w:t>’</w:t>
                      </w:r>
                      <w:r w:rsidRPr="00763326">
                        <w:rPr>
                          <w:rFonts w:ascii="Source Sans Pro" w:hAnsi="Source Sans Pro"/>
                          <w:b/>
                          <w:bCs/>
                          <w:i w:val="0"/>
                          <w:iCs w:val="0"/>
                          <w:color w:val="000000" w:themeColor="text1"/>
                          <w:sz w:val="20"/>
                        </w:rPr>
                        <w:t xml:space="preserve">Abeille Assurances aux risques </w:t>
                      </w:r>
                      <w:r w:rsidR="00763326">
                        <w:rPr>
                          <w:rFonts w:ascii="Source Sans Pro" w:hAnsi="Source Sans Pro"/>
                          <w:b/>
                          <w:bCs/>
                          <w:i w:val="0"/>
                          <w:iCs w:val="0"/>
                          <w:color w:val="000000" w:themeColor="text1"/>
                          <w:sz w:val="20"/>
                        </w:rPr>
                        <w:t xml:space="preserve">nature </w:t>
                      </w:r>
                      <w:r w:rsidRPr="00763326">
                        <w:rPr>
                          <w:rFonts w:ascii="Source Sans Pro" w:hAnsi="Source Sans Pro"/>
                          <w:b/>
                          <w:bCs/>
                          <w:i w:val="0"/>
                          <w:iCs w:val="0"/>
                          <w:color w:val="000000" w:themeColor="text1"/>
                          <w:sz w:val="20"/>
                        </w:rPr>
                        <w:t xml:space="preserve">souverains demeure </w:t>
                      </w:r>
                      <w:r w:rsidR="00295BA2">
                        <w:rPr>
                          <w:rFonts w:ascii="Source Sans Pro" w:hAnsi="Source Sans Pro"/>
                          <w:b/>
                          <w:bCs/>
                          <w:i w:val="0"/>
                          <w:iCs w:val="0"/>
                          <w:color w:val="000000" w:themeColor="text1"/>
                          <w:sz w:val="20"/>
                        </w:rPr>
                        <w:t>relativement</w:t>
                      </w:r>
                      <w:r w:rsidRPr="00763326">
                        <w:rPr>
                          <w:rFonts w:ascii="Source Sans Pro" w:hAnsi="Source Sans Pro"/>
                          <w:b/>
                          <w:bCs/>
                          <w:i w:val="0"/>
                          <w:iCs w:val="0"/>
                          <w:color w:val="000000" w:themeColor="text1"/>
                          <w:sz w:val="20"/>
                        </w:rPr>
                        <w:t xml:space="preserve"> </w:t>
                      </w:r>
                      <w:r w:rsidR="00295BA2">
                        <w:rPr>
                          <w:rFonts w:ascii="Source Sans Pro" w:hAnsi="Source Sans Pro"/>
                          <w:b/>
                          <w:bCs/>
                          <w:i w:val="0"/>
                          <w:iCs w:val="0"/>
                          <w:color w:val="000000" w:themeColor="text1"/>
                          <w:sz w:val="20"/>
                        </w:rPr>
                        <w:t>modérée</w:t>
                      </w:r>
                      <w:r w:rsidRPr="00091DF9">
                        <w:rPr>
                          <w:rFonts w:ascii="Source Sans Pro" w:hAnsi="Source Sans Pro"/>
                          <w:i w:val="0"/>
                          <w:iCs w:val="0"/>
                          <w:color w:val="000000" w:themeColor="text1"/>
                          <w:sz w:val="20"/>
                        </w:rPr>
                        <w:t>, tout en appelant une vigilance continue face à l’évolution des trajectoires publiques et des capacités d’adaptation des territoires.</w:t>
                      </w:r>
                      <w:r w:rsidRPr="00D4571A">
                        <w:rPr>
                          <w:rFonts w:ascii="Source Sans Pro" w:hAnsi="Source Sans Pro"/>
                          <w:b/>
                          <w:i w:val="0"/>
                          <w:color w:val="000000" w:themeColor="text1"/>
                          <w:sz w:val="20"/>
                        </w:rPr>
                        <w:t xml:space="preserve"> </w:t>
                      </w:r>
                    </w:p>
                    <w:p w14:paraId="1E1E1D28" w14:textId="77777777" w:rsidR="00763326" w:rsidRDefault="00763326" w:rsidP="00431C57">
                      <w:pPr>
                        <w:pStyle w:val="Style1"/>
                        <w:numPr>
                          <w:ilvl w:val="0"/>
                          <w:numId w:val="0"/>
                        </w:numPr>
                        <w:ind w:left="26"/>
                        <w:rPr>
                          <w:rFonts w:ascii="Source Sans Pro" w:hAnsi="Source Sans Pro"/>
                          <w:b/>
                          <w:i w:val="0"/>
                          <w:color w:val="000000" w:themeColor="text1"/>
                          <w:sz w:val="20"/>
                        </w:rPr>
                      </w:pPr>
                    </w:p>
                    <w:p w14:paraId="188A8AFB" w14:textId="098595D9" w:rsidR="00431C57" w:rsidRDefault="00091DF9" w:rsidP="00431C57">
                      <w:pPr>
                        <w:pStyle w:val="Style1"/>
                        <w:numPr>
                          <w:ilvl w:val="0"/>
                          <w:numId w:val="0"/>
                        </w:numPr>
                        <w:ind w:left="26"/>
                      </w:pPr>
                      <w:r>
                        <w:rPr>
                          <w:noProof/>
                        </w:rPr>
                        <w:drawing>
                          <wp:inline distT="0" distB="0" distL="0" distR="0" wp14:anchorId="64D268E4" wp14:editId="770EE278">
                            <wp:extent cx="683866" cy="724421"/>
                            <wp:effectExtent l="0" t="0" r="2540" b="0"/>
                            <wp:docPr id="653764332" name="Image 1" descr="Une image contenant Visage humain, Front, personne, Ment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687780" name="Image 1" descr="Une image contenant Visage humain, Front, personne, Menton&#10;&#10;Le contenu généré par l’IA peut être incorrect."/>
                                    <pic:cNvPicPr/>
                                  </pic:nvPicPr>
                                  <pic:blipFill>
                                    <a:blip r:embed="rId39"/>
                                    <a:stretch>
                                      <a:fillRect/>
                                    </a:stretch>
                                  </pic:blipFill>
                                  <pic:spPr>
                                    <a:xfrm>
                                      <a:off x="0" y="0"/>
                                      <a:ext cx="697139" cy="738481"/>
                                    </a:xfrm>
                                    <a:prstGeom prst="rect">
                                      <a:avLst/>
                                    </a:prstGeom>
                                  </pic:spPr>
                                </pic:pic>
                              </a:graphicData>
                            </a:graphic>
                          </wp:inline>
                        </w:drawing>
                      </w:r>
                      <w:r w:rsidR="00431C57" w:rsidRPr="00D4571A">
                        <w:rPr>
                          <w:rFonts w:ascii="Source Sans Pro" w:hAnsi="Source Sans Pro"/>
                          <w:b/>
                          <w:i w:val="0"/>
                          <w:color w:val="000000" w:themeColor="text1"/>
                          <w:sz w:val="20"/>
                        </w:rPr>
                        <w:t>Jean-François COPPENOLLE</w:t>
                      </w:r>
                      <w:r w:rsidR="00431C57">
                        <w:rPr>
                          <w:rFonts w:ascii="Source Sans Pro" w:hAnsi="Source Sans Pro"/>
                          <w:b/>
                          <w:i w:val="0"/>
                          <w:color w:val="000000" w:themeColor="text1"/>
                          <w:sz w:val="20"/>
                        </w:rPr>
                        <w:t xml:space="preserve">, </w:t>
                      </w:r>
                      <w:r w:rsidR="00431C57" w:rsidRPr="00D4571A">
                        <w:rPr>
                          <w:rFonts w:ascii="Source Sans Pro" w:hAnsi="Source Sans Pro"/>
                          <w:b/>
                          <w:i w:val="0"/>
                          <w:color w:val="000000" w:themeColor="text1"/>
                          <w:sz w:val="20"/>
                        </w:rPr>
                        <w:t xml:space="preserve">Directeur </w:t>
                      </w:r>
                      <w:r w:rsidR="00431C57">
                        <w:rPr>
                          <w:rFonts w:ascii="Source Sans Pro" w:hAnsi="Source Sans Pro"/>
                          <w:b/>
                          <w:i w:val="0"/>
                          <w:color w:val="000000" w:themeColor="text1"/>
                          <w:sz w:val="20"/>
                        </w:rPr>
                        <w:t xml:space="preserve">d’investissement et du pôle </w:t>
                      </w:r>
                      <w:r w:rsidR="00431C57" w:rsidRPr="00D4571A">
                        <w:rPr>
                          <w:rFonts w:ascii="Source Sans Pro" w:hAnsi="Source Sans Pro"/>
                          <w:b/>
                          <w:i w:val="0"/>
                          <w:color w:val="000000" w:themeColor="text1"/>
                          <w:sz w:val="20"/>
                        </w:rPr>
                        <w:t>ISR</w:t>
                      </w:r>
                    </w:p>
                  </w:txbxContent>
                </v:textbox>
              </v:shape>
            </w:pict>
          </mc:Fallback>
        </mc:AlternateContent>
      </w:r>
      <w:r w:rsidRPr="00A74D23">
        <w:rPr>
          <w:rFonts w:eastAsia="Calibri" w:cs="Open Sans"/>
          <w:i w:val="0"/>
          <w:iCs w:val="0"/>
          <w:noProof/>
          <w:color w:val="auto"/>
          <w:sz w:val="20"/>
          <w:szCs w:val="20"/>
          <w:lang w:eastAsia="fr-FR"/>
        </w:rPr>
        <mc:AlternateContent>
          <mc:Choice Requires="wpg">
            <w:drawing>
              <wp:anchor distT="0" distB="0" distL="114300" distR="114300" simplePos="0" relativeHeight="251748352" behindDoc="0" locked="0" layoutInCell="1" allowOverlap="1" wp14:anchorId="134B65F9" wp14:editId="702D2211">
                <wp:simplePos x="0" y="0"/>
                <wp:positionH relativeFrom="margin">
                  <wp:posOffset>42300</wp:posOffset>
                </wp:positionH>
                <wp:positionV relativeFrom="paragraph">
                  <wp:posOffset>154305</wp:posOffset>
                </wp:positionV>
                <wp:extent cx="390025" cy="281534"/>
                <wp:effectExtent l="0" t="0" r="10160" b="23495"/>
                <wp:wrapNone/>
                <wp:docPr id="1818671686" name="Groupe 132"/>
                <wp:cNvGraphicFramePr/>
                <a:graphic xmlns:a="http://schemas.openxmlformats.org/drawingml/2006/main">
                  <a:graphicData uri="http://schemas.microsoft.com/office/word/2010/wordprocessingGroup">
                    <wpg:wgp>
                      <wpg:cNvGrpSpPr/>
                      <wpg:grpSpPr>
                        <a:xfrm>
                          <a:off x="0" y="0"/>
                          <a:ext cx="390025" cy="281534"/>
                          <a:chOff x="0" y="0"/>
                          <a:chExt cx="480287" cy="346688"/>
                        </a:xfrm>
                      </wpg:grpSpPr>
                      <wps:wsp>
                        <wps:cNvPr id="1198956726"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516559431"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65EB604B" id="Groupe 132" o:spid="_x0000_s1026" style="position:absolute;margin-left:3.35pt;margin-top:12.15pt;width:30.7pt;height:22.15pt;z-index:251748352;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r w:rsidRPr="00A74D23">
        <w:rPr>
          <w:rFonts w:eastAsia="Calibri" w:cs="Open Sans"/>
          <w:i w:val="0"/>
          <w:iCs w:val="0"/>
          <w:noProof/>
          <w:color w:val="auto"/>
          <w:sz w:val="20"/>
          <w:szCs w:val="20"/>
          <w:lang w:eastAsia="fr-FR"/>
        </w:rPr>
        <mc:AlternateContent>
          <mc:Choice Requires="wpg">
            <w:drawing>
              <wp:anchor distT="0" distB="0" distL="114300" distR="114300" simplePos="0" relativeHeight="251746304" behindDoc="0" locked="0" layoutInCell="1" allowOverlap="1" wp14:anchorId="15A1EEB4" wp14:editId="3C825CC1">
                <wp:simplePos x="0" y="0"/>
                <wp:positionH relativeFrom="margin">
                  <wp:posOffset>5608375</wp:posOffset>
                </wp:positionH>
                <wp:positionV relativeFrom="paragraph">
                  <wp:posOffset>1595810</wp:posOffset>
                </wp:positionV>
                <wp:extent cx="389890" cy="281305"/>
                <wp:effectExtent l="0" t="0" r="10160" b="23495"/>
                <wp:wrapNone/>
                <wp:docPr id="2118603559" name="Groupe 132"/>
                <wp:cNvGraphicFramePr/>
                <a:graphic xmlns:a="http://schemas.openxmlformats.org/drawingml/2006/main">
                  <a:graphicData uri="http://schemas.microsoft.com/office/word/2010/wordprocessingGroup">
                    <wpg:wgp>
                      <wpg:cNvGrpSpPr/>
                      <wpg:grpSpPr>
                        <a:xfrm flipH="1">
                          <a:off x="0" y="0"/>
                          <a:ext cx="389890" cy="281305"/>
                          <a:chOff x="0" y="0"/>
                          <a:chExt cx="480287" cy="346688"/>
                        </a:xfrm>
                      </wpg:grpSpPr>
                      <wps:wsp>
                        <wps:cNvPr id="1137950912"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1891109330"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452E7256" id="Groupe 132" o:spid="_x0000_s1026" style="position:absolute;margin-left:441.6pt;margin-top:125.65pt;width:30.7pt;height:22.15pt;flip:x;z-index:251746304;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r w:rsidRPr="00A74D23">
        <w:rPr>
          <w:rFonts w:cs="Open Sans"/>
          <w:noProof/>
        </w:rPr>
        <mc:AlternateContent>
          <mc:Choice Requires="wps">
            <w:drawing>
              <wp:inline distT="0" distB="0" distL="0" distR="0" wp14:anchorId="78412193" wp14:editId="21E9EDE0">
                <wp:extent cx="5646039" cy="2857500"/>
                <wp:effectExtent l="0" t="0" r="12065" b="19050"/>
                <wp:docPr id="987458818" name="Rectangle : coins arrondis 987458818"/>
                <wp:cNvGraphicFramePr/>
                <a:graphic xmlns:a="http://schemas.openxmlformats.org/drawingml/2006/main">
                  <a:graphicData uri="http://schemas.microsoft.com/office/word/2010/wordprocessingShape">
                    <wps:wsp>
                      <wps:cNvSpPr/>
                      <wps:spPr>
                        <a:xfrm>
                          <a:off x="0" y="0"/>
                          <a:ext cx="5646039" cy="2857500"/>
                        </a:xfrm>
                        <a:prstGeom prst="roundRect">
                          <a:avLst>
                            <a:gd name="adj" fmla="val 889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D7DD39" w14:textId="77777777" w:rsidR="00431C57" w:rsidRPr="006209BA" w:rsidRDefault="00431C57" w:rsidP="00431C57">
                            <w:pPr>
                              <w:pStyle w:val="Citation0"/>
                              <w:rPr>
                                <w:color w:val="auto"/>
                              </w:rPr>
                            </w:pPr>
                          </w:p>
                        </w:txbxContent>
                      </wps:txbx>
                      <wps:bodyPr rot="0" spcFirstLastPara="0" vertOverflow="overflow" horzOverflow="overflow" vert="horz" wrap="square" lIns="180000" tIns="108000" rIns="180000" bIns="108000" numCol="1" spcCol="0" rtlCol="0" fromWordArt="0" anchor="ctr" anchorCtr="0" forceAA="0" compatLnSpc="1">
                        <a:prstTxWarp prst="textNoShape">
                          <a:avLst/>
                        </a:prstTxWarp>
                        <a:noAutofit/>
                      </wps:bodyPr>
                    </wps:wsp>
                  </a:graphicData>
                </a:graphic>
              </wp:inline>
            </w:drawing>
          </mc:Choice>
          <mc:Fallback>
            <w:pict>
              <v:roundrect w14:anchorId="78412193" id="Rectangle : coins arrondis 987458818" o:spid="_x0000_s1179" style="width:444.55pt;height:225pt;visibility:visible;mso-wrap-style:square;mso-left-percent:-10001;mso-top-percent:-10001;mso-position-horizontal:absolute;mso-position-horizontal-relative:char;mso-position-vertical:absolute;mso-position-vertical-relative:line;mso-left-percent:-10001;mso-top-percent:-10001;v-text-anchor:middle" arcsize="58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" fillcolor="white [3212]" strokecolor="black [3213]" strokeweight="1pt">
                <v:stroke joinstyle="miter"/>
                <v:textbox inset="5mm,3mm,5mm,3mm">
                  <w:txbxContent>
                    <w:p w14:paraId="2FD7DD39" w14:textId="77777777" w:rsidR="00431C57" w:rsidRPr="006209BA" w:rsidRDefault="00431C57" w:rsidP="00431C57">
                      <w:pPr>
                        <w:pStyle w:val="Citation0"/>
                        <w:rPr>
                          <w:color w:val="auto"/>
                        </w:rPr>
                      </w:pPr>
                    </w:p>
                  </w:txbxContent>
                </v:textbox>
                <w10:anchorlock/>
              </v:roundrect>
            </w:pict>
          </mc:Fallback>
        </mc:AlternateContent>
      </w:r>
    </w:p>
    <w:p w14:paraId="053EEE27" w14:textId="77777777" w:rsidR="00431C57" w:rsidRPr="00A74D23" w:rsidRDefault="00431C57" w:rsidP="009D6EE5">
      <w:pPr>
        <w:pStyle w:val="Style5"/>
        <w:numPr>
          <w:ilvl w:val="0"/>
          <w:numId w:val="0"/>
        </w:numPr>
        <w:spacing w:line="22" w:lineRule="atLeast"/>
        <w:jc w:val="both"/>
        <w:rPr>
          <w:sz w:val="20"/>
          <w:szCs w:val="20"/>
        </w:rPr>
      </w:pPr>
    </w:p>
    <w:p w14:paraId="7657957B" w14:textId="6BE59481" w:rsidR="00F00BD2" w:rsidRPr="00A74D23" w:rsidRDefault="00F00BD2" w:rsidP="009D6EE5">
      <w:pPr>
        <w:spacing w:line="22" w:lineRule="atLeast"/>
        <w:jc w:val="both"/>
        <w:rPr>
          <w:rFonts w:asciiTheme="minorHAnsi" w:hAnsiTheme="minorHAnsi"/>
          <w:b/>
          <w:bCs/>
          <w:sz w:val="32"/>
          <w:szCs w:val="32"/>
          <w:lang w:val="fr-FR"/>
        </w:rPr>
      </w:pPr>
    </w:p>
    <w:p w14:paraId="62AC084F" w14:textId="34B06711" w:rsidR="00E952E6" w:rsidRPr="00A74D23" w:rsidRDefault="00E952E6" w:rsidP="00590DD1">
      <w:pPr>
        <w:pStyle w:val="Paragraphedeliste"/>
        <w:numPr>
          <w:ilvl w:val="1"/>
          <w:numId w:val="67"/>
        </w:numPr>
        <w:spacing w:line="22" w:lineRule="atLeast"/>
        <w:jc w:val="both"/>
        <w:rPr>
          <w:b/>
          <w:bCs/>
          <w:sz w:val="32"/>
          <w:szCs w:val="32"/>
        </w:rPr>
      </w:pPr>
      <w:r w:rsidRPr="00A74D23">
        <w:rPr>
          <w:b/>
          <w:bCs/>
          <w:sz w:val="32"/>
          <w:szCs w:val="32"/>
        </w:rPr>
        <w:t xml:space="preserve">Portefeuille d’investissements immobiliers </w:t>
      </w:r>
    </w:p>
    <w:p w14:paraId="5EDFFAA8" w14:textId="3E9584FA" w:rsidR="003D1363" w:rsidRPr="00A74D23" w:rsidRDefault="003D1363" w:rsidP="00590DD1">
      <w:pPr>
        <w:pStyle w:val="Style5"/>
        <w:numPr>
          <w:ilvl w:val="2"/>
          <w:numId w:val="67"/>
        </w:numPr>
        <w:spacing w:line="22" w:lineRule="atLeast"/>
        <w:ind w:left="1276" w:hanging="916"/>
        <w:jc w:val="both"/>
        <w:rPr>
          <w:i/>
          <w:iCs/>
          <w:color w:val="8A2C24" w:themeColor="accent2"/>
          <w:sz w:val="28"/>
          <w:szCs w:val="28"/>
        </w:rPr>
      </w:pPr>
      <w:r w:rsidRPr="00A74D23">
        <w:rPr>
          <w:i/>
          <w:iCs/>
          <w:color w:val="8A2C24" w:themeColor="accent2"/>
          <w:sz w:val="28"/>
          <w:szCs w:val="28"/>
        </w:rPr>
        <w:t>Les risques liés au changement climatique</w:t>
      </w:r>
    </w:p>
    <w:p w14:paraId="2F844D47" w14:textId="77777777" w:rsidR="003D1363" w:rsidRPr="00A74D23" w:rsidRDefault="003D1363" w:rsidP="009D6EE5">
      <w:pPr>
        <w:pStyle w:val="Style5"/>
        <w:numPr>
          <w:ilvl w:val="0"/>
          <w:numId w:val="0"/>
        </w:numPr>
        <w:spacing w:line="22" w:lineRule="atLeast"/>
        <w:jc w:val="both"/>
        <w:rPr>
          <w:b/>
          <w:bCs/>
          <w:sz w:val="28"/>
          <w:szCs w:val="28"/>
        </w:rPr>
      </w:pPr>
    </w:p>
    <w:p w14:paraId="5759EACC" w14:textId="77777777" w:rsidR="003D1363" w:rsidRPr="00A74D23" w:rsidRDefault="003D1363" w:rsidP="00590DD1">
      <w:pPr>
        <w:pStyle w:val="Style5"/>
        <w:numPr>
          <w:ilvl w:val="0"/>
          <w:numId w:val="101"/>
        </w:numPr>
        <w:spacing w:line="22" w:lineRule="atLeast"/>
        <w:jc w:val="both"/>
        <w:rPr>
          <w:b/>
          <w:bCs/>
          <w:sz w:val="28"/>
          <w:szCs w:val="28"/>
        </w:rPr>
      </w:pPr>
      <w:r w:rsidRPr="00A74D23">
        <w:rPr>
          <w:b/>
          <w:bCs/>
          <w:sz w:val="28"/>
          <w:szCs w:val="28"/>
        </w:rPr>
        <w:t>Risques de transition climatique</w:t>
      </w:r>
    </w:p>
    <w:p w14:paraId="745AE590" w14:textId="5377093A" w:rsidR="003323CF" w:rsidRPr="00A74D23" w:rsidRDefault="003323CF" w:rsidP="009D6EE5">
      <w:pPr>
        <w:pStyle w:val="Style5"/>
        <w:numPr>
          <w:ilvl w:val="0"/>
          <w:numId w:val="0"/>
        </w:numPr>
        <w:spacing w:line="22" w:lineRule="atLeast"/>
        <w:jc w:val="both"/>
        <w:rPr>
          <w:sz w:val="20"/>
          <w:szCs w:val="20"/>
        </w:rPr>
      </w:pPr>
      <w:r w:rsidRPr="00A74D23">
        <w:rPr>
          <w:sz w:val="20"/>
          <w:szCs w:val="20"/>
        </w:rPr>
        <w:t>Les risques de transition sont principalement d'origine réglementaire. En France, le décret tertiaire impose par exemple une réduction progressive des consommations énergétiques des bâtiments (</w:t>
      </w:r>
      <w:r w:rsidRPr="00A74D23">
        <w:rPr>
          <w:rFonts w:ascii="Cambria Math" w:hAnsi="Cambria Math" w:cs="Cambria Math"/>
          <w:sz w:val="20"/>
          <w:szCs w:val="20"/>
        </w:rPr>
        <w:t>‑</w:t>
      </w:r>
      <w:r w:rsidRPr="00A74D23">
        <w:rPr>
          <w:sz w:val="20"/>
          <w:szCs w:val="20"/>
        </w:rPr>
        <w:t xml:space="preserve">40 % en 2030, </w:t>
      </w:r>
      <w:r w:rsidRPr="00A74D23">
        <w:rPr>
          <w:rFonts w:ascii="Cambria Math" w:hAnsi="Cambria Math" w:cs="Cambria Math"/>
          <w:sz w:val="20"/>
          <w:szCs w:val="20"/>
        </w:rPr>
        <w:t>‑</w:t>
      </w:r>
      <w:r w:rsidRPr="00A74D23">
        <w:rPr>
          <w:sz w:val="20"/>
          <w:szCs w:val="20"/>
        </w:rPr>
        <w:t xml:space="preserve">50 % en 2040, </w:t>
      </w:r>
      <w:r w:rsidRPr="00A74D23">
        <w:rPr>
          <w:rFonts w:ascii="Cambria Math" w:hAnsi="Cambria Math" w:cs="Cambria Math"/>
          <w:sz w:val="20"/>
          <w:szCs w:val="20"/>
        </w:rPr>
        <w:t>‑</w:t>
      </w:r>
      <w:r w:rsidRPr="00A74D23">
        <w:rPr>
          <w:sz w:val="20"/>
          <w:szCs w:val="20"/>
        </w:rPr>
        <w:t xml:space="preserve">60 % en 2050 par rapport </w:t>
      </w:r>
      <w:r w:rsidRPr="00A74D23">
        <w:rPr>
          <w:rFonts w:cs="Source Sans Pro"/>
          <w:sz w:val="20"/>
          <w:szCs w:val="20"/>
        </w:rPr>
        <w:t>à</w:t>
      </w:r>
      <w:r w:rsidRPr="00A74D23">
        <w:rPr>
          <w:sz w:val="20"/>
          <w:szCs w:val="20"/>
        </w:rPr>
        <w:t xml:space="preserve"> 2010), contraignant les propri</w:t>
      </w:r>
      <w:r w:rsidRPr="00A74D23">
        <w:rPr>
          <w:rFonts w:cs="Source Sans Pro"/>
          <w:sz w:val="20"/>
          <w:szCs w:val="20"/>
        </w:rPr>
        <w:t>é</w:t>
      </w:r>
      <w:r w:rsidRPr="00A74D23">
        <w:rPr>
          <w:sz w:val="20"/>
          <w:szCs w:val="20"/>
        </w:rPr>
        <w:t xml:space="preserve">taires </w:t>
      </w:r>
      <w:r w:rsidRPr="00A74D23">
        <w:rPr>
          <w:rFonts w:cs="Source Sans Pro"/>
          <w:sz w:val="20"/>
          <w:szCs w:val="20"/>
        </w:rPr>
        <w:t>à</w:t>
      </w:r>
      <w:r w:rsidRPr="00A74D23">
        <w:rPr>
          <w:sz w:val="20"/>
          <w:szCs w:val="20"/>
        </w:rPr>
        <w:t xml:space="preserve"> engager des travaux de r</w:t>
      </w:r>
      <w:r w:rsidRPr="00A74D23">
        <w:rPr>
          <w:rFonts w:cs="Source Sans Pro"/>
          <w:sz w:val="20"/>
          <w:szCs w:val="20"/>
        </w:rPr>
        <w:t>é</w:t>
      </w:r>
      <w:r w:rsidRPr="00A74D23">
        <w:rPr>
          <w:sz w:val="20"/>
          <w:szCs w:val="20"/>
        </w:rPr>
        <w:t xml:space="preserve">novation, </w:t>
      </w:r>
      <w:r w:rsidRPr="00A74D23">
        <w:rPr>
          <w:rFonts w:cs="Source Sans Pro"/>
          <w:sz w:val="20"/>
          <w:szCs w:val="20"/>
        </w:rPr>
        <w:t>à</w:t>
      </w:r>
      <w:r w:rsidRPr="00A74D23">
        <w:rPr>
          <w:sz w:val="20"/>
          <w:szCs w:val="20"/>
        </w:rPr>
        <w:t xml:space="preserve"> optimiser le pilotage des usages et </w:t>
      </w:r>
      <w:r w:rsidRPr="00A74D23">
        <w:rPr>
          <w:rFonts w:cs="Source Sans Pro"/>
          <w:sz w:val="20"/>
          <w:szCs w:val="20"/>
        </w:rPr>
        <w:t>à</w:t>
      </w:r>
      <w:r w:rsidRPr="00A74D23">
        <w:rPr>
          <w:sz w:val="20"/>
          <w:szCs w:val="20"/>
        </w:rPr>
        <w:t xml:space="preserve"> d</w:t>
      </w:r>
      <w:r w:rsidRPr="00A74D23">
        <w:rPr>
          <w:rFonts w:cs="Source Sans Pro"/>
          <w:sz w:val="20"/>
          <w:szCs w:val="20"/>
        </w:rPr>
        <w:t>é</w:t>
      </w:r>
      <w:r w:rsidRPr="00A74D23">
        <w:rPr>
          <w:sz w:val="20"/>
          <w:szCs w:val="20"/>
        </w:rPr>
        <w:t>montrer leur conformit</w:t>
      </w:r>
      <w:r w:rsidRPr="00A74D23">
        <w:rPr>
          <w:rFonts w:cs="Source Sans Pro"/>
          <w:sz w:val="20"/>
          <w:szCs w:val="20"/>
        </w:rPr>
        <w:t>é</w:t>
      </w:r>
      <w:r w:rsidRPr="00A74D23">
        <w:rPr>
          <w:sz w:val="20"/>
          <w:szCs w:val="20"/>
        </w:rPr>
        <w:t>. Ces obligations créent des risques financiers (coûts de mise en conformité, dépréciation des actifs non conformes, perte d'attractivité locative) et opérationnels (calendrier de travaux, disponibilité technique, complexité administrative).</w:t>
      </w:r>
    </w:p>
    <w:p w14:paraId="67EC63BC" w14:textId="77777777" w:rsidR="003323CF" w:rsidRPr="00A74D23" w:rsidRDefault="003323CF" w:rsidP="009D6EE5">
      <w:pPr>
        <w:pStyle w:val="Style5"/>
        <w:numPr>
          <w:ilvl w:val="0"/>
          <w:numId w:val="0"/>
        </w:numPr>
        <w:spacing w:line="22" w:lineRule="atLeast"/>
        <w:jc w:val="both"/>
        <w:rPr>
          <w:sz w:val="20"/>
          <w:szCs w:val="20"/>
        </w:rPr>
      </w:pPr>
    </w:p>
    <w:p w14:paraId="6F39B598" w14:textId="77777777" w:rsidR="00061162" w:rsidRPr="00A74D23" w:rsidRDefault="00061162" w:rsidP="009D6EE5">
      <w:pPr>
        <w:pStyle w:val="Style5"/>
        <w:numPr>
          <w:ilvl w:val="0"/>
          <w:numId w:val="0"/>
        </w:numPr>
        <w:spacing w:line="22" w:lineRule="atLeast"/>
        <w:jc w:val="both"/>
        <w:rPr>
          <w:sz w:val="20"/>
          <w:szCs w:val="20"/>
        </w:rPr>
      </w:pPr>
      <w:r w:rsidRPr="00A74D23">
        <w:rPr>
          <w:b/>
          <w:bCs/>
          <w:sz w:val="20"/>
          <w:szCs w:val="20"/>
        </w:rPr>
        <w:t>Indicateurs mobilisés (KRI)</w:t>
      </w:r>
    </w:p>
    <w:p w14:paraId="13F88713" w14:textId="13E0E18A" w:rsidR="00061162" w:rsidRPr="00A74D23" w:rsidRDefault="00061162" w:rsidP="009D6EE5">
      <w:pPr>
        <w:pStyle w:val="Style5"/>
        <w:numPr>
          <w:ilvl w:val="0"/>
          <w:numId w:val="0"/>
        </w:numPr>
        <w:spacing w:line="22" w:lineRule="atLeast"/>
        <w:jc w:val="both"/>
        <w:rPr>
          <w:sz w:val="20"/>
          <w:szCs w:val="20"/>
        </w:rPr>
      </w:pPr>
      <w:r w:rsidRPr="00A74D23">
        <w:rPr>
          <w:sz w:val="20"/>
          <w:szCs w:val="20"/>
        </w:rPr>
        <w:t>L’évaluation des risques de transition sur le portefeuille immobilier repose sur plusieurs indicateurs de suivi, parmi lesquels :</w:t>
      </w:r>
    </w:p>
    <w:p w14:paraId="2452D383" w14:textId="3FB7B490" w:rsidR="00061162" w:rsidRPr="00A74D23" w:rsidRDefault="001E39B4" w:rsidP="00590DD1">
      <w:pPr>
        <w:pStyle w:val="Style5"/>
        <w:numPr>
          <w:ilvl w:val="0"/>
          <w:numId w:val="59"/>
        </w:numPr>
        <w:spacing w:line="22" w:lineRule="atLeast"/>
        <w:jc w:val="both"/>
        <w:rPr>
          <w:b/>
          <w:bCs/>
          <w:sz w:val="20"/>
          <w:szCs w:val="20"/>
        </w:rPr>
      </w:pPr>
      <w:r w:rsidRPr="00A74D23">
        <w:rPr>
          <w:b/>
          <w:bCs/>
          <w:sz w:val="20"/>
          <w:szCs w:val="20"/>
        </w:rPr>
        <w:t xml:space="preserve">Intensité carbone et énergétique du portefeuille et </w:t>
      </w:r>
      <w:r w:rsidR="000570E9" w:rsidRPr="00A74D23">
        <w:rPr>
          <w:b/>
          <w:bCs/>
          <w:sz w:val="20"/>
          <w:szCs w:val="20"/>
        </w:rPr>
        <w:t>par acti</w:t>
      </w:r>
      <w:r w:rsidR="009636ED" w:rsidRPr="00A74D23">
        <w:rPr>
          <w:b/>
          <w:bCs/>
          <w:sz w:val="20"/>
          <w:szCs w:val="20"/>
        </w:rPr>
        <w:t>f</w:t>
      </w:r>
    </w:p>
    <w:p w14:paraId="541EFFA0" w14:textId="77777777" w:rsidR="001E39B4" w:rsidRPr="00A74D23" w:rsidRDefault="001E39B4" w:rsidP="009D6EE5">
      <w:pPr>
        <w:pStyle w:val="Style5"/>
        <w:numPr>
          <w:ilvl w:val="0"/>
          <w:numId w:val="0"/>
        </w:numPr>
        <w:spacing w:line="22" w:lineRule="atLeast"/>
        <w:jc w:val="both"/>
        <w:rPr>
          <w:b/>
          <w:bCs/>
          <w:sz w:val="20"/>
          <w:szCs w:val="20"/>
        </w:rPr>
      </w:pPr>
    </w:p>
    <w:p w14:paraId="4510F85D" w14:textId="78CCCD7F" w:rsidR="00924BE6" w:rsidRPr="00A74D23" w:rsidRDefault="001E39B4" w:rsidP="009D6EE5">
      <w:pPr>
        <w:pStyle w:val="Style5"/>
        <w:numPr>
          <w:ilvl w:val="0"/>
          <w:numId w:val="0"/>
        </w:numPr>
        <w:spacing w:line="22" w:lineRule="atLeast"/>
        <w:jc w:val="both"/>
        <w:rPr>
          <w:sz w:val="20"/>
          <w:szCs w:val="20"/>
        </w:rPr>
      </w:pPr>
      <w:r w:rsidRPr="00A74D23">
        <w:rPr>
          <w:sz w:val="20"/>
          <w:szCs w:val="20"/>
        </w:rPr>
        <w:t xml:space="preserve">Les résultats liés à ces indicateurs sont présents dans la partie </w:t>
      </w:r>
      <w:r w:rsidR="005548F1" w:rsidRPr="00A74D23">
        <w:rPr>
          <w:sz w:val="20"/>
          <w:szCs w:val="20"/>
        </w:rPr>
        <w:t>G.</w:t>
      </w:r>
    </w:p>
    <w:p w14:paraId="36A551D5" w14:textId="77777777" w:rsidR="00A72A32" w:rsidRPr="00A74D23" w:rsidRDefault="00A72A32" w:rsidP="009D6EE5">
      <w:pPr>
        <w:pStyle w:val="Style5"/>
        <w:numPr>
          <w:ilvl w:val="0"/>
          <w:numId w:val="0"/>
        </w:numPr>
        <w:spacing w:line="22" w:lineRule="atLeast"/>
        <w:jc w:val="both"/>
        <w:rPr>
          <w:sz w:val="20"/>
          <w:szCs w:val="20"/>
        </w:rPr>
      </w:pPr>
    </w:p>
    <w:p w14:paraId="0275886D" w14:textId="77777777" w:rsidR="00A72A32" w:rsidRPr="00A74D23" w:rsidRDefault="00A72A32" w:rsidP="009D6EE5">
      <w:pPr>
        <w:pStyle w:val="Style5"/>
        <w:numPr>
          <w:ilvl w:val="0"/>
          <w:numId w:val="0"/>
        </w:numPr>
        <w:spacing w:line="22" w:lineRule="atLeast"/>
        <w:jc w:val="both"/>
        <w:rPr>
          <w:sz w:val="20"/>
          <w:szCs w:val="20"/>
        </w:rPr>
      </w:pPr>
    </w:p>
    <w:p w14:paraId="0DD190BA" w14:textId="761DBAE8" w:rsidR="00924BE6" w:rsidRPr="00A74D23" w:rsidRDefault="00924BE6" w:rsidP="00590DD1">
      <w:pPr>
        <w:pStyle w:val="Style5"/>
        <w:numPr>
          <w:ilvl w:val="0"/>
          <w:numId w:val="118"/>
        </w:numPr>
        <w:spacing w:after="0" w:line="22" w:lineRule="atLeast"/>
        <w:jc w:val="both"/>
        <w:rPr>
          <w:b/>
          <w:bCs/>
          <w:sz w:val="28"/>
          <w:szCs w:val="28"/>
        </w:rPr>
      </w:pPr>
      <w:r w:rsidRPr="00A74D23">
        <w:rPr>
          <w:b/>
          <w:bCs/>
          <w:sz w:val="28"/>
          <w:szCs w:val="28"/>
        </w:rPr>
        <w:t>Risques physique</w:t>
      </w:r>
      <w:r w:rsidR="000570E9" w:rsidRPr="00A74D23">
        <w:rPr>
          <w:b/>
          <w:bCs/>
          <w:sz w:val="28"/>
          <w:szCs w:val="28"/>
        </w:rPr>
        <w:t>s</w:t>
      </w:r>
      <w:r w:rsidRPr="00A74D23">
        <w:rPr>
          <w:b/>
          <w:bCs/>
          <w:sz w:val="28"/>
          <w:szCs w:val="28"/>
        </w:rPr>
        <w:t xml:space="preserve"> du changement climatique</w:t>
      </w:r>
    </w:p>
    <w:p w14:paraId="63015BCD" w14:textId="337D4E59" w:rsidR="00D2757A" w:rsidRPr="00A74D23" w:rsidRDefault="00DE5E28" w:rsidP="009D6EE5">
      <w:pPr>
        <w:spacing w:line="22" w:lineRule="atLeast"/>
        <w:jc w:val="both"/>
        <w:rPr>
          <w:rFonts w:asciiTheme="minorHAnsi" w:hAnsiTheme="minorHAnsi"/>
          <w:sz w:val="20"/>
          <w:lang w:val="fr-FR"/>
        </w:rPr>
      </w:pPr>
      <w:r w:rsidRPr="00A74D23">
        <w:rPr>
          <w:rFonts w:asciiTheme="minorHAnsi" w:hAnsiTheme="minorHAnsi"/>
          <w:sz w:val="20"/>
          <w:lang w:val="fr-FR"/>
        </w:rPr>
        <w:t>L’exposition du portefeuille immobilier aux risques physiques du changement climatique dépend de la localisation de chaque actif, du type d’aléa climatique considéré, ainsi que de son intensité et de sa fréquence. La vulnérabilité climatique d’un bâtiment est évaluée à partir d’une analyse croisée de ses usages et de sa sensibilité aux différents aléas identifiés.</w:t>
      </w:r>
    </w:p>
    <w:p w14:paraId="78FDB3EA" w14:textId="77777777" w:rsidR="00DE5E28" w:rsidRPr="00A74D23" w:rsidRDefault="00DE5E28" w:rsidP="009D6EE5">
      <w:pPr>
        <w:spacing w:line="22" w:lineRule="atLeast"/>
        <w:jc w:val="both"/>
        <w:rPr>
          <w:rFonts w:asciiTheme="minorHAnsi" w:hAnsiTheme="minorHAnsi"/>
          <w:sz w:val="20"/>
          <w:lang w:val="fr-FR"/>
        </w:rPr>
      </w:pPr>
    </w:p>
    <w:p w14:paraId="05CF5525" w14:textId="5E1A0A2F" w:rsidR="00DE5E28" w:rsidRPr="00A74D23" w:rsidRDefault="00DE5E28" w:rsidP="009D6EE5">
      <w:pPr>
        <w:pStyle w:val="Style5"/>
        <w:numPr>
          <w:ilvl w:val="0"/>
          <w:numId w:val="0"/>
        </w:numPr>
        <w:spacing w:line="22" w:lineRule="atLeast"/>
        <w:ind w:left="142"/>
        <w:jc w:val="both"/>
        <w:rPr>
          <w:sz w:val="20"/>
          <w:szCs w:val="20"/>
        </w:rPr>
      </w:pPr>
      <w:r w:rsidRPr="00A74D23">
        <w:rPr>
          <w:b/>
          <w:bCs/>
          <w:sz w:val="20"/>
          <w:szCs w:val="20"/>
        </w:rPr>
        <w:t>Indicateurs mobilisés (KRI)</w:t>
      </w:r>
    </w:p>
    <w:p w14:paraId="7E0223E3" w14:textId="491A507F" w:rsidR="00DE5E28" w:rsidRPr="00A74D23" w:rsidRDefault="00DE5E28" w:rsidP="009D6EE5">
      <w:pPr>
        <w:pStyle w:val="Style5"/>
        <w:numPr>
          <w:ilvl w:val="0"/>
          <w:numId w:val="0"/>
        </w:numPr>
        <w:spacing w:line="22" w:lineRule="atLeast"/>
        <w:ind w:left="142"/>
        <w:jc w:val="both"/>
        <w:rPr>
          <w:sz w:val="20"/>
          <w:szCs w:val="20"/>
        </w:rPr>
      </w:pPr>
      <w:r w:rsidRPr="00A74D23">
        <w:rPr>
          <w:sz w:val="20"/>
          <w:szCs w:val="20"/>
        </w:rPr>
        <w:t>L’évaluation des risques biodiversité sur le portefeuille souverains repose sur plusieurs indicateurs de suivi, parmi lesquels :</w:t>
      </w:r>
    </w:p>
    <w:p w14:paraId="2A538849" w14:textId="77777777" w:rsidR="007A66A7" w:rsidRPr="00A74D23" w:rsidRDefault="00BB433F" w:rsidP="00590DD1">
      <w:pPr>
        <w:pStyle w:val="Style5"/>
        <w:numPr>
          <w:ilvl w:val="0"/>
          <w:numId w:val="59"/>
        </w:numPr>
        <w:spacing w:line="22" w:lineRule="atLeast"/>
        <w:jc w:val="both"/>
        <w:rPr>
          <w:b/>
          <w:bCs/>
          <w:sz w:val="20"/>
          <w:szCs w:val="20"/>
        </w:rPr>
      </w:pPr>
      <w:r w:rsidRPr="00A74D23">
        <w:rPr>
          <w:b/>
          <w:bCs/>
          <w:sz w:val="20"/>
          <w:szCs w:val="20"/>
        </w:rPr>
        <w:t xml:space="preserve">Outil </w:t>
      </w:r>
      <w:r w:rsidR="003D5FBF" w:rsidRPr="00A74D23">
        <w:rPr>
          <w:b/>
          <w:bCs/>
          <w:sz w:val="20"/>
          <w:szCs w:val="20"/>
        </w:rPr>
        <w:t>Bat-</w:t>
      </w:r>
      <w:r w:rsidR="0062689D" w:rsidRPr="00A74D23">
        <w:rPr>
          <w:b/>
          <w:bCs/>
          <w:sz w:val="20"/>
          <w:szCs w:val="20"/>
        </w:rPr>
        <w:t>a</w:t>
      </w:r>
      <w:r w:rsidR="003D5FBF" w:rsidRPr="00A74D23">
        <w:rPr>
          <w:b/>
          <w:bCs/>
          <w:sz w:val="20"/>
          <w:szCs w:val="20"/>
        </w:rPr>
        <w:t xml:space="preserve">dapt, </w:t>
      </w:r>
      <w:r w:rsidR="0062689D" w:rsidRPr="00A74D23">
        <w:rPr>
          <w:b/>
          <w:bCs/>
          <w:sz w:val="20"/>
          <w:szCs w:val="20"/>
        </w:rPr>
        <w:t>R4RE</w:t>
      </w:r>
      <w:r w:rsidRPr="00A74D23">
        <w:rPr>
          <w:b/>
          <w:bCs/>
          <w:sz w:val="20"/>
          <w:szCs w:val="20"/>
        </w:rPr>
        <w:t xml:space="preserve"> </w:t>
      </w:r>
      <w:r w:rsidR="0062689D" w:rsidRPr="00A74D23">
        <w:rPr>
          <w:b/>
          <w:bCs/>
          <w:sz w:val="20"/>
          <w:szCs w:val="20"/>
        </w:rPr>
        <w:t xml:space="preserve">- </w:t>
      </w:r>
      <w:r w:rsidRPr="00A74D23">
        <w:rPr>
          <w:b/>
          <w:bCs/>
          <w:sz w:val="20"/>
          <w:szCs w:val="20"/>
        </w:rPr>
        <w:t>Observatoire de l’immobilier durable</w:t>
      </w:r>
    </w:p>
    <w:p w14:paraId="7A8C3319" w14:textId="77777777" w:rsidR="00484D17" w:rsidRPr="00A74D23" w:rsidRDefault="00484D17" w:rsidP="009D6EE5">
      <w:pPr>
        <w:pStyle w:val="Style5"/>
        <w:numPr>
          <w:ilvl w:val="0"/>
          <w:numId w:val="0"/>
        </w:numPr>
        <w:spacing w:line="22" w:lineRule="atLeast"/>
        <w:ind w:left="1440" w:hanging="360"/>
        <w:jc w:val="both"/>
        <w:rPr>
          <w:b/>
          <w:bCs/>
          <w:sz w:val="20"/>
          <w:szCs w:val="20"/>
        </w:rPr>
      </w:pPr>
    </w:p>
    <w:p w14:paraId="770DA580" w14:textId="53F496F3" w:rsidR="00DE5E28" w:rsidRPr="00A74D23" w:rsidRDefault="00DE5E28" w:rsidP="00256E7B">
      <w:pPr>
        <w:pStyle w:val="Style5"/>
        <w:numPr>
          <w:ilvl w:val="0"/>
          <w:numId w:val="0"/>
        </w:numPr>
        <w:spacing w:line="22" w:lineRule="atLeast"/>
        <w:ind w:left="1440" w:hanging="360"/>
        <w:jc w:val="both"/>
        <w:rPr>
          <w:b/>
          <w:bCs/>
          <w:sz w:val="20"/>
          <w:szCs w:val="20"/>
        </w:rPr>
      </w:pPr>
    </w:p>
    <w:p w14:paraId="1CFC52C2" w14:textId="4DBD1FF2" w:rsidR="008E0B72" w:rsidRPr="00A74D23" w:rsidRDefault="00D27516" w:rsidP="009D6EE5">
      <w:pPr>
        <w:spacing w:line="22" w:lineRule="atLeast"/>
        <w:jc w:val="both"/>
        <w:rPr>
          <w:rFonts w:asciiTheme="minorHAnsi" w:hAnsiTheme="minorHAnsi"/>
          <w:sz w:val="20"/>
          <w:lang w:val="fr-FR"/>
        </w:rPr>
      </w:pPr>
      <w:r>
        <w:rPr>
          <w:rFonts w:ascii="Arial" w:hAnsi="Arial"/>
          <w:noProof/>
          <w:sz w:val="20"/>
        </w:rPr>
        <w:drawing>
          <wp:anchor distT="0" distB="0" distL="114300" distR="114300" simplePos="0" relativeHeight="252025856" behindDoc="0" locked="0" layoutInCell="1" allowOverlap="1" wp14:anchorId="7572EA3C" wp14:editId="7E9258B5">
            <wp:simplePos x="0" y="0"/>
            <wp:positionH relativeFrom="column">
              <wp:posOffset>3009900</wp:posOffset>
            </wp:positionH>
            <wp:positionV relativeFrom="paragraph">
              <wp:posOffset>6985</wp:posOffset>
            </wp:positionV>
            <wp:extent cx="3326130" cy="1076325"/>
            <wp:effectExtent l="0" t="0" r="7620" b="9525"/>
            <wp:wrapSquare wrapText="bothSides"/>
            <wp:docPr id="198638908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326130" cy="1076325"/>
                    </a:xfrm>
                    <a:prstGeom prst="rect">
                      <a:avLst/>
                    </a:prstGeom>
                  </pic:spPr>
                </pic:pic>
              </a:graphicData>
            </a:graphic>
            <wp14:sizeRelH relativeFrom="page">
              <wp14:pctWidth>0</wp14:pctWidth>
            </wp14:sizeRelH>
            <wp14:sizeRelV relativeFrom="page">
              <wp14:pctHeight>0</wp14:pctHeight>
            </wp14:sizeRelV>
          </wp:anchor>
        </w:drawing>
      </w:r>
      <w:r w:rsidR="00264490" w:rsidRPr="00A74D23">
        <w:rPr>
          <w:rFonts w:asciiTheme="minorHAnsi" w:hAnsiTheme="minorHAnsi"/>
          <w:sz w:val="20"/>
          <w:lang w:val="fr-FR"/>
        </w:rPr>
        <w:t xml:space="preserve">Nous examinons le risque de chaque aléa (vagues de chaleur, sécheresses et retrait-gonflement des argiles (RGA), précipitations et inondations, feux de forêts, grands froids) à horizon 2050. </w:t>
      </w:r>
      <w:r w:rsidR="008E0B72" w:rsidRPr="00A74D23">
        <w:rPr>
          <w:rFonts w:asciiTheme="minorHAnsi" w:hAnsiTheme="minorHAnsi"/>
          <w:sz w:val="20"/>
          <w:lang w:val="fr-FR"/>
        </w:rPr>
        <w:t>Pour chaque aléa, un niveau d’exposition est défini de 1 à 5, 1 étant peu exposé et 5 étant très exposé. Ce niveau est attribué d’après le tableau suivant.</w:t>
      </w:r>
      <w:r w:rsidR="00484D17" w:rsidRPr="00A74D23">
        <w:rPr>
          <w:rFonts w:asciiTheme="minorHAnsi" w:hAnsiTheme="minorHAnsi"/>
          <w:lang w:val="fr-FR"/>
        </w:rPr>
        <w:t xml:space="preserve"> </w:t>
      </w:r>
      <w:r w:rsidR="00484D17" w:rsidRPr="00A74D23">
        <w:rPr>
          <w:rFonts w:asciiTheme="minorHAnsi" w:hAnsiTheme="minorHAnsi"/>
          <w:sz w:val="20"/>
          <w:lang w:val="fr-FR"/>
        </w:rPr>
        <w:t>Ofi Invest Real Estate a retenu l’horizon temporel 2050 ainsi que le scénario BAU RCP 8.5 du GIEC. Ce choix s’inscrit notamment dans une volonté d’alignement avec la taxonomie européenne, de cohérence avec les politiques climatiques nationales et européennes, et de capacité à intégrer dès aujourd’hui des mesures d’adaptation concrètes et réalistes.</w:t>
      </w:r>
    </w:p>
    <w:p w14:paraId="668290BB" w14:textId="77777777" w:rsidR="008E0B72" w:rsidRPr="00A74D23" w:rsidRDefault="008E0B72" w:rsidP="009D6EE5">
      <w:pPr>
        <w:spacing w:line="22" w:lineRule="atLeast"/>
        <w:jc w:val="both"/>
        <w:rPr>
          <w:rFonts w:asciiTheme="minorHAnsi" w:hAnsiTheme="minorHAnsi"/>
          <w:sz w:val="20"/>
          <w:lang w:val="fr-FR"/>
        </w:rPr>
      </w:pPr>
    </w:p>
    <w:p w14:paraId="586A1FBA" w14:textId="73ECE815" w:rsidR="00D2757A" w:rsidRPr="00A74D23" w:rsidRDefault="00D2757A" w:rsidP="009D6EE5">
      <w:pPr>
        <w:spacing w:line="22" w:lineRule="atLeast"/>
        <w:jc w:val="both"/>
        <w:rPr>
          <w:rFonts w:asciiTheme="minorHAnsi" w:hAnsiTheme="minorHAnsi"/>
          <w:sz w:val="20"/>
          <w:lang w:val="fr-FR"/>
        </w:rPr>
      </w:pPr>
    </w:p>
    <w:p w14:paraId="24613A32" w14:textId="7E8CAB9F" w:rsidR="00E45E1E" w:rsidRPr="00A74D23" w:rsidRDefault="00BB433F" w:rsidP="00680CAD">
      <w:pPr>
        <w:spacing w:line="22" w:lineRule="atLeast"/>
        <w:jc w:val="both"/>
        <w:rPr>
          <w:rFonts w:asciiTheme="minorHAnsi" w:hAnsiTheme="minorHAnsi"/>
          <w:b/>
          <w:bCs/>
          <w:szCs w:val="28"/>
          <w:lang w:val="fr-FR"/>
        </w:rPr>
      </w:pPr>
      <w:r w:rsidRPr="00A74D23">
        <w:rPr>
          <w:rFonts w:asciiTheme="minorHAnsi" w:hAnsiTheme="minorHAnsi"/>
          <w:b/>
          <w:bCs/>
          <w:szCs w:val="28"/>
          <w:lang w:val="fr-FR"/>
        </w:rPr>
        <w:t xml:space="preserve">Exposition du portefeuille immobilier aux risques physiques, outil </w:t>
      </w:r>
      <w:r w:rsidR="0062689D" w:rsidRPr="00A74D23">
        <w:rPr>
          <w:rFonts w:asciiTheme="minorHAnsi" w:hAnsiTheme="minorHAnsi"/>
          <w:b/>
          <w:bCs/>
          <w:szCs w:val="28"/>
          <w:lang w:val="fr-FR"/>
        </w:rPr>
        <w:t>BAT-adapt</w:t>
      </w:r>
    </w:p>
    <w:p w14:paraId="56DC398A" w14:textId="2442056C" w:rsidR="00E45E1E" w:rsidRPr="00A74D23" w:rsidRDefault="00E45E1E" w:rsidP="009D6EE5">
      <w:pPr>
        <w:spacing w:line="22" w:lineRule="atLeast"/>
        <w:jc w:val="both"/>
        <w:rPr>
          <w:rFonts w:asciiTheme="minorHAnsi" w:hAnsiTheme="minorHAnsi"/>
          <w:sz w:val="20"/>
          <w:lang w:val="fr-FR"/>
        </w:rPr>
      </w:pPr>
    </w:p>
    <w:p w14:paraId="21E2F48E" w14:textId="66BBF21D" w:rsidR="007A66A7" w:rsidRPr="00A74D23" w:rsidRDefault="00AA262A" w:rsidP="009D6EE5">
      <w:pPr>
        <w:spacing w:line="22" w:lineRule="atLeast"/>
        <w:jc w:val="both"/>
        <w:rPr>
          <w:rFonts w:asciiTheme="minorHAnsi" w:hAnsiTheme="minorHAnsi"/>
          <w:sz w:val="20"/>
          <w:lang w:val="fr-FR"/>
        </w:rPr>
      </w:pPr>
      <w:r>
        <w:rPr>
          <w:noProof/>
        </w:rPr>
        <w:drawing>
          <wp:inline distT="0" distB="0" distL="0" distR="0" wp14:anchorId="534432C7" wp14:editId="3D7EAF4C">
            <wp:extent cx="6300470" cy="2971800"/>
            <wp:effectExtent l="0" t="0" r="5080" b="0"/>
            <wp:docPr id="1759235566" name="Graphique 1">
              <a:extLst xmlns:a="http://schemas.openxmlformats.org/drawingml/2006/main">
                <a:ext uri="{FF2B5EF4-FFF2-40B4-BE49-F238E27FC236}">
                  <a16:creationId xmlns:a16="http://schemas.microsoft.com/office/drawing/2014/main" id="{7B9F39A9-12CC-4307-8BAF-68A09236DF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4081CCF7" w14:textId="3F61FE82" w:rsidR="00E45E1E" w:rsidRPr="00A74D23" w:rsidRDefault="00E45E1E" w:rsidP="009D6EE5">
      <w:pPr>
        <w:spacing w:line="22" w:lineRule="atLeast"/>
        <w:jc w:val="both"/>
        <w:rPr>
          <w:rFonts w:asciiTheme="minorHAnsi" w:hAnsiTheme="minorHAnsi"/>
          <w:i/>
          <w:sz w:val="18"/>
          <w:szCs w:val="22"/>
          <w:lang w:val="fr-FR"/>
        </w:rPr>
      </w:pPr>
      <w:r w:rsidRPr="00A74D23">
        <w:rPr>
          <w:rFonts w:asciiTheme="minorHAnsi" w:hAnsiTheme="minorHAnsi"/>
          <w:i/>
          <w:sz w:val="18"/>
          <w:szCs w:val="22"/>
          <w:lang w:val="fr-FR"/>
        </w:rPr>
        <w:t xml:space="preserve">Périmètre : Portefeuille immobilier mandat Abeille </w:t>
      </w:r>
      <w:r w:rsidR="00AA262A">
        <w:rPr>
          <w:rFonts w:asciiTheme="minorHAnsi" w:hAnsiTheme="minorHAnsi"/>
          <w:i/>
          <w:sz w:val="18"/>
          <w:szCs w:val="22"/>
          <w:lang w:val="fr-FR"/>
        </w:rPr>
        <w:t>Retraite Professionnelle</w:t>
      </w:r>
      <w:r w:rsidRPr="00A74D23">
        <w:rPr>
          <w:rFonts w:asciiTheme="minorHAnsi" w:hAnsiTheme="minorHAnsi"/>
          <w:i/>
          <w:sz w:val="18"/>
          <w:szCs w:val="22"/>
          <w:lang w:val="fr-FR"/>
        </w:rPr>
        <w:t xml:space="preserve"> au 31/12/202</w:t>
      </w:r>
      <w:r w:rsidR="00D1368B" w:rsidRPr="00A74D23">
        <w:rPr>
          <w:rFonts w:asciiTheme="minorHAnsi" w:hAnsiTheme="minorHAnsi"/>
          <w:i/>
          <w:sz w:val="18"/>
          <w:szCs w:val="22"/>
          <w:lang w:val="fr-FR"/>
        </w:rPr>
        <w:t>5</w:t>
      </w:r>
    </w:p>
    <w:p w14:paraId="4EA0FA65" w14:textId="77777777" w:rsidR="00E45E1E" w:rsidRPr="00A74D23" w:rsidRDefault="00E45E1E" w:rsidP="009D6EE5">
      <w:pPr>
        <w:spacing w:line="22" w:lineRule="atLeast"/>
        <w:jc w:val="both"/>
        <w:rPr>
          <w:rFonts w:asciiTheme="minorHAnsi" w:hAnsiTheme="minorHAnsi"/>
          <w:i/>
          <w:sz w:val="18"/>
          <w:szCs w:val="22"/>
          <w:lang w:val="fr-FR"/>
        </w:rPr>
      </w:pPr>
      <w:r w:rsidRPr="00A74D23">
        <w:rPr>
          <w:rFonts w:asciiTheme="minorHAnsi" w:hAnsiTheme="minorHAnsi"/>
          <w:i/>
          <w:sz w:val="18"/>
          <w:szCs w:val="22"/>
          <w:lang w:val="fr-FR"/>
        </w:rPr>
        <w:t>Source : R4RE</w:t>
      </w:r>
    </w:p>
    <w:p w14:paraId="663C7275" w14:textId="77777777" w:rsidR="003634F2" w:rsidRPr="00A74D23" w:rsidRDefault="003634F2" w:rsidP="009D6EE5">
      <w:pPr>
        <w:pStyle w:val="Style5"/>
        <w:numPr>
          <w:ilvl w:val="0"/>
          <w:numId w:val="0"/>
        </w:numPr>
        <w:spacing w:line="22" w:lineRule="atLeast"/>
        <w:jc w:val="both"/>
        <w:rPr>
          <w:b/>
          <w:bCs/>
          <w:sz w:val="28"/>
          <w:szCs w:val="28"/>
        </w:rPr>
      </w:pPr>
    </w:p>
    <w:p w14:paraId="6D1B08F2" w14:textId="77777777" w:rsidR="003634F2" w:rsidRPr="00A74D23" w:rsidRDefault="003634F2" w:rsidP="009D6EE5">
      <w:pPr>
        <w:pStyle w:val="Style5"/>
        <w:numPr>
          <w:ilvl w:val="0"/>
          <w:numId w:val="0"/>
        </w:numPr>
        <w:spacing w:line="22" w:lineRule="atLeast"/>
        <w:jc w:val="both"/>
        <w:rPr>
          <w:b/>
          <w:bCs/>
          <w:sz w:val="28"/>
          <w:szCs w:val="28"/>
        </w:rPr>
      </w:pPr>
    </w:p>
    <w:p w14:paraId="620B19D6" w14:textId="0F9B023E" w:rsidR="003634F2" w:rsidRPr="00A74D23" w:rsidRDefault="003634F2" w:rsidP="009D6EE5">
      <w:pPr>
        <w:pStyle w:val="Style5"/>
        <w:numPr>
          <w:ilvl w:val="0"/>
          <w:numId w:val="0"/>
        </w:numPr>
        <w:spacing w:line="22" w:lineRule="atLeast"/>
        <w:jc w:val="both"/>
        <w:rPr>
          <w:b/>
          <w:bCs/>
          <w:sz w:val="28"/>
          <w:szCs w:val="28"/>
        </w:rPr>
      </w:pPr>
      <w:r w:rsidRPr="00A74D23">
        <w:rPr>
          <w:rFonts w:cs="Open Sans"/>
          <w:noProof/>
          <w:sz w:val="20"/>
        </w:rPr>
        <mc:AlternateContent>
          <mc:Choice Requires="wps">
            <w:drawing>
              <wp:anchor distT="0" distB="0" distL="114300" distR="114300" simplePos="0" relativeHeight="251777024" behindDoc="0" locked="0" layoutInCell="1" allowOverlap="1" wp14:anchorId="48B1D0A7" wp14:editId="6F809309">
                <wp:simplePos x="0" y="0"/>
                <wp:positionH relativeFrom="margin">
                  <wp:align>left</wp:align>
                </wp:positionH>
                <wp:positionV relativeFrom="paragraph">
                  <wp:posOffset>172172</wp:posOffset>
                </wp:positionV>
                <wp:extent cx="6061075" cy="3145536"/>
                <wp:effectExtent l="0" t="0" r="0" b="0"/>
                <wp:wrapNone/>
                <wp:docPr id="396958604" name="Rectangle 5"/>
                <wp:cNvGraphicFramePr/>
                <a:graphic xmlns:a="http://schemas.openxmlformats.org/drawingml/2006/main">
                  <a:graphicData uri="http://schemas.microsoft.com/office/word/2010/wordprocessingShape">
                    <wps:wsp>
                      <wps:cNvSpPr/>
                      <wps:spPr>
                        <a:xfrm>
                          <a:off x="0" y="0"/>
                          <a:ext cx="6061075" cy="3145536"/>
                        </a:xfrm>
                        <a:prstGeom prst="rect">
                          <a:avLst/>
                        </a:prstGeom>
                        <a:solidFill>
                          <a:schemeClr val="bg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12A58B" w14:textId="19F49156" w:rsidR="003634F2" w:rsidRDefault="003634F2" w:rsidP="003634F2">
                            <w:pPr>
                              <w:spacing w:line="276" w:lineRule="auto"/>
                              <w:jc w:val="both"/>
                              <w:rPr>
                                <w:rFonts w:asciiTheme="minorHAnsi" w:hAnsiTheme="minorHAnsi" w:cs="Open Sans"/>
                                <w:color w:val="000000" w:themeColor="text1"/>
                                <w:sz w:val="20"/>
                                <w:lang w:val="fr-FR"/>
                              </w:rPr>
                            </w:pPr>
                            <w:r>
                              <w:rPr>
                                <w:rFonts w:asciiTheme="minorHAnsi" w:hAnsiTheme="minorHAnsi" w:cs="Open Sans"/>
                                <w:color w:val="000000" w:themeColor="text1"/>
                                <w:sz w:val="20"/>
                                <w:lang w:val="fr-FR"/>
                              </w:rPr>
                              <w:t xml:space="preserve"> </w:t>
                            </w:r>
                            <w:r w:rsidR="00224049">
                              <w:rPr>
                                <w:b/>
                                <w:bCs/>
                                <w:noProof/>
                                <w:sz w:val="28"/>
                                <w:szCs w:val="28"/>
                              </w:rPr>
                              <w:drawing>
                                <wp:inline distT="0" distB="0" distL="0" distR="0" wp14:anchorId="567856E6" wp14:editId="212A8297">
                                  <wp:extent cx="5865495" cy="2324650"/>
                                  <wp:effectExtent l="0" t="0" r="1905" b="0"/>
                                  <wp:docPr id="3781708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65495" cy="2324650"/>
                                          </a:xfrm>
                                          <a:prstGeom prst="rect">
                                            <a:avLst/>
                                          </a:prstGeom>
                                          <a:noFill/>
                                        </pic:spPr>
                                      </pic:pic>
                                    </a:graphicData>
                                  </a:graphic>
                                </wp:inline>
                              </w:drawing>
                            </w:r>
                          </w:p>
                          <w:p w14:paraId="71658808" w14:textId="17C27B9D" w:rsidR="003634F2" w:rsidRPr="00BB2CA5" w:rsidRDefault="003634F2" w:rsidP="003634F2">
                            <w:pPr>
                              <w:spacing w:line="276" w:lineRule="auto"/>
                              <w:jc w:val="both"/>
                              <w:rPr>
                                <w:rFonts w:asciiTheme="minorHAnsi" w:hAnsiTheme="minorHAnsi" w:cs="Open Sans"/>
                                <w:color w:val="000000" w:themeColor="text1"/>
                                <w:sz w:val="20"/>
                                <w:lang w:val="fr-FR"/>
                              </w:rPr>
                            </w:pPr>
                          </w:p>
                          <w:p w14:paraId="24740AB6" w14:textId="0194E6C7" w:rsidR="00DA0502" w:rsidRPr="00DA0502" w:rsidRDefault="00DA0502" w:rsidP="00DA0502">
                            <w:pPr>
                              <w:jc w:val="both"/>
                              <w:rPr>
                                <w:rFonts w:ascii="Source Sans Pro" w:hAnsi="Source Sans Pro"/>
                                <w:i/>
                                <w:color w:val="000000" w:themeColor="text1"/>
                                <w:sz w:val="18"/>
                                <w:szCs w:val="22"/>
                                <w:lang w:val="fr-FR"/>
                              </w:rPr>
                            </w:pPr>
                            <w:r w:rsidRPr="00DA0502">
                              <w:rPr>
                                <w:rFonts w:ascii="Source Sans Pro" w:hAnsi="Source Sans Pro"/>
                                <w:i/>
                                <w:color w:val="000000" w:themeColor="text1"/>
                                <w:sz w:val="18"/>
                                <w:szCs w:val="22"/>
                                <w:lang w:val="fr-FR"/>
                              </w:rPr>
                              <w:t xml:space="preserve">Périmètre : Portefeuille immobilier </w:t>
                            </w:r>
                            <w:r w:rsidR="006E25A5">
                              <w:rPr>
                                <w:rFonts w:ascii="Source Sans Pro" w:hAnsi="Source Sans Pro"/>
                                <w:i/>
                                <w:color w:val="000000" w:themeColor="text1"/>
                                <w:sz w:val="18"/>
                                <w:szCs w:val="22"/>
                                <w:lang w:val="fr-FR"/>
                              </w:rPr>
                              <w:t>unités de comptes</w:t>
                            </w:r>
                            <w:r w:rsidRPr="00DA0502">
                              <w:rPr>
                                <w:rFonts w:ascii="Source Sans Pro" w:hAnsi="Source Sans Pro"/>
                                <w:i/>
                                <w:color w:val="000000" w:themeColor="text1"/>
                                <w:sz w:val="18"/>
                                <w:szCs w:val="22"/>
                                <w:lang w:val="fr-FR"/>
                              </w:rPr>
                              <w:t xml:space="preserve"> Abeille Assurances au 31/12/2025</w:t>
                            </w:r>
                          </w:p>
                          <w:p w14:paraId="12CBA38A" w14:textId="77777777" w:rsidR="00DA0502" w:rsidRDefault="00DA0502" w:rsidP="00DA0502">
                            <w:pPr>
                              <w:jc w:val="both"/>
                              <w:rPr>
                                <w:rFonts w:ascii="Source Sans Pro" w:hAnsi="Source Sans Pro"/>
                                <w:i/>
                                <w:color w:val="000000" w:themeColor="text1"/>
                                <w:sz w:val="18"/>
                                <w:szCs w:val="22"/>
                                <w:lang w:val="fr-FR"/>
                              </w:rPr>
                            </w:pPr>
                            <w:r w:rsidRPr="00DA0502">
                              <w:rPr>
                                <w:rFonts w:ascii="Source Sans Pro" w:hAnsi="Source Sans Pro"/>
                                <w:i/>
                                <w:color w:val="000000" w:themeColor="text1"/>
                                <w:sz w:val="18"/>
                                <w:szCs w:val="22"/>
                                <w:lang w:val="fr-FR"/>
                              </w:rPr>
                              <w:t>Source : R4RE</w:t>
                            </w:r>
                          </w:p>
                          <w:p w14:paraId="1DC654CF" w14:textId="77777777" w:rsidR="00DA0502" w:rsidRDefault="00DA0502" w:rsidP="00DA0502">
                            <w:pPr>
                              <w:jc w:val="both"/>
                              <w:rPr>
                                <w:rFonts w:ascii="Source Sans Pro" w:hAnsi="Source Sans Pro"/>
                                <w:i/>
                                <w:color w:val="000000" w:themeColor="text1"/>
                                <w:sz w:val="18"/>
                                <w:szCs w:val="22"/>
                                <w:lang w:val="fr-FR"/>
                              </w:rPr>
                            </w:pPr>
                          </w:p>
                          <w:p w14:paraId="73DEAEDF" w14:textId="77777777" w:rsidR="00DA0502" w:rsidRPr="00DA0502" w:rsidRDefault="00DA0502" w:rsidP="00DA0502">
                            <w:pPr>
                              <w:jc w:val="both"/>
                              <w:rPr>
                                <w:rFonts w:ascii="Source Sans Pro" w:hAnsi="Source Sans Pro"/>
                                <w:iCs/>
                                <w:color w:val="000000" w:themeColor="text1"/>
                                <w:sz w:val="18"/>
                                <w:szCs w:val="22"/>
                                <w:lang w:val="fr-FR"/>
                              </w:rPr>
                            </w:pPr>
                          </w:p>
                          <w:p w14:paraId="1740103D" w14:textId="350DC176" w:rsidR="003634F2" w:rsidRDefault="003634F2" w:rsidP="003634F2">
                            <w:pPr>
                              <w:spacing w:line="276" w:lineRule="auto"/>
                              <w:jc w:val="both"/>
                              <w:rPr>
                                <w:rFonts w:asciiTheme="minorHAnsi" w:hAnsiTheme="minorHAnsi" w:cs="Open Sans"/>
                                <w:color w:val="000000" w:themeColor="text1"/>
                                <w:sz w:val="20"/>
                                <w:lang w:val="fr-FR"/>
                              </w:rPr>
                            </w:pPr>
                          </w:p>
                          <w:p w14:paraId="0FBBB3ED" w14:textId="77777777" w:rsidR="003634F2" w:rsidRDefault="003634F2" w:rsidP="003634F2">
                            <w:pPr>
                              <w:spacing w:line="276" w:lineRule="auto"/>
                              <w:jc w:val="both"/>
                              <w:rPr>
                                <w:rFonts w:asciiTheme="minorHAnsi" w:hAnsiTheme="minorHAnsi" w:cs="Open Sans"/>
                                <w:color w:val="000000" w:themeColor="text1"/>
                                <w:sz w:val="20"/>
                                <w:lang w:val="fr-FR"/>
                              </w:rPr>
                            </w:pPr>
                          </w:p>
                          <w:p w14:paraId="2EF254AE" w14:textId="77777777" w:rsidR="003634F2" w:rsidRDefault="003634F2" w:rsidP="003634F2">
                            <w:pPr>
                              <w:spacing w:line="276" w:lineRule="auto"/>
                              <w:jc w:val="both"/>
                              <w:rPr>
                                <w:rFonts w:asciiTheme="minorHAnsi" w:hAnsiTheme="minorHAnsi" w:cs="Open Sans"/>
                                <w:color w:val="000000" w:themeColor="text1"/>
                                <w:sz w:val="20"/>
                                <w:lang w:val="fr-FR"/>
                              </w:rPr>
                            </w:pPr>
                          </w:p>
                          <w:p w14:paraId="21A758ED" w14:textId="77777777" w:rsidR="003634F2" w:rsidRDefault="003634F2" w:rsidP="003634F2">
                            <w:pPr>
                              <w:spacing w:line="276" w:lineRule="auto"/>
                              <w:jc w:val="both"/>
                              <w:rPr>
                                <w:rFonts w:asciiTheme="minorHAnsi" w:hAnsiTheme="minorHAnsi" w:cs="Open Sans"/>
                                <w:color w:val="000000" w:themeColor="text1"/>
                                <w:sz w:val="20"/>
                                <w:lang w:val="fr-FR"/>
                              </w:rPr>
                            </w:pPr>
                          </w:p>
                          <w:p w14:paraId="2C0B3B0A" w14:textId="77777777" w:rsidR="003634F2" w:rsidRPr="00BB2CA5" w:rsidRDefault="003634F2" w:rsidP="003634F2">
                            <w:pPr>
                              <w:spacing w:line="276" w:lineRule="auto"/>
                              <w:jc w:val="both"/>
                              <w:rPr>
                                <w:rFonts w:asciiTheme="minorHAnsi" w:hAnsiTheme="minorHAnsi" w:cs="Open Sans"/>
                                <w:color w:val="000000" w:themeColor="text1"/>
                                <w:sz w:val="20"/>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1D0A7" id="_x0000_s1180" style="position:absolute;left:0;text-align:left;margin-left:0;margin-top:13.55pt;width:477.25pt;height:247.7pt;z-index:251777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" fillcolor="#daeeec [670]" stroked="f" strokeweight="1pt">
                <v:textbox>
                  <w:txbxContent>
                    <w:p w14:paraId="0712A58B" w14:textId="19F49156" w:rsidR="003634F2" w:rsidRDefault="003634F2" w:rsidP="003634F2">
                      <w:pPr>
                        <w:spacing w:line="276" w:lineRule="auto"/>
                        <w:jc w:val="both"/>
                        <w:rPr>
                          <w:rFonts w:asciiTheme="minorHAnsi" w:hAnsiTheme="minorHAnsi" w:cs="Open Sans"/>
                          <w:color w:val="000000" w:themeColor="text1"/>
                          <w:sz w:val="20"/>
                          <w:lang w:val="fr-FR"/>
                        </w:rPr>
                      </w:pPr>
                      <w:r>
                        <w:rPr>
                          <w:rFonts w:asciiTheme="minorHAnsi" w:hAnsiTheme="minorHAnsi" w:cs="Open Sans"/>
                          <w:color w:val="000000" w:themeColor="text1"/>
                          <w:sz w:val="20"/>
                          <w:lang w:val="fr-FR"/>
                        </w:rPr>
                        <w:t xml:space="preserve"> </w:t>
                      </w:r>
                      <w:r w:rsidR="00224049">
                        <w:rPr>
                          <w:b/>
                          <w:bCs/>
                          <w:noProof/>
                          <w:sz w:val="28"/>
                          <w:szCs w:val="28"/>
                        </w:rPr>
                        <w:drawing>
                          <wp:inline distT="0" distB="0" distL="0" distR="0" wp14:anchorId="567856E6" wp14:editId="212A8297">
                            <wp:extent cx="5865495" cy="2324650"/>
                            <wp:effectExtent l="0" t="0" r="1905" b="0"/>
                            <wp:docPr id="3781708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865495" cy="2324650"/>
                                    </a:xfrm>
                                    <a:prstGeom prst="rect">
                                      <a:avLst/>
                                    </a:prstGeom>
                                    <a:noFill/>
                                  </pic:spPr>
                                </pic:pic>
                              </a:graphicData>
                            </a:graphic>
                          </wp:inline>
                        </w:drawing>
                      </w:r>
                    </w:p>
                    <w:p w14:paraId="71658808" w14:textId="17C27B9D" w:rsidR="003634F2" w:rsidRPr="00BB2CA5" w:rsidRDefault="003634F2" w:rsidP="003634F2">
                      <w:pPr>
                        <w:spacing w:line="276" w:lineRule="auto"/>
                        <w:jc w:val="both"/>
                        <w:rPr>
                          <w:rFonts w:asciiTheme="minorHAnsi" w:hAnsiTheme="minorHAnsi" w:cs="Open Sans"/>
                          <w:color w:val="000000" w:themeColor="text1"/>
                          <w:sz w:val="20"/>
                          <w:lang w:val="fr-FR"/>
                        </w:rPr>
                      </w:pPr>
                    </w:p>
                    <w:p w14:paraId="24740AB6" w14:textId="0194E6C7" w:rsidR="00DA0502" w:rsidRPr="00DA0502" w:rsidRDefault="00DA0502" w:rsidP="00DA0502">
                      <w:pPr>
                        <w:jc w:val="both"/>
                        <w:rPr>
                          <w:rFonts w:ascii="Source Sans Pro" w:hAnsi="Source Sans Pro"/>
                          <w:i/>
                          <w:color w:val="000000" w:themeColor="text1"/>
                          <w:sz w:val="18"/>
                          <w:szCs w:val="22"/>
                          <w:lang w:val="fr-FR"/>
                        </w:rPr>
                      </w:pPr>
                      <w:r w:rsidRPr="00DA0502">
                        <w:rPr>
                          <w:rFonts w:ascii="Source Sans Pro" w:hAnsi="Source Sans Pro"/>
                          <w:i/>
                          <w:color w:val="000000" w:themeColor="text1"/>
                          <w:sz w:val="18"/>
                          <w:szCs w:val="22"/>
                          <w:lang w:val="fr-FR"/>
                        </w:rPr>
                        <w:t xml:space="preserve">Périmètre : Portefeuille immobilier </w:t>
                      </w:r>
                      <w:r w:rsidR="006E25A5">
                        <w:rPr>
                          <w:rFonts w:ascii="Source Sans Pro" w:hAnsi="Source Sans Pro"/>
                          <w:i/>
                          <w:color w:val="000000" w:themeColor="text1"/>
                          <w:sz w:val="18"/>
                          <w:szCs w:val="22"/>
                          <w:lang w:val="fr-FR"/>
                        </w:rPr>
                        <w:t>unités de comptes</w:t>
                      </w:r>
                      <w:r w:rsidRPr="00DA0502">
                        <w:rPr>
                          <w:rFonts w:ascii="Source Sans Pro" w:hAnsi="Source Sans Pro"/>
                          <w:i/>
                          <w:color w:val="000000" w:themeColor="text1"/>
                          <w:sz w:val="18"/>
                          <w:szCs w:val="22"/>
                          <w:lang w:val="fr-FR"/>
                        </w:rPr>
                        <w:t xml:space="preserve"> Abeille Assurances au 31/12/2025</w:t>
                      </w:r>
                    </w:p>
                    <w:p w14:paraId="12CBA38A" w14:textId="77777777" w:rsidR="00DA0502" w:rsidRDefault="00DA0502" w:rsidP="00DA0502">
                      <w:pPr>
                        <w:jc w:val="both"/>
                        <w:rPr>
                          <w:rFonts w:ascii="Source Sans Pro" w:hAnsi="Source Sans Pro"/>
                          <w:i/>
                          <w:color w:val="000000" w:themeColor="text1"/>
                          <w:sz w:val="18"/>
                          <w:szCs w:val="22"/>
                          <w:lang w:val="fr-FR"/>
                        </w:rPr>
                      </w:pPr>
                      <w:r w:rsidRPr="00DA0502">
                        <w:rPr>
                          <w:rFonts w:ascii="Source Sans Pro" w:hAnsi="Source Sans Pro"/>
                          <w:i/>
                          <w:color w:val="000000" w:themeColor="text1"/>
                          <w:sz w:val="18"/>
                          <w:szCs w:val="22"/>
                          <w:lang w:val="fr-FR"/>
                        </w:rPr>
                        <w:t>Source : R4RE</w:t>
                      </w:r>
                    </w:p>
                    <w:p w14:paraId="1DC654CF" w14:textId="77777777" w:rsidR="00DA0502" w:rsidRDefault="00DA0502" w:rsidP="00DA0502">
                      <w:pPr>
                        <w:jc w:val="both"/>
                        <w:rPr>
                          <w:rFonts w:ascii="Source Sans Pro" w:hAnsi="Source Sans Pro"/>
                          <w:i/>
                          <w:color w:val="000000" w:themeColor="text1"/>
                          <w:sz w:val="18"/>
                          <w:szCs w:val="22"/>
                          <w:lang w:val="fr-FR"/>
                        </w:rPr>
                      </w:pPr>
                    </w:p>
                    <w:p w14:paraId="73DEAEDF" w14:textId="77777777" w:rsidR="00DA0502" w:rsidRPr="00DA0502" w:rsidRDefault="00DA0502" w:rsidP="00DA0502">
                      <w:pPr>
                        <w:jc w:val="both"/>
                        <w:rPr>
                          <w:rFonts w:ascii="Source Sans Pro" w:hAnsi="Source Sans Pro"/>
                          <w:iCs/>
                          <w:color w:val="000000" w:themeColor="text1"/>
                          <w:sz w:val="18"/>
                          <w:szCs w:val="22"/>
                          <w:lang w:val="fr-FR"/>
                        </w:rPr>
                      </w:pPr>
                    </w:p>
                    <w:p w14:paraId="1740103D" w14:textId="350DC176" w:rsidR="003634F2" w:rsidRDefault="003634F2" w:rsidP="003634F2">
                      <w:pPr>
                        <w:spacing w:line="276" w:lineRule="auto"/>
                        <w:jc w:val="both"/>
                        <w:rPr>
                          <w:rFonts w:asciiTheme="minorHAnsi" w:hAnsiTheme="minorHAnsi" w:cs="Open Sans"/>
                          <w:color w:val="000000" w:themeColor="text1"/>
                          <w:sz w:val="20"/>
                          <w:lang w:val="fr-FR"/>
                        </w:rPr>
                      </w:pPr>
                    </w:p>
                    <w:p w14:paraId="0FBBB3ED" w14:textId="77777777" w:rsidR="003634F2" w:rsidRDefault="003634F2" w:rsidP="003634F2">
                      <w:pPr>
                        <w:spacing w:line="276" w:lineRule="auto"/>
                        <w:jc w:val="both"/>
                        <w:rPr>
                          <w:rFonts w:asciiTheme="minorHAnsi" w:hAnsiTheme="minorHAnsi" w:cs="Open Sans"/>
                          <w:color w:val="000000" w:themeColor="text1"/>
                          <w:sz w:val="20"/>
                          <w:lang w:val="fr-FR"/>
                        </w:rPr>
                      </w:pPr>
                    </w:p>
                    <w:p w14:paraId="2EF254AE" w14:textId="77777777" w:rsidR="003634F2" w:rsidRDefault="003634F2" w:rsidP="003634F2">
                      <w:pPr>
                        <w:spacing w:line="276" w:lineRule="auto"/>
                        <w:jc w:val="both"/>
                        <w:rPr>
                          <w:rFonts w:asciiTheme="minorHAnsi" w:hAnsiTheme="minorHAnsi" w:cs="Open Sans"/>
                          <w:color w:val="000000" w:themeColor="text1"/>
                          <w:sz w:val="20"/>
                          <w:lang w:val="fr-FR"/>
                        </w:rPr>
                      </w:pPr>
                    </w:p>
                    <w:p w14:paraId="21A758ED" w14:textId="77777777" w:rsidR="003634F2" w:rsidRDefault="003634F2" w:rsidP="003634F2">
                      <w:pPr>
                        <w:spacing w:line="276" w:lineRule="auto"/>
                        <w:jc w:val="both"/>
                        <w:rPr>
                          <w:rFonts w:asciiTheme="minorHAnsi" w:hAnsiTheme="minorHAnsi" w:cs="Open Sans"/>
                          <w:color w:val="000000" w:themeColor="text1"/>
                          <w:sz w:val="20"/>
                          <w:lang w:val="fr-FR"/>
                        </w:rPr>
                      </w:pPr>
                    </w:p>
                    <w:p w14:paraId="2C0B3B0A" w14:textId="77777777" w:rsidR="003634F2" w:rsidRPr="00BB2CA5" w:rsidRDefault="003634F2" w:rsidP="003634F2">
                      <w:pPr>
                        <w:spacing w:line="276" w:lineRule="auto"/>
                        <w:jc w:val="both"/>
                        <w:rPr>
                          <w:rFonts w:asciiTheme="minorHAnsi" w:hAnsiTheme="minorHAnsi" w:cs="Open Sans"/>
                          <w:color w:val="000000" w:themeColor="text1"/>
                          <w:sz w:val="20"/>
                          <w:lang w:val="fr-FR"/>
                        </w:rPr>
                      </w:pPr>
                    </w:p>
                  </w:txbxContent>
                </v:textbox>
                <w10:wrap anchorx="margin"/>
              </v:rect>
            </w:pict>
          </mc:Fallback>
        </mc:AlternateContent>
      </w:r>
      <w:r w:rsidRPr="00A74D23">
        <w:rPr>
          <w:rFonts w:cs="Open Sans"/>
          <w:noProof/>
          <w:sz w:val="20"/>
          <w:szCs w:val="20"/>
        </w:rPr>
        <mc:AlternateContent>
          <mc:Choice Requires="wps">
            <w:drawing>
              <wp:anchor distT="0" distB="0" distL="114300" distR="114300" simplePos="0" relativeHeight="251779072" behindDoc="0" locked="0" layoutInCell="1" allowOverlap="1" wp14:anchorId="22269333" wp14:editId="3295BB3A">
                <wp:simplePos x="0" y="0"/>
                <wp:positionH relativeFrom="column">
                  <wp:posOffset>1733550</wp:posOffset>
                </wp:positionH>
                <wp:positionV relativeFrom="paragraph">
                  <wp:posOffset>-635</wp:posOffset>
                </wp:positionV>
                <wp:extent cx="2390775" cy="285750"/>
                <wp:effectExtent l="0" t="0" r="9525" b="0"/>
                <wp:wrapNone/>
                <wp:docPr id="2102748084" name="Rectangle 6"/>
                <wp:cNvGraphicFramePr/>
                <a:graphic xmlns:a="http://schemas.openxmlformats.org/drawingml/2006/main">
                  <a:graphicData uri="http://schemas.microsoft.com/office/word/2010/wordprocessingShape">
                    <wps:wsp>
                      <wps:cNvSpPr/>
                      <wps:spPr>
                        <a:xfrm>
                          <a:off x="0" y="0"/>
                          <a:ext cx="2390775" cy="28575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EB78F" w14:textId="77777777" w:rsidR="003634F2" w:rsidRPr="004D6E4D" w:rsidRDefault="003634F2" w:rsidP="003634F2">
                            <w:pPr>
                              <w:jc w:val="center"/>
                              <w:rPr>
                                <w:rFonts w:asciiTheme="minorHAnsi" w:hAnsiTheme="minorHAnsi"/>
                                <w:b/>
                                <w:bCs/>
                                <w:color w:val="000000" w:themeColor="text1"/>
                                <w:lang w:val="fr-FR"/>
                              </w:rPr>
                            </w:pPr>
                            <w:r w:rsidRPr="004D6E4D">
                              <w:rPr>
                                <w:rFonts w:asciiTheme="minorHAnsi" w:hAnsiTheme="minorHAnsi"/>
                                <w:b/>
                                <w:bCs/>
                                <w:color w:val="000000" w:themeColor="text1"/>
                                <w:lang w:val="fr-FR"/>
                              </w:rPr>
                              <w:t>Et sur les Unités de Compte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269333" id="_x0000_s1181" style="position:absolute;left:0;text-align:left;margin-left:136.5pt;margin-top:-.05pt;width:188.25pt;height:22.5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" fillcolor="#4ca79f [3214]" stroked="f" strokeweight="1pt">
                <v:textbox>
                  <w:txbxContent>
                    <w:p w14:paraId="727EB78F" w14:textId="77777777" w:rsidR="003634F2" w:rsidRPr="004D6E4D" w:rsidRDefault="003634F2" w:rsidP="003634F2">
                      <w:pPr>
                        <w:jc w:val="center"/>
                        <w:rPr>
                          <w:rFonts w:asciiTheme="minorHAnsi" w:hAnsiTheme="minorHAnsi"/>
                          <w:b/>
                          <w:bCs/>
                          <w:color w:val="000000" w:themeColor="text1"/>
                          <w:lang w:val="fr-FR"/>
                        </w:rPr>
                      </w:pPr>
                      <w:r w:rsidRPr="004D6E4D">
                        <w:rPr>
                          <w:rFonts w:asciiTheme="minorHAnsi" w:hAnsiTheme="minorHAnsi"/>
                          <w:b/>
                          <w:bCs/>
                          <w:color w:val="000000" w:themeColor="text1"/>
                          <w:lang w:val="fr-FR"/>
                        </w:rPr>
                        <w:t>Et sur les Unités de Compte ?</w:t>
                      </w:r>
                    </w:p>
                  </w:txbxContent>
                </v:textbox>
              </v:rect>
            </w:pict>
          </mc:Fallback>
        </mc:AlternateContent>
      </w:r>
    </w:p>
    <w:p w14:paraId="793CFD64" w14:textId="77777777" w:rsidR="003634F2" w:rsidRPr="00A74D23" w:rsidRDefault="003634F2" w:rsidP="009D6EE5">
      <w:pPr>
        <w:pStyle w:val="Style5"/>
        <w:numPr>
          <w:ilvl w:val="0"/>
          <w:numId w:val="0"/>
        </w:numPr>
        <w:spacing w:line="22" w:lineRule="atLeast"/>
        <w:jc w:val="both"/>
        <w:rPr>
          <w:b/>
          <w:bCs/>
          <w:sz w:val="28"/>
          <w:szCs w:val="28"/>
        </w:rPr>
      </w:pPr>
    </w:p>
    <w:p w14:paraId="166803D8" w14:textId="77777777" w:rsidR="003634F2" w:rsidRPr="00A74D23" w:rsidRDefault="003634F2" w:rsidP="009D6EE5">
      <w:pPr>
        <w:pStyle w:val="Style5"/>
        <w:numPr>
          <w:ilvl w:val="0"/>
          <w:numId w:val="0"/>
        </w:numPr>
        <w:spacing w:line="22" w:lineRule="atLeast"/>
        <w:jc w:val="both"/>
        <w:rPr>
          <w:b/>
          <w:bCs/>
          <w:sz w:val="28"/>
          <w:szCs w:val="28"/>
        </w:rPr>
      </w:pPr>
    </w:p>
    <w:p w14:paraId="4A22BBA5" w14:textId="77777777" w:rsidR="003634F2" w:rsidRPr="00A74D23" w:rsidRDefault="003634F2" w:rsidP="009D6EE5">
      <w:pPr>
        <w:pStyle w:val="Style5"/>
        <w:numPr>
          <w:ilvl w:val="0"/>
          <w:numId w:val="0"/>
        </w:numPr>
        <w:spacing w:line="22" w:lineRule="atLeast"/>
        <w:jc w:val="both"/>
        <w:rPr>
          <w:b/>
          <w:bCs/>
          <w:sz w:val="28"/>
          <w:szCs w:val="28"/>
        </w:rPr>
      </w:pPr>
    </w:p>
    <w:p w14:paraId="74D9C8C2" w14:textId="77777777" w:rsidR="003634F2" w:rsidRPr="00A74D23" w:rsidRDefault="003634F2" w:rsidP="009D6EE5">
      <w:pPr>
        <w:pStyle w:val="Style5"/>
        <w:numPr>
          <w:ilvl w:val="0"/>
          <w:numId w:val="0"/>
        </w:numPr>
        <w:spacing w:line="22" w:lineRule="atLeast"/>
        <w:jc w:val="both"/>
        <w:rPr>
          <w:b/>
          <w:bCs/>
          <w:sz w:val="28"/>
          <w:szCs w:val="28"/>
        </w:rPr>
      </w:pPr>
    </w:p>
    <w:p w14:paraId="5273D029" w14:textId="77777777" w:rsidR="00680CAD" w:rsidRPr="00A74D23" w:rsidRDefault="00680CAD" w:rsidP="009D6EE5">
      <w:pPr>
        <w:pStyle w:val="Style5"/>
        <w:numPr>
          <w:ilvl w:val="0"/>
          <w:numId w:val="0"/>
        </w:numPr>
        <w:spacing w:line="22" w:lineRule="atLeast"/>
        <w:jc w:val="both"/>
        <w:rPr>
          <w:b/>
          <w:bCs/>
          <w:sz w:val="28"/>
          <w:szCs w:val="28"/>
        </w:rPr>
      </w:pPr>
    </w:p>
    <w:p w14:paraId="326F3AE1" w14:textId="77777777" w:rsidR="00680CAD" w:rsidRPr="00A74D23" w:rsidRDefault="00680CAD" w:rsidP="009D6EE5">
      <w:pPr>
        <w:pStyle w:val="Style5"/>
        <w:numPr>
          <w:ilvl w:val="0"/>
          <w:numId w:val="0"/>
        </w:numPr>
        <w:spacing w:line="22" w:lineRule="atLeast"/>
        <w:jc w:val="both"/>
        <w:rPr>
          <w:b/>
          <w:bCs/>
          <w:sz w:val="28"/>
          <w:szCs w:val="28"/>
        </w:rPr>
      </w:pPr>
    </w:p>
    <w:p w14:paraId="6294AC9B" w14:textId="77777777" w:rsidR="00680CAD" w:rsidRPr="00A74D23" w:rsidRDefault="00680CAD" w:rsidP="009D6EE5">
      <w:pPr>
        <w:pStyle w:val="Style5"/>
        <w:numPr>
          <w:ilvl w:val="0"/>
          <w:numId w:val="0"/>
        </w:numPr>
        <w:spacing w:line="22" w:lineRule="atLeast"/>
        <w:jc w:val="both"/>
        <w:rPr>
          <w:b/>
          <w:bCs/>
          <w:sz w:val="28"/>
          <w:szCs w:val="28"/>
        </w:rPr>
      </w:pPr>
    </w:p>
    <w:p w14:paraId="549F9CA4" w14:textId="77777777" w:rsidR="00680CAD" w:rsidRPr="00A74D23" w:rsidRDefault="00680CAD" w:rsidP="009D6EE5">
      <w:pPr>
        <w:pStyle w:val="Style5"/>
        <w:numPr>
          <w:ilvl w:val="0"/>
          <w:numId w:val="0"/>
        </w:numPr>
        <w:spacing w:line="22" w:lineRule="atLeast"/>
        <w:jc w:val="both"/>
        <w:rPr>
          <w:b/>
          <w:bCs/>
          <w:sz w:val="28"/>
          <w:szCs w:val="28"/>
        </w:rPr>
      </w:pPr>
    </w:p>
    <w:p w14:paraId="33F0520F" w14:textId="77777777" w:rsidR="00680CAD" w:rsidRPr="00A74D23" w:rsidRDefault="00680CAD" w:rsidP="009D6EE5">
      <w:pPr>
        <w:pStyle w:val="Style5"/>
        <w:numPr>
          <w:ilvl w:val="0"/>
          <w:numId w:val="0"/>
        </w:numPr>
        <w:spacing w:line="22" w:lineRule="atLeast"/>
        <w:jc w:val="both"/>
        <w:rPr>
          <w:b/>
          <w:bCs/>
          <w:sz w:val="28"/>
          <w:szCs w:val="28"/>
        </w:rPr>
      </w:pPr>
    </w:p>
    <w:p w14:paraId="0C9EC0ED" w14:textId="77777777" w:rsidR="00680CAD" w:rsidRPr="00A74D23" w:rsidRDefault="00680CAD" w:rsidP="009D6EE5">
      <w:pPr>
        <w:pStyle w:val="Style5"/>
        <w:numPr>
          <w:ilvl w:val="0"/>
          <w:numId w:val="0"/>
        </w:numPr>
        <w:spacing w:line="22" w:lineRule="atLeast"/>
        <w:jc w:val="both"/>
        <w:rPr>
          <w:b/>
          <w:bCs/>
          <w:sz w:val="28"/>
          <w:szCs w:val="28"/>
        </w:rPr>
      </w:pPr>
    </w:p>
    <w:p w14:paraId="7E80A7BA" w14:textId="77777777" w:rsidR="00680CAD" w:rsidRPr="00A74D23" w:rsidRDefault="00680CAD" w:rsidP="009D6EE5">
      <w:pPr>
        <w:pStyle w:val="Style5"/>
        <w:numPr>
          <w:ilvl w:val="0"/>
          <w:numId w:val="0"/>
        </w:numPr>
        <w:spacing w:line="22" w:lineRule="atLeast"/>
        <w:jc w:val="both"/>
        <w:rPr>
          <w:b/>
          <w:bCs/>
          <w:sz w:val="28"/>
          <w:szCs w:val="28"/>
        </w:rPr>
      </w:pPr>
    </w:p>
    <w:p w14:paraId="733D4AB9" w14:textId="77777777" w:rsidR="00680CAD" w:rsidRPr="00A74D23" w:rsidRDefault="00680CAD" w:rsidP="009D6EE5">
      <w:pPr>
        <w:pStyle w:val="Style5"/>
        <w:numPr>
          <w:ilvl w:val="0"/>
          <w:numId w:val="0"/>
        </w:numPr>
        <w:spacing w:line="22" w:lineRule="atLeast"/>
        <w:jc w:val="both"/>
        <w:rPr>
          <w:b/>
          <w:bCs/>
          <w:sz w:val="28"/>
          <w:szCs w:val="28"/>
        </w:rPr>
      </w:pPr>
    </w:p>
    <w:p w14:paraId="73C8CC34" w14:textId="77777777" w:rsidR="00680CAD" w:rsidRPr="00A74D23" w:rsidRDefault="00680CAD" w:rsidP="009D6EE5">
      <w:pPr>
        <w:pStyle w:val="Style5"/>
        <w:numPr>
          <w:ilvl w:val="0"/>
          <w:numId w:val="0"/>
        </w:numPr>
        <w:spacing w:line="22" w:lineRule="atLeast"/>
        <w:jc w:val="both"/>
        <w:rPr>
          <w:b/>
          <w:bCs/>
          <w:sz w:val="28"/>
          <w:szCs w:val="28"/>
        </w:rPr>
      </w:pPr>
    </w:p>
    <w:p w14:paraId="7787F98B" w14:textId="76E08C01" w:rsidR="003634F2" w:rsidRPr="00A74D23" w:rsidRDefault="003634F2" w:rsidP="009D6EE5">
      <w:pPr>
        <w:pStyle w:val="Style5"/>
        <w:numPr>
          <w:ilvl w:val="0"/>
          <w:numId w:val="0"/>
        </w:numPr>
        <w:spacing w:line="22" w:lineRule="atLeast"/>
        <w:jc w:val="both"/>
        <w:rPr>
          <w:b/>
          <w:bCs/>
          <w:sz w:val="28"/>
          <w:szCs w:val="28"/>
        </w:rPr>
      </w:pPr>
    </w:p>
    <w:p w14:paraId="7B95F6FB" w14:textId="3BBC72B3" w:rsidR="003634F2" w:rsidRPr="00A74D23" w:rsidRDefault="009636ED" w:rsidP="009D6EE5">
      <w:pPr>
        <w:pStyle w:val="Style5"/>
        <w:numPr>
          <w:ilvl w:val="0"/>
          <w:numId w:val="0"/>
        </w:numPr>
        <w:spacing w:line="22" w:lineRule="atLeast"/>
        <w:jc w:val="both"/>
        <w:rPr>
          <w:b/>
          <w:bCs/>
          <w:sz w:val="28"/>
          <w:szCs w:val="28"/>
        </w:rPr>
      </w:pPr>
      <w:r w:rsidRPr="00A74D23">
        <w:rPr>
          <w:rFonts w:cs="Open Sans"/>
          <w:noProof/>
          <w:sz w:val="20"/>
        </w:rPr>
        <mc:AlternateContent>
          <mc:Choice Requires="wps">
            <w:drawing>
              <wp:anchor distT="0" distB="0" distL="114300" distR="114300" simplePos="0" relativeHeight="251774976" behindDoc="0" locked="0" layoutInCell="1" allowOverlap="1" wp14:anchorId="1AA44F60" wp14:editId="63D7F937">
                <wp:simplePos x="0" y="0"/>
                <wp:positionH relativeFrom="margin">
                  <wp:posOffset>66490</wp:posOffset>
                </wp:positionH>
                <wp:positionV relativeFrom="paragraph">
                  <wp:posOffset>129568</wp:posOffset>
                </wp:positionV>
                <wp:extent cx="6061075" cy="1060397"/>
                <wp:effectExtent l="0" t="0" r="0" b="6985"/>
                <wp:wrapNone/>
                <wp:docPr id="2021211594" name="Rectangle 5"/>
                <wp:cNvGraphicFramePr/>
                <a:graphic xmlns:a="http://schemas.openxmlformats.org/drawingml/2006/main">
                  <a:graphicData uri="http://schemas.microsoft.com/office/word/2010/wordprocessingShape">
                    <wps:wsp>
                      <wps:cNvSpPr/>
                      <wps:spPr>
                        <a:xfrm>
                          <a:off x="0" y="0"/>
                          <a:ext cx="6061075" cy="106039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E4BA3A" w14:textId="67719D89" w:rsidR="00D1368B" w:rsidRPr="00BB2CA5" w:rsidRDefault="00F10AF2" w:rsidP="00D1368B">
                            <w:pPr>
                              <w:spacing w:line="276" w:lineRule="auto"/>
                              <w:jc w:val="both"/>
                              <w:rPr>
                                <w:rFonts w:asciiTheme="minorHAnsi" w:hAnsiTheme="minorHAnsi" w:cs="Open Sans"/>
                                <w:color w:val="000000" w:themeColor="text1"/>
                                <w:sz w:val="20"/>
                                <w:lang w:val="fr-FR"/>
                              </w:rPr>
                            </w:pPr>
                            <w:r w:rsidRPr="00F10AF2">
                              <w:rPr>
                                <w:rFonts w:asciiTheme="minorHAnsi" w:eastAsiaTheme="minorHAnsi" w:hAnsiTheme="minorHAnsi" w:cstheme="minorBidi"/>
                                <w:b/>
                                <w:bCs/>
                                <w:color w:val="000000" w:themeColor="text1"/>
                                <w:sz w:val="20"/>
                                <w:szCs w:val="20"/>
                                <w:lang w:val="fr-FR"/>
                              </w:rPr>
                              <w:t>L’analyse présentée met en évidence que les principaux risques physiques pesant sur le portefeuille sont, de loin, les vagues de chaleur, suivies des sécheresses ainsi que des précipitations et inondations. À l’inverse, les risques liés aux grands froids et aux feux de forêt apparaissent plus limités, ce qui s’explique par la localisation majoritaire des actifs en Île</w:t>
                            </w:r>
                            <w:r w:rsidRPr="00F10AF2">
                              <w:rPr>
                                <w:rFonts w:ascii="Cambria Math" w:eastAsiaTheme="minorHAnsi" w:hAnsi="Cambria Math" w:cs="Cambria Math"/>
                                <w:b/>
                                <w:bCs/>
                                <w:color w:val="000000" w:themeColor="text1"/>
                                <w:sz w:val="20"/>
                                <w:szCs w:val="20"/>
                                <w:lang w:val="fr-FR"/>
                              </w:rPr>
                              <w:t>‑</w:t>
                            </w:r>
                            <w:r w:rsidRPr="00F10AF2">
                              <w:rPr>
                                <w:rFonts w:asciiTheme="minorHAnsi" w:eastAsiaTheme="minorHAnsi" w:hAnsiTheme="minorHAnsi" w:cstheme="minorBidi"/>
                                <w:b/>
                                <w:bCs/>
                                <w:color w:val="000000" w:themeColor="text1"/>
                                <w:sz w:val="20"/>
                                <w:szCs w:val="20"/>
                                <w:lang w:val="fr-FR"/>
                              </w:rPr>
                              <w:t>de</w:t>
                            </w:r>
                            <w:r w:rsidRPr="00F10AF2">
                              <w:rPr>
                                <w:rFonts w:ascii="Cambria Math" w:eastAsiaTheme="minorHAnsi" w:hAnsi="Cambria Math" w:cs="Cambria Math"/>
                                <w:b/>
                                <w:bCs/>
                                <w:color w:val="000000" w:themeColor="text1"/>
                                <w:sz w:val="20"/>
                                <w:szCs w:val="20"/>
                                <w:lang w:val="fr-FR"/>
                              </w:rPr>
                              <w:t>‑</w:t>
                            </w:r>
                            <w:r w:rsidRPr="00F10AF2">
                              <w:rPr>
                                <w:rFonts w:asciiTheme="minorHAnsi" w:eastAsiaTheme="minorHAnsi" w:hAnsiTheme="minorHAnsi" w:cstheme="minorBidi"/>
                                <w:b/>
                                <w:bCs/>
                                <w:color w:val="000000" w:themeColor="text1"/>
                                <w:sz w:val="20"/>
                                <w:szCs w:val="20"/>
                                <w:lang w:val="fr-FR"/>
                              </w:rPr>
                              <w:t>France et, dans une moindre mesure, aux Pays</w:t>
                            </w:r>
                            <w:r w:rsidRPr="00F10AF2">
                              <w:rPr>
                                <w:rFonts w:ascii="Cambria Math" w:eastAsiaTheme="minorHAnsi" w:hAnsi="Cambria Math" w:cs="Cambria Math"/>
                                <w:b/>
                                <w:bCs/>
                                <w:color w:val="000000" w:themeColor="text1"/>
                                <w:sz w:val="20"/>
                                <w:szCs w:val="20"/>
                                <w:lang w:val="fr-FR"/>
                              </w:rPr>
                              <w:t>‑</w:t>
                            </w:r>
                            <w:r w:rsidRPr="00F10AF2">
                              <w:rPr>
                                <w:rFonts w:asciiTheme="minorHAnsi" w:eastAsiaTheme="minorHAnsi" w:hAnsiTheme="minorHAnsi" w:cstheme="minorBidi"/>
                                <w:b/>
                                <w:bCs/>
                                <w:color w:val="000000" w:themeColor="text1"/>
                                <w:sz w:val="20"/>
                                <w:szCs w:val="20"/>
                                <w:lang w:val="fr-FR"/>
                              </w:rPr>
                              <w:t>Bas et en Allemagne.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A44F60" id="_x0000_s1182" style="position:absolute;left:0;text-align:left;margin-left:5.25pt;margin-top:10.2pt;width:477.25pt;height:83.5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" fillcolor="#ffd400 [3204]" stroked="f" strokeweight="1pt">
                <v:textbox>
                  <w:txbxContent>
                    <w:p w14:paraId="36E4BA3A" w14:textId="67719D89" w:rsidR="00D1368B" w:rsidRPr="00BB2CA5" w:rsidRDefault="00F10AF2" w:rsidP="00D1368B">
                      <w:pPr>
                        <w:spacing w:line="276" w:lineRule="auto"/>
                        <w:jc w:val="both"/>
                        <w:rPr>
                          <w:rFonts w:asciiTheme="minorHAnsi" w:hAnsiTheme="minorHAnsi" w:cs="Open Sans"/>
                          <w:color w:val="000000" w:themeColor="text1"/>
                          <w:sz w:val="20"/>
                          <w:lang w:val="fr-FR"/>
                        </w:rPr>
                      </w:pPr>
                      <w:r w:rsidRPr="00F10AF2">
                        <w:rPr>
                          <w:rFonts w:asciiTheme="minorHAnsi" w:eastAsiaTheme="minorHAnsi" w:hAnsiTheme="minorHAnsi" w:cstheme="minorBidi"/>
                          <w:b/>
                          <w:bCs/>
                          <w:color w:val="000000" w:themeColor="text1"/>
                          <w:sz w:val="20"/>
                          <w:szCs w:val="20"/>
                          <w:lang w:val="fr-FR"/>
                        </w:rPr>
                        <w:t>L’analyse présentée met en évidence que les principaux risques physiques pesant sur le portefeuille sont, de loin, les vagues de chaleur, suivies des sécheresses ainsi que des précipitations et inondations. À l’inverse, les risques liés aux grands froids et aux feux de forêt apparaissent plus limités, ce qui s’explique par la localisation majoritaire des actifs en Île</w:t>
                      </w:r>
                      <w:r w:rsidRPr="00F10AF2">
                        <w:rPr>
                          <w:rFonts w:ascii="Cambria Math" w:eastAsiaTheme="minorHAnsi" w:hAnsi="Cambria Math" w:cs="Cambria Math"/>
                          <w:b/>
                          <w:bCs/>
                          <w:color w:val="000000" w:themeColor="text1"/>
                          <w:sz w:val="20"/>
                          <w:szCs w:val="20"/>
                          <w:lang w:val="fr-FR"/>
                        </w:rPr>
                        <w:t>‑</w:t>
                      </w:r>
                      <w:r w:rsidRPr="00F10AF2">
                        <w:rPr>
                          <w:rFonts w:asciiTheme="minorHAnsi" w:eastAsiaTheme="minorHAnsi" w:hAnsiTheme="minorHAnsi" w:cstheme="minorBidi"/>
                          <w:b/>
                          <w:bCs/>
                          <w:color w:val="000000" w:themeColor="text1"/>
                          <w:sz w:val="20"/>
                          <w:szCs w:val="20"/>
                          <w:lang w:val="fr-FR"/>
                        </w:rPr>
                        <w:t>de</w:t>
                      </w:r>
                      <w:r w:rsidRPr="00F10AF2">
                        <w:rPr>
                          <w:rFonts w:ascii="Cambria Math" w:eastAsiaTheme="minorHAnsi" w:hAnsi="Cambria Math" w:cs="Cambria Math"/>
                          <w:b/>
                          <w:bCs/>
                          <w:color w:val="000000" w:themeColor="text1"/>
                          <w:sz w:val="20"/>
                          <w:szCs w:val="20"/>
                          <w:lang w:val="fr-FR"/>
                        </w:rPr>
                        <w:t>‑</w:t>
                      </w:r>
                      <w:r w:rsidRPr="00F10AF2">
                        <w:rPr>
                          <w:rFonts w:asciiTheme="minorHAnsi" w:eastAsiaTheme="minorHAnsi" w:hAnsiTheme="minorHAnsi" w:cstheme="minorBidi"/>
                          <w:b/>
                          <w:bCs/>
                          <w:color w:val="000000" w:themeColor="text1"/>
                          <w:sz w:val="20"/>
                          <w:szCs w:val="20"/>
                          <w:lang w:val="fr-FR"/>
                        </w:rPr>
                        <w:t>France et, dans une moindre mesure, aux Pays</w:t>
                      </w:r>
                      <w:r w:rsidRPr="00F10AF2">
                        <w:rPr>
                          <w:rFonts w:ascii="Cambria Math" w:eastAsiaTheme="minorHAnsi" w:hAnsi="Cambria Math" w:cs="Cambria Math"/>
                          <w:b/>
                          <w:bCs/>
                          <w:color w:val="000000" w:themeColor="text1"/>
                          <w:sz w:val="20"/>
                          <w:szCs w:val="20"/>
                          <w:lang w:val="fr-FR"/>
                        </w:rPr>
                        <w:t>‑</w:t>
                      </w:r>
                      <w:r w:rsidRPr="00F10AF2">
                        <w:rPr>
                          <w:rFonts w:asciiTheme="minorHAnsi" w:eastAsiaTheme="minorHAnsi" w:hAnsiTheme="minorHAnsi" w:cstheme="minorBidi"/>
                          <w:b/>
                          <w:bCs/>
                          <w:color w:val="000000" w:themeColor="text1"/>
                          <w:sz w:val="20"/>
                          <w:szCs w:val="20"/>
                          <w:lang w:val="fr-FR"/>
                        </w:rPr>
                        <w:t>Bas et en Allemagne.</w:t>
                      </w:r>
                    </w:p>
                  </w:txbxContent>
                </v:textbox>
                <w10:wrap anchorx="margin"/>
              </v:rect>
            </w:pict>
          </mc:Fallback>
        </mc:AlternateContent>
      </w:r>
    </w:p>
    <w:p w14:paraId="48400143" w14:textId="271F9B07" w:rsidR="003634F2" w:rsidRPr="00A74D23" w:rsidRDefault="003634F2" w:rsidP="009D6EE5">
      <w:pPr>
        <w:pStyle w:val="Style5"/>
        <w:numPr>
          <w:ilvl w:val="0"/>
          <w:numId w:val="0"/>
        </w:numPr>
        <w:spacing w:line="22" w:lineRule="atLeast"/>
        <w:jc w:val="both"/>
        <w:rPr>
          <w:b/>
          <w:bCs/>
          <w:sz w:val="28"/>
          <w:szCs w:val="28"/>
        </w:rPr>
      </w:pPr>
    </w:p>
    <w:p w14:paraId="1287EFE5" w14:textId="04E4E857" w:rsidR="003634F2" w:rsidRPr="00A74D23" w:rsidRDefault="003634F2" w:rsidP="009D6EE5">
      <w:pPr>
        <w:pStyle w:val="Style5"/>
        <w:numPr>
          <w:ilvl w:val="0"/>
          <w:numId w:val="0"/>
        </w:numPr>
        <w:spacing w:line="22" w:lineRule="atLeast"/>
        <w:jc w:val="both"/>
        <w:rPr>
          <w:b/>
          <w:bCs/>
          <w:sz w:val="28"/>
          <w:szCs w:val="28"/>
        </w:rPr>
      </w:pPr>
    </w:p>
    <w:p w14:paraId="2F81E6F9" w14:textId="0115FE1D" w:rsidR="003634F2" w:rsidRPr="00A74D23" w:rsidRDefault="003634F2" w:rsidP="009D6EE5">
      <w:pPr>
        <w:pStyle w:val="Style5"/>
        <w:numPr>
          <w:ilvl w:val="0"/>
          <w:numId w:val="0"/>
        </w:numPr>
        <w:spacing w:line="22" w:lineRule="atLeast"/>
        <w:jc w:val="both"/>
        <w:rPr>
          <w:b/>
          <w:bCs/>
          <w:sz w:val="28"/>
          <w:szCs w:val="28"/>
        </w:rPr>
      </w:pPr>
    </w:p>
    <w:p w14:paraId="3D3C2311" w14:textId="46586BDE" w:rsidR="003634F2" w:rsidRPr="00A74D23" w:rsidRDefault="003634F2" w:rsidP="009D6EE5">
      <w:pPr>
        <w:pStyle w:val="Style5"/>
        <w:numPr>
          <w:ilvl w:val="0"/>
          <w:numId w:val="0"/>
        </w:numPr>
        <w:spacing w:line="22" w:lineRule="atLeast"/>
        <w:jc w:val="both"/>
        <w:rPr>
          <w:b/>
          <w:bCs/>
          <w:sz w:val="28"/>
          <w:szCs w:val="28"/>
        </w:rPr>
      </w:pPr>
    </w:p>
    <w:p w14:paraId="4CFAF51A" w14:textId="77777777" w:rsidR="003634F2" w:rsidRPr="00A74D23" w:rsidRDefault="003634F2" w:rsidP="009D6EE5">
      <w:pPr>
        <w:pStyle w:val="Style5"/>
        <w:numPr>
          <w:ilvl w:val="0"/>
          <w:numId w:val="0"/>
        </w:numPr>
        <w:spacing w:line="22" w:lineRule="atLeast"/>
        <w:jc w:val="both"/>
        <w:rPr>
          <w:b/>
          <w:bCs/>
          <w:sz w:val="28"/>
          <w:szCs w:val="28"/>
        </w:rPr>
      </w:pPr>
    </w:p>
    <w:p w14:paraId="2F61EFEA" w14:textId="77777777" w:rsidR="003634F2" w:rsidRPr="00A74D23" w:rsidRDefault="003634F2" w:rsidP="009D6EE5">
      <w:pPr>
        <w:pStyle w:val="Style5"/>
        <w:numPr>
          <w:ilvl w:val="0"/>
          <w:numId w:val="0"/>
        </w:numPr>
        <w:spacing w:line="22" w:lineRule="atLeast"/>
        <w:jc w:val="both"/>
        <w:rPr>
          <w:b/>
          <w:bCs/>
          <w:sz w:val="28"/>
          <w:szCs w:val="28"/>
        </w:rPr>
      </w:pPr>
    </w:p>
    <w:p w14:paraId="0D6FF3B2" w14:textId="794EDE53" w:rsidR="00680CAD" w:rsidRPr="00A74D23" w:rsidRDefault="005640AC" w:rsidP="009D6EE5">
      <w:pPr>
        <w:pStyle w:val="Style5"/>
        <w:numPr>
          <w:ilvl w:val="0"/>
          <w:numId w:val="0"/>
        </w:numPr>
        <w:spacing w:line="22" w:lineRule="atLeast"/>
        <w:jc w:val="both"/>
        <w:rPr>
          <w:b/>
          <w:bCs/>
          <w:sz w:val="24"/>
          <w:szCs w:val="24"/>
        </w:rPr>
      </w:pPr>
      <w:r w:rsidRPr="00A74D23">
        <w:rPr>
          <w:b/>
          <w:bCs/>
          <w:sz w:val="24"/>
          <w:szCs w:val="24"/>
        </w:rPr>
        <w:t xml:space="preserve">Le développement d’un nouvel outil de résilience climatique en 2025 </w:t>
      </w:r>
    </w:p>
    <w:p w14:paraId="5B52915C" w14:textId="77777777" w:rsidR="00A36A67" w:rsidRPr="001C2C36" w:rsidRDefault="00890AF9" w:rsidP="00A36A67">
      <w:pPr>
        <w:pStyle w:val="Paragraphedeliste"/>
        <w:spacing w:after="120"/>
        <w:ind w:left="0"/>
        <w:contextualSpacing w:val="0"/>
        <w:jc w:val="both"/>
        <w:rPr>
          <w:rFonts w:ascii="Source Sans Pro" w:hAnsi="Source Sans Pro" w:cs="Calibri"/>
          <w:color w:val="000000"/>
          <w:sz w:val="20"/>
          <w:szCs w:val="20"/>
          <w:highlight w:val="magenta"/>
          <w:lang w:eastAsia="fr-FR"/>
        </w:rPr>
      </w:pPr>
      <w:r w:rsidRPr="00A74D23">
        <w:rPr>
          <w:sz w:val="20"/>
          <w:szCs w:val="20"/>
        </w:rPr>
        <w:t xml:space="preserve">En 2025, Ofi Invest RE a développé un nouvel outil structurant de pilotage des risques physiques climatiques, marquant une étape majeure dans sa stratégie de résilience immobilière. L’approche repose, pour chaque actif, sur la </w:t>
      </w:r>
      <w:r w:rsidRPr="00A74D23">
        <w:rPr>
          <w:b/>
          <w:bCs/>
          <w:sz w:val="20"/>
          <w:szCs w:val="20"/>
        </w:rPr>
        <w:t>production d’un score de risque</w:t>
      </w:r>
      <w:r w:rsidRPr="00A74D23">
        <w:rPr>
          <w:sz w:val="20"/>
          <w:szCs w:val="20"/>
        </w:rPr>
        <w:t xml:space="preserve"> fondé sur la méthodologie Bat</w:t>
      </w:r>
      <w:r w:rsidRPr="00A74D23">
        <w:rPr>
          <w:rFonts w:ascii="Cambria Math" w:hAnsi="Cambria Math" w:cs="Cambria Math"/>
          <w:sz w:val="20"/>
          <w:szCs w:val="20"/>
        </w:rPr>
        <w:t>‑</w:t>
      </w:r>
      <w:r w:rsidRPr="00A74D23">
        <w:rPr>
          <w:sz w:val="20"/>
          <w:szCs w:val="20"/>
        </w:rPr>
        <w:t>ADAPT via la plateforme R4RE, issue du croisement entre l</w:t>
      </w:r>
      <w:r w:rsidRPr="00A74D23">
        <w:rPr>
          <w:rFonts w:cs="Source Sans Pro"/>
          <w:sz w:val="20"/>
          <w:szCs w:val="20"/>
        </w:rPr>
        <w:t>’</w:t>
      </w:r>
      <w:r w:rsidRPr="00A74D23">
        <w:rPr>
          <w:sz w:val="20"/>
          <w:szCs w:val="20"/>
        </w:rPr>
        <w:t>exposition aux al</w:t>
      </w:r>
      <w:r w:rsidRPr="00A74D23">
        <w:rPr>
          <w:rFonts w:cs="Source Sans Pro"/>
          <w:sz w:val="20"/>
          <w:szCs w:val="20"/>
        </w:rPr>
        <w:t>é</w:t>
      </w:r>
      <w:r w:rsidRPr="00A74D23">
        <w:rPr>
          <w:sz w:val="20"/>
          <w:szCs w:val="20"/>
        </w:rPr>
        <w:t>as climatiques et la vuln</w:t>
      </w:r>
      <w:r w:rsidRPr="00A74D23">
        <w:rPr>
          <w:rFonts w:cs="Source Sans Pro"/>
          <w:sz w:val="20"/>
          <w:szCs w:val="20"/>
        </w:rPr>
        <w:t>é</w:t>
      </w:r>
      <w:r w:rsidRPr="00A74D23">
        <w:rPr>
          <w:sz w:val="20"/>
          <w:szCs w:val="20"/>
        </w:rPr>
        <w:t>rabilit</w:t>
      </w:r>
      <w:r w:rsidRPr="00A74D23">
        <w:rPr>
          <w:rFonts w:cs="Source Sans Pro"/>
          <w:sz w:val="20"/>
          <w:szCs w:val="20"/>
        </w:rPr>
        <w:t>é</w:t>
      </w:r>
      <w:r w:rsidRPr="00A74D23">
        <w:rPr>
          <w:sz w:val="20"/>
          <w:szCs w:val="20"/>
        </w:rPr>
        <w:t xml:space="preserve"> intrins</w:t>
      </w:r>
      <w:r w:rsidRPr="00A74D23">
        <w:rPr>
          <w:rFonts w:cs="Source Sans Pro"/>
          <w:sz w:val="20"/>
          <w:szCs w:val="20"/>
        </w:rPr>
        <w:t>è</w:t>
      </w:r>
      <w:r w:rsidRPr="00A74D23">
        <w:rPr>
          <w:sz w:val="20"/>
          <w:szCs w:val="20"/>
        </w:rPr>
        <w:t>que du b</w:t>
      </w:r>
      <w:r w:rsidRPr="00A74D23">
        <w:rPr>
          <w:rFonts w:cs="Source Sans Pro"/>
          <w:sz w:val="20"/>
          <w:szCs w:val="20"/>
        </w:rPr>
        <w:t>â</w:t>
      </w:r>
      <w:r w:rsidRPr="00A74D23">
        <w:rPr>
          <w:sz w:val="20"/>
          <w:szCs w:val="20"/>
        </w:rPr>
        <w:t xml:space="preserve">timent. Ces scores permettent ensuite une </w:t>
      </w:r>
      <w:r w:rsidRPr="00A74D23">
        <w:rPr>
          <w:b/>
          <w:bCs/>
          <w:sz w:val="20"/>
          <w:szCs w:val="20"/>
        </w:rPr>
        <w:t>hi</w:t>
      </w:r>
      <w:r w:rsidRPr="00A74D23">
        <w:rPr>
          <w:rFonts w:cs="Source Sans Pro"/>
          <w:b/>
          <w:bCs/>
          <w:sz w:val="20"/>
          <w:szCs w:val="20"/>
        </w:rPr>
        <w:t>é</w:t>
      </w:r>
      <w:r w:rsidRPr="00A74D23">
        <w:rPr>
          <w:b/>
          <w:bCs/>
          <w:sz w:val="20"/>
          <w:szCs w:val="20"/>
        </w:rPr>
        <w:t xml:space="preserve">rarchisation des actifs </w:t>
      </w:r>
      <w:r w:rsidRPr="00A74D23">
        <w:rPr>
          <w:rFonts w:cs="Source Sans Pro"/>
          <w:b/>
          <w:bCs/>
          <w:sz w:val="20"/>
          <w:szCs w:val="20"/>
        </w:rPr>
        <w:t>à</w:t>
      </w:r>
      <w:r w:rsidRPr="00A74D23">
        <w:rPr>
          <w:b/>
          <w:bCs/>
          <w:sz w:val="20"/>
          <w:szCs w:val="20"/>
        </w:rPr>
        <w:t xml:space="preserve"> l</w:t>
      </w:r>
      <w:r w:rsidRPr="00A74D23">
        <w:rPr>
          <w:rFonts w:cs="Source Sans Pro"/>
          <w:b/>
          <w:bCs/>
          <w:sz w:val="20"/>
          <w:szCs w:val="20"/>
        </w:rPr>
        <w:t>’é</w:t>
      </w:r>
      <w:r w:rsidRPr="00A74D23">
        <w:rPr>
          <w:b/>
          <w:bCs/>
          <w:sz w:val="20"/>
          <w:szCs w:val="20"/>
        </w:rPr>
        <w:t>chelle du portefeuille</w:t>
      </w:r>
      <w:r w:rsidRPr="00A74D23">
        <w:rPr>
          <w:sz w:val="20"/>
          <w:szCs w:val="20"/>
        </w:rPr>
        <w:t xml:space="preserve"> afin d’identifier les priorités d’intervention. Sur cette base, des </w:t>
      </w:r>
      <w:r w:rsidRPr="00A74D23">
        <w:rPr>
          <w:b/>
          <w:bCs/>
          <w:sz w:val="20"/>
          <w:szCs w:val="20"/>
        </w:rPr>
        <w:t>plans d’adaptation standardisés sont construits</w:t>
      </w:r>
      <w:r w:rsidRPr="00A74D23">
        <w:rPr>
          <w:sz w:val="20"/>
          <w:szCs w:val="20"/>
        </w:rPr>
        <w:t xml:space="preserve"> par actif pour les aléas présentant des niveaux de risque élevés. L’outil permet enfin le suivi </w:t>
      </w:r>
      <w:r w:rsidRPr="00A74D23">
        <w:rPr>
          <w:b/>
          <w:bCs/>
          <w:sz w:val="20"/>
          <w:szCs w:val="20"/>
        </w:rPr>
        <w:t>opérationnel de la mise en œuvre</w:t>
      </w:r>
      <w:r w:rsidRPr="00A74D23">
        <w:rPr>
          <w:sz w:val="20"/>
          <w:szCs w:val="20"/>
        </w:rPr>
        <w:t xml:space="preserve"> des actions d’adaptation et de leur avancement dans le temps</w:t>
      </w:r>
      <w:r w:rsidRPr="00A36A67">
        <w:rPr>
          <w:sz w:val="20"/>
          <w:szCs w:val="20"/>
        </w:rPr>
        <w:t>.</w:t>
      </w:r>
      <w:r w:rsidR="00A36A67" w:rsidRPr="00A36A67">
        <w:rPr>
          <w:sz w:val="20"/>
          <w:szCs w:val="20"/>
        </w:rPr>
        <w:t xml:space="preserve"> </w:t>
      </w:r>
      <w:r w:rsidR="00A36A67" w:rsidRPr="00A36A67">
        <w:rPr>
          <w:rFonts w:ascii="Source Sans Pro" w:hAnsi="Source Sans Pro" w:cs="Calibri"/>
          <w:color w:val="000000"/>
          <w:sz w:val="20"/>
          <w:szCs w:val="20"/>
          <w:lang w:eastAsia="fr-FR"/>
        </w:rPr>
        <w:t>En 2026, un changement majeur de méthodologie est prévu. Une nouvelle stratégie de prise en compte des risques physiques sera déployée, ce qui modifiera les résultats d’évaluation par l’affichage d’un score de risque unique par actif et permettra de couvrir l’ensemble du patrimoine avec une analyse de vulnérabilité. Cela permettra également d’obtenir des plans d’actions adaptés aux aléa identifiés, qui seront complétés par les équipes opérationnelles afin d’identifier les actions pertinentes à implémenter aux prochains budgets.</w:t>
      </w:r>
    </w:p>
    <w:p w14:paraId="2E0900B9" w14:textId="099F6ED6" w:rsidR="00DA0502" w:rsidRPr="00A74D23" w:rsidRDefault="00DA0502" w:rsidP="009D6EE5">
      <w:pPr>
        <w:pStyle w:val="Style5"/>
        <w:numPr>
          <w:ilvl w:val="0"/>
          <w:numId w:val="0"/>
        </w:numPr>
        <w:spacing w:line="22" w:lineRule="atLeast"/>
        <w:jc w:val="both"/>
        <w:rPr>
          <w:sz w:val="20"/>
          <w:szCs w:val="20"/>
        </w:rPr>
      </w:pPr>
    </w:p>
    <w:p w14:paraId="56880499" w14:textId="77777777" w:rsidR="001171C8" w:rsidRDefault="001171C8" w:rsidP="009D6EE5">
      <w:pPr>
        <w:pStyle w:val="Style5"/>
        <w:numPr>
          <w:ilvl w:val="0"/>
          <w:numId w:val="0"/>
        </w:numPr>
        <w:spacing w:line="22" w:lineRule="atLeast"/>
        <w:jc w:val="both"/>
        <w:rPr>
          <w:b/>
          <w:bCs/>
          <w:sz w:val="28"/>
          <w:szCs w:val="28"/>
        </w:rPr>
      </w:pPr>
    </w:p>
    <w:p w14:paraId="3EEB98F0" w14:textId="77777777" w:rsidR="002A2CDA" w:rsidRDefault="002A2CDA" w:rsidP="009D6EE5">
      <w:pPr>
        <w:pStyle w:val="Style5"/>
        <w:numPr>
          <w:ilvl w:val="0"/>
          <w:numId w:val="0"/>
        </w:numPr>
        <w:spacing w:line="22" w:lineRule="atLeast"/>
        <w:jc w:val="both"/>
        <w:rPr>
          <w:b/>
          <w:bCs/>
          <w:sz w:val="28"/>
          <w:szCs w:val="28"/>
        </w:rPr>
      </w:pPr>
    </w:p>
    <w:p w14:paraId="66E57223" w14:textId="77777777" w:rsidR="002A2CDA" w:rsidRPr="00A74D23" w:rsidRDefault="002A2CDA" w:rsidP="009D6EE5">
      <w:pPr>
        <w:pStyle w:val="Style5"/>
        <w:numPr>
          <w:ilvl w:val="0"/>
          <w:numId w:val="0"/>
        </w:numPr>
        <w:spacing w:line="22" w:lineRule="atLeast"/>
        <w:jc w:val="both"/>
        <w:rPr>
          <w:b/>
          <w:bCs/>
          <w:sz w:val="28"/>
          <w:szCs w:val="28"/>
        </w:rPr>
      </w:pPr>
    </w:p>
    <w:p w14:paraId="3D5C881A" w14:textId="76B7E6ED" w:rsidR="00320B60" w:rsidRPr="00A74D23" w:rsidRDefault="00320B60" w:rsidP="00590DD1">
      <w:pPr>
        <w:pStyle w:val="Style5"/>
        <w:numPr>
          <w:ilvl w:val="2"/>
          <w:numId w:val="67"/>
        </w:numPr>
        <w:spacing w:line="22" w:lineRule="atLeast"/>
        <w:jc w:val="both"/>
        <w:rPr>
          <w:i/>
          <w:iCs/>
          <w:color w:val="8A2C24" w:themeColor="accent2"/>
          <w:sz w:val="28"/>
          <w:szCs w:val="28"/>
        </w:rPr>
      </w:pPr>
      <w:r w:rsidRPr="00A74D23">
        <w:rPr>
          <w:i/>
          <w:iCs/>
          <w:color w:val="8A2C24" w:themeColor="accent2"/>
          <w:sz w:val="28"/>
          <w:szCs w:val="28"/>
        </w:rPr>
        <w:t>Les risques liés à la perte de biodiversité</w:t>
      </w:r>
    </w:p>
    <w:p w14:paraId="729C9CBE" w14:textId="77777777" w:rsidR="00320B60" w:rsidRPr="00A74D23" w:rsidRDefault="00320B60" w:rsidP="009D6EE5">
      <w:pPr>
        <w:spacing w:line="22" w:lineRule="atLeast"/>
        <w:jc w:val="both"/>
        <w:rPr>
          <w:rFonts w:asciiTheme="minorHAnsi" w:hAnsiTheme="minorHAnsi"/>
          <w:sz w:val="20"/>
          <w:szCs w:val="20"/>
          <w:lang w:val="fr-FR"/>
        </w:rPr>
      </w:pPr>
    </w:p>
    <w:p w14:paraId="20CEEFCD" w14:textId="42F2AB26" w:rsidR="0012669C" w:rsidRPr="00A74D23" w:rsidRDefault="00FF398F" w:rsidP="009D6EE5">
      <w:pPr>
        <w:spacing w:line="22" w:lineRule="atLeast"/>
        <w:jc w:val="both"/>
        <w:rPr>
          <w:rFonts w:asciiTheme="minorHAnsi" w:hAnsiTheme="minorHAnsi"/>
          <w:sz w:val="20"/>
          <w:szCs w:val="20"/>
          <w:lang w:val="fr-FR"/>
        </w:rPr>
      </w:pPr>
      <w:r w:rsidRPr="00A74D23">
        <w:rPr>
          <w:rFonts w:asciiTheme="minorHAnsi" w:hAnsiTheme="minorHAnsi"/>
          <w:sz w:val="20"/>
          <w:szCs w:val="20"/>
          <w:lang w:val="fr-FR"/>
        </w:rPr>
        <w:t xml:space="preserve">Le secteur immobilier est exposé aux risques de perte de biodiversité à la fois </w:t>
      </w:r>
      <w:r w:rsidR="00724DA0" w:rsidRPr="00A74D23">
        <w:rPr>
          <w:rFonts w:asciiTheme="minorHAnsi" w:hAnsiTheme="minorHAnsi"/>
          <w:sz w:val="20"/>
          <w:szCs w:val="20"/>
          <w:lang w:val="fr-FR"/>
        </w:rPr>
        <w:t>lors</w:t>
      </w:r>
      <w:r w:rsidRPr="00A74D23">
        <w:rPr>
          <w:rFonts w:asciiTheme="minorHAnsi" w:hAnsiTheme="minorHAnsi"/>
          <w:sz w:val="20"/>
          <w:szCs w:val="20"/>
          <w:lang w:val="fr-FR"/>
        </w:rPr>
        <w:t xml:space="preserve"> : </w:t>
      </w:r>
    </w:p>
    <w:p w14:paraId="5DA53EE3" w14:textId="77777777" w:rsidR="00730436" w:rsidRPr="00A74D23" w:rsidRDefault="0012669C" w:rsidP="00590DD1">
      <w:pPr>
        <w:pStyle w:val="Paragraphedeliste"/>
        <w:numPr>
          <w:ilvl w:val="3"/>
          <w:numId w:val="119"/>
        </w:numPr>
        <w:spacing w:line="22" w:lineRule="atLeast"/>
        <w:jc w:val="both"/>
        <w:rPr>
          <w:b/>
          <w:bCs/>
          <w:sz w:val="20"/>
          <w:szCs w:val="20"/>
        </w:rPr>
      </w:pPr>
      <w:r w:rsidRPr="00A74D23">
        <w:rPr>
          <w:b/>
          <w:bCs/>
          <w:sz w:val="20"/>
          <w:szCs w:val="20"/>
        </w:rPr>
        <w:t>L</w:t>
      </w:r>
      <w:r w:rsidR="00157FF6" w:rsidRPr="00A74D23">
        <w:rPr>
          <w:b/>
          <w:bCs/>
          <w:sz w:val="20"/>
          <w:szCs w:val="20"/>
        </w:rPr>
        <w:t xml:space="preserve">a phase de </w:t>
      </w:r>
      <w:r w:rsidR="00724DA0" w:rsidRPr="00A74D23">
        <w:rPr>
          <w:b/>
          <w:bCs/>
          <w:sz w:val="20"/>
          <w:szCs w:val="20"/>
        </w:rPr>
        <w:t>construction</w:t>
      </w:r>
      <w:r w:rsidR="00724DA0" w:rsidRPr="00A74D23">
        <w:rPr>
          <w:sz w:val="20"/>
          <w:szCs w:val="20"/>
        </w:rPr>
        <w:t xml:space="preserve"> : </w:t>
      </w:r>
      <w:r w:rsidR="003D4248" w:rsidRPr="00A74D23">
        <w:rPr>
          <w:sz w:val="20"/>
          <w:szCs w:val="20"/>
        </w:rPr>
        <w:t xml:space="preserve"> </w:t>
      </w:r>
      <w:r w:rsidR="00730436" w:rsidRPr="00A74D23">
        <w:rPr>
          <w:sz w:val="20"/>
          <w:szCs w:val="20"/>
        </w:rPr>
        <w:t>L’exposition biodiversité est la plus forte à la construction. Elle provient surtout de l’artificialisation des sols, de la destruction d’habitats et de la fragmentation écologique, selon la localisation. Les risques sont principalement des impacts directs et des risques de transition liés aux contraintes environnementales croissantes.</w:t>
      </w:r>
    </w:p>
    <w:p w14:paraId="130C5EDA" w14:textId="51C935A6" w:rsidR="009C56C2" w:rsidRPr="00A74D23" w:rsidRDefault="00730436" w:rsidP="00590DD1">
      <w:pPr>
        <w:pStyle w:val="Paragraphedeliste"/>
        <w:numPr>
          <w:ilvl w:val="3"/>
          <w:numId w:val="119"/>
        </w:numPr>
        <w:spacing w:line="22" w:lineRule="atLeast"/>
        <w:jc w:val="both"/>
        <w:rPr>
          <w:sz w:val="20"/>
          <w:szCs w:val="20"/>
        </w:rPr>
      </w:pPr>
      <w:r w:rsidRPr="00A74D23">
        <w:rPr>
          <w:b/>
          <w:bCs/>
          <w:sz w:val="20"/>
          <w:szCs w:val="20"/>
        </w:rPr>
        <w:t>La phase d’exploitation :</w:t>
      </w:r>
      <w:r w:rsidR="00B04A98" w:rsidRPr="00A74D23">
        <w:rPr>
          <w:sz w:val="18"/>
          <w:szCs w:val="18"/>
        </w:rPr>
        <w:t xml:space="preserve"> </w:t>
      </w:r>
      <w:r w:rsidR="00B04A98" w:rsidRPr="00A74D23">
        <w:rPr>
          <w:sz w:val="20"/>
          <w:szCs w:val="20"/>
        </w:rPr>
        <w:t>En exploitation, l’exposition est plus faible et indirecte. Elle repose sur des dépendances locales (végétation, gestion de l’eau, régulation thermique) et des impacts résiduels (pollution lumineuse, usages des sols). Les enjeux sont surtout contextuels et liés à la qualité de la gestion écologique du site.</w:t>
      </w:r>
    </w:p>
    <w:p w14:paraId="65E1369B" w14:textId="5959B7CE" w:rsidR="00E14D9B" w:rsidRPr="00A74D23" w:rsidRDefault="00E14D9B" w:rsidP="009D6EE5">
      <w:pPr>
        <w:spacing w:line="22" w:lineRule="atLeast"/>
        <w:jc w:val="both"/>
        <w:rPr>
          <w:rFonts w:asciiTheme="minorHAnsi" w:hAnsiTheme="minorHAnsi"/>
          <w:sz w:val="20"/>
          <w:szCs w:val="20"/>
          <w:lang w:val="fr-FR"/>
        </w:rPr>
      </w:pPr>
    </w:p>
    <w:p w14:paraId="4C732738" w14:textId="0EB27D72" w:rsidR="0091114B" w:rsidRPr="00A74D23" w:rsidRDefault="003E3B41" w:rsidP="009D6EE5">
      <w:pPr>
        <w:spacing w:line="22" w:lineRule="atLeast"/>
        <w:jc w:val="both"/>
        <w:rPr>
          <w:rFonts w:asciiTheme="minorHAnsi" w:hAnsiTheme="minorHAnsi"/>
          <w:sz w:val="20"/>
          <w:szCs w:val="20"/>
          <w:lang w:val="fr-FR"/>
        </w:rPr>
      </w:pPr>
      <w:r w:rsidRPr="00A74D23">
        <w:rPr>
          <w:rFonts w:asciiTheme="minorHAnsi" w:hAnsiTheme="minorHAnsi"/>
          <w:sz w:val="20"/>
          <w:szCs w:val="20"/>
          <w:lang w:val="fr-FR"/>
        </w:rPr>
        <w:t xml:space="preserve">À ce stade, nous ne disposons pas encore, comme sur le climat, d’outil dédié permettant d’analyser l’exposition aux risques liés à la biodiversité sur les actifs immobiliers du mandat. </w:t>
      </w:r>
      <w:r w:rsidR="00374813" w:rsidRPr="00A74D23">
        <w:rPr>
          <w:rFonts w:asciiTheme="minorHAnsi" w:hAnsiTheme="minorHAnsi"/>
          <w:sz w:val="20"/>
          <w:szCs w:val="20"/>
          <w:lang w:val="fr-FR"/>
        </w:rPr>
        <w:t>Notre stratégie biodiversité, présentée en partie H, intègre en revanche de nombreux leviers liés à la biodiversité, avec pour objectif de réduire en continu l’impact de nos actifs.</w:t>
      </w:r>
    </w:p>
    <w:p w14:paraId="05E1B997" w14:textId="77777777" w:rsidR="00374813" w:rsidRPr="00A74D23" w:rsidRDefault="00374813" w:rsidP="009D6EE5">
      <w:pPr>
        <w:spacing w:line="22" w:lineRule="atLeast"/>
        <w:jc w:val="both"/>
        <w:rPr>
          <w:rFonts w:asciiTheme="minorHAnsi" w:hAnsiTheme="minorHAnsi"/>
          <w:b/>
          <w:bCs/>
          <w:sz w:val="32"/>
          <w:szCs w:val="32"/>
          <w:lang w:val="fr-FR"/>
        </w:rPr>
      </w:pPr>
    </w:p>
    <w:p w14:paraId="0CA86980" w14:textId="251E5252" w:rsidR="009C56C2" w:rsidRPr="00A74D23" w:rsidRDefault="003E3B41" w:rsidP="009D6EE5">
      <w:pPr>
        <w:spacing w:line="22" w:lineRule="atLeast"/>
        <w:jc w:val="both"/>
        <w:rPr>
          <w:rFonts w:asciiTheme="minorHAnsi" w:hAnsiTheme="minorHAnsi"/>
          <w:b/>
          <w:bCs/>
          <w:sz w:val="32"/>
          <w:szCs w:val="32"/>
          <w:lang w:val="fr-FR"/>
        </w:rPr>
      </w:pPr>
      <w:r w:rsidRPr="00A74D23">
        <w:rPr>
          <w:rFonts w:asciiTheme="minorHAnsi" w:hAnsiTheme="minorHAnsi" w:cs="Open Sans"/>
          <w:noProof/>
        </w:rPr>
        <mc:AlternateContent>
          <mc:Choice Requires="wps">
            <w:drawing>
              <wp:anchor distT="0" distB="0" distL="114300" distR="114300" simplePos="0" relativeHeight="251781120" behindDoc="1" locked="0" layoutInCell="1" allowOverlap="1" wp14:anchorId="4A37109B" wp14:editId="532E1302">
                <wp:simplePos x="0" y="0"/>
                <wp:positionH relativeFrom="margin">
                  <wp:posOffset>-52654</wp:posOffset>
                </wp:positionH>
                <wp:positionV relativeFrom="paragraph">
                  <wp:posOffset>187730</wp:posOffset>
                </wp:positionV>
                <wp:extent cx="5937069" cy="563271"/>
                <wp:effectExtent l="0" t="0" r="6985" b="8255"/>
                <wp:wrapNone/>
                <wp:docPr id="1653310454" name="Rectangle : coins arrondis 1653310454"/>
                <wp:cNvGraphicFramePr/>
                <a:graphic xmlns:a="http://schemas.openxmlformats.org/drawingml/2006/main">
                  <a:graphicData uri="http://schemas.microsoft.com/office/word/2010/wordprocessingShape">
                    <wps:wsp>
                      <wps:cNvSpPr/>
                      <wps:spPr>
                        <a:xfrm>
                          <a:off x="0" y="0"/>
                          <a:ext cx="5937069" cy="563271"/>
                        </a:xfrm>
                        <a:prstGeom prst="roundRect">
                          <a:avLst>
                            <a:gd name="adj" fmla="val 13326"/>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BA0F0E" w14:textId="77777777" w:rsidR="009278C7" w:rsidRDefault="009278C7" w:rsidP="00734CED">
                            <w:pPr>
                              <w:ind w:left="426" w:right="335" w:hanging="360"/>
                              <w:jc w:val="both"/>
                            </w:pPr>
                          </w:p>
                          <w:p w14:paraId="730DBAC5" w14:textId="149AB4F2" w:rsidR="009C56C2" w:rsidRPr="009278C7" w:rsidRDefault="009278C7" w:rsidP="00590DD1">
                            <w:pPr>
                              <w:pStyle w:val="Paragraphedeliste"/>
                              <w:numPr>
                                <w:ilvl w:val="0"/>
                                <w:numId w:val="95"/>
                              </w:numPr>
                              <w:ind w:left="426" w:right="335"/>
                              <w:jc w:val="both"/>
                              <w:rPr>
                                <w:color w:val="000000" w:themeColor="text1"/>
                                <w:sz w:val="20"/>
                                <w:szCs w:val="20"/>
                              </w:rPr>
                            </w:pPr>
                            <w:r w:rsidRPr="009278C7">
                              <w:rPr>
                                <w:color w:val="000000" w:themeColor="text1"/>
                                <w:sz w:val="20"/>
                                <w:szCs w:val="20"/>
                              </w:rPr>
                              <w:t>Lancer une réflexion sur un pilote TNFD sur un segment du portefeuille immobilier</w:t>
                            </w:r>
                          </w:p>
                        </w:txbxContent>
                      </wps:txbx>
                      <wps:bodyPr rot="0" spcFirstLastPara="0" vertOverflow="overflow" horzOverflow="overflow" vert="horz" wrap="square" lIns="180000" tIns="72000" rIns="18000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37109B" id="Rectangle : coins arrondis 1653310454" o:spid="_x0000_s1183" style="position:absolute;left:0;text-align:left;margin-left:-4.15pt;margin-top:14.8pt;width:467.5pt;height:44.35pt;z-index:-25153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87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" fillcolor="#d8d8d8 [2732]" stroked="f" strokeweight="1pt">
                <v:stroke joinstyle="miter"/>
                <v:textbox inset="5mm,2mm,5mm,3mm">
                  <w:txbxContent>
                    <w:p w14:paraId="03BA0F0E" w14:textId="77777777" w:rsidR="009278C7" w:rsidRDefault="009278C7" w:rsidP="00734CED">
                      <w:pPr>
                        <w:ind w:left="426" w:right="335" w:hanging="360"/>
                        <w:jc w:val="both"/>
                      </w:pPr>
                    </w:p>
                    <w:p w14:paraId="730DBAC5" w14:textId="149AB4F2" w:rsidR="009C56C2" w:rsidRPr="009278C7" w:rsidRDefault="009278C7" w:rsidP="00590DD1">
                      <w:pPr>
                        <w:pStyle w:val="Paragraphedeliste"/>
                        <w:numPr>
                          <w:ilvl w:val="0"/>
                          <w:numId w:val="95"/>
                        </w:numPr>
                        <w:ind w:left="426" w:right="335"/>
                        <w:jc w:val="both"/>
                        <w:rPr>
                          <w:color w:val="000000" w:themeColor="text1"/>
                          <w:sz w:val="20"/>
                          <w:szCs w:val="20"/>
                        </w:rPr>
                      </w:pPr>
                      <w:r w:rsidRPr="009278C7">
                        <w:rPr>
                          <w:color w:val="000000" w:themeColor="text1"/>
                          <w:sz w:val="20"/>
                          <w:szCs w:val="20"/>
                        </w:rPr>
                        <w:t>Lancer une réflexion sur un pilote TNFD sur un segment du portefeuille immobilier</w:t>
                      </w:r>
                    </w:p>
                  </w:txbxContent>
                </v:textbox>
                <w10:wrap anchorx="margin"/>
              </v:roundrect>
            </w:pict>
          </mc:Fallback>
        </mc:AlternateContent>
      </w:r>
      <w:r w:rsidR="009C56C2" w:rsidRPr="00A74D23">
        <w:rPr>
          <w:rFonts w:asciiTheme="minorHAnsi" w:hAnsiTheme="minorHAnsi" w:cs="Open Sans"/>
          <w:noProof/>
        </w:rPr>
        <mc:AlternateContent>
          <mc:Choice Requires="wps">
            <w:drawing>
              <wp:anchor distT="0" distB="0" distL="114300" distR="114300" simplePos="0" relativeHeight="251783168" behindDoc="0" locked="0" layoutInCell="1" allowOverlap="1" wp14:anchorId="2EACF1EB" wp14:editId="6C8AEC66">
                <wp:simplePos x="0" y="0"/>
                <wp:positionH relativeFrom="margin">
                  <wp:posOffset>1546860</wp:posOffset>
                </wp:positionH>
                <wp:positionV relativeFrom="paragraph">
                  <wp:posOffset>-635</wp:posOffset>
                </wp:positionV>
                <wp:extent cx="2667635" cy="285115"/>
                <wp:effectExtent l="0" t="0" r="0" b="635"/>
                <wp:wrapNone/>
                <wp:docPr id="815398624" name="Rectangle : coins arrondis 815398624"/>
                <wp:cNvGraphicFramePr/>
                <a:graphic xmlns:a="http://schemas.openxmlformats.org/drawingml/2006/main">
                  <a:graphicData uri="http://schemas.microsoft.com/office/word/2010/wordprocessingShape">
                    <wps:wsp>
                      <wps:cNvSpPr/>
                      <wps:spPr>
                        <a:xfrm>
                          <a:off x="0" y="0"/>
                          <a:ext cx="2667635" cy="285115"/>
                        </a:xfrm>
                        <a:prstGeom prst="roundRect">
                          <a:avLst>
                            <a:gd name="adj" fmla="val 0"/>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150218" w14:textId="77777777" w:rsidR="009C56C2" w:rsidRPr="009C56C2" w:rsidRDefault="009C56C2" w:rsidP="009C56C2">
                            <w:pPr>
                              <w:jc w:val="center"/>
                              <w:rPr>
                                <w:b/>
                                <w:bCs/>
                                <w:sz w:val="32"/>
                                <w:szCs w:val="32"/>
                                <w:lang w:val="fr-FR"/>
                              </w:rPr>
                            </w:pPr>
                            <w:r w:rsidRPr="009C56C2">
                              <w:rPr>
                                <w:rFonts w:ascii="Source Sans Pro" w:hAnsi="Source Sans Pro"/>
                                <w:b/>
                                <w:bCs/>
                                <w:lang w:val="fr-FR"/>
                              </w:rPr>
                              <w:t>Plan d’amélioration 2026</w:t>
                            </w:r>
                          </w:p>
                        </w:txbxContent>
                      </wps:txbx>
                      <wps:bodyPr rot="0" spcFirstLastPara="0" vertOverflow="overflow" horzOverflow="overflow" vert="horz" wrap="square" lIns="90000" tIns="36000" rIns="90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ACF1EB" id="Rectangle : coins arrondis 815398624" o:spid="_x0000_s1184" style="position:absolute;left:0;text-align:left;margin-left:121.8pt;margin-top:-.05pt;width:210.05pt;height:22.45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" fillcolor="#8a2c24 [3205]" stroked="f" strokeweight="1pt">
                <v:stroke joinstyle="miter"/>
                <v:textbox inset="2.5mm,1mm,2.5mm,1mm">
                  <w:txbxContent>
                    <w:p w14:paraId="06150218" w14:textId="77777777" w:rsidR="009C56C2" w:rsidRPr="009C56C2" w:rsidRDefault="009C56C2" w:rsidP="009C56C2">
                      <w:pPr>
                        <w:jc w:val="center"/>
                        <w:rPr>
                          <w:b/>
                          <w:bCs/>
                          <w:sz w:val="32"/>
                          <w:szCs w:val="32"/>
                          <w:lang w:val="fr-FR"/>
                        </w:rPr>
                      </w:pPr>
                      <w:r w:rsidRPr="009C56C2">
                        <w:rPr>
                          <w:rFonts w:ascii="Source Sans Pro" w:hAnsi="Source Sans Pro"/>
                          <w:b/>
                          <w:bCs/>
                          <w:lang w:val="fr-FR"/>
                        </w:rPr>
                        <w:t>Plan d’amélioration 2026</w:t>
                      </w:r>
                    </w:p>
                  </w:txbxContent>
                </v:textbox>
                <w10:wrap anchorx="margin"/>
              </v:roundrect>
            </w:pict>
          </mc:Fallback>
        </mc:AlternateContent>
      </w:r>
    </w:p>
    <w:p w14:paraId="505C3A6E" w14:textId="77777777" w:rsidR="009C56C2" w:rsidRPr="00A74D23" w:rsidRDefault="009C56C2" w:rsidP="009D6EE5">
      <w:pPr>
        <w:spacing w:line="22" w:lineRule="atLeast"/>
        <w:jc w:val="both"/>
        <w:rPr>
          <w:rFonts w:asciiTheme="minorHAnsi" w:hAnsiTheme="minorHAnsi"/>
          <w:b/>
          <w:bCs/>
          <w:sz w:val="32"/>
          <w:szCs w:val="32"/>
          <w:lang w:val="fr-FR"/>
        </w:rPr>
      </w:pPr>
    </w:p>
    <w:p w14:paraId="76F2F581" w14:textId="48371773" w:rsidR="00EA46C2" w:rsidRDefault="00EA46C2" w:rsidP="009D6EE5">
      <w:pPr>
        <w:pStyle w:val="pf0"/>
        <w:spacing w:before="120" w:beforeAutospacing="0" w:line="22" w:lineRule="atLeast"/>
        <w:jc w:val="both"/>
        <w:rPr>
          <w:rFonts w:asciiTheme="minorHAnsi" w:hAnsiTheme="minorHAnsi" w:cs="Open Sans"/>
          <w:b/>
          <w:bCs/>
        </w:rPr>
      </w:pPr>
    </w:p>
    <w:p w14:paraId="702BF0D5" w14:textId="77777777" w:rsidR="002A2CDA" w:rsidRPr="00A74D23" w:rsidRDefault="002A2CDA" w:rsidP="009D6EE5">
      <w:pPr>
        <w:pStyle w:val="pf0"/>
        <w:spacing w:before="120" w:beforeAutospacing="0" w:line="22" w:lineRule="atLeast"/>
        <w:jc w:val="both"/>
        <w:rPr>
          <w:rFonts w:asciiTheme="minorHAnsi" w:hAnsiTheme="minorHAnsi" w:cs="Open Sans"/>
          <w:b/>
          <w:bCs/>
        </w:rPr>
      </w:pPr>
    </w:p>
    <w:p w14:paraId="61C15F94" w14:textId="048B6ED2" w:rsidR="00EA46C2" w:rsidRPr="00A74D23" w:rsidRDefault="00277B24" w:rsidP="009D6EE5">
      <w:pPr>
        <w:pStyle w:val="pf0"/>
        <w:spacing w:before="0" w:beforeAutospacing="0" w:after="0" w:afterAutospacing="0" w:line="22" w:lineRule="atLeast"/>
        <w:jc w:val="both"/>
        <w:rPr>
          <w:rFonts w:asciiTheme="minorHAnsi" w:hAnsiTheme="minorHAnsi" w:cs="Open Sans"/>
          <w:sz w:val="20"/>
          <w:szCs w:val="20"/>
        </w:rPr>
      </w:pPr>
      <w:r w:rsidRPr="00A74D23">
        <w:rPr>
          <w:rFonts w:asciiTheme="minorHAnsi" w:hAnsiTheme="minorHAnsi"/>
          <w:noProof/>
          <w:sz w:val="20"/>
          <w:szCs w:val="20"/>
        </w:rPr>
        <mc:AlternateContent>
          <mc:Choice Requires="wps">
            <w:drawing>
              <wp:anchor distT="0" distB="0" distL="114300" distR="114300" simplePos="0" relativeHeight="251797504" behindDoc="0" locked="0" layoutInCell="1" allowOverlap="1" wp14:anchorId="5DF6B359" wp14:editId="42B2460C">
                <wp:simplePos x="0" y="0"/>
                <wp:positionH relativeFrom="margin">
                  <wp:posOffset>2198454</wp:posOffset>
                </wp:positionH>
                <wp:positionV relativeFrom="paragraph">
                  <wp:posOffset>6350</wp:posOffset>
                </wp:positionV>
                <wp:extent cx="1307861" cy="323730"/>
                <wp:effectExtent l="0" t="0" r="6985" b="635"/>
                <wp:wrapNone/>
                <wp:docPr id="479888540" name="Rectangle 3"/>
                <wp:cNvGraphicFramePr/>
                <a:graphic xmlns:a="http://schemas.openxmlformats.org/drawingml/2006/main">
                  <a:graphicData uri="http://schemas.microsoft.com/office/word/2010/wordprocessingShape">
                    <wps:wsp>
                      <wps:cNvSpPr/>
                      <wps:spPr>
                        <a:xfrm>
                          <a:off x="0" y="0"/>
                          <a:ext cx="1307861" cy="32373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83A295" w14:textId="77777777" w:rsidR="00CF4CBD" w:rsidRPr="00277B24" w:rsidRDefault="00CF4CBD" w:rsidP="00CF4CBD">
                            <w:pPr>
                              <w:jc w:val="center"/>
                              <w:rPr>
                                <w:rFonts w:asciiTheme="minorHAnsi" w:hAnsiTheme="minorHAnsi"/>
                                <w:b/>
                                <w:bCs/>
                                <w:color w:val="000000" w:themeColor="text1"/>
                                <w:lang w:val="fr-FR"/>
                              </w:rPr>
                            </w:pPr>
                            <w:r w:rsidRPr="00277B24">
                              <w:rPr>
                                <w:rFonts w:asciiTheme="minorHAnsi" w:hAnsiTheme="minorHAnsi"/>
                                <w:b/>
                                <w:bCs/>
                                <w:color w:val="000000" w:themeColor="text1"/>
                                <w:lang w:val="fr-FR"/>
                              </w:rPr>
                              <w:t>En conclusion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F6B359" id="_x0000_s1185" style="position:absolute;left:0;text-align:left;margin-left:173.1pt;margin-top:.5pt;width:103pt;height:25.5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" fillcolor="#ffd400 [3204]" stroked="f" strokeweight="1pt">
                <v:textbox>
                  <w:txbxContent>
                    <w:p w14:paraId="4983A295" w14:textId="77777777" w:rsidR="00CF4CBD" w:rsidRPr="00277B24" w:rsidRDefault="00CF4CBD" w:rsidP="00CF4CBD">
                      <w:pPr>
                        <w:jc w:val="center"/>
                        <w:rPr>
                          <w:rFonts w:asciiTheme="minorHAnsi" w:hAnsiTheme="minorHAnsi"/>
                          <w:b/>
                          <w:bCs/>
                          <w:color w:val="000000" w:themeColor="text1"/>
                          <w:lang w:val="fr-FR"/>
                        </w:rPr>
                      </w:pPr>
                      <w:r w:rsidRPr="00277B24">
                        <w:rPr>
                          <w:rFonts w:asciiTheme="minorHAnsi" w:hAnsiTheme="minorHAnsi"/>
                          <w:b/>
                          <w:bCs/>
                          <w:color w:val="000000" w:themeColor="text1"/>
                          <w:lang w:val="fr-FR"/>
                        </w:rPr>
                        <w:t>En conclusion</w:t>
                      </w:r>
                    </w:p>
                  </w:txbxContent>
                </v:textbox>
                <w10:wrap anchorx="margin"/>
              </v:rect>
            </w:pict>
          </mc:Fallback>
        </mc:AlternateContent>
      </w:r>
    </w:p>
    <w:p w14:paraId="527CAB93" w14:textId="78AFBF62" w:rsidR="00EA46C2" w:rsidRPr="00A74D23" w:rsidRDefault="009278C7" w:rsidP="009D6EE5">
      <w:pPr>
        <w:pStyle w:val="Style1"/>
        <w:numPr>
          <w:ilvl w:val="0"/>
          <w:numId w:val="0"/>
        </w:numPr>
        <w:tabs>
          <w:tab w:val="clear" w:pos="2010"/>
          <w:tab w:val="left" w:pos="1134"/>
        </w:tabs>
        <w:spacing w:line="22" w:lineRule="atLeast"/>
        <w:ind w:firstLine="284"/>
        <w:jc w:val="both"/>
        <w:rPr>
          <w:rFonts w:cs="Open Sans"/>
          <w:i w:val="0"/>
          <w:color w:val="auto"/>
          <w:sz w:val="20"/>
        </w:rPr>
      </w:pPr>
      <w:r w:rsidRPr="00A74D23">
        <w:rPr>
          <w:rFonts w:eastAsia="Calibri" w:cs="Open Sans"/>
          <w:i w:val="0"/>
          <w:iCs w:val="0"/>
          <w:noProof/>
          <w:color w:val="auto"/>
          <w:sz w:val="20"/>
          <w:szCs w:val="20"/>
          <w:lang w:eastAsia="fr-FR"/>
        </w:rPr>
        <mc:AlternateContent>
          <mc:Choice Requires="wpg">
            <w:drawing>
              <wp:anchor distT="0" distB="0" distL="114300" distR="114300" simplePos="0" relativeHeight="251791360" behindDoc="0" locked="0" layoutInCell="1" allowOverlap="1" wp14:anchorId="308F1969" wp14:editId="11A2553D">
                <wp:simplePos x="0" y="0"/>
                <wp:positionH relativeFrom="margin">
                  <wp:posOffset>5608320</wp:posOffset>
                </wp:positionH>
                <wp:positionV relativeFrom="paragraph">
                  <wp:posOffset>2553287</wp:posOffset>
                </wp:positionV>
                <wp:extent cx="389890" cy="281305"/>
                <wp:effectExtent l="0" t="0" r="10160" b="23495"/>
                <wp:wrapNone/>
                <wp:docPr id="1638070331" name="Groupe 132"/>
                <wp:cNvGraphicFramePr/>
                <a:graphic xmlns:a="http://schemas.openxmlformats.org/drawingml/2006/main">
                  <a:graphicData uri="http://schemas.microsoft.com/office/word/2010/wordprocessingGroup">
                    <wpg:wgp>
                      <wpg:cNvGrpSpPr/>
                      <wpg:grpSpPr>
                        <a:xfrm flipH="1">
                          <a:off x="0" y="0"/>
                          <a:ext cx="389890" cy="281305"/>
                          <a:chOff x="0" y="0"/>
                          <a:chExt cx="480287" cy="346688"/>
                        </a:xfrm>
                      </wpg:grpSpPr>
                      <wps:wsp>
                        <wps:cNvPr id="1058742442"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526819101"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0D812BB1" id="Groupe 132" o:spid="_x0000_s1026" style="position:absolute;margin-left:441.6pt;margin-top:201.05pt;width:30.7pt;height:22.15pt;flip:x;z-index:251791360;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r w:rsidR="00EA46C2" w:rsidRPr="00A74D23">
        <w:rPr>
          <w:rFonts w:cs="Open Sans"/>
          <w:noProof/>
        </w:rPr>
        <mc:AlternateContent>
          <mc:Choice Requires="wps">
            <w:drawing>
              <wp:anchor distT="0" distB="0" distL="114300" distR="114300" simplePos="0" relativeHeight="251787264" behindDoc="0" locked="0" layoutInCell="1" allowOverlap="1" wp14:anchorId="13CEF514" wp14:editId="2ADE892A">
                <wp:simplePos x="0" y="0"/>
                <wp:positionH relativeFrom="column">
                  <wp:posOffset>499505</wp:posOffset>
                </wp:positionH>
                <wp:positionV relativeFrom="paragraph">
                  <wp:posOffset>15552</wp:posOffset>
                </wp:positionV>
                <wp:extent cx="5089975" cy="3001992"/>
                <wp:effectExtent l="0" t="0" r="0" b="8255"/>
                <wp:wrapNone/>
                <wp:docPr id="357458626" name="Zone de texte 357458626"/>
                <wp:cNvGraphicFramePr/>
                <a:graphic xmlns:a="http://schemas.openxmlformats.org/drawingml/2006/main">
                  <a:graphicData uri="http://schemas.microsoft.com/office/word/2010/wordprocessingShape">
                    <wps:wsp>
                      <wps:cNvSpPr txBox="1"/>
                      <wps:spPr>
                        <a:xfrm>
                          <a:off x="0" y="0"/>
                          <a:ext cx="5089975" cy="3001992"/>
                        </a:xfrm>
                        <a:prstGeom prst="rect">
                          <a:avLst/>
                        </a:prstGeom>
                        <a:solidFill>
                          <a:schemeClr val="lt1"/>
                        </a:solidFill>
                        <a:ln w="6350">
                          <a:noFill/>
                        </a:ln>
                      </wps:spPr>
                      <wps:txbx>
                        <w:txbxContent>
                          <w:p w14:paraId="3693E91D" w14:textId="77777777" w:rsidR="00EA46C2" w:rsidRDefault="00EA46C2" w:rsidP="00EA46C2">
                            <w:pPr>
                              <w:pStyle w:val="Style1"/>
                              <w:numPr>
                                <w:ilvl w:val="0"/>
                                <w:numId w:val="0"/>
                              </w:numPr>
                              <w:tabs>
                                <w:tab w:val="left" w:pos="426"/>
                              </w:tabs>
                              <w:jc w:val="both"/>
                              <w:rPr>
                                <w:rFonts w:ascii="Source Sans Pro" w:hAnsi="Source Sans Pro"/>
                                <w:i w:val="0"/>
                                <w:iCs w:val="0"/>
                                <w:color w:val="000000" w:themeColor="text1"/>
                                <w:sz w:val="20"/>
                              </w:rPr>
                            </w:pPr>
                            <w:r>
                              <w:rPr>
                                <w:rFonts w:ascii="Source Sans Pro" w:hAnsi="Source Sans Pro"/>
                                <w:i w:val="0"/>
                                <w:iCs w:val="0"/>
                                <w:color w:val="000000" w:themeColor="text1"/>
                                <w:sz w:val="20"/>
                              </w:rPr>
                              <w:t xml:space="preserve">              </w:t>
                            </w:r>
                          </w:p>
                          <w:p w14:paraId="6362D9C5" w14:textId="374C2348" w:rsidR="00EA46C2" w:rsidRPr="00511F70" w:rsidRDefault="003B5A00" w:rsidP="00EA46C2">
                            <w:pPr>
                              <w:pStyle w:val="Style1"/>
                              <w:numPr>
                                <w:ilvl w:val="0"/>
                                <w:numId w:val="0"/>
                              </w:numPr>
                              <w:tabs>
                                <w:tab w:val="left" w:pos="426"/>
                              </w:tabs>
                              <w:jc w:val="both"/>
                              <w:rPr>
                                <w:rFonts w:ascii="Source Sans Pro" w:hAnsi="Source Sans Pro"/>
                                <w:i w:val="0"/>
                                <w:iCs w:val="0"/>
                                <w:color w:val="000000" w:themeColor="text1"/>
                                <w:sz w:val="20"/>
                              </w:rPr>
                            </w:pPr>
                            <w:r w:rsidRPr="003B5A00">
                              <w:rPr>
                                <w:rFonts w:ascii="Source Sans Pro" w:hAnsi="Source Sans Pro"/>
                                <w:i w:val="0"/>
                                <w:iCs w:val="0"/>
                                <w:color w:val="000000" w:themeColor="text1"/>
                                <w:sz w:val="20"/>
                              </w:rPr>
                              <w:t xml:space="preserve">L'analyse des risques liés à la nature sur nos actifs immobiliers, bien que complexe, présente l'avantage d'être plus directement lisible que sur les portefeuilles </w:t>
                            </w:r>
                            <w:r w:rsidR="00B35257">
                              <w:rPr>
                                <w:rFonts w:ascii="Source Sans Pro" w:hAnsi="Source Sans Pro"/>
                                <w:i w:val="0"/>
                                <w:iCs w:val="0"/>
                                <w:color w:val="000000" w:themeColor="text1"/>
                                <w:sz w:val="20"/>
                              </w:rPr>
                              <w:t>d’actions ou d’obligations d’entreprises</w:t>
                            </w:r>
                            <w:r w:rsidRPr="003B5A00">
                              <w:rPr>
                                <w:rFonts w:ascii="Source Sans Pro" w:hAnsi="Source Sans Pro"/>
                                <w:i w:val="0"/>
                                <w:iCs w:val="0"/>
                                <w:color w:val="000000" w:themeColor="text1"/>
                                <w:sz w:val="20"/>
                              </w:rPr>
                              <w:t>, grâce à la localisation précise des actifs et à la connaissance fine de leurs caractéristiques physiques. Cette année, nous avons franchi un pas décisif sur l</w:t>
                            </w:r>
                            <w:r w:rsidR="00C20912">
                              <w:rPr>
                                <w:rFonts w:ascii="Source Sans Pro" w:hAnsi="Source Sans Pro"/>
                                <w:i w:val="0"/>
                                <w:iCs w:val="0"/>
                                <w:color w:val="000000" w:themeColor="text1"/>
                                <w:sz w:val="20"/>
                              </w:rPr>
                              <w:t>’évaluation et gestion des</w:t>
                            </w:r>
                            <w:r w:rsidRPr="003B5A00">
                              <w:rPr>
                                <w:rFonts w:ascii="Source Sans Pro" w:hAnsi="Source Sans Pro"/>
                                <w:i w:val="0"/>
                                <w:iCs w:val="0"/>
                                <w:color w:val="000000" w:themeColor="text1"/>
                                <w:sz w:val="20"/>
                              </w:rPr>
                              <w:t xml:space="preserve"> risques physiques climatiques avec la refonte complète de notre outil d'exposition et l'intégration de plans d'adaptation standardisés directement dans nos processus de gestion. Sur la biodiversité, nous allons progressivement développer des outils de mesure structurés, tout en poursuivant les actions de réduction des impacts déjà engagées.</w:t>
                            </w:r>
                            <w:r w:rsidR="006E0CFA">
                              <w:rPr>
                                <w:rFonts w:ascii="Source Sans Pro" w:hAnsi="Source Sans Pro"/>
                                <w:i w:val="0"/>
                                <w:iCs w:val="0"/>
                                <w:color w:val="000000" w:themeColor="text1"/>
                                <w:sz w:val="20"/>
                              </w:rPr>
                              <w:t xml:space="preserve"> </w:t>
                            </w:r>
                            <w:r w:rsidR="006E0CFA" w:rsidRPr="006E0CFA">
                              <w:rPr>
                                <w:rFonts w:ascii="Source Sans Pro" w:hAnsi="Source Sans Pro"/>
                                <w:i w:val="0"/>
                                <w:iCs w:val="0"/>
                                <w:color w:val="000000" w:themeColor="text1"/>
                                <w:sz w:val="20"/>
                              </w:rPr>
                              <w:t>Cette approche progressive et concrète s'inscrit pleinement dans notre stratégie de résilience à long terme.</w:t>
                            </w:r>
                          </w:p>
                          <w:p w14:paraId="62494B68" w14:textId="77777777" w:rsidR="00EA46C2" w:rsidRPr="00AE1783" w:rsidRDefault="00EA46C2" w:rsidP="00EA46C2">
                            <w:pPr>
                              <w:jc w:val="both"/>
                              <w:rPr>
                                <w:rFonts w:ascii="Source Sans Pro" w:hAnsi="Source Sans Pro"/>
                                <w:sz w:val="20"/>
                                <w:lang w:val="fr-FR"/>
                              </w:rPr>
                            </w:pPr>
                            <w:r>
                              <w:rPr>
                                <w:noProof/>
                              </w:rPr>
                              <w:drawing>
                                <wp:inline distT="0" distB="0" distL="0" distR="0" wp14:anchorId="6D0876F6" wp14:editId="78C8AFE1">
                                  <wp:extent cx="586618" cy="839728"/>
                                  <wp:effectExtent l="0" t="0" r="4445" b="0"/>
                                  <wp:docPr id="1224401308" name="Image 1" descr="Une image contenant Visage humain, personne, sourire, Fro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77168" name="Image 1" descr="Une image contenant Visage humain, personne, sourire, Front&#10;&#10;Le contenu généré par l’IA peut être incorrect."/>
                                          <pic:cNvPicPr/>
                                        </pic:nvPicPr>
                                        <pic:blipFill>
                                          <a:blip r:embed="rId61"/>
                                          <a:stretch>
                                            <a:fillRect/>
                                          </a:stretch>
                                        </pic:blipFill>
                                        <pic:spPr>
                                          <a:xfrm>
                                            <a:off x="0" y="0"/>
                                            <a:ext cx="602245" cy="862097"/>
                                          </a:xfrm>
                                          <a:prstGeom prst="rect">
                                            <a:avLst/>
                                          </a:prstGeom>
                                        </pic:spPr>
                                      </pic:pic>
                                    </a:graphicData>
                                  </a:graphic>
                                </wp:inline>
                              </w:drawing>
                            </w:r>
                            <w:r w:rsidRPr="00AE1783">
                              <w:rPr>
                                <w:rFonts w:ascii="Source Sans Pro" w:hAnsi="Source Sans Pro"/>
                                <w:b/>
                                <w:sz w:val="20"/>
                                <w:lang w:val="fr-FR"/>
                              </w:rPr>
                              <w:t xml:space="preserve">  Franck Pages (Responsable ESG, Ofi Invest RE)</w:t>
                            </w:r>
                            <w:r w:rsidRPr="00AE1783">
                              <w:rPr>
                                <w:b/>
                                <w:bCs/>
                                <w:lang w:val="fr-FR"/>
                              </w:rPr>
                              <w:t> </w:t>
                            </w:r>
                          </w:p>
                          <w:p w14:paraId="30DEC3C0" w14:textId="77777777" w:rsidR="00EA46C2" w:rsidRDefault="00EA46C2" w:rsidP="00EA46C2">
                            <w:pPr>
                              <w:pStyle w:val="Style1"/>
                              <w:numPr>
                                <w:ilvl w:val="0"/>
                                <w:numId w:val="0"/>
                              </w:numPr>
                              <w:ind w:left="26"/>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EF514" id="Zone de texte 357458626" o:spid="_x0000_s1186" type="#_x0000_t202" style="position:absolute;left:0;text-align:left;margin-left:39.35pt;margin-top:1.2pt;width:400.8pt;height:236.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" fillcolor="white [3201]" stroked="f" strokeweight=".5pt">
                <v:textbox>
                  <w:txbxContent>
                    <w:p w14:paraId="3693E91D" w14:textId="77777777" w:rsidR="00EA46C2" w:rsidRDefault="00EA46C2" w:rsidP="00EA46C2">
                      <w:pPr>
                        <w:pStyle w:val="Style1"/>
                        <w:numPr>
                          <w:ilvl w:val="0"/>
                          <w:numId w:val="0"/>
                        </w:numPr>
                        <w:tabs>
                          <w:tab w:val="left" w:pos="426"/>
                        </w:tabs>
                        <w:jc w:val="both"/>
                        <w:rPr>
                          <w:rFonts w:ascii="Source Sans Pro" w:hAnsi="Source Sans Pro"/>
                          <w:i w:val="0"/>
                          <w:iCs w:val="0"/>
                          <w:color w:val="000000" w:themeColor="text1"/>
                          <w:sz w:val="20"/>
                        </w:rPr>
                      </w:pPr>
                      <w:r>
                        <w:rPr>
                          <w:rFonts w:ascii="Source Sans Pro" w:hAnsi="Source Sans Pro"/>
                          <w:i w:val="0"/>
                          <w:iCs w:val="0"/>
                          <w:color w:val="000000" w:themeColor="text1"/>
                          <w:sz w:val="20"/>
                        </w:rPr>
                        <w:t xml:space="preserve">              </w:t>
                      </w:r>
                    </w:p>
                    <w:p w14:paraId="6362D9C5" w14:textId="374C2348" w:rsidR="00EA46C2" w:rsidRPr="00511F70" w:rsidRDefault="003B5A00" w:rsidP="00EA46C2">
                      <w:pPr>
                        <w:pStyle w:val="Style1"/>
                        <w:numPr>
                          <w:ilvl w:val="0"/>
                          <w:numId w:val="0"/>
                        </w:numPr>
                        <w:tabs>
                          <w:tab w:val="left" w:pos="426"/>
                        </w:tabs>
                        <w:jc w:val="both"/>
                        <w:rPr>
                          <w:rFonts w:ascii="Source Sans Pro" w:hAnsi="Source Sans Pro"/>
                          <w:i w:val="0"/>
                          <w:iCs w:val="0"/>
                          <w:color w:val="000000" w:themeColor="text1"/>
                          <w:sz w:val="20"/>
                        </w:rPr>
                      </w:pPr>
                      <w:r w:rsidRPr="003B5A00">
                        <w:rPr>
                          <w:rFonts w:ascii="Source Sans Pro" w:hAnsi="Source Sans Pro"/>
                          <w:i w:val="0"/>
                          <w:iCs w:val="0"/>
                          <w:color w:val="000000" w:themeColor="text1"/>
                          <w:sz w:val="20"/>
                        </w:rPr>
                        <w:t xml:space="preserve">L'analyse des risques liés à la nature sur nos actifs immobiliers, bien que complexe, présente l'avantage d'être plus directement lisible que sur les portefeuilles </w:t>
                      </w:r>
                      <w:r w:rsidR="00B35257">
                        <w:rPr>
                          <w:rFonts w:ascii="Source Sans Pro" w:hAnsi="Source Sans Pro"/>
                          <w:i w:val="0"/>
                          <w:iCs w:val="0"/>
                          <w:color w:val="000000" w:themeColor="text1"/>
                          <w:sz w:val="20"/>
                        </w:rPr>
                        <w:t>d’actions ou d’obligations d’entreprises</w:t>
                      </w:r>
                      <w:r w:rsidRPr="003B5A00">
                        <w:rPr>
                          <w:rFonts w:ascii="Source Sans Pro" w:hAnsi="Source Sans Pro"/>
                          <w:i w:val="0"/>
                          <w:iCs w:val="0"/>
                          <w:color w:val="000000" w:themeColor="text1"/>
                          <w:sz w:val="20"/>
                        </w:rPr>
                        <w:t>, grâce à la localisation précise des actifs et à la connaissance fine de leurs caractéristiques physiques. Cette année, nous avons franchi un pas décisif sur l</w:t>
                      </w:r>
                      <w:r w:rsidR="00C20912">
                        <w:rPr>
                          <w:rFonts w:ascii="Source Sans Pro" w:hAnsi="Source Sans Pro"/>
                          <w:i w:val="0"/>
                          <w:iCs w:val="0"/>
                          <w:color w:val="000000" w:themeColor="text1"/>
                          <w:sz w:val="20"/>
                        </w:rPr>
                        <w:t>’évaluation et gestion des</w:t>
                      </w:r>
                      <w:r w:rsidRPr="003B5A00">
                        <w:rPr>
                          <w:rFonts w:ascii="Source Sans Pro" w:hAnsi="Source Sans Pro"/>
                          <w:i w:val="0"/>
                          <w:iCs w:val="0"/>
                          <w:color w:val="000000" w:themeColor="text1"/>
                          <w:sz w:val="20"/>
                        </w:rPr>
                        <w:t xml:space="preserve"> risques physiques climatiques avec la refonte complète de notre outil d'exposition et l'intégration de plans d'adaptation standardisés directement dans nos processus de gestion. Sur la biodiversité, nous allons progressivement développer des outils de mesure structurés, tout en poursuivant les actions de réduction des impacts déjà engagées.</w:t>
                      </w:r>
                      <w:r w:rsidR="006E0CFA">
                        <w:rPr>
                          <w:rFonts w:ascii="Source Sans Pro" w:hAnsi="Source Sans Pro"/>
                          <w:i w:val="0"/>
                          <w:iCs w:val="0"/>
                          <w:color w:val="000000" w:themeColor="text1"/>
                          <w:sz w:val="20"/>
                        </w:rPr>
                        <w:t xml:space="preserve"> </w:t>
                      </w:r>
                      <w:r w:rsidR="006E0CFA" w:rsidRPr="006E0CFA">
                        <w:rPr>
                          <w:rFonts w:ascii="Source Sans Pro" w:hAnsi="Source Sans Pro"/>
                          <w:i w:val="0"/>
                          <w:iCs w:val="0"/>
                          <w:color w:val="000000" w:themeColor="text1"/>
                          <w:sz w:val="20"/>
                        </w:rPr>
                        <w:t>Cette approche progressive et concrète s'inscrit pleinement dans notre stratégie de résilience à long terme.</w:t>
                      </w:r>
                    </w:p>
                    <w:p w14:paraId="62494B68" w14:textId="77777777" w:rsidR="00EA46C2" w:rsidRPr="00AE1783" w:rsidRDefault="00EA46C2" w:rsidP="00EA46C2">
                      <w:pPr>
                        <w:jc w:val="both"/>
                        <w:rPr>
                          <w:rFonts w:ascii="Source Sans Pro" w:hAnsi="Source Sans Pro"/>
                          <w:sz w:val="20"/>
                          <w:lang w:val="fr-FR"/>
                        </w:rPr>
                      </w:pPr>
                      <w:r>
                        <w:rPr>
                          <w:noProof/>
                        </w:rPr>
                        <w:drawing>
                          <wp:inline distT="0" distB="0" distL="0" distR="0" wp14:anchorId="6D0876F6" wp14:editId="78C8AFE1">
                            <wp:extent cx="586618" cy="839728"/>
                            <wp:effectExtent l="0" t="0" r="4445" b="0"/>
                            <wp:docPr id="1224401308" name="Image 1" descr="Une image contenant Visage humain, personne, sourire, Fro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77168" name="Image 1" descr="Une image contenant Visage humain, personne, sourire, Front&#10;&#10;Le contenu généré par l’IA peut être incorrect."/>
                                    <pic:cNvPicPr/>
                                  </pic:nvPicPr>
                                  <pic:blipFill>
                                    <a:blip r:embed="rId62"/>
                                    <a:stretch>
                                      <a:fillRect/>
                                    </a:stretch>
                                  </pic:blipFill>
                                  <pic:spPr>
                                    <a:xfrm>
                                      <a:off x="0" y="0"/>
                                      <a:ext cx="602245" cy="862097"/>
                                    </a:xfrm>
                                    <a:prstGeom prst="rect">
                                      <a:avLst/>
                                    </a:prstGeom>
                                  </pic:spPr>
                                </pic:pic>
                              </a:graphicData>
                            </a:graphic>
                          </wp:inline>
                        </w:drawing>
                      </w:r>
                      <w:r w:rsidRPr="00AE1783">
                        <w:rPr>
                          <w:rFonts w:ascii="Source Sans Pro" w:hAnsi="Source Sans Pro"/>
                          <w:b/>
                          <w:sz w:val="20"/>
                          <w:lang w:val="fr-FR"/>
                        </w:rPr>
                        <w:t xml:space="preserve">  Franck Pages (Responsable ESG, Ofi Invest RE)</w:t>
                      </w:r>
                      <w:r w:rsidRPr="00AE1783">
                        <w:rPr>
                          <w:b/>
                          <w:bCs/>
                          <w:lang w:val="fr-FR"/>
                        </w:rPr>
                        <w:t> </w:t>
                      </w:r>
                    </w:p>
                    <w:p w14:paraId="30DEC3C0" w14:textId="77777777" w:rsidR="00EA46C2" w:rsidRDefault="00EA46C2" w:rsidP="00EA46C2">
                      <w:pPr>
                        <w:pStyle w:val="Style1"/>
                        <w:numPr>
                          <w:ilvl w:val="0"/>
                          <w:numId w:val="0"/>
                        </w:numPr>
                        <w:ind w:left="26"/>
                      </w:pPr>
                    </w:p>
                  </w:txbxContent>
                </v:textbox>
              </v:shape>
            </w:pict>
          </mc:Fallback>
        </mc:AlternateContent>
      </w:r>
      <w:r w:rsidR="00EA46C2" w:rsidRPr="00A74D23">
        <w:rPr>
          <w:rFonts w:eastAsia="Calibri" w:cs="Open Sans"/>
          <w:i w:val="0"/>
          <w:iCs w:val="0"/>
          <w:noProof/>
          <w:color w:val="auto"/>
          <w:sz w:val="20"/>
          <w:szCs w:val="20"/>
          <w:lang w:eastAsia="fr-FR"/>
        </w:rPr>
        <mc:AlternateContent>
          <mc:Choice Requires="wpg">
            <w:drawing>
              <wp:anchor distT="0" distB="0" distL="114300" distR="114300" simplePos="0" relativeHeight="251795456" behindDoc="0" locked="0" layoutInCell="1" allowOverlap="1" wp14:anchorId="6BCFE1D8" wp14:editId="75B4B306">
                <wp:simplePos x="0" y="0"/>
                <wp:positionH relativeFrom="margin">
                  <wp:posOffset>42300</wp:posOffset>
                </wp:positionH>
                <wp:positionV relativeFrom="paragraph">
                  <wp:posOffset>154305</wp:posOffset>
                </wp:positionV>
                <wp:extent cx="390025" cy="281534"/>
                <wp:effectExtent l="0" t="0" r="10160" b="23495"/>
                <wp:wrapNone/>
                <wp:docPr id="2002526269" name="Groupe 132"/>
                <wp:cNvGraphicFramePr/>
                <a:graphic xmlns:a="http://schemas.openxmlformats.org/drawingml/2006/main">
                  <a:graphicData uri="http://schemas.microsoft.com/office/word/2010/wordprocessingGroup">
                    <wpg:wgp>
                      <wpg:cNvGrpSpPr/>
                      <wpg:grpSpPr>
                        <a:xfrm>
                          <a:off x="0" y="0"/>
                          <a:ext cx="390025" cy="281534"/>
                          <a:chOff x="0" y="0"/>
                          <a:chExt cx="480287" cy="346688"/>
                        </a:xfrm>
                      </wpg:grpSpPr>
                      <wps:wsp>
                        <wps:cNvPr id="1972432459" name="Freeform 81"/>
                        <wps:cNvSpPr>
                          <a:spLocks/>
                        </wps:cNvSpPr>
                        <wps:spPr bwMode="auto">
                          <a:xfrm>
                            <a:off x="0"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rgbClr val="FFD400"/>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s:wsp>
                        <wps:cNvPr id="1230719652" name="Freeform 81"/>
                        <wps:cNvSpPr>
                          <a:spLocks/>
                        </wps:cNvSpPr>
                        <wps:spPr bwMode="auto">
                          <a:xfrm>
                            <a:off x="266477" y="0"/>
                            <a:ext cx="213810" cy="346688"/>
                          </a:xfrm>
                          <a:custGeom>
                            <a:avLst/>
                            <a:gdLst>
                              <a:gd name="T0" fmla="*/ 313 w 313"/>
                              <a:gd name="T1" fmla="*/ 390 h 507"/>
                              <a:gd name="T2" fmla="*/ 165 w 313"/>
                              <a:gd name="T3" fmla="*/ 507 h 507"/>
                              <a:gd name="T4" fmla="*/ 33 w 313"/>
                              <a:gd name="T5" fmla="*/ 354 h 507"/>
                              <a:gd name="T6" fmla="*/ 0 w 313"/>
                              <a:gd name="T7" fmla="*/ 189 h 507"/>
                              <a:gd name="T8" fmla="*/ 0 w 313"/>
                              <a:gd name="T9" fmla="*/ 0 h 507"/>
                              <a:gd name="T10" fmla="*/ 249 w 313"/>
                              <a:gd name="T11" fmla="*/ 0 h 507"/>
                              <a:gd name="T12" fmla="*/ 249 w 313"/>
                              <a:gd name="T13" fmla="*/ 224 h 507"/>
                              <a:gd name="T14" fmla="*/ 313 w 313"/>
                              <a:gd name="T15" fmla="*/ 390 h 507"/>
                              <a:gd name="connsiteX0" fmla="*/ 10000 w 10000"/>
                              <a:gd name="connsiteY0" fmla="*/ 7692 h 10000"/>
                              <a:gd name="connsiteX1" fmla="*/ 5272 w 10000"/>
                              <a:gd name="connsiteY1" fmla="*/ 10000 h 10000"/>
                              <a:gd name="connsiteX2" fmla="*/ 1054 w 10000"/>
                              <a:gd name="connsiteY2" fmla="*/ 6982 h 10000"/>
                              <a:gd name="connsiteX3" fmla="*/ 0 w 10000"/>
                              <a:gd name="connsiteY3" fmla="*/ 3728 h 10000"/>
                              <a:gd name="connsiteX4" fmla="*/ 0 w 10000"/>
                              <a:gd name="connsiteY4" fmla="*/ 0 h 10000"/>
                              <a:gd name="connsiteX5" fmla="*/ 7955 w 10000"/>
                              <a:gd name="connsiteY5" fmla="*/ 0 h 10000"/>
                              <a:gd name="connsiteX6" fmla="*/ 7955 w 10000"/>
                              <a:gd name="connsiteY6" fmla="*/ 4418 h 10000"/>
                              <a:gd name="connsiteX7" fmla="*/ 10000 w 10000"/>
                              <a:gd name="connsiteY7" fmla="*/ 7692 h 10000"/>
                              <a:gd name="connsiteX8" fmla="*/ 10000 w 10000"/>
                              <a:gd name="connsiteY8" fmla="*/ 7692 h 10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000" h="10000">
                                <a:moveTo>
                                  <a:pt x="10000" y="7692"/>
                                </a:moveTo>
                                <a:lnTo>
                                  <a:pt x="5272" y="10000"/>
                                </a:lnTo>
                                <a:cubicBezTo>
                                  <a:pt x="3163" y="8817"/>
                                  <a:pt x="1757" y="7811"/>
                                  <a:pt x="1054" y="6982"/>
                                </a:cubicBezTo>
                                <a:cubicBezTo>
                                  <a:pt x="351" y="6154"/>
                                  <a:pt x="0" y="5069"/>
                                  <a:pt x="0" y="3728"/>
                                </a:cubicBezTo>
                                <a:lnTo>
                                  <a:pt x="0" y="0"/>
                                </a:lnTo>
                                <a:lnTo>
                                  <a:pt x="7955" y="0"/>
                                </a:lnTo>
                                <a:lnTo>
                                  <a:pt x="7955" y="4418"/>
                                </a:lnTo>
                                <a:cubicBezTo>
                                  <a:pt x="7955" y="5700"/>
                                  <a:pt x="8626" y="6785"/>
                                  <a:pt x="10000" y="7692"/>
                                </a:cubicBezTo>
                                <a:lnTo>
                                  <a:pt x="10000" y="7692"/>
                                </a:lnTo>
                                <a:close/>
                              </a:path>
                            </a:pathLst>
                          </a:custGeom>
                          <a:solidFill>
                            <a:sysClr val="window" lastClr="FFFFFF"/>
                          </a:solidFill>
                          <a:ln w="25400" cap="sq">
                            <a:solidFill>
                              <a:sysClr val="windowText" lastClr="000000"/>
                            </a:solidFill>
                            <a:round/>
                            <a:headEnd/>
                            <a:tailEnd/>
                          </a:ln>
                        </wps:spPr>
                        <wps:bodyPr vert="horz" wrap="square" lIns="91440" tIns="45720" rIns="91440" bIns="45720" numCol="1" anchor="t" anchorCtr="0" compatLnSpc="1">
                          <a:prstTxWarp prst="textNoShape">
                            <a:avLst/>
                          </a:prstTxWarp>
                        </wps:bodyPr>
                      </wps:wsp>
                    </wpg:wgp>
                  </a:graphicData>
                </a:graphic>
              </wp:anchor>
            </w:drawing>
          </mc:Choice>
          <mc:Fallback>
            <w:pict>
              <v:group w14:anchorId="0C35C450" id="Groupe 132" o:spid="_x0000_s1026" style="position:absolute;margin-left:3.35pt;margin-top:12.15pt;width:30.7pt;height:22.15pt;z-index:251795456;mso-position-horizontal-relative:margin" coordsize="480287,346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">
                <v:shape id="Freeform 81" o:spid="_x0000_s1027" style="position:absolute;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" path="m10000,7692l5272,10000c3163,8817,1757,7811,1054,6982,351,6154,,5069,,3728l,,7955,r,4418c7955,5700,8626,6785,10000,7692r,xe" fillcolor="#ffd400" strokecolor="windowText" strokeweight="2pt">
                  <v:stroke endcap="square"/>
                  <v:path arrowok="t" o:connecttype="custom" o:connectlocs="213810,266672;112721,346688;22536,242058;0,129245;0,0;170086,0;170086,153167;213810,266672;213810,266672" o:connectangles="0,0,0,0,0,0,0,0,0"/>
                </v:shape>
                <v:shape id="Freeform 81" o:spid="_x0000_s1028" style="position:absolute;left:266477;width:213810;height:346688;visibility:visible;mso-wrap-style:square;v-text-anchor:top" coordsize="10000,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" path="m10000,7692l5272,10000c3163,8817,1757,7811,1054,6982,351,6154,,5069,,3728l,,7955,r,4418c7955,5700,8626,6785,10000,7692r,xe" fillcolor="window" strokecolor="windowText" strokeweight="2pt">
                  <v:stroke endcap="square"/>
                  <v:path arrowok="t" o:connecttype="custom" o:connectlocs="213810,266672;112721,346688;22536,242058;0,129245;0,0;170086,0;170086,153167;213810,266672;213810,266672" o:connectangles="0,0,0,0,0,0,0,0,0"/>
                </v:shape>
                <w10:wrap anchorx="margin"/>
              </v:group>
            </w:pict>
          </mc:Fallback>
        </mc:AlternateContent>
      </w:r>
      <w:r w:rsidR="00EA46C2" w:rsidRPr="00A74D23">
        <w:rPr>
          <w:rFonts w:cs="Open Sans"/>
          <w:noProof/>
        </w:rPr>
        <mc:AlternateContent>
          <mc:Choice Requires="wps">
            <w:drawing>
              <wp:inline distT="0" distB="0" distL="0" distR="0" wp14:anchorId="1EA5012E" wp14:editId="537E03F1">
                <wp:extent cx="5646039" cy="3018898"/>
                <wp:effectExtent l="0" t="0" r="12065" b="10160"/>
                <wp:docPr id="1831776867" name="Rectangle : coins arrondis 1831776867"/>
                <wp:cNvGraphicFramePr/>
                <a:graphic xmlns:a="http://schemas.openxmlformats.org/drawingml/2006/main">
                  <a:graphicData uri="http://schemas.microsoft.com/office/word/2010/wordprocessingShape">
                    <wps:wsp>
                      <wps:cNvSpPr/>
                      <wps:spPr>
                        <a:xfrm>
                          <a:off x="0" y="0"/>
                          <a:ext cx="5646039" cy="3018898"/>
                        </a:xfrm>
                        <a:prstGeom prst="roundRect">
                          <a:avLst>
                            <a:gd name="adj" fmla="val 889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1035F6" w14:textId="77777777" w:rsidR="00EA46C2" w:rsidRPr="006209BA" w:rsidRDefault="00EA46C2" w:rsidP="00EA46C2">
                            <w:pPr>
                              <w:pStyle w:val="Citation0"/>
                              <w:rPr>
                                <w:color w:val="auto"/>
                              </w:rPr>
                            </w:pPr>
                          </w:p>
                        </w:txbxContent>
                      </wps:txbx>
                      <wps:bodyPr rot="0" spcFirstLastPara="0" vertOverflow="overflow" horzOverflow="overflow" vert="horz" wrap="square" lIns="180000" tIns="108000" rIns="180000" bIns="108000" numCol="1" spcCol="0" rtlCol="0" fromWordArt="0" anchor="ctr" anchorCtr="0" forceAA="0" compatLnSpc="1">
                        <a:prstTxWarp prst="textNoShape">
                          <a:avLst/>
                        </a:prstTxWarp>
                        <a:noAutofit/>
                      </wps:bodyPr>
                    </wps:wsp>
                  </a:graphicData>
                </a:graphic>
              </wp:inline>
            </w:drawing>
          </mc:Choice>
          <mc:Fallback>
            <w:pict>
              <v:roundrect w14:anchorId="1EA5012E" id="Rectangle : coins arrondis 1831776867" o:spid="_x0000_s1187" style="width:444.55pt;height:237.7pt;visibility:visible;mso-wrap-style:square;mso-left-percent:-10001;mso-top-percent:-10001;mso-position-horizontal:absolute;mso-position-horizontal-relative:char;mso-position-vertical:absolute;mso-position-vertical-relative:line;mso-left-percent:-10001;mso-top-percent:-10001;v-text-anchor:middle" arcsize="58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" fillcolor="white [3212]" strokecolor="black [3213]" strokeweight="1pt">
                <v:stroke joinstyle="miter"/>
                <v:textbox inset="5mm,3mm,5mm,3mm">
                  <w:txbxContent>
                    <w:p w14:paraId="461035F6" w14:textId="77777777" w:rsidR="00EA46C2" w:rsidRPr="006209BA" w:rsidRDefault="00EA46C2" w:rsidP="00EA46C2">
                      <w:pPr>
                        <w:pStyle w:val="Citation0"/>
                        <w:rPr>
                          <w:color w:val="auto"/>
                        </w:rPr>
                      </w:pPr>
                    </w:p>
                  </w:txbxContent>
                </v:textbox>
                <w10:anchorlock/>
              </v:roundrect>
            </w:pict>
          </mc:Fallback>
        </mc:AlternateContent>
      </w:r>
    </w:p>
    <w:p w14:paraId="1EAD735F" w14:textId="77777777" w:rsidR="009C56C2" w:rsidRPr="00A74D23" w:rsidRDefault="009C56C2" w:rsidP="009D6EE5">
      <w:pPr>
        <w:spacing w:line="22" w:lineRule="atLeast"/>
        <w:jc w:val="both"/>
        <w:rPr>
          <w:rFonts w:asciiTheme="minorHAnsi" w:hAnsiTheme="minorHAnsi"/>
          <w:b/>
          <w:bCs/>
          <w:sz w:val="32"/>
          <w:szCs w:val="32"/>
          <w:lang w:val="fr-FR"/>
        </w:rPr>
      </w:pPr>
    </w:p>
    <w:p w14:paraId="7CB66B9C" w14:textId="77777777" w:rsidR="009C56C2" w:rsidRDefault="009C56C2" w:rsidP="009D6EE5">
      <w:pPr>
        <w:spacing w:line="22" w:lineRule="atLeast"/>
        <w:jc w:val="both"/>
        <w:rPr>
          <w:rFonts w:asciiTheme="minorHAnsi" w:hAnsiTheme="minorHAnsi"/>
          <w:b/>
          <w:bCs/>
          <w:sz w:val="32"/>
          <w:szCs w:val="32"/>
          <w:lang w:val="fr-FR"/>
        </w:rPr>
      </w:pPr>
    </w:p>
    <w:p w14:paraId="10526477" w14:textId="77777777" w:rsidR="00D75905" w:rsidRPr="00A74D23" w:rsidRDefault="00D75905" w:rsidP="009D6EE5">
      <w:pPr>
        <w:spacing w:line="22" w:lineRule="atLeast"/>
        <w:jc w:val="both"/>
        <w:rPr>
          <w:rFonts w:asciiTheme="minorHAnsi" w:hAnsiTheme="minorHAnsi"/>
          <w:b/>
          <w:bCs/>
          <w:sz w:val="32"/>
          <w:szCs w:val="32"/>
          <w:lang w:val="fr-FR"/>
        </w:rPr>
      </w:pPr>
    </w:p>
    <w:p w14:paraId="3B062F53" w14:textId="22C1F573" w:rsidR="0091114B" w:rsidRPr="00A74D23" w:rsidRDefault="0091114B" w:rsidP="00590DD1">
      <w:pPr>
        <w:pStyle w:val="Style2"/>
        <w:numPr>
          <w:ilvl w:val="0"/>
          <w:numId w:val="67"/>
        </w:numPr>
        <w:spacing w:line="22" w:lineRule="atLeast"/>
        <w:jc w:val="both"/>
        <w:rPr>
          <w:rFonts w:asciiTheme="minorHAnsi" w:hAnsiTheme="minorHAnsi"/>
          <w:bCs/>
        </w:rPr>
      </w:pPr>
      <w:bookmarkStart w:id="102" w:name="_Toc231337028"/>
      <w:r w:rsidRPr="00A74D23">
        <w:rPr>
          <w:rFonts w:asciiTheme="minorHAnsi" w:hAnsiTheme="minorHAnsi" w:cs="Open Sans"/>
          <w:sz w:val="36"/>
          <w:szCs w:val="36"/>
        </w:rPr>
        <w:t>Dispositif de pilotage des risques de durabilité</w:t>
      </w:r>
      <w:bookmarkEnd w:id="102"/>
    </w:p>
    <w:p w14:paraId="1BD29AF5" w14:textId="77777777" w:rsidR="003C77BF" w:rsidRPr="00A74D23" w:rsidRDefault="003C77BF" w:rsidP="009D6EE5">
      <w:pPr>
        <w:pStyle w:val="Style5"/>
        <w:numPr>
          <w:ilvl w:val="0"/>
          <w:numId w:val="0"/>
        </w:numPr>
        <w:spacing w:line="22" w:lineRule="atLeast"/>
        <w:jc w:val="both"/>
        <w:rPr>
          <w:b/>
          <w:bCs/>
          <w:sz w:val="32"/>
          <w:szCs w:val="32"/>
        </w:rPr>
      </w:pPr>
    </w:p>
    <w:p w14:paraId="002644A0" w14:textId="77777777" w:rsidR="00772848" w:rsidRDefault="00772848" w:rsidP="00772848">
      <w:pPr>
        <w:pStyle w:val="Style5"/>
        <w:numPr>
          <w:ilvl w:val="0"/>
          <w:numId w:val="0"/>
        </w:numPr>
        <w:spacing w:line="22" w:lineRule="atLeast"/>
        <w:jc w:val="both"/>
        <w:rPr>
          <w:sz w:val="20"/>
          <w:szCs w:val="20"/>
        </w:rPr>
      </w:pPr>
      <w:r w:rsidRPr="009D6EE5">
        <w:rPr>
          <w:sz w:val="20"/>
          <w:szCs w:val="20"/>
        </w:rPr>
        <w:t xml:space="preserve">Abeille Assurances </w:t>
      </w:r>
      <w:r w:rsidRPr="1F4E19EF">
        <w:rPr>
          <w:sz w:val="20"/>
          <w:szCs w:val="20"/>
        </w:rPr>
        <w:t xml:space="preserve">dispose d’un </w:t>
      </w:r>
      <w:r w:rsidRPr="29FCACF5">
        <w:rPr>
          <w:sz w:val="20"/>
          <w:szCs w:val="20"/>
        </w:rPr>
        <w:t>cadre de gestion des risques</w:t>
      </w:r>
      <w:r w:rsidRPr="1F4E19EF">
        <w:rPr>
          <w:sz w:val="20"/>
          <w:szCs w:val="20"/>
        </w:rPr>
        <w:t xml:space="preserve"> incluant les</w:t>
      </w:r>
      <w:r w:rsidRPr="009D6EE5">
        <w:rPr>
          <w:sz w:val="20"/>
          <w:szCs w:val="20"/>
        </w:rPr>
        <w:t xml:space="preserve"> risques de durabilité, conform</w:t>
      </w:r>
      <w:r w:rsidRPr="31062735">
        <w:rPr>
          <w:sz w:val="20"/>
          <w:szCs w:val="20"/>
        </w:rPr>
        <w:t>ément</w:t>
      </w:r>
      <w:r w:rsidRPr="009D6EE5">
        <w:rPr>
          <w:sz w:val="20"/>
          <w:szCs w:val="20"/>
        </w:rPr>
        <w:t xml:space="preserve"> aux exigences de Solvabilité II révisée (article 45 bis), aux attentes de l'ACPR et aux standards internationaux de référence. </w:t>
      </w:r>
    </w:p>
    <w:p w14:paraId="02309076" w14:textId="77777777" w:rsidR="00772848" w:rsidRDefault="00772848" w:rsidP="00772848">
      <w:pPr>
        <w:pStyle w:val="Style5"/>
        <w:numPr>
          <w:ilvl w:val="0"/>
          <w:numId w:val="0"/>
        </w:numPr>
        <w:spacing w:line="22" w:lineRule="atLeast"/>
        <w:jc w:val="both"/>
        <w:rPr>
          <w:sz w:val="20"/>
          <w:szCs w:val="20"/>
        </w:rPr>
      </w:pPr>
    </w:p>
    <w:p w14:paraId="22159CF2" w14:textId="1C22ACE0" w:rsidR="00772848" w:rsidRPr="009D6EE5" w:rsidRDefault="00772848" w:rsidP="00772848">
      <w:pPr>
        <w:pStyle w:val="Style5"/>
        <w:numPr>
          <w:ilvl w:val="0"/>
          <w:numId w:val="0"/>
        </w:numPr>
        <w:spacing w:line="22" w:lineRule="atLeast"/>
        <w:jc w:val="both"/>
        <w:rPr>
          <w:sz w:val="20"/>
          <w:szCs w:val="20"/>
        </w:rPr>
      </w:pPr>
      <w:r w:rsidRPr="009D6EE5">
        <w:rPr>
          <w:sz w:val="20"/>
          <w:szCs w:val="20"/>
        </w:rPr>
        <w:t xml:space="preserve">Ce </w:t>
      </w:r>
      <w:r w:rsidRPr="11487937">
        <w:rPr>
          <w:sz w:val="20"/>
          <w:szCs w:val="20"/>
        </w:rPr>
        <w:t>cadre inclut</w:t>
      </w:r>
      <w:r>
        <w:rPr>
          <w:sz w:val="20"/>
          <w:szCs w:val="20"/>
        </w:rPr>
        <w:t xml:space="preserve"> </w:t>
      </w:r>
      <w:r w:rsidRPr="009D6EE5">
        <w:rPr>
          <w:sz w:val="20"/>
          <w:szCs w:val="20"/>
        </w:rPr>
        <w:t xml:space="preserve">l'ensemble des risques environnementaux, sociaux et de gouvernance susceptible d'affecter le bilan assurantiel, la performance financière ou la stratégie de l'entreprise. Il repose sur une </w:t>
      </w:r>
      <w:r w:rsidRPr="009D6EE5">
        <w:rPr>
          <w:sz w:val="20"/>
          <w:szCs w:val="20"/>
          <w:u w:val="single"/>
        </w:rPr>
        <w:t>gouvernance claire</w:t>
      </w:r>
      <w:r w:rsidRPr="009D6EE5">
        <w:rPr>
          <w:sz w:val="20"/>
          <w:szCs w:val="20"/>
        </w:rPr>
        <w:t xml:space="preserve">, des </w:t>
      </w:r>
      <w:r w:rsidRPr="009D6EE5">
        <w:rPr>
          <w:sz w:val="20"/>
          <w:szCs w:val="20"/>
          <w:u w:val="single"/>
        </w:rPr>
        <w:t>outils de pilotage opérationnels</w:t>
      </w:r>
      <w:r w:rsidRPr="009D6EE5">
        <w:rPr>
          <w:sz w:val="20"/>
          <w:szCs w:val="20"/>
        </w:rPr>
        <w:t xml:space="preserve"> et </w:t>
      </w:r>
      <w:r w:rsidRPr="009D6EE5">
        <w:rPr>
          <w:sz w:val="20"/>
          <w:szCs w:val="20"/>
          <w:u w:val="single"/>
        </w:rPr>
        <w:t>une intégration prospective dans l'évaluation interne des risques (ORSA)</w:t>
      </w:r>
      <w:r w:rsidRPr="009D6EE5">
        <w:rPr>
          <w:sz w:val="20"/>
          <w:szCs w:val="20"/>
        </w:rPr>
        <w:t>.</w:t>
      </w:r>
    </w:p>
    <w:p w14:paraId="3232A2CB" w14:textId="77777777" w:rsidR="00772848" w:rsidRPr="009D6EE5" w:rsidRDefault="00772848" w:rsidP="00772848">
      <w:pPr>
        <w:pStyle w:val="Style5"/>
        <w:numPr>
          <w:ilvl w:val="0"/>
          <w:numId w:val="0"/>
        </w:numPr>
        <w:spacing w:line="22" w:lineRule="atLeast"/>
        <w:ind w:left="-426"/>
        <w:jc w:val="both"/>
        <w:rPr>
          <w:sz w:val="20"/>
          <w:szCs w:val="20"/>
        </w:rPr>
      </w:pPr>
    </w:p>
    <w:p w14:paraId="5B9C0609" w14:textId="77777777" w:rsidR="00772848" w:rsidRPr="009D6EE5" w:rsidRDefault="00772848" w:rsidP="00772848">
      <w:pPr>
        <w:pStyle w:val="Style5"/>
        <w:numPr>
          <w:ilvl w:val="0"/>
          <w:numId w:val="0"/>
        </w:numPr>
        <w:spacing w:line="22" w:lineRule="atLeast"/>
        <w:jc w:val="both"/>
        <w:rPr>
          <w:sz w:val="20"/>
          <w:szCs w:val="20"/>
        </w:rPr>
      </w:pPr>
      <w:r w:rsidRPr="009D6EE5">
        <w:rPr>
          <w:sz w:val="20"/>
          <w:szCs w:val="20"/>
        </w:rPr>
        <w:t>Le risque de durabilité est pleinement intégré au dispositif de gouvernance d’Abeille Assurances. Les rôles et responsabilités des différentes instances impliquées dans son pilotage sont décrits de manière détaillée en partie D du présent rapport.</w:t>
      </w:r>
    </w:p>
    <w:p w14:paraId="045E913A" w14:textId="77777777" w:rsidR="00E35B8C" w:rsidRPr="00A74D23" w:rsidRDefault="00E35B8C" w:rsidP="009D6EE5">
      <w:pPr>
        <w:pStyle w:val="Style5"/>
        <w:numPr>
          <w:ilvl w:val="0"/>
          <w:numId w:val="0"/>
        </w:numPr>
        <w:spacing w:line="22" w:lineRule="atLeast"/>
        <w:ind w:left="-426"/>
        <w:jc w:val="both"/>
        <w:rPr>
          <w:sz w:val="20"/>
          <w:szCs w:val="20"/>
        </w:rPr>
      </w:pPr>
    </w:p>
    <w:p w14:paraId="0E6AA9C2" w14:textId="77777777" w:rsidR="00E35B8C" w:rsidRPr="00A74D23" w:rsidRDefault="00E35B8C" w:rsidP="009D6EE5">
      <w:pPr>
        <w:pStyle w:val="Style5"/>
        <w:numPr>
          <w:ilvl w:val="0"/>
          <w:numId w:val="0"/>
        </w:numPr>
        <w:spacing w:line="22" w:lineRule="atLeast"/>
        <w:ind w:left="-426"/>
        <w:jc w:val="both"/>
        <w:rPr>
          <w:sz w:val="20"/>
          <w:szCs w:val="20"/>
        </w:rPr>
      </w:pPr>
    </w:p>
    <w:p w14:paraId="0B6A8435" w14:textId="6FD67852" w:rsidR="005343F7" w:rsidRPr="00A74D23" w:rsidRDefault="00E35B8C" w:rsidP="00590DD1">
      <w:pPr>
        <w:pStyle w:val="Paragraphedeliste"/>
        <w:numPr>
          <w:ilvl w:val="1"/>
          <w:numId w:val="67"/>
        </w:numPr>
        <w:spacing w:line="22" w:lineRule="atLeast"/>
        <w:jc w:val="both"/>
        <w:rPr>
          <w:b/>
          <w:bCs/>
          <w:sz w:val="32"/>
          <w:szCs w:val="32"/>
          <w:lang w:val="en-US"/>
        </w:rPr>
      </w:pPr>
      <w:r w:rsidRPr="00A74D23">
        <w:rPr>
          <w:b/>
          <w:bCs/>
          <w:sz w:val="32"/>
          <w:szCs w:val="32"/>
          <w:lang w:val="en-US"/>
        </w:rPr>
        <w:t xml:space="preserve">Définir des Key Risk Indicators </w:t>
      </w:r>
    </w:p>
    <w:p w14:paraId="14B6A464" w14:textId="5596979F" w:rsidR="00795063" w:rsidRPr="00A74D23" w:rsidRDefault="00795063" w:rsidP="009D6EE5">
      <w:pPr>
        <w:pStyle w:val="Style5"/>
        <w:numPr>
          <w:ilvl w:val="0"/>
          <w:numId w:val="0"/>
        </w:numPr>
        <w:spacing w:line="22" w:lineRule="atLeast"/>
        <w:jc w:val="both"/>
        <w:rPr>
          <w:sz w:val="20"/>
          <w:szCs w:val="20"/>
        </w:rPr>
      </w:pPr>
      <w:r w:rsidRPr="00A74D23">
        <w:rPr>
          <w:sz w:val="20"/>
          <w:szCs w:val="20"/>
        </w:rPr>
        <w:t>Sur le plan opérationnel, Abeille Assurances a décliné, pour chacun des risques de durabilité identifiés, un ensemble structuré d’indicateurs clés de risque (Key Risk Indicators – KRI) permettant un pilotage continu et prospectif des expositions aux risques de durabilité. Ces indicateurs couvrent l’ensemble des dimensions environnementales, sociales et de gouvernance. Les dispositifs de maîtrise et de réduction des risques de durabilité mis en œuvre dans la gestion des portefeuilles d’investissement, et mobilisés pour le pilotage de ces KRI, sont synthétisés ci</w:t>
      </w:r>
      <w:r w:rsidRPr="00A74D23">
        <w:rPr>
          <w:sz w:val="20"/>
          <w:szCs w:val="20"/>
        </w:rPr>
        <w:noBreakHyphen/>
        <w:t>après</w:t>
      </w:r>
      <w:r w:rsidR="00E54CFE" w:rsidRPr="00A74D23">
        <w:rPr>
          <w:sz w:val="20"/>
          <w:szCs w:val="20"/>
        </w:rPr>
        <w:t>.</w:t>
      </w:r>
    </w:p>
    <w:p w14:paraId="5B9B5E10" w14:textId="77777777" w:rsidR="005343F7" w:rsidRPr="00A74D23" w:rsidRDefault="005343F7" w:rsidP="009D6EE5">
      <w:pPr>
        <w:pStyle w:val="Style5"/>
        <w:numPr>
          <w:ilvl w:val="0"/>
          <w:numId w:val="0"/>
        </w:numPr>
        <w:spacing w:line="22" w:lineRule="atLeast"/>
        <w:jc w:val="both"/>
        <w:rPr>
          <w:sz w:val="20"/>
          <w:szCs w:val="20"/>
        </w:rPr>
      </w:pPr>
    </w:p>
    <w:tbl>
      <w:tblPr>
        <w:tblpPr w:leftFromText="180" w:rightFromText="180" w:vertAnchor="text" w:horzAnchor="margin" w:tblpXSpec="center" w:tblpY="20"/>
        <w:tblW w:w="10720" w:type="dxa"/>
        <w:tblLook w:val="04A0" w:firstRow="1" w:lastRow="0" w:firstColumn="1" w:lastColumn="0" w:noHBand="0" w:noVBand="1"/>
      </w:tblPr>
      <w:tblGrid>
        <w:gridCol w:w="2680"/>
        <w:gridCol w:w="2680"/>
        <w:gridCol w:w="2680"/>
        <w:gridCol w:w="2680"/>
      </w:tblGrid>
      <w:tr w:rsidR="005343F7" w:rsidRPr="00933E48" w14:paraId="7F5E97B9" w14:textId="77777777" w:rsidTr="00AC5048">
        <w:trPr>
          <w:trHeight w:val="480"/>
        </w:trPr>
        <w:tc>
          <w:tcPr>
            <w:tcW w:w="2680" w:type="dxa"/>
            <w:tcBorders>
              <w:top w:val="single" w:sz="8" w:space="0" w:color="auto"/>
              <w:left w:val="single" w:sz="8" w:space="0" w:color="auto"/>
              <w:bottom w:val="nil"/>
              <w:right w:val="nil"/>
            </w:tcBorders>
            <w:shd w:val="clear" w:color="auto" w:fill="FFD400" w:themeFill="accent1"/>
            <w:vAlign w:val="center"/>
            <w:hideMark/>
          </w:tcPr>
          <w:p w14:paraId="570B6875" w14:textId="77777777" w:rsidR="005343F7" w:rsidRPr="00A74D23" w:rsidRDefault="005343F7" w:rsidP="009D6EE5">
            <w:pPr>
              <w:spacing w:line="22" w:lineRule="atLeast"/>
              <w:jc w:val="both"/>
              <w:rPr>
                <w:rFonts w:asciiTheme="minorHAnsi" w:hAnsiTheme="minorHAnsi"/>
                <w:b/>
                <w:bCs/>
                <w:color w:val="000000"/>
                <w:sz w:val="20"/>
                <w:szCs w:val="20"/>
              </w:rPr>
            </w:pPr>
            <w:r w:rsidRPr="00A74D23">
              <w:rPr>
                <w:rFonts w:asciiTheme="minorHAnsi" w:hAnsiTheme="minorHAnsi"/>
                <w:b/>
                <w:bCs/>
                <w:color w:val="000000"/>
                <w:sz w:val="20"/>
                <w:szCs w:val="20"/>
                <w:lang w:val="fr-FR"/>
              </w:rPr>
              <w:t>Type de risque</w:t>
            </w:r>
          </w:p>
        </w:tc>
        <w:tc>
          <w:tcPr>
            <w:tcW w:w="2680" w:type="dxa"/>
            <w:tcBorders>
              <w:top w:val="single" w:sz="8" w:space="0" w:color="auto"/>
              <w:left w:val="nil"/>
              <w:bottom w:val="nil"/>
              <w:right w:val="nil"/>
            </w:tcBorders>
            <w:shd w:val="clear" w:color="auto" w:fill="FFD400" w:themeFill="accent1"/>
            <w:vAlign w:val="center"/>
            <w:hideMark/>
          </w:tcPr>
          <w:p w14:paraId="6BB33368" w14:textId="77777777" w:rsidR="005343F7" w:rsidRPr="00A74D23" w:rsidRDefault="005343F7" w:rsidP="009D6EE5">
            <w:pPr>
              <w:spacing w:line="22" w:lineRule="atLeast"/>
              <w:jc w:val="both"/>
              <w:rPr>
                <w:rFonts w:asciiTheme="minorHAnsi" w:hAnsiTheme="minorHAnsi"/>
                <w:b/>
                <w:bCs/>
                <w:color w:val="000000"/>
                <w:sz w:val="20"/>
                <w:szCs w:val="20"/>
              </w:rPr>
            </w:pPr>
            <w:r w:rsidRPr="00A74D23">
              <w:rPr>
                <w:rFonts w:asciiTheme="minorHAnsi" w:hAnsiTheme="minorHAnsi"/>
                <w:b/>
                <w:bCs/>
                <w:color w:val="000000"/>
                <w:sz w:val="20"/>
                <w:szCs w:val="20"/>
                <w:lang w:val="fr-FR"/>
              </w:rPr>
              <w:t>Périmètre / Classe d’actifs principales</w:t>
            </w:r>
          </w:p>
        </w:tc>
        <w:tc>
          <w:tcPr>
            <w:tcW w:w="2680" w:type="dxa"/>
            <w:tcBorders>
              <w:top w:val="single" w:sz="8" w:space="0" w:color="auto"/>
              <w:left w:val="nil"/>
              <w:bottom w:val="nil"/>
              <w:right w:val="nil"/>
            </w:tcBorders>
            <w:shd w:val="clear" w:color="auto" w:fill="FFD400" w:themeFill="accent1"/>
            <w:vAlign w:val="center"/>
            <w:hideMark/>
          </w:tcPr>
          <w:p w14:paraId="54C813FE" w14:textId="77777777" w:rsidR="005343F7" w:rsidRPr="00A74D23" w:rsidRDefault="005343F7" w:rsidP="009D6EE5">
            <w:pPr>
              <w:spacing w:line="22" w:lineRule="atLeast"/>
              <w:jc w:val="both"/>
              <w:rPr>
                <w:rFonts w:asciiTheme="minorHAnsi" w:hAnsiTheme="minorHAnsi"/>
                <w:b/>
                <w:bCs/>
                <w:color w:val="000000"/>
                <w:sz w:val="20"/>
                <w:szCs w:val="20"/>
              </w:rPr>
            </w:pPr>
            <w:r w:rsidRPr="00A74D23">
              <w:rPr>
                <w:rFonts w:asciiTheme="minorHAnsi" w:hAnsiTheme="minorHAnsi"/>
                <w:b/>
                <w:bCs/>
                <w:color w:val="000000"/>
                <w:sz w:val="20"/>
                <w:szCs w:val="20"/>
                <w:lang w:val="fr-FR"/>
              </w:rPr>
              <w:t>Facteurs de risque</w:t>
            </w:r>
          </w:p>
        </w:tc>
        <w:tc>
          <w:tcPr>
            <w:tcW w:w="2680" w:type="dxa"/>
            <w:tcBorders>
              <w:top w:val="single" w:sz="8" w:space="0" w:color="auto"/>
              <w:left w:val="nil"/>
              <w:bottom w:val="nil"/>
              <w:right w:val="single" w:sz="8" w:space="0" w:color="auto"/>
            </w:tcBorders>
            <w:shd w:val="clear" w:color="auto" w:fill="FFD400" w:themeFill="accent1"/>
            <w:vAlign w:val="center"/>
            <w:hideMark/>
          </w:tcPr>
          <w:p w14:paraId="1AB3D0D1" w14:textId="77777777" w:rsidR="005343F7" w:rsidRPr="00A74D23" w:rsidRDefault="005343F7" w:rsidP="009D6EE5">
            <w:pPr>
              <w:spacing w:line="22" w:lineRule="atLeast"/>
              <w:jc w:val="both"/>
              <w:rPr>
                <w:rFonts w:asciiTheme="minorHAnsi" w:hAnsiTheme="minorHAnsi"/>
                <w:b/>
                <w:bCs/>
                <w:color w:val="000000"/>
                <w:sz w:val="20"/>
                <w:szCs w:val="20"/>
                <w:lang w:val="fr-FR"/>
              </w:rPr>
            </w:pPr>
            <w:r w:rsidRPr="00A74D23">
              <w:rPr>
                <w:rFonts w:asciiTheme="minorHAnsi" w:hAnsiTheme="minorHAnsi"/>
                <w:b/>
                <w:bCs/>
                <w:color w:val="000000"/>
                <w:sz w:val="20"/>
                <w:szCs w:val="20"/>
                <w:lang w:val="fr-FR"/>
              </w:rPr>
              <w:t>Principale action de gestion du risque</w:t>
            </w:r>
          </w:p>
        </w:tc>
      </w:tr>
      <w:tr w:rsidR="005343F7" w:rsidRPr="00933E48" w14:paraId="269AC90E" w14:textId="77777777" w:rsidTr="00AC5048">
        <w:trPr>
          <w:trHeight w:val="480"/>
        </w:trPr>
        <w:tc>
          <w:tcPr>
            <w:tcW w:w="2680" w:type="dxa"/>
            <w:tcBorders>
              <w:top w:val="single" w:sz="12" w:space="0" w:color="auto"/>
              <w:left w:val="single" w:sz="12" w:space="0" w:color="auto"/>
              <w:bottom w:val="single" w:sz="8" w:space="0" w:color="auto"/>
              <w:right w:val="single" w:sz="8" w:space="0" w:color="auto"/>
            </w:tcBorders>
            <w:shd w:val="clear" w:color="auto" w:fill="F1CCC9" w:themeFill="accent2" w:themeFillTint="33"/>
            <w:vAlign w:val="center"/>
            <w:hideMark/>
          </w:tcPr>
          <w:p w14:paraId="6AEF7E14" w14:textId="77777777" w:rsidR="005343F7" w:rsidRPr="00A74D23" w:rsidRDefault="005343F7" w:rsidP="009D6EE5">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Risques sociaux et gouvernance</w:t>
            </w:r>
          </w:p>
        </w:tc>
        <w:tc>
          <w:tcPr>
            <w:tcW w:w="2680" w:type="dxa"/>
            <w:tcBorders>
              <w:top w:val="single" w:sz="12" w:space="0" w:color="auto"/>
              <w:left w:val="nil"/>
              <w:bottom w:val="single" w:sz="8" w:space="0" w:color="auto"/>
              <w:right w:val="single" w:sz="8" w:space="0" w:color="auto"/>
            </w:tcBorders>
            <w:vAlign w:val="center"/>
            <w:hideMark/>
          </w:tcPr>
          <w:p w14:paraId="00C4B86F" w14:textId="77777777" w:rsidR="005343F7" w:rsidRPr="00A74D23" w:rsidRDefault="005343F7" w:rsidP="009D6EE5">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Corporate</w:t>
            </w:r>
          </w:p>
        </w:tc>
        <w:tc>
          <w:tcPr>
            <w:tcW w:w="2680" w:type="dxa"/>
            <w:tcBorders>
              <w:top w:val="single" w:sz="12" w:space="0" w:color="auto"/>
              <w:left w:val="nil"/>
              <w:bottom w:val="single" w:sz="8" w:space="0" w:color="auto"/>
              <w:right w:val="single" w:sz="8" w:space="0" w:color="auto"/>
            </w:tcBorders>
            <w:vAlign w:val="center"/>
            <w:hideMark/>
          </w:tcPr>
          <w:p w14:paraId="15E434D9" w14:textId="07B105F0" w:rsidR="005343F7" w:rsidRPr="00A74D23" w:rsidRDefault="005343F7" w:rsidP="009D6EE5">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Score ESG</w:t>
            </w:r>
            <w:r w:rsidR="00CF2392">
              <w:rPr>
                <w:rFonts w:asciiTheme="minorHAnsi" w:hAnsiTheme="minorHAnsi"/>
                <w:color w:val="000000"/>
                <w:sz w:val="16"/>
                <w:szCs w:val="16"/>
                <w:lang w:val="fr-FR"/>
              </w:rPr>
              <w:t>,</w:t>
            </w:r>
            <w:r w:rsidRPr="00A74D23">
              <w:rPr>
                <w:rFonts w:asciiTheme="minorHAnsi" w:hAnsiTheme="minorHAnsi"/>
                <w:color w:val="000000"/>
                <w:sz w:val="16"/>
                <w:szCs w:val="16"/>
                <w:lang w:val="fr-FR"/>
              </w:rPr>
              <w:t xml:space="preserve"> catégorie ISR</w:t>
            </w:r>
            <w:r w:rsidR="00D92B17">
              <w:rPr>
                <w:rFonts w:asciiTheme="minorHAnsi" w:hAnsiTheme="minorHAnsi"/>
                <w:color w:val="000000"/>
                <w:sz w:val="16"/>
                <w:szCs w:val="16"/>
                <w:lang w:val="fr-FR"/>
              </w:rPr>
              <w:t xml:space="preserve"> </w:t>
            </w:r>
            <w:r w:rsidR="00CF2392">
              <w:rPr>
                <w:rFonts w:asciiTheme="minorHAnsi" w:hAnsiTheme="minorHAnsi"/>
                <w:color w:val="000000"/>
                <w:sz w:val="16"/>
                <w:szCs w:val="16"/>
                <w:lang w:val="fr-FR"/>
              </w:rPr>
              <w:t xml:space="preserve">et multiples indicateurs S et G </w:t>
            </w:r>
            <w:r w:rsidR="00D92B17">
              <w:rPr>
                <w:rFonts w:asciiTheme="minorHAnsi" w:hAnsiTheme="minorHAnsi"/>
                <w:color w:val="000000"/>
                <w:sz w:val="16"/>
                <w:szCs w:val="16"/>
                <w:lang w:val="fr-FR"/>
              </w:rPr>
              <w:t>identifiés dans le cadre CSRD</w:t>
            </w:r>
          </w:p>
        </w:tc>
        <w:tc>
          <w:tcPr>
            <w:tcW w:w="2680" w:type="dxa"/>
            <w:tcBorders>
              <w:top w:val="single" w:sz="12" w:space="0" w:color="auto"/>
              <w:left w:val="nil"/>
              <w:bottom w:val="single" w:sz="8" w:space="0" w:color="auto"/>
              <w:right w:val="single" w:sz="12" w:space="0" w:color="auto"/>
            </w:tcBorders>
            <w:vAlign w:val="center"/>
            <w:hideMark/>
          </w:tcPr>
          <w:p w14:paraId="6ECC16FD" w14:textId="77777777" w:rsidR="005343F7" w:rsidRPr="00A74D23" w:rsidRDefault="005343F7" w:rsidP="009D6EE5">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Listes d'exclusions, pilotage du score, sélection d'actifs best-in class</w:t>
            </w:r>
          </w:p>
        </w:tc>
      </w:tr>
      <w:tr w:rsidR="00B35257" w:rsidRPr="00A74D23" w14:paraId="322D6CBD" w14:textId="77777777" w:rsidTr="00B35257">
        <w:trPr>
          <w:trHeight w:val="480"/>
        </w:trPr>
        <w:tc>
          <w:tcPr>
            <w:tcW w:w="2680" w:type="dxa"/>
            <w:tcBorders>
              <w:top w:val="single" w:sz="12" w:space="0" w:color="auto"/>
              <w:left w:val="single" w:sz="12" w:space="0" w:color="auto"/>
              <w:bottom w:val="single" w:sz="8" w:space="0" w:color="auto"/>
              <w:right w:val="single" w:sz="8" w:space="0" w:color="auto"/>
            </w:tcBorders>
            <w:shd w:val="clear" w:color="auto" w:fill="F1CCC9" w:themeFill="accent2" w:themeFillTint="33"/>
            <w:vAlign w:val="center"/>
          </w:tcPr>
          <w:p w14:paraId="41D5C952" w14:textId="2244DC93" w:rsidR="00B35257" w:rsidRPr="00A74D23" w:rsidRDefault="00B35257" w:rsidP="00B35257">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Risques sociaux et gouvernance</w:t>
            </w:r>
          </w:p>
        </w:tc>
        <w:tc>
          <w:tcPr>
            <w:tcW w:w="2680" w:type="dxa"/>
            <w:tcBorders>
              <w:top w:val="single" w:sz="12" w:space="0" w:color="auto"/>
              <w:left w:val="nil"/>
              <w:bottom w:val="single" w:sz="8" w:space="0" w:color="auto"/>
              <w:right w:val="single" w:sz="8" w:space="0" w:color="auto"/>
            </w:tcBorders>
            <w:vAlign w:val="center"/>
          </w:tcPr>
          <w:p w14:paraId="41992DCC" w14:textId="46CEAAC6" w:rsidR="00B35257" w:rsidRPr="00A74D23" w:rsidRDefault="00B35257" w:rsidP="00B35257">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Souverain</w:t>
            </w:r>
          </w:p>
        </w:tc>
        <w:tc>
          <w:tcPr>
            <w:tcW w:w="2680" w:type="dxa"/>
            <w:tcBorders>
              <w:top w:val="single" w:sz="12" w:space="0" w:color="auto"/>
              <w:left w:val="nil"/>
              <w:bottom w:val="single" w:sz="8" w:space="0" w:color="auto"/>
              <w:right w:val="single" w:sz="8" w:space="0" w:color="auto"/>
            </w:tcBorders>
            <w:vAlign w:val="center"/>
          </w:tcPr>
          <w:p w14:paraId="2C7ED13D" w14:textId="41215A83" w:rsidR="00B35257" w:rsidRPr="00A74D23" w:rsidRDefault="00B35257" w:rsidP="00B35257">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Score ESG</w:t>
            </w:r>
            <w:r w:rsidR="00CF2392">
              <w:rPr>
                <w:rFonts w:asciiTheme="minorHAnsi" w:hAnsiTheme="minorHAnsi"/>
                <w:color w:val="000000"/>
                <w:sz w:val="16"/>
                <w:szCs w:val="16"/>
                <w:lang w:val="fr-FR"/>
              </w:rPr>
              <w:t xml:space="preserve">, </w:t>
            </w:r>
            <w:r w:rsidRPr="00A74D23">
              <w:rPr>
                <w:rFonts w:asciiTheme="minorHAnsi" w:hAnsiTheme="minorHAnsi"/>
                <w:color w:val="000000"/>
                <w:sz w:val="16"/>
                <w:szCs w:val="16"/>
                <w:lang w:val="fr-FR"/>
              </w:rPr>
              <w:t>catégorie ISR</w:t>
            </w:r>
          </w:p>
        </w:tc>
        <w:tc>
          <w:tcPr>
            <w:tcW w:w="2680" w:type="dxa"/>
            <w:tcBorders>
              <w:top w:val="single" w:sz="12" w:space="0" w:color="auto"/>
              <w:left w:val="nil"/>
              <w:bottom w:val="single" w:sz="8" w:space="0" w:color="auto"/>
              <w:right w:val="single" w:sz="12" w:space="0" w:color="auto"/>
            </w:tcBorders>
            <w:vAlign w:val="center"/>
          </w:tcPr>
          <w:p w14:paraId="182DDABE" w14:textId="4C7632D9" w:rsidR="00B35257" w:rsidRPr="00A74D23" w:rsidRDefault="00B35257" w:rsidP="00B35257">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rPr>
              <w:t>Pilotage et reporting</w:t>
            </w:r>
          </w:p>
        </w:tc>
      </w:tr>
      <w:tr w:rsidR="006449EF" w:rsidRPr="00601C93" w14:paraId="5DDBF0EC" w14:textId="77777777" w:rsidTr="00B35257">
        <w:trPr>
          <w:trHeight w:val="480"/>
        </w:trPr>
        <w:tc>
          <w:tcPr>
            <w:tcW w:w="2680" w:type="dxa"/>
            <w:tcBorders>
              <w:top w:val="single" w:sz="12" w:space="0" w:color="auto"/>
              <w:left w:val="single" w:sz="12" w:space="0" w:color="auto"/>
              <w:bottom w:val="single" w:sz="8" w:space="0" w:color="auto"/>
              <w:right w:val="single" w:sz="8" w:space="0" w:color="auto"/>
            </w:tcBorders>
            <w:shd w:val="clear" w:color="auto" w:fill="F1CCC9" w:themeFill="accent2" w:themeFillTint="33"/>
            <w:vAlign w:val="center"/>
          </w:tcPr>
          <w:p w14:paraId="4D66F799" w14:textId="48A8B863" w:rsidR="006449EF" w:rsidRPr="00A74D23" w:rsidRDefault="006449EF" w:rsidP="006449EF">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Risques sociaux et gouvernance</w:t>
            </w:r>
          </w:p>
        </w:tc>
        <w:tc>
          <w:tcPr>
            <w:tcW w:w="2680" w:type="dxa"/>
            <w:tcBorders>
              <w:top w:val="single" w:sz="12" w:space="0" w:color="auto"/>
              <w:left w:val="nil"/>
              <w:bottom w:val="single" w:sz="8" w:space="0" w:color="auto"/>
              <w:right w:val="single" w:sz="8" w:space="0" w:color="auto"/>
            </w:tcBorders>
            <w:vAlign w:val="center"/>
          </w:tcPr>
          <w:p w14:paraId="02357D54" w14:textId="0BB6893B" w:rsidR="006449EF" w:rsidRPr="00A74D23" w:rsidRDefault="006449EF" w:rsidP="006449EF">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Immobilier</w:t>
            </w:r>
          </w:p>
        </w:tc>
        <w:tc>
          <w:tcPr>
            <w:tcW w:w="2680" w:type="dxa"/>
            <w:tcBorders>
              <w:top w:val="single" w:sz="12" w:space="0" w:color="auto"/>
              <w:left w:val="nil"/>
              <w:bottom w:val="single" w:sz="8" w:space="0" w:color="auto"/>
              <w:right w:val="single" w:sz="8" w:space="0" w:color="auto"/>
            </w:tcBorders>
            <w:vAlign w:val="center"/>
          </w:tcPr>
          <w:p w14:paraId="5915C3B3" w14:textId="2EBDF9CB" w:rsidR="006449EF" w:rsidRPr="00A74D23" w:rsidRDefault="006449EF" w:rsidP="00D92B17">
            <w:pPr>
              <w:rPr>
                <w:rFonts w:asciiTheme="minorHAnsi" w:hAnsiTheme="minorHAnsi"/>
                <w:color w:val="000000"/>
                <w:sz w:val="16"/>
                <w:szCs w:val="16"/>
                <w:lang w:val="fr-FR"/>
              </w:rPr>
            </w:pPr>
            <w:r w:rsidRPr="00A74D23">
              <w:rPr>
                <w:rFonts w:asciiTheme="minorHAnsi" w:hAnsiTheme="minorHAnsi"/>
                <w:color w:val="000000"/>
                <w:sz w:val="16"/>
                <w:szCs w:val="16"/>
                <w:lang w:val="fr-FR"/>
              </w:rPr>
              <w:t>Score ESG</w:t>
            </w:r>
            <w:r w:rsidR="00D92B17">
              <w:rPr>
                <w:rFonts w:asciiTheme="minorHAnsi" w:hAnsiTheme="minorHAnsi"/>
                <w:color w:val="000000"/>
                <w:sz w:val="16"/>
                <w:szCs w:val="16"/>
                <w:lang w:val="fr-FR"/>
              </w:rPr>
              <w:t>, indicateurs spécifiques</w:t>
            </w:r>
          </w:p>
        </w:tc>
        <w:tc>
          <w:tcPr>
            <w:tcW w:w="2680" w:type="dxa"/>
            <w:tcBorders>
              <w:top w:val="single" w:sz="12" w:space="0" w:color="auto"/>
              <w:left w:val="nil"/>
              <w:bottom w:val="single" w:sz="8" w:space="0" w:color="auto"/>
              <w:right w:val="single" w:sz="12" w:space="0" w:color="auto"/>
            </w:tcBorders>
            <w:vAlign w:val="center"/>
          </w:tcPr>
          <w:p w14:paraId="33018F1C" w14:textId="52541F8A" w:rsidR="006449EF" w:rsidRPr="00A74D23" w:rsidRDefault="006449EF" w:rsidP="006449EF">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Listes d'exclusions, pilotage du score, sélection d'actifs best-in class</w:t>
            </w:r>
          </w:p>
        </w:tc>
      </w:tr>
      <w:tr w:rsidR="006449EF" w:rsidRPr="00A74D23" w14:paraId="4E4E1230" w14:textId="77777777" w:rsidTr="00AC5048">
        <w:trPr>
          <w:trHeight w:val="480"/>
        </w:trPr>
        <w:tc>
          <w:tcPr>
            <w:tcW w:w="2680" w:type="dxa"/>
            <w:tcBorders>
              <w:top w:val="nil"/>
              <w:left w:val="single" w:sz="12" w:space="0" w:color="auto"/>
              <w:bottom w:val="single" w:sz="8" w:space="0" w:color="auto"/>
              <w:right w:val="single" w:sz="8" w:space="0" w:color="auto"/>
            </w:tcBorders>
            <w:shd w:val="clear" w:color="auto" w:fill="B5DDDA" w:themeFill="background2" w:themeFillTint="66"/>
            <w:vAlign w:val="center"/>
            <w:hideMark/>
          </w:tcPr>
          <w:p w14:paraId="1B1FF7ED" w14:textId="77777777" w:rsidR="006449EF" w:rsidRPr="00A74D23" w:rsidRDefault="006449EF" w:rsidP="006449EF">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lang w:val="fr-FR"/>
              </w:rPr>
              <w:t>Risques de transition climatique</w:t>
            </w:r>
          </w:p>
        </w:tc>
        <w:tc>
          <w:tcPr>
            <w:tcW w:w="2680" w:type="dxa"/>
            <w:tcBorders>
              <w:top w:val="nil"/>
              <w:left w:val="nil"/>
              <w:bottom w:val="single" w:sz="8" w:space="0" w:color="auto"/>
              <w:right w:val="single" w:sz="8" w:space="0" w:color="auto"/>
            </w:tcBorders>
            <w:vAlign w:val="center"/>
            <w:hideMark/>
          </w:tcPr>
          <w:p w14:paraId="347710C5" w14:textId="77777777" w:rsidR="006449EF" w:rsidRPr="00A74D23" w:rsidRDefault="006449EF" w:rsidP="006449EF">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Corporate</w:t>
            </w:r>
          </w:p>
        </w:tc>
        <w:tc>
          <w:tcPr>
            <w:tcW w:w="2680" w:type="dxa"/>
            <w:tcBorders>
              <w:top w:val="nil"/>
              <w:left w:val="nil"/>
              <w:bottom w:val="single" w:sz="8" w:space="0" w:color="auto"/>
              <w:right w:val="single" w:sz="8" w:space="0" w:color="auto"/>
            </w:tcBorders>
            <w:vAlign w:val="center"/>
            <w:hideMark/>
          </w:tcPr>
          <w:p w14:paraId="56CB2EF4" w14:textId="77777777" w:rsidR="006449EF" w:rsidRPr="00A74D23" w:rsidRDefault="006449EF" w:rsidP="006449EF">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lang w:val="fr-FR"/>
              </w:rPr>
              <w:t>Climate Var Transition risks</w:t>
            </w:r>
          </w:p>
        </w:tc>
        <w:tc>
          <w:tcPr>
            <w:tcW w:w="2680" w:type="dxa"/>
            <w:tcBorders>
              <w:top w:val="nil"/>
              <w:left w:val="nil"/>
              <w:bottom w:val="single" w:sz="8" w:space="0" w:color="auto"/>
              <w:right w:val="single" w:sz="12" w:space="0" w:color="auto"/>
            </w:tcBorders>
            <w:vAlign w:val="center"/>
            <w:hideMark/>
          </w:tcPr>
          <w:p w14:paraId="4BD53B3B" w14:textId="77777777" w:rsidR="006449EF" w:rsidRPr="00A74D23" w:rsidRDefault="006449EF" w:rsidP="006449EF">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Pilotage et reporting</w:t>
            </w:r>
          </w:p>
        </w:tc>
      </w:tr>
      <w:tr w:rsidR="006449EF" w:rsidRPr="00601C93" w14:paraId="45DE1B66" w14:textId="77777777" w:rsidTr="00AC5048">
        <w:trPr>
          <w:trHeight w:val="480"/>
        </w:trPr>
        <w:tc>
          <w:tcPr>
            <w:tcW w:w="2680" w:type="dxa"/>
            <w:tcBorders>
              <w:top w:val="nil"/>
              <w:left w:val="single" w:sz="12" w:space="0" w:color="auto"/>
              <w:bottom w:val="single" w:sz="8" w:space="0" w:color="auto"/>
              <w:right w:val="single" w:sz="8" w:space="0" w:color="auto"/>
            </w:tcBorders>
            <w:shd w:val="clear" w:color="auto" w:fill="B5DDDA" w:themeFill="background2" w:themeFillTint="66"/>
            <w:vAlign w:val="center"/>
            <w:hideMark/>
          </w:tcPr>
          <w:p w14:paraId="241C876B" w14:textId="77777777" w:rsidR="006449EF" w:rsidRPr="00A74D23" w:rsidRDefault="006449EF" w:rsidP="006449EF">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lang w:val="fr-FR"/>
              </w:rPr>
              <w:t>Risques de transition climatique</w:t>
            </w:r>
          </w:p>
        </w:tc>
        <w:tc>
          <w:tcPr>
            <w:tcW w:w="2680" w:type="dxa"/>
            <w:tcBorders>
              <w:top w:val="nil"/>
              <w:left w:val="nil"/>
              <w:bottom w:val="single" w:sz="8" w:space="0" w:color="auto"/>
              <w:right w:val="single" w:sz="8" w:space="0" w:color="auto"/>
            </w:tcBorders>
            <w:vAlign w:val="center"/>
            <w:hideMark/>
          </w:tcPr>
          <w:p w14:paraId="7583CE63" w14:textId="77777777" w:rsidR="006449EF" w:rsidRPr="00A74D23" w:rsidRDefault="006449EF" w:rsidP="006449EF">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Corporate</w:t>
            </w:r>
          </w:p>
        </w:tc>
        <w:tc>
          <w:tcPr>
            <w:tcW w:w="2680" w:type="dxa"/>
            <w:tcBorders>
              <w:top w:val="nil"/>
              <w:left w:val="nil"/>
              <w:bottom w:val="single" w:sz="8" w:space="0" w:color="auto"/>
              <w:right w:val="single" w:sz="8" w:space="0" w:color="auto"/>
            </w:tcBorders>
            <w:vAlign w:val="center"/>
            <w:hideMark/>
          </w:tcPr>
          <w:p w14:paraId="5C91A6D9" w14:textId="77777777" w:rsidR="006449EF" w:rsidRPr="00A74D23" w:rsidRDefault="006449EF" w:rsidP="006449EF">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Emissions financées (tCO2e/M€ EVIC) et intensité carbone (tCO2e/M€ CA)</w:t>
            </w:r>
          </w:p>
        </w:tc>
        <w:tc>
          <w:tcPr>
            <w:tcW w:w="2680" w:type="dxa"/>
            <w:tcBorders>
              <w:top w:val="nil"/>
              <w:left w:val="nil"/>
              <w:bottom w:val="single" w:sz="8" w:space="0" w:color="auto"/>
              <w:right w:val="single" w:sz="12" w:space="0" w:color="auto"/>
            </w:tcBorders>
            <w:vAlign w:val="center"/>
            <w:hideMark/>
          </w:tcPr>
          <w:p w14:paraId="5ABAA879" w14:textId="77777777" w:rsidR="006449EF" w:rsidRPr="00A74D23" w:rsidRDefault="006449EF" w:rsidP="006449EF">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Objectifs de réduction dans le cadre de la NZAOA</w:t>
            </w:r>
          </w:p>
        </w:tc>
      </w:tr>
      <w:tr w:rsidR="006449EF" w:rsidRPr="00601C93" w14:paraId="0D2B9C65" w14:textId="77777777" w:rsidTr="00AC5048">
        <w:trPr>
          <w:trHeight w:val="480"/>
        </w:trPr>
        <w:tc>
          <w:tcPr>
            <w:tcW w:w="2680" w:type="dxa"/>
            <w:tcBorders>
              <w:top w:val="nil"/>
              <w:left w:val="single" w:sz="12" w:space="0" w:color="auto"/>
              <w:bottom w:val="single" w:sz="8" w:space="0" w:color="auto"/>
              <w:right w:val="single" w:sz="8" w:space="0" w:color="auto"/>
            </w:tcBorders>
            <w:shd w:val="clear" w:color="auto" w:fill="B5DDDA" w:themeFill="background2" w:themeFillTint="66"/>
            <w:vAlign w:val="center"/>
            <w:hideMark/>
          </w:tcPr>
          <w:p w14:paraId="74CDF20A" w14:textId="77777777" w:rsidR="006449EF" w:rsidRPr="00A74D23" w:rsidRDefault="006449EF" w:rsidP="006449EF">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lang w:val="fr-FR"/>
              </w:rPr>
              <w:t>Risques de transition climatique</w:t>
            </w:r>
          </w:p>
        </w:tc>
        <w:tc>
          <w:tcPr>
            <w:tcW w:w="2680" w:type="dxa"/>
            <w:tcBorders>
              <w:top w:val="nil"/>
              <w:left w:val="nil"/>
              <w:bottom w:val="single" w:sz="8" w:space="0" w:color="auto"/>
              <w:right w:val="single" w:sz="8" w:space="0" w:color="auto"/>
            </w:tcBorders>
            <w:vAlign w:val="center"/>
            <w:hideMark/>
          </w:tcPr>
          <w:p w14:paraId="1BCB6F9B" w14:textId="77777777" w:rsidR="006449EF" w:rsidRPr="00A74D23" w:rsidRDefault="006449EF" w:rsidP="006449EF">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Corporate</w:t>
            </w:r>
          </w:p>
        </w:tc>
        <w:tc>
          <w:tcPr>
            <w:tcW w:w="2680" w:type="dxa"/>
            <w:tcBorders>
              <w:top w:val="nil"/>
              <w:left w:val="nil"/>
              <w:bottom w:val="single" w:sz="8" w:space="0" w:color="auto"/>
              <w:right w:val="single" w:sz="8" w:space="0" w:color="auto"/>
            </w:tcBorders>
            <w:vAlign w:val="center"/>
            <w:hideMark/>
          </w:tcPr>
          <w:p w14:paraId="66855E74" w14:textId="77777777" w:rsidR="006449EF" w:rsidRPr="00A74D23" w:rsidRDefault="006449EF" w:rsidP="006449EF">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Niveau de réchauffement du portefeuille (T°C)</w:t>
            </w:r>
          </w:p>
        </w:tc>
        <w:tc>
          <w:tcPr>
            <w:tcW w:w="2680" w:type="dxa"/>
            <w:tcBorders>
              <w:top w:val="nil"/>
              <w:left w:val="nil"/>
              <w:bottom w:val="single" w:sz="8" w:space="0" w:color="auto"/>
              <w:right w:val="single" w:sz="12" w:space="0" w:color="auto"/>
            </w:tcBorders>
            <w:vAlign w:val="center"/>
            <w:hideMark/>
          </w:tcPr>
          <w:p w14:paraId="25857D7B" w14:textId="77777777" w:rsidR="006449EF" w:rsidRPr="00A74D23" w:rsidRDefault="006449EF" w:rsidP="006449EF">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Sélection d'actifs best-in class pour atteindre les objectifs NZAOA</w:t>
            </w:r>
          </w:p>
        </w:tc>
      </w:tr>
      <w:tr w:rsidR="006449EF" w:rsidRPr="00601C93" w14:paraId="139C0272" w14:textId="77777777" w:rsidTr="00AC5048">
        <w:trPr>
          <w:trHeight w:val="480"/>
        </w:trPr>
        <w:tc>
          <w:tcPr>
            <w:tcW w:w="2680" w:type="dxa"/>
            <w:tcBorders>
              <w:top w:val="nil"/>
              <w:left w:val="single" w:sz="12" w:space="0" w:color="auto"/>
              <w:bottom w:val="single" w:sz="8" w:space="0" w:color="auto"/>
              <w:right w:val="single" w:sz="8" w:space="0" w:color="auto"/>
            </w:tcBorders>
            <w:shd w:val="clear" w:color="auto" w:fill="B5DDDA" w:themeFill="background2" w:themeFillTint="66"/>
            <w:vAlign w:val="center"/>
            <w:hideMark/>
          </w:tcPr>
          <w:p w14:paraId="5D1B97D2" w14:textId="77777777" w:rsidR="006449EF" w:rsidRPr="00A74D23" w:rsidRDefault="006449EF" w:rsidP="006449EF">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lang w:val="fr-FR"/>
              </w:rPr>
              <w:t>Risques de transition climatique</w:t>
            </w:r>
          </w:p>
        </w:tc>
        <w:tc>
          <w:tcPr>
            <w:tcW w:w="2680" w:type="dxa"/>
            <w:tcBorders>
              <w:top w:val="nil"/>
              <w:left w:val="nil"/>
              <w:bottom w:val="single" w:sz="8" w:space="0" w:color="auto"/>
              <w:right w:val="single" w:sz="8" w:space="0" w:color="auto"/>
            </w:tcBorders>
            <w:vAlign w:val="center"/>
            <w:hideMark/>
          </w:tcPr>
          <w:p w14:paraId="069C37EC" w14:textId="77777777" w:rsidR="006449EF" w:rsidRPr="00A74D23" w:rsidRDefault="006449EF" w:rsidP="006449EF">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Corporate</w:t>
            </w:r>
          </w:p>
        </w:tc>
        <w:tc>
          <w:tcPr>
            <w:tcW w:w="2680" w:type="dxa"/>
            <w:tcBorders>
              <w:top w:val="nil"/>
              <w:left w:val="nil"/>
              <w:bottom w:val="single" w:sz="8" w:space="0" w:color="auto"/>
              <w:right w:val="single" w:sz="8" w:space="0" w:color="auto"/>
            </w:tcBorders>
            <w:vAlign w:val="center"/>
            <w:hideMark/>
          </w:tcPr>
          <w:p w14:paraId="321A0A0A" w14:textId="77777777" w:rsidR="006449EF" w:rsidRPr="00A74D23" w:rsidRDefault="006449EF" w:rsidP="006449EF">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 d'exposition aux catégories d'alignement NZIF</w:t>
            </w:r>
          </w:p>
        </w:tc>
        <w:tc>
          <w:tcPr>
            <w:tcW w:w="2680" w:type="dxa"/>
            <w:tcBorders>
              <w:top w:val="nil"/>
              <w:left w:val="nil"/>
              <w:bottom w:val="single" w:sz="8" w:space="0" w:color="auto"/>
              <w:right w:val="single" w:sz="12" w:space="0" w:color="auto"/>
            </w:tcBorders>
            <w:vAlign w:val="center"/>
            <w:hideMark/>
          </w:tcPr>
          <w:p w14:paraId="2BFFE90B" w14:textId="77777777" w:rsidR="006449EF" w:rsidRPr="00A74D23" w:rsidRDefault="006449EF" w:rsidP="006449EF">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Sélection d'actifs best-in class pour atteindre les objectifs NZAOA</w:t>
            </w:r>
          </w:p>
        </w:tc>
      </w:tr>
      <w:tr w:rsidR="006449EF" w:rsidRPr="00601C93" w14:paraId="401420F0" w14:textId="77777777" w:rsidTr="00AC5048">
        <w:trPr>
          <w:trHeight w:val="480"/>
        </w:trPr>
        <w:tc>
          <w:tcPr>
            <w:tcW w:w="2680" w:type="dxa"/>
            <w:tcBorders>
              <w:top w:val="nil"/>
              <w:left w:val="single" w:sz="12" w:space="0" w:color="auto"/>
              <w:bottom w:val="single" w:sz="8" w:space="0" w:color="auto"/>
              <w:right w:val="single" w:sz="8" w:space="0" w:color="auto"/>
            </w:tcBorders>
            <w:shd w:val="clear" w:color="auto" w:fill="B5DDDA" w:themeFill="background2" w:themeFillTint="66"/>
            <w:vAlign w:val="center"/>
            <w:hideMark/>
          </w:tcPr>
          <w:p w14:paraId="631692C6" w14:textId="77777777" w:rsidR="006449EF" w:rsidRPr="00A74D23" w:rsidRDefault="006449EF" w:rsidP="006449EF">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lang w:val="fr-FR"/>
              </w:rPr>
              <w:t>Risques de transition climatique</w:t>
            </w:r>
          </w:p>
        </w:tc>
        <w:tc>
          <w:tcPr>
            <w:tcW w:w="2680" w:type="dxa"/>
            <w:tcBorders>
              <w:top w:val="nil"/>
              <w:left w:val="nil"/>
              <w:bottom w:val="single" w:sz="8" w:space="0" w:color="auto"/>
              <w:right w:val="single" w:sz="8" w:space="0" w:color="auto"/>
            </w:tcBorders>
            <w:vAlign w:val="center"/>
            <w:hideMark/>
          </w:tcPr>
          <w:p w14:paraId="74099B14" w14:textId="77777777" w:rsidR="006449EF" w:rsidRPr="00A74D23" w:rsidRDefault="006449EF" w:rsidP="006449EF">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Corporate</w:t>
            </w:r>
          </w:p>
        </w:tc>
        <w:tc>
          <w:tcPr>
            <w:tcW w:w="2680" w:type="dxa"/>
            <w:tcBorders>
              <w:top w:val="nil"/>
              <w:left w:val="nil"/>
              <w:bottom w:val="single" w:sz="8" w:space="0" w:color="auto"/>
              <w:right w:val="single" w:sz="8" w:space="0" w:color="auto"/>
            </w:tcBorders>
            <w:vAlign w:val="center"/>
            <w:hideMark/>
          </w:tcPr>
          <w:p w14:paraId="2F8F56B6" w14:textId="77777777" w:rsidR="006449EF" w:rsidRPr="00A74D23" w:rsidRDefault="006449EF" w:rsidP="006449EF">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 d'exposition aux énergies fossiles</w:t>
            </w:r>
          </w:p>
        </w:tc>
        <w:tc>
          <w:tcPr>
            <w:tcW w:w="2680" w:type="dxa"/>
            <w:tcBorders>
              <w:top w:val="nil"/>
              <w:left w:val="nil"/>
              <w:bottom w:val="single" w:sz="8" w:space="0" w:color="auto"/>
              <w:right w:val="single" w:sz="12" w:space="0" w:color="auto"/>
            </w:tcBorders>
            <w:vAlign w:val="center"/>
            <w:hideMark/>
          </w:tcPr>
          <w:p w14:paraId="28FE551E" w14:textId="77777777" w:rsidR="006449EF" w:rsidRPr="00A74D23" w:rsidRDefault="006449EF" w:rsidP="006449EF">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Politiques d'exclusion et d'engagement sur les hydrocarbures</w:t>
            </w:r>
          </w:p>
        </w:tc>
      </w:tr>
      <w:tr w:rsidR="006449EF" w:rsidRPr="00601C93" w14:paraId="29B9B2F2" w14:textId="77777777" w:rsidTr="00AC5048">
        <w:trPr>
          <w:trHeight w:val="480"/>
        </w:trPr>
        <w:tc>
          <w:tcPr>
            <w:tcW w:w="2680" w:type="dxa"/>
            <w:tcBorders>
              <w:top w:val="nil"/>
              <w:left w:val="single" w:sz="12" w:space="0" w:color="auto"/>
              <w:bottom w:val="single" w:sz="8" w:space="0" w:color="auto"/>
              <w:right w:val="single" w:sz="8" w:space="0" w:color="auto"/>
            </w:tcBorders>
            <w:shd w:val="clear" w:color="auto" w:fill="B5DDDA" w:themeFill="background2" w:themeFillTint="66"/>
            <w:vAlign w:val="center"/>
            <w:hideMark/>
          </w:tcPr>
          <w:p w14:paraId="5F406423" w14:textId="77777777" w:rsidR="006449EF" w:rsidRPr="00A74D23" w:rsidRDefault="006449EF" w:rsidP="006449EF">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lang w:val="fr-FR"/>
              </w:rPr>
              <w:t>Risques de transition climatique</w:t>
            </w:r>
          </w:p>
        </w:tc>
        <w:tc>
          <w:tcPr>
            <w:tcW w:w="2680" w:type="dxa"/>
            <w:tcBorders>
              <w:top w:val="nil"/>
              <w:left w:val="nil"/>
              <w:bottom w:val="single" w:sz="8" w:space="0" w:color="auto"/>
              <w:right w:val="single" w:sz="8" w:space="0" w:color="auto"/>
            </w:tcBorders>
            <w:vAlign w:val="center"/>
            <w:hideMark/>
          </w:tcPr>
          <w:p w14:paraId="444E8175" w14:textId="77777777" w:rsidR="006449EF" w:rsidRPr="00A74D23" w:rsidRDefault="006449EF" w:rsidP="006449EF">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Corporate</w:t>
            </w:r>
          </w:p>
        </w:tc>
        <w:tc>
          <w:tcPr>
            <w:tcW w:w="2680" w:type="dxa"/>
            <w:tcBorders>
              <w:top w:val="nil"/>
              <w:left w:val="nil"/>
              <w:bottom w:val="single" w:sz="8" w:space="0" w:color="auto"/>
              <w:right w:val="single" w:sz="8" w:space="0" w:color="auto"/>
            </w:tcBorders>
            <w:vAlign w:val="center"/>
            <w:hideMark/>
          </w:tcPr>
          <w:p w14:paraId="12C9512E" w14:textId="77777777" w:rsidR="006449EF" w:rsidRPr="00A74D23" w:rsidRDefault="006449EF" w:rsidP="006449EF">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 part verte du portefeuille</w:t>
            </w:r>
          </w:p>
        </w:tc>
        <w:tc>
          <w:tcPr>
            <w:tcW w:w="2680" w:type="dxa"/>
            <w:tcBorders>
              <w:top w:val="nil"/>
              <w:left w:val="nil"/>
              <w:bottom w:val="single" w:sz="8" w:space="0" w:color="auto"/>
              <w:right w:val="single" w:sz="12" w:space="0" w:color="auto"/>
            </w:tcBorders>
            <w:vAlign w:val="center"/>
            <w:hideMark/>
          </w:tcPr>
          <w:p w14:paraId="503C05DC" w14:textId="56A42236" w:rsidR="006449EF" w:rsidRPr="00A74D23" w:rsidRDefault="006449EF" w:rsidP="006449EF">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 xml:space="preserve">Objectifs d'investissements </w:t>
            </w:r>
            <w:r w:rsidR="00AC5048" w:rsidRPr="00A74D23">
              <w:rPr>
                <w:rFonts w:asciiTheme="minorHAnsi" w:hAnsiTheme="minorHAnsi"/>
                <w:color w:val="000000"/>
                <w:sz w:val="16"/>
                <w:szCs w:val="16"/>
                <w:lang w:val="fr-FR"/>
              </w:rPr>
              <w:t>durables annuels (incluant des actifs verts)</w:t>
            </w:r>
          </w:p>
        </w:tc>
      </w:tr>
      <w:tr w:rsidR="006449EF" w:rsidRPr="00601C93" w14:paraId="755BCD85" w14:textId="77777777" w:rsidTr="00B35257">
        <w:trPr>
          <w:trHeight w:val="480"/>
        </w:trPr>
        <w:tc>
          <w:tcPr>
            <w:tcW w:w="2680" w:type="dxa"/>
            <w:tcBorders>
              <w:top w:val="nil"/>
              <w:left w:val="single" w:sz="12" w:space="0" w:color="auto"/>
              <w:bottom w:val="single" w:sz="8" w:space="0" w:color="auto"/>
              <w:right w:val="single" w:sz="8" w:space="0" w:color="auto"/>
            </w:tcBorders>
            <w:shd w:val="clear" w:color="auto" w:fill="B5DDDA" w:themeFill="background2" w:themeFillTint="66"/>
            <w:vAlign w:val="center"/>
          </w:tcPr>
          <w:p w14:paraId="7B62A8E1" w14:textId="1BCE7496" w:rsidR="006449EF" w:rsidRPr="00A74D23" w:rsidRDefault="006449EF" w:rsidP="006449EF">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Risques de transition climatique</w:t>
            </w:r>
          </w:p>
        </w:tc>
        <w:tc>
          <w:tcPr>
            <w:tcW w:w="2680" w:type="dxa"/>
            <w:tcBorders>
              <w:top w:val="nil"/>
              <w:left w:val="nil"/>
              <w:bottom w:val="single" w:sz="8" w:space="0" w:color="auto"/>
              <w:right w:val="single" w:sz="8" w:space="0" w:color="auto"/>
            </w:tcBorders>
            <w:vAlign w:val="center"/>
          </w:tcPr>
          <w:p w14:paraId="12F5C244" w14:textId="5A5B5E41" w:rsidR="006449EF" w:rsidRPr="00A74D23" w:rsidRDefault="006449EF" w:rsidP="006449EF">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Souverain</w:t>
            </w:r>
          </w:p>
        </w:tc>
        <w:tc>
          <w:tcPr>
            <w:tcW w:w="2680" w:type="dxa"/>
            <w:tcBorders>
              <w:top w:val="nil"/>
              <w:left w:val="nil"/>
              <w:bottom w:val="single" w:sz="8" w:space="0" w:color="auto"/>
              <w:right w:val="single" w:sz="8" w:space="0" w:color="auto"/>
            </w:tcBorders>
            <w:vAlign w:val="center"/>
          </w:tcPr>
          <w:p w14:paraId="792A6E5C" w14:textId="7E3BD38D" w:rsidR="006449EF" w:rsidRPr="00A74D23" w:rsidRDefault="006449EF" w:rsidP="006449EF">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ASCOR Improvement score</w:t>
            </w:r>
          </w:p>
        </w:tc>
        <w:tc>
          <w:tcPr>
            <w:tcW w:w="2680" w:type="dxa"/>
            <w:tcBorders>
              <w:top w:val="nil"/>
              <w:left w:val="nil"/>
              <w:bottom w:val="single" w:sz="8" w:space="0" w:color="auto"/>
              <w:right w:val="single" w:sz="12" w:space="0" w:color="auto"/>
            </w:tcBorders>
            <w:vAlign w:val="center"/>
          </w:tcPr>
          <w:p w14:paraId="6BD8C072" w14:textId="582FD6A9" w:rsidR="006449EF" w:rsidRPr="00A74D23" w:rsidRDefault="006449EF" w:rsidP="006449EF">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Pilotage dans le cadre des engagements NZAOA</w:t>
            </w:r>
          </w:p>
        </w:tc>
      </w:tr>
      <w:tr w:rsidR="00580F10" w:rsidRPr="00601C93" w14:paraId="7D53255D" w14:textId="77777777" w:rsidTr="00B35257">
        <w:trPr>
          <w:trHeight w:val="480"/>
        </w:trPr>
        <w:tc>
          <w:tcPr>
            <w:tcW w:w="2680" w:type="dxa"/>
            <w:tcBorders>
              <w:top w:val="nil"/>
              <w:left w:val="single" w:sz="12" w:space="0" w:color="auto"/>
              <w:bottom w:val="single" w:sz="8" w:space="0" w:color="auto"/>
              <w:right w:val="single" w:sz="8" w:space="0" w:color="auto"/>
            </w:tcBorders>
            <w:shd w:val="clear" w:color="auto" w:fill="B5DDDA" w:themeFill="background2" w:themeFillTint="66"/>
            <w:vAlign w:val="center"/>
          </w:tcPr>
          <w:p w14:paraId="03D7C974" w14:textId="3F3CCE96" w:rsidR="00580F10" w:rsidRPr="00A74D23" w:rsidRDefault="00580F10" w:rsidP="00580F10">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Risques de transition climatique</w:t>
            </w:r>
          </w:p>
        </w:tc>
        <w:tc>
          <w:tcPr>
            <w:tcW w:w="2680" w:type="dxa"/>
            <w:tcBorders>
              <w:top w:val="nil"/>
              <w:left w:val="nil"/>
              <w:bottom w:val="single" w:sz="8" w:space="0" w:color="auto"/>
              <w:right w:val="single" w:sz="8" w:space="0" w:color="auto"/>
            </w:tcBorders>
            <w:vAlign w:val="center"/>
          </w:tcPr>
          <w:p w14:paraId="08582243" w14:textId="1ACE15E1"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Immobilier</w:t>
            </w:r>
          </w:p>
        </w:tc>
        <w:tc>
          <w:tcPr>
            <w:tcW w:w="2680" w:type="dxa"/>
            <w:tcBorders>
              <w:top w:val="nil"/>
              <w:left w:val="nil"/>
              <w:bottom w:val="single" w:sz="8" w:space="0" w:color="auto"/>
              <w:right w:val="single" w:sz="8" w:space="0" w:color="auto"/>
            </w:tcBorders>
            <w:vAlign w:val="center"/>
          </w:tcPr>
          <w:p w14:paraId="382723E1" w14:textId="6F2A13DB"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lang w:val="fr-FR"/>
              </w:rPr>
              <w:t xml:space="preserve">Intensité carbone et énergétique </w:t>
            </w:r>
          </w:p>
        </w:tc>
        <w:tc>
          <w:tcPr>
            <w:tcW w:w="2680" w:type="dxa"/>
            <w:tcBorders>
              <w:top w:val="nil"/>
              <w:left w:val="nil"/>
              <w:bottom w:val="single" w:sz="8" w:space="0" w:color="auto"/>
              <w:right w:val="single" w:sz="12" w:space="0" w:color="auto"/>
            </w:tcBorders>
            <w:vAlign w:val="center"/>
          </w:tcPr>
          <w:p w14:paraId="509849C7" w14:textId="3C489E76" w:rsidR="00580F10" w:rsidRPr="00A74D23" w:rsidRDefault="00580F10" w:rsidP="00580F10">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Due-diligence, stratégies de réductions, engagement NZAOA</w:t>
            </w:r>
          </w:p>
        </w:tc>
      </w:tr>
      <w:tr w:rsidR="00580F10" w:rsidRPr="00A74D23" w14:paraId="0B914B54" w14:textId="77777777" w:rsidTr="00AC5048">
        <w:trPr>
          <w:trHeight w:val="480"/>
        </w:trPr>
        <w:tc>
          <w:tcPr>
            <w:tcW w:w="2680" w:type="dxa"/>
            <w:tcBorders>
              <w:top w:val="nil"/>
              <w:left w:val="single" w:sz="12" w:space="0" w:color="auto"/>
              <w:bottom w:val="single" w:sz="8" w:space="0" w:color="auto"/>
              <w:right w:val="single" w:sz="8" w:space="0" w:color="auto"/>
            </w:tcBorders>
            <w:shd w:val="clear" w:color="auto" w:fill="DBE1ED" w:themeFill="accent6"/>
            <w:vAlign w:val="center"/>
            <w:hideMark/>
          </w:tcPr>
          <w:p w14:paraId="5412C894" w14:textId="77777777" w:rsidR="00580F10" w:rsidRPr="00A74D23" w:rsidRDefault="00580F10" w:rsidP="00580F10">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Risques physiques du changement climatique</w:t>
            </w:r>
          </w:p>
        </w:tc>
        <w:tc>
          <w:tcPr>
            <w:tcW w:w="2680" w:type="dxa"/>
            <w:tcBorders>
              <w:top w:val="nil"/>
              <w:left w:val="nil"/>
              <w:bottom w:val="single" w:sz="8" w:space="0" w:color="auto"/>
              <w:right w:val="single" w:sz="8" w:space="0" w:color="auto"/>
            </w:tcBorders>
            <w:vAlign w:val="center"/>
            <w:hideMark/>
          </w:tcPr>
          <w:p w14:paraId="6FA5A75C"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Corporate</w:t>
            </w:r>
          </w:p>
        </w:tc>
        <w:tc>
          <w:tcPr>
            <w:tcW w:w="2680" w:type="dxa"/>
            <w:tcBorders>
              <w:top w:val="nil"/>
              <w:left w:val="nil"/>
              <w:bottom w:val="single" w:sz="8" w:space="0" w:color="auto"/>
              <w:right w:val="single" w:sz="8" w:space="0" w:color="auto"/>
            </w:tcBorders>
            <w:vAlign w:val="center"/>
            <w:hideMark/>
          </w:tcPr>
          <w:p w14:paraId="41126D35"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lang w:val="fr-FR"/>
              </w:rPr>
              <w:t>Climate Var Physical risks</w:t>
            </w:r>
          </w:p>
        </w:tc>
        <w:tc>
          <w:tcPr>
            <w:tcW w:w="2680" w:type="dxa"/>
            <w:tcBorders>
              <w:top w:val="nil"/>
              <w:left w:val="nil"/>
              <w:bottom w:val="single" w:sz="8" w:space="0" w:color="auto"/>
              <w:right w:val="single" w:sz="12" w:space="0" w:color="auto"/>
            </w:tcBorders>
            <w:vAlign w:val="center"/>
            <w:hideMark/>
          </w:tcPr>
          <w:p w14:paraId="7AF45C99"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Pilotage et reporting</w:t>
            </w:r>
          </w:p>
        </w:tc>
      </w:tr>
      <w:tr w:rsidR="00580F10" w:rsidRPr="00A74D23" w14:paraId="58A2F96B" w14:textId="77777777" w:rsidTr="00AC5048">
        <w:trPr>
          <w:trHeight w:val="480"/>
        </w:trPr>
        <w:tc>
          <w:tcPr>
            <w:tcW w:w="2680" w:type="dxa"/>
            <w:tcBorders>
              <w:top w:val="nil"/>
              <w:left w:val="single" w:sz="12" w:space="0" w:color="auto"/>
              <w:bottom w:val="single" w:sz="8" w:space="0" w:color="auto"/>
              <w:right w:val="single" w:sz="8" w:space="0" w:color="auto"/>
            </w:tcBorders>
            <w:shd w:val="clear" w:color="auto" w:fill="DBE1ED" w:themeFill="accent6"/>
            <w:vAlign w:val="center"/>
            <w:hideMark/>
          </w:tcPr>
          <w:p w14:paraId="60037ECD" w14:textId="77777777" w:rsidR="00580F10" w:rsidRPr="00A74D23" w:rsidRDefault="00580F10" w:rsidP="00580F10">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Risques physiques du changement climatique</w:t>
            </w:r>
          </w:p>
        </w:tc>
        <w:tc>
          <w:tcPr>
            <w:tcW w:w="2680" w:type="dxa"/>
            <w:tcBorders>
              <w:top w:val="nil"/>
              <w:left w:val="nil"/>
              <w:bottom w:val="single" w:sz="8" w:space="0" w:color="auto"/>
              <w:right w:val="single" w:sz="8" w:space="0" w:color="auto"/>
            </w:tcBorders>
            <w:vAlign w:val="center"/>
            <w:hideMark/>
          </w:tcPr>
          <w:p w14:paraId="01245B8A"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Corporate</w:t>
            </w:r>
          </w:p>
        </w:tc>
        <w:tc>
          <w:tcPr>
            <w:tcW w:w="2680" w:type="dxa"/>
            <w:tcBorders>
              <w:top w:val="nil"/>
              <w:left w:val="nil"/>
              <w:bottom w:val="single" w:sz="8" w:space="0" w:color="auto"/>
              <w:right w:val="single" w:sz="8" w:space="0" w:color="auto"/>
            </w:tcBorders>
            <w:vAlign w:val="center"/>
            <w:hideMark/>
          </w:tcPr>
          <w:p w14:paraId="6AD8612C"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 d'exposition au stress hydrique</w:t>
            </w:r>
          </w:p>
        </w:tc>
        <w:tc>
          <w:tcPr>
            <w:tcW w:w="2680" w:type="dxa"/>
            <w:tcBorders>
              <w:top w:val="nil"/>
              <w:left w:val="nil"/>
              <w:bottom w:val="single" w:sz="8" w:space="0" w:color="auto"/>
              <w:right w:val="single" w:sz="12" w:space="0" w:color="auto"/>
            </w:tcBorders>
            <w:vAlign w:val="center"/>
            <w:hideMark/>
          </w:tcPr>
          <w:p w14:paraId="0A14BCFD"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Pilotage et reporting</w:t>
            </w:r>
          </w:p>
        </w:tc>
      </w:tr>
      <w:tr w:rsidR="00580F10" w:rsidRPr="00A74D23" w14:paraId="42BD7EF8" w14:textId="77777777" w:rsidTr="00B35257">
        <w:trPr>
          <w:trHeight w:val="480"/>
        </w:trPr>
        <w:tc>
          <w:tcPr>
            <w:tcW w:w="2680" w:type="dxa"/>
            <w:tcBorders>
              <w:top w:val="nil"/>
              <w:left w:val="single" w:sz="12" w:space="0" w:color="auto"/>
              <w:bottom w:val="single" w:sz="8" w:space="0" w:color="auto"/>
              <w:right w:val="single" w:sz="8" w:space="0" w:color="auto"/>
            </w:tcBorders>
            <w:shd w:val="clear" w:color="auto" w:fill="DBE1ED" w:themeFill="accent6"/>
            <w:vAlign w:val="center"/>
          </w:tcPr>
          <w:p w14:paraId="4618AEB1" w14:textId="612424AE" w:rsidR="00580F10" w:rsidRPr="00A74D23" w:rsidRDefault="00580F10" w:rsidP="00580F10">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Risques physiques du changement climatique</w:t>
            </w:r>
          </w:p>
        </w:tc>
        <w:tc>
          <w:tcPr>
            <w:tcW w:w="2680" w:type="dxa"/>
            <w:tcBorders>
              <w:top w:val="nil"/>
              <w:left w:val="nil"/>
              <w:bottom w:val="single" w:sz="8" w:space="0" w:color="auto"/>
              <w:right w:val="single" w:sz="8" w:space="0" w:color="auto"/>
            </w:tcBorders>
            <w:vAlign w:val="center"/>
          </w:tcPr>
          <w:p w14:paraId="3BF297DD" w14:textId="42A00ADE"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Souverain</w:t>
            </w:r>
          </w:p>
        </w:tc>
        <w:tc>
          <w:tcPr>
            <w:tcW w:w="2680" w:type="dxa"/>
            <w:tcBorders>
              <w:top w:val="nil"/>
              <w:left w:val="nil"/>
              <w:bottom w:val="single" w:sz="8" w:space="0" w:color="auto"/>
              <w:right w:val="single" w:sz="8" w:space="0" w:color="auto"/>
            </w:tcBorders>
            <w:vAlign w:val="center"/>
          </w:tcPr>
          <w:p w14:paraId="64B8D1C6" w14:textId="10CDB075"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Score ND Gain</w:t>
            </w:r>
          </w:p>
        </w:tc>
        <w:tc>
          <w:tcPr>
            <w:tcW w:w="2680" w:type="dxa"/>
            <w:tcBorders>
              <w:top w:val="nil"/>
              <w:left w:val="nil"/>
              <w:bottom w:val="single" w:sz="8" w:space="0" w:color="auto"/>
              <w:right w:val="single" w:sz="12" w:space="0" w:color="auto"/>
            </w:tcBorders>
            <w:vAlign w:val="center"/>
          </w:tcPr>
          <w:p w14:paraId="215486A0" w14:textId="3DF728C2"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Pilotage et reporting</w:t>
            </w:r>
          </w:p>
        </w:tc>
      </w:tr>
      <w:tr w:rsidR="00580F10" w:rsidRPr="00A74D23" w14:paraId="30562BAB" w14:textId="77777777" w:rsidTr="00B35257">
        <w:trPr>
          <w:trHeight w:val="480"/>
        </w:trPr>
        <w:tc>
          <w:tcPr>
            <w:tcW w:w="2680" w:type="dxa"/>
            <w:tcBorders>
              <w:top w:val="nil"/>
              <w:left w:val="single" w:sz="12" w:space="0" w:color="auto"/>
              <w:bottom w:val="single" w:sz="8" w:space="0" w:color="auto"/>
              <w:right w:val="single" w:sz="8" w:space="0" w:color="auto"/>
            </w:tcBorders>
            <w:shd w:val="clear" w:color="auto" w:fill="DBE1ED" w:themeFill="accent6"/>
            <w:vAlign w:val="center"/>
          </w:tcPr>
          <w:p w14:paraId="07264FA9" w14:textId="56571E64" w:rsidR="00580F10" w:rsidRPr="00A74D23" w:rsidRDefault="00580F10" w:rsidP="00580F10">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Risques physiques du changement climatique</w:t>
            </w:r>
          </w:p>
        </w:tc>
        <w:tc>
          <w:tcPr>
            <w:tcW w:w="2680" w:type="dxa"/>
            <w:tcBorders>
              <w:top w:val="nil"/>
              <w:left w:val="nil"/>
              <w:bottom w:val="single" w:sz="8" w:space="0" w:color="auto"/>
              <w:right w:val="single" w:sz="8" w:space="0" w:color="auto"/>
            </w:tcBorders>
            <w:vAlign w:val="center"/>
          </w:tcPr>
          <w:p w14:paraId="63CAAA95" w14:textId="6735C3BC"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Immobilier</w:t>
            </w:r>
          </w:p>
        </w:tc>
        <w:tc>
          <w:tcPr>
            <w:tcW w:w="2680" w:type="dxa"/>
            <w:tcBorders>
              <w:top w:val="nil"/>
              <w:left w:val="nil"/>
              <w:bottom w:val="single" w:sz="8" w:space="0" w:color="auto"/>
              <w:right w:val="single" w:sz="8" w:space="0" w:color="auto"/>
            </w:tcBorders>
            <w:vAlign w:val="center"/>
          </w:tcPr>
          <w:p w14:paraId="70FF0C10" w14:textId="14A2E23C" w:rsidR="00580F10" w:rsidRPr="00A74D23" w:rsidRDefault="00580F10" w:rsidP="00580F10">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Outil BAT-adapt et interne</w:t>
            </w:r>
          </w:p>
        </w:tc>
        <w:tc>
          <w:tcPr>
            <w:tcW w:w="2680" w:type="dxa"/>
            <w:tcBorders>
              <w:top w:val="nil"/>
              <w:left w:val="nil"/>
              <w:bottom w:val="single" w:sz="8" w:space="0" w:color="auto"/>
              <w:right w:val="single" w:sz="12" w:space="0" w:color="auto"/>
            </w:tcBorders>
            <w:vAlign w:val="center"/>
          </w:tcPr>
          <w:p w14:paraId="037EBE46" w14:textId="47CDD098"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Due-diligence, stratégies d'adaptation</w:t>
            </w:r>
          </w:p>
        </w:tc>
      </w:tr>
      <w:tr w:rsidR="00580F10" w:rsidRPr="00A74D23" w14:paraId="47A1F166" w14:textId="77777777" w:rsidTr="00AC5048">
        <w:trPr>
          <w:trHeight w:val="480"/>
        </w:trPr>
        <w:tc>
          <w:tcPr>
            <w:tcW w:w="2680" w:type="dxa"/>
            <w:tcBorders>
              <w:top w:val="nil"/>
              <w:left w:val="single" w:sz="12" w:space="0" w:color="auto"/>
              <w:bottom w:val="single" w:sz="8" w:space="0" w:color="auto"/>
              <w:right w:val="single" w:sz="8" w:space="0" w:color="auto"/>
            </w:tcBorders>
            <w:shd w:val="clear" w:color="auto" w:fill="E7D6DC" w:themeFill="text2" w:themeFillTint="33"/>
            <w:vAlign w:val="center"/>
            <w:hideMark/>
          </w:tcPr>
          <w:p w14:paraId="7F4770F5"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Risque de transition biodiversité</w:t>
            </w:r>
          </w:p>
        </w:tc>
        <w:tc>
          <w:tcPr>
            <w:tcW w:w="2680" w:type="dxa"/>
            <w:tcBorders>
              <w:top w:val="nil"/>
              <w:left w:val="nil"/>
              <w:bottom w:val="single" w:sz="8" w:space="0" w:color="auto"/>
              <w:right w:val="single" w:sz="8" w:space="0" w:color="auto"/>
            </w:tcBorders>
            <w:vAlign w:val="center"/>
            <w:hideMark/>
          </w:tcPr>
          <w:p w14:paraId="72C56734"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Corporate</w:t>
            </w:r>
          </w:p>
        </w:tc>
        <w:tc>
          <w:tcPr>
            <w:tcW w:w="2680" w:type="dxa"/>
            <w:tcBorders>
              <w:top w:val="nil"/>
              <w:left w:val="nil"/>
              <w:bottom w:val="single" w:sz="8" w:space="0" w:color="auto"/>
              <w:right w:val="single" w:sz="8" w:space="0" w:color="auto"/>
            </w:tcBorders>
            <w:vAlign w:val="center"/>
            <w:hideMark/>
          </w:tcPr>
          <w:p w14:paraId="1A152E01" w14:textId="77777777" w:rsidR="00580F10" w:rsidRPr="00A74D23" w:rsidRDefault="00580F10" w:rsidP="00580F10">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Empreinte biodiversité (MSAppb*) et intensité biodiversité (MSAppb*/M€)</w:t>
            </w:r>
          </w:p>
        </w:tc>
        <w:tc>
          <w:tcPr>
            <w:tcW w:w="2680" w:type="dxa"/>
            <w:tcBorders>
              <w:top w:val="nil"/>
              <w:left w:val="nil"/>
              <w:bottom w:val="single" w:sz="8" w:space="0" w:color="auto"/>
              <w:right w:val="single" w:sz="12" w:space="0" w:color="auto"/>
            </w:tcBorders>
            <w:vAlign w:val="center"/>
            <w:hideMark/>
          </w:tcPr>
          <w:p w14:paraId="3992966F"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Pilotage et reporting</w:t>
            </w:r>
          </w:p>
        </w:tc>
      </w:tr>
      <w:tr w:rsidR="00580F10" w:rsidRPr="00601C93" w14:paraId="3DD6D1FC" w14:textId="77777777" w:rsidTr="00AC5048">
        <w:trPr>
          <w:trHeight w:val="480"/>
        </w:trPr>
        <w:tc>
          <w:tcPr>
            <w:tcW w:w="2680" w:type="dxa"/>
            <w:tcBorders>
              <w:top w:val="nil"/>
              <w:left w:val="single" w:sz="12" w:space="0" w:color="auto"/>
              <w:bottom w:val="single" w:sz="8" w:space="0" w:color="auto"/>
              <w:right w:val="single" w:sz="8" w:space="0" w:color="auto"/>
            </w:tcBorders>
            <w:shd w:val="clear" w:color="auto" w:fill="E7D6DC" w:themeFill="text2" w:themeFillTint="33"/>
            <w:vAlign w:val="center"/>
            <w:hideMark/>
          </w:tcPr>
          <w:p w14:paraId="2AB69E10"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Risque de transition biodiversité</w:t>
            </w:r>
          </w:p>
        </w:tc>
        <w:tc>
          <w:tcPr>
            <w:tcW w:w="2680" w:type="dxa"/>
            <w:tcBorders>
              <w:top w:val="nil"/>
              <w:left w:val="nil"/>
              <w:bottom w:val="single" w:sz="8" w:space="0" w:color="auto"/>
              <w:right w:val="single" w:sz="8" w:space="0" w:color="auto"/>
            </w:tcBorders>
            <w:vAlign w:val="center"/>
            <w:hideMark/>
          </w:tcPr>
          <w:p w14:paraId="3ADA94A5"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Corporate</w:t>
            </w:r>
          </w:p>
        </w:tc>
        <w:tc>
          <w:tcPr>
            <w:tcW w:w="2680" w:type="dxa"/>
            <w:tcBorders>
              <w:top w:val="nil"/>
              <w:left w:val="nil"/>
              <w:bottom w:val="single" w:sz="8" w:space="0" w:color="auto"/>
              <w:right w:val="single" w:sz="8" w:space="0" w:color="auto"/>
            </w:tcBorders>
            <w:vAlign w:val="center"/>
            <w:hideMark/>
          </w:tcPr>
          <w:p w14:paraId="6E8546B2" w14:textId="77777777" w:rsidR="00580F10" w:rsidRPr="00A74D23" w:rsidRDefault="00580F10" w:rsidP="00580F10">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 d'exposition du portefeuille aux entreprises NA100+ et score NA100+</w:t>
            </w:r>
          </w:p>
        </w:tc>
        <w:tc>
          <w:tcPr>
            <w:tcW w:w="2680" w:type="dxa"/>
            <w:tcBorders>
              <w:top w:val="nil"/>
              <w:left w:val="nil"/>
              <w:bottom w:val="single" w:sz="8" w:space="0" w:color="auto"/>
              <w:right w:val="single" w:sz="12" w:space="0" w:color="auto"/>
            </w:tcBorders>
            <w:vAlign w:val="center"/>
            <w:hideMark/>
          </w:tcPr>
          <w:p w14:paraId="09F602D1" w14:textId="77777777" w:rsidR="00580F10" w:rsidRPr="00A74D23" w:rsidRDefault="00580F10" w:rsidP="00580F10">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Politiques d'engagement lié à l'engagement NA100+ du Groupe Aéma</w:t>
            </w:r>
          </w:p>
        </w:tc>
      </w:tr>
      <w:tr w:rsidR="00580F10" w:rsidRPr="00A74D23" w14:paraId="2214060D" w14:textId="77777777" w:rsidTr="00AC5048">
        <w:trPr>
          <w:trHeight w:val="480"/>
        </w:trPr>
        <w:tc>
          <w:tcPr>
            <w:tcW w:w="2680" w:type="dxa"/>
            <w:tcBorders>
              <w:top w:val="nil"/>
              <w:left w:val="single" w:sz="12" w:space="0" w:color="auto"/>
              <w:bottom w:val="single" w:sz="8" w:space="0" w:color="auto"/>
              <w:right w:val="single" w:sz="8" w:space="0" w:color="auto"/>
            </w:tcBorders>
            <w:shd w:val="clear" w:color="auto" w:fill="E7D6DC" w:themeFill="text2" w:themeFillTint="33"/>
            <w:vAlign w:val="center"/>
            <w:hideMark/>
          </w:tcPr>
          <w:p w14:paraId="75428404"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Risque de transition biodiversité</w:t>
            </w:r>
          </w:p>
        </w:tc>
        <w:tc>
          <w:tcPr>
            <w:tcW w:w="2680" w:type="dxa"/>
            <w:tcBorders>
              <w:top w:val="nil"/>
              <w:left w:val="nil"/>
              <w:bottom w:val="single" w:sz="8" w:space="0" w:color="auto"/>
              <w:right w:val="single" w:sz="8" w:space="0" w:color="auto"/>
            </w:tcBorders>
            <w:vAlign w:val="center"/>
            <w:hideMark/>
          </w:tcPr>
          <w:p w14:paraId="13CF74A2"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Corporate</w:t>
            </w:r>
          </w:p>
        </w:tc>
        <w:tc>
          <w:tcPr>
            <w:tcW w:w="2680" w:type="dxa"/>
            <w:tcBorders>
              <w:top w:val="nil"/>
              <w:left w:val="nil"/>
              <w:bottom w:val="single" w:sz="8" w:space="0" w:color="auto"/>
              <w:right w:val="single" w:sz="8" w:space="0" w:color="auto"/>
            </w:tcBorders>
            <w:vAlign w:val="center"/>
            <w:hideMark/>
          </w:tcPr>
          <w:p w14:paraId="18BA22FA"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Exposition aux limites planétaires</w:t>
            </w:r>
          </w:p>
        </w:tc>
        <w:tc>
          <w:tcPr>
            <w:tcW w:w="2680" w:type="dxa"/>
            <w:tcBorders>
              <w:top w:val="nil"/>
              <w:left w:val="nil"/>
              <w:bottom w:val="single" w:sz="8" w:space="0" w:color="auto"/>
              <w:right w:val="single" w:sz="12" w:space="0" w:color="auto"/>
            </w:tcBorders>
            <w:vAlign w:val="center"/>
            <w:hideMark/>
          </w:tcPr>
          <w:p w14:paraId="37DC862C"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Pilotage et reporting</w:t>
            </w:r>
          </w:p>
        </w:tc>
      </w:tr>
      <w:tr w:rsidR="00580F10" w:rsidRPr="00A74D23" w14:paraId="0AA2E16C" w14:textId="77777777" w:rsidTr="00AC5048">
        <w:trPr>
          <w:trHeight w:val="480"/>
        </w:trPr>
        <w:tc>
          <w:tcPr>
            <w:tcW w:w="2680" w:type="dxa"/>
            <w:tcBorders>
              <w:top w:val="nil"/>
              <w:left w:val="single" w:sz="12" w:space="0" w:color="auto"/>
              <w:bottom w:val="single" w:sz="8" w:space="0" w:color="auto"/>
              <w:right w:val="single" w:sz="8" w:space="0" w:color="auto"/>
            </w:tcBorders>
            <w:shd w:val="clear" w:color="auto" w:fill="E7D6DC" w:themeFill="text2" w:themeFillTint="33"/>
            <w:vAlign w:val="center"/>
            <w:hideMark/>
          </w:tcPr>
          <w:p w14:paraId="7538DFCF"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Risque de transition biodiversité</w:t>
            </w:r>
          </w:p>
        </w:tc>
        <w:tc>
          <w:tcPr>
            <w:tcW w:w="2680" w:type="dxa"/>
            <w:tcBorders>
              <w:top w:val="nil"/>
              <w:left w:val="nil"/>
              <w:bottom w:val="single" w:sz="8" w:space="0" w:color="auto"/>
              <w:right w:val="single" w:sz="8" w:space="0" w:color="auto"/>
            </w:tcBorders>
            <w:vAlign w:val="center"/>
            <w:hideMark/>
          </w:tcPr>
          <w:p w14:paraId="21EF0628"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Corporate</w:t>
            </w:r>
          </w:p>
        </w:tc>
        <w:tc>
          <w:tcPr>
            <w:tcW w:w="2680" w:type="dxa"/>
            <w:tcBorders>
              <w:top w:val="nil"/>
              <w:left w:val="nil"/>
              <w:bottom w:val="single" w:sz="8" w:space="0" w:color="auto"/>
              <w:right w:val="single" w:sz="8" w:space="0" w:color="auto"/>
            </w:tcBorders>
            <w:vAlign w:val="center"/>
            <w:hideMark/>
          </w:tcPr>
          <w:p w14:paraId="69CBED0B" w14:textId="77777777" w:rsidR="00580F10" w:rsidRPr="00A74D23" w:rsidRDefault="00580F10" w:rsidP="00580F10">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 d’exposition à des zones caractérisées par une forte vulnérabilité de la biodiversité.</w:t>
            </w:r>
          </w:p>
        </w:tc>
        <w:tc>
          <w:tcPr>
            <w:tcW w:w="2680" w:type="dxa"/>
            <w:tcBorders>
              <w:top w:val="nil"/>
              <w:left w:val="nil"/>
              <w:bottom w:val="single" w:sz="8" w:space="0" w:color="auto"/>
              <w:right w:val="single" w:sz="12" w:space="0" w:color="auto"/>
            </w:tcBorders>
            <w:vAlign w:val="center"/>
            <w:hideMark/>
          </w:tcPr>
          <w:p w14:paraId="4F51A7E5"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Pilotage et reporting</w:t>
            </w:r>
          </w:p>
        </w:tc>
      </w:tr>
      <w:tr w:rsidR="00580F10" w:rsidRPr="00A74D23" w14:paraId="4971B431" w14:textId="77777777" w:rsidTr="005343F7">
        <w:trPr>
          <w:trHeight w:val="480"/>
        </w:trPr>
        <w:tc>
          <w:tcPr>
            <w:tcW w:w="2680" w:type="dxa"/>
            <w:tcBorders>
              <w:top w:val="nil"/>
              <w:left w:val="single" w:sz="12" w:space="0" w:color="auto"/>
              <w:bottom w:val="single" w:sz="8" w:space="0" w:color="auto"/>
              <w:right w:val="single" w:sz="8" w:space="0" w:color="auto"/>
            </w:tcBorders>
            <w:shd w:val="clear" w:color="000000" w:fill="D9D9D9"/>
            <w:vAlign w:val="center"/>
            <w:hideMark/>
          </w:tcPr>
          <w:p w14:paraId="25AEAEEC"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Risques physiques biodiversité</w:t>
            </w:r>
          </w:p>
        </w:tc>
        <w:tc>
          <w:tcPr>
            <w:tcW w:w="2680" w:type="dxa"/>
            <w:tcBorders>
              <w:top w:val="nil"/>
              <w:left w:val="nil"/>
              <w:bottom w:val="single" w:sz="8" w:space="0" w:color="auto"/>
              <w:right w:val="single" w:sz="8" w:space="0" w:color="auto"/>
            </w:tcBorders>
            <w:vAlign w:val="center"/>
            <w:hideMark/>
          </w:tcPr>
          <w:p w14:paraId="39796089"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Corporate</w:t>
            </w:r>
          </w:p>
        </w:tc>
        <w:tc>
          <w:tcPr>
            <w:tcW w:w="2680" w:type="dxa"/>
            <w:tcBorders>
              <w:top w:val="nil"/>
              <w:left w:val="nil"/>
              <w:bottom w:val="single" w:sz="8" w:space="0" w:color="auto"/>
              <w:right w:val="single" w:sz="8" w:space="0" w:color="auto"/>
            </w:tcBorders>
            <w:vAlign w:val="center"/>
            <w:hideMark/>
          </w:tcPr>
          <w:p w14:paraId="00794895"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 d'encours prioritaire TNFD</w:t>
            </w:r>
          </w:p>
        </w:tc>
        <w:tc>
          <w:tcPr>
            <w:tcW w:w="2680" w:type="dxa"/>
            <w:tcBorders>
              <w:top w:val="nil"/>
              <w:left w:val="nil"/>
              <w:bottom w:val="single" w:sz="8" w:space="0" w:color="auto"/>
              <w:right w:val="single" w:sz="12" w:space="0" w:color="auto"/>
            </w:tcBorders>
            <w:vAlign w:val="center"/>
            <w:hideMark/>
          </w:tcPr>
          <w:p w14:paraId="47E22351"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Pilotage et reporting</w:t>
            </w:r>
          </w:p>
        </w:tc>
      </w:tr>
      <w:tr w:rsidR="00580F10" w:rsidRPr="00A74D23" w14:paraId="53F43C82" w14:textId="77777777" w:rsidTr="005343F7">
        <w:trPr>
          <w:trHeight w:val="480"/>
        </w:trPr>
        <w:tc>
          <w:tcPr>
            <w:tcW w:w="2680" w:type="dxa"/>
            <w:tcBorders>
              <w:top w:val="nil"/>
              <w:left w:val="single" w:sz="12" w:space="0" w:color="auto"/>
              <w:bottom w:val="single" w:sz="8" w:space="0" w:color="auto"/>
              <w:right w:val="single" w:sz="8" w:space="0" w:color="auto"/>
            </w:tcBorders>
            <w:shd w:val="clear" w:color="000000" w:fill="D9D9D9"/>
            <w:vAlign w:val="center"/>
            <w:hideMark/>
          </w:tcPr>
          <w:p w14:paraId="2A1A91F8"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Risques physiques biodiversité</w:t>
            </w:r>
          </w:p>
        </w:tc>
        <w:tc>
          <w:tcPr>
            <w:tcW w:w="2680" w:type="dxa"/>
            <w:tcBorders>
              <w:top w:val="nil"/>
              <w:left w:val="nil"/>
              <w:bottom w:val="single" w:sz="8" w:space="0" w:color="auto"/>
              <w:right w:val="single" w:sz="8" w:space="0" w:color="auto"/>
            </w:tcBorders>
            <w:vAlign w:val="center"/>
            <w:hideMark/>
          </w:tcPr>
          <w:p w14:paraId="585EAC96"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Corporate</w:t>
            </w:r>
          </w:p>
        </w:tc>
        <w:tc>
          <w:tcPr>
            <w:tcW w:w="2680" w:type="dxa"/>
            <w:tcBorders>
              <w:top w:val="nil"/>
              <w:left w:val="nil"/>
              <w:bottom w:val="single" w:sz="8" w:space="0" w:color="auto"/>
              <w:right w:val="single" w:sz="8" w:space="0" w:color="auto"/>
            </w:tcBorders>
            <w:vAlign w:val="center"/>
            <w:hideMark/>
          </w:tcPr>
          <w:p w14:paraId="430FD9FF" w14:textId="77777777" w:rsidR="00580F10" w:rsidRPr="00A74D23" w:rsidRDefault="00580F10" w:rsidP="00580F10">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 de score de dépendance à la biodiversité</w:t>
            </w:r>
          </w:p>
        </w:tc>
        <w:tc>
          <w:tcPr>
            <w:tcW w:w="2680" w:type="dxa"/>
            <w:tcBorders>
              <w:top w:val="nil"/>
              <w:left w:val="nil"/>
              <w:bottom w:val="single" w:sz="8" w:space="0" w:color="auto"/>
              <w:right w:val="single" w:sz="12" w:space="0" w:color="auto"/>
            </w:tcBorders>
            <w:vAlign w:val="center"/>
            <w:hideMark/>
          </w:tcPr>
          <w:p w14:paraId="522AEDDE"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Pilotage et reporting</w:t>
            </w:r>
          </w:p>
        </w:tc>
      </w:tr>
      <w:tr w:rsidR="00580F10" w:rsidRPr="00A74D23" w14:paraId="46B1C4B9" w14:textId="77777777" w:rsidTr="005343F7">
        <w:trPr>
          <w:trHeight w:val="480"/>
        </w:trPr>
        <w:tc>
          <w:tcPr>
            <w:tcW w:w="2680" w:type="dxa"/>
            <w:tcBorders>
              <w:top w:val="nil"/>
              <w:left w:val="single" w:sz="12" w:space="0" w:color="auto"/>
              <w:bottom w:val="single" w:sz="8" w:space="0" w:color="auto"/>
              <w:right w:val="single" w:sz="8" w:space="0" w:color="auto"/>
            </w:tcBorders>
            <w:shd w:val="clear" w:color="000000" w:fill="D9D9D9"/>
            <w:vAlign w:val="center"/>
          </w:tcPr>
          <w:p w14:paraId="7C6A559D" w14:textId="544323C5"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Risques physiques biodiversité</w:t>
            </w:r>
          </w:p>
        </w:tc>
        <w:tc>
          <w:tcPr>
            <w:tcW w:w="2680" w:type="dxa"/>
            <w:tcBorders>
              <w:top w:val="nil"/>
              <w:left w:val="nil"/>
              <w:bottom w:val="single" w:sz="8" w:space="0" w:color="auto"/>
              <w:right w:val="single" w:sz="8" w:space="0" w:color="auto"/>
            </w:tcBorders>
            <w:vAlign w:val="center"/>
          </w:tcPr>
          <w:p w14:paraId="166357FB" w14:textId="2EC018CE"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Souverain</w:t>
            </w:r>
          </w:p>
        </w:tc>
        <w:tc>
          <w:tcPr>
            <w:tcW w:w="2680" w:type="dxa"/>
            <w:tcBorders>
              <w:top w:val="nil"/>
              <w:left w:val="nil"/>
              <w:bottom w:val="single" w:sz="8" w:space="0" w:color="auto"/>
              <w:right w:val="single" w:sz="8" w:space="0" w:color="auto"/>
            </w:tcBorders>
            <w:vAlign w:val="center"/>
          </w:tcPr>
          <w:p w14:paraId="7C32FA0B" w14:textId="1A846151"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WWF Risk Filter Country score</w:t>
            </w:r>
          </w:p>
        </w:tc>
        <w:tc>
          <w:tcPr>
            <w:tcW w:w="2680" w:type="dxa"/>
            <w:tcBorders>
              <w:top w:val="nil"/>
              <w:left w:val="nil"/>
              <w:bottom w:val="single" w:sz="8" w:space="0" w:color="auto"/>
              <w:right w:val="single" w:sz="12" w:space="0" w:color="auto"/>
            </w:tcBorders>
            <w:vAlign w:val="center"/>
          </w:tcPr>
          <w:p w14:paraId="4AAF6B3C" w14:textId="63962908"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Pilotage et reporting</w:t>
            </w:r>
          </w:p>
        </w:tc>
      </w:tr>
      <w:tr w:rsidR="00580F10" w:rsidRPr="00A74D23" w14:paraId="55ECA275" w14:textId="77777777" w:rsidTr="00AC5048">
        <w:trPr>
          <w:trHeight w:val="480"/>
        </w:trPr>
        <w:tc>
          <w:tcPr>
            <w:tcW w:w="2680" w:type="dxa"/>
            <w:tcBorders>
              <w:top w:val="nil"/>
              <w:left w:val="single" w:sz="12" w:space="0" w:color="auto"/>
              <w:bottom w:val="single" w:sz="12" w:space="0" w:color="auto"/>
              <w:right w:val="single" w:sz="8" w:space="0" w:color="auto"/>
            </w:tcBorders>
            <w:shd w:val="clear" w:color="auto" w:fill="DBC1B0" w:themeFill="accent5" w:themeFillShade="E6"/>
            <w:vAlign w:val="center"/>
            <w:hideMark/>
          </w:tcPr>
          <w:p w14:paraId="5BC21F6A"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Risque déforestation</w:t>
            </w:r>
          </w:p>
        </w:tc>
        <w:tc>
          <w:tcPr>
            <w:tcW w:w="2680" w:type="dxa"/>
            <w:tcBorders>
              <w:top w:val="nil"/>
              <w:left w:val="nil"/>
              <w:bottom w:val="single" w:sz="12" w:space="0" w:color="auto"/>
              <w:right w:val="single" w:sz="8" w:space="0" w:color="auto"/>
            </w:tcBorders>
            <w:vAlign w:val="center"/>
            <w:hideMark/>
          </w:tcPr>
          <w:p w14:paraId="413C1DB1"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Corporate</w:t>
            </w:r>
          </w:p>
        </w:tc>
        <w:tc>
          <w:tcPr>
            <w:tcW w:w="2680" w:type="dxa"/>
            <w:tcBorders>
              <w:top w:val="nil"/>
              <w:left w:val="nil"/>
              <w:bottom w:val="single" w:sz="12" w:space="0" w:color="auto"/>
              <w:right w:val="single" w:sz="8" w:space="0" w:color="auto"/>
            </w:tcBorders>
            <w:vAlign w:val="center"/>
            <w:hideMark/>
          </w:tcPr>
          <w:p w14:paraId="3A4BF6A1" w14:textId="77777777" w:rsidR="00580F10" w:rsidRPr="00A74D23" w:rsidRDefault="00580F10" w:rsidP="00580F10">
            <w:pPr>
              <w:spacing w:line="22" w:lineRule="atLeast"/>
              <w:jc w:val="both"/>
              <w:rPr>
                <w:rFonts w:asciiTheme="minorHAnsi" w:hAnsiTheme="minorHAnsi"/>
                <w:color w:val="000000"/>
                <w:sz w:val="16"/>
                <w:szCs w:val="16"/>
                <w:lang w:val="fr-FR"/>
              </w:rPr>
            </w:pPr>
            <w:r w:rsidRPr="00A74D23">
              <w:rPr>
                <w:rFonts w:asciiTheme="minorHAnsi" w:hAnsiTheme="minorHAnsi"/>
                <w:color w:val="000000"/>
                <w:sz w:val="16"/>
                <w:szCs w:val="16"/>
                <w:lang w:val="fr-FR"/>
              </w:rPr>
              <w:t>Score d'exposition et gestion du risque déforestation</w:t>
            </w:r>
          </w:p>
        </w:tc>
        <w:tc>
          <w:tcPr>
            <w:tcW w:w="2680" w:type="dxa"/>
            <w:tcBorders>
              <w:top w:val="nil"/>
              <w:left w:val="nil"/>
              <w:bottom w:val="single" w:sz="12" w:space="0" w:color="auto"/>
              <w:right w:val="single" w:sz="12" w:space="0" w:color="auto"/>
            </w:tcBorders>
            <w:vAlign w:val="center"/>
            <w:hideMark/>
          </w:tcPr>
          <w:p w14:paraId="0F414479" w14:textId="77777777" w:rsidR="00580F10" w:rsidRPr="00A74D23" w:rsidRDefault="00580F10" w:rsidP="00580F10">
            <w:pPr>
              <w:spacing w:line="22" w:lineRule="atLeast"/>
              <w:jc w:val="both"/>
              <w:rPr>
                <w:rFonts w:asciiTheme="minorHAnsi" w:hAnsiTheme="minorHAnsi"/>
                <w:color w:val="000000"/>
                <w:sz w:val="16"/>
                <w:szCs w:val="16"/>
              </w:rPr>
            </w:pPr>
            <w:r w:rsidRPr="00A74D23">
              <w:rPr>
                <w:rFonts w:asciiTheme="minorHAnsi" w:hAnsiTheme="minorHAnsi"/>
                <w:color w:val="000000"/>
                <w:sz w:val="16"/>
                <w:szCs w:val="16"/>
              </w:rPr>
              <w:t>Pilotage et reporting</w:t>
            </w:r>
          </w:p>
        </w:tc>
      </w:tr>
    </w:tbl>
    <w:p w14:paraId="445A30F7" w14:textId="77777777" w:rsidR="00C92E3A" w:rsidRPr="00A74D23" w:rsidRDefault="00C92E3A" w:rsidP="009D6EE5">
      <w:pPr>
        <w:pStyle w:val="Style5"/>
        <w:numPr>
          <w:ilvl w:val="0"/>
          <w:numId w:val="0"/>
        </w:numPr>
        <w:spacing w:line="22" w:lineRule="atLeast"/>
        <w:jc w:val="both"/>
        <w:rPr>
          <w:sz w:val="20"/>
          <w:szCs w:val="20"/>
        </w:rPr>
      </w:pPr>
    </w:p>
    <w:p w14:paraId="0B52AB17" w14:textId="77777777" w:rsidR="00C92E3A" w:rsidRPr="00A74D23" w:rsidRDefault="00C92E3A" w:rsidP="009D6EE5">
      <w:pPr>
        <w:pStyle w:val="Style5"/>
        <w:numPr>
          <w:ilvl w:val="0"/>
          <w:numId w:val="0"/>
        </w:numPr>
        <w:spacing w:line="22" w:lineRule="atLeast"/>
        <w:ind w:left="-426"/>
        <w:jc w:val="both"/>
        <w:rPr>
          <w:sz w:val="20"/>
          <w:szCs w:val="20"/>
        </w:rPr>
      </w:pPr>
    </w:p>
    <w:p w14:paraId="413C126B" w14:textId="7EC89DC5" w:rsidR="00E35B8C" w:rsidRPr="00A74D23" w:rsidRDefault="00E35B8C" w:rsidP="00590DD1">
      <w:pPr>
        <w:pStyle w:val="Paragraphedeliste"/>
        <w:numPr>
          <w:ilvl w:val="1"/>
          <w:numId w:val="67"/>
        </w:numPr>
        <w:spacing w:line="22" w:lineRule="atLeast"/>
        <w:jc w:val="both"/>
        <w:rPr>
          <w:b/>
          <w:bCs/>
          <w:sz w:val="32"/>
          <w:szCs w:val="32"/>
        </w:rPr>
      </w:pPr>
      <w:r w:rsidRPr="00A74D23">
        <w:rPr>
          <w:b/>
          <w:bCs/>
          <w:sz w:val="32"/>
          <w:szCs w:val="32"/>
        </w:rPr>
        <w:t>Evaluation interne des risques et de la solvabilité – EIRS/ORSA</w:t>
      </w:r>
    </w:p>
    <w:p w14:paraId="5562000D" w14:textId="77777777" w:rsidR="00C92E3A" w:rsidRPr="00A74D23" w:rsidRDefault="00C92E3A" w:rsidP="009D6EE5">
      <w:pPr>
        <w:pStyle w:val="Style5"/>
        <w:numPr>
          <w:ilvl w:val="0"/>
          <w:numId w:val="0"/>
        </w:numPr>
        <w:spacing w:line="22" w:lineRule="atLeast"/>
        <w:ind w:left="-426"/>
        <w:jc w:val="both"/>
        <w:rPr>
          <w:sz w:val="20"/>
          <w:szCs w:val="20"/>
        </w:rPr>
      </w:pPr>
    </w:p>
    <w:p w14:paraId="0F1A66AA" w14:textId="77777777" w:rsidR="00B23F1E" w:rsidRPr="009D6EE5" w:rsidRDefault="00B23F1E" w:rsidP="00B23F1E">
      <w:pPr>
        <w:pStyle w:val="Style5"/>
        <w:numPr>
          <w:ilvl w:val="0"/>
          <w:numId w:val="0"/>
        </w:numPr>
        <w:spacing w:line="22" w:lineRule="atLeast"/>
        <w:jc w:val="both"/>
        <w:rPr>
          <w:sz w:val="20"/>
          <w:szCs w:val="20"/>
        </w:rPr>
      </w:pPr>
      <w:r w:rsidRPr="009D6EE5">
        <w:rPr>
          <w:sz w:val="20"/>
          <w:szCs w:val="20"/>
        </w:rPr>
        <w:t xml:space="preserve">Parmi les outils mobilisés pour la gestion des risques, le processus ORSA, exercice central du Pilier 2 de Solvabilité II, intègre le risque de durabilité, son pilotage ainsi que les actions mises en œuvre pour le maîtriser. </w:t>
      </w:r>
    </w:p>
    <w:p w14:paraId="02E142BB" w14:textId="77777777" w:rsidR="00B23F1E" w:rsidRPr="009D6EE5" w:rsidRDefault="00B23F1E" w:rsidP="00B23F1E">
      <w:pPr>
        <w:pStyle w:val="Style5"/>
        <w:numPr>
          <w:ilvl w:val="0"/>
          <w:numId w:val="0"/>
        </w:numPr>
        <w:spacing w:line="22" w:lineRule="atLeast"/>
        <w:jc w:val="both"/>
        <w:rPr>
          <w:sz w:val="20"/>
          <w:szCs w:val="20"/>
        </w:rPr>
      </w:pPr>
    </w:p>
    <w:p w14:paraId="16C9B18A" w14:textId="77777777" w:rsidR="00B23F1E" w:rsidRPr="009D6EE5" w:rsidRDefault="00B23F1E" w:rsidP="00B23F1E">
      <w:pPr>
        <w:pStyle w:val="Style5"/>
        <w:numPr>
          <w:ilvl w:val="0"/>
          <w:numId w:val="0"/>
        </w:numPr>
        <w:spacing w:line="22" w:lineRule="atLeast"/>
        <w:jc w:val="both"/>
        <w:rPr>
          <w:sz w:val="20"/>
          <w:szCs w:val="20"/>
        </w:rPr>
      </w:pPr>
      <w:r w:rsidRPr="009D6EE5">
        <w:rPr>
          <w:sz w:val="20"/>
          <w:szCs w:val="20"/>
        </w:rPr>
        <w:t>Dans le cadre de l’exercice ORSA 2025, Abeille Assurances a défini un scénario spécifiquement lié au risque de durabilité, dit « scénario climatique ». Celui</w:t>
      </w:r>
      <w:r w:rsidRPr="009D6EE5">
        <w:rPr>
          <w:sz w:val="20"/>
          <w:szCs w:val="20"/>
        </w:rPr>
        <w:noBreakHyphen/>
        <w:t>ci vise à analyser la résilience d’Abeille Assurances dans un contexte de hausse de la fréquence et de l’intensité des événements climatiques</w:t>
      </w:r>
      <w:r>
        <w:rPr>
          <w:sz w:val="20"/>
          <w:szCs w:val="20"/>
        </w:rPr>
        <w:t xml:space="preserve"> </w:t>
      </w:r>
      <w:r w:rsidRPr="00F8121F">
        <w:rPr>
          <w:sz w:val="20"/>
          <w:szCs w:val="20"/>
        </w:rPr>
        <w:t>ainsi que les marchés financiers, frappés par une crise de transition en réaction aux épisodes climatiques</w:t>
      </w:r>
      <w:r w:rsidRPr="009D6EE5">
        <w:rPr>
          <w:sz w:val="20"/>
          <w:szCs w:val="20"/>
        </w:rPr>
        <w:t>. Il combine</w:t>
      </w:r>
      <w:r>
        <w:rPr>
          <w:sz w:val="20"/>
          <w:szCs w:val="20"/>
        </w:rPr>
        <w:t xml:space="preserve"> ainsi</w:t>
      </w:r>
      <w:r w:rsidRPr="009D6EE5">
        <w:rPr>
          <w:sz w:val="20"/>
          <w:szCs w:val="20"/>
        </w:rPr>
        <w:t xml:space="preserve"> des risques physiques significatifs tels que les tempêtes, les sécheresses et les inondations, </w:t>
      </w:r>
      <w:r>
        <w:rPr>
          <w:sz w:val="20"/>
          <w:szCs w:val="20"/>
        </w:rPr>
        <w:t xml:space="preserve">et </w:t>
      </w:r>
      <w:r w:rsidRPr="009D6EE5">
        <w:rPr>
          <w:sz w:val="20"/>
          <w:szCs w:val="20"/>
        </w:rPr>
        <w:t>un environnement économique défavorable, afin d’évaluer la capacité de l’entreprise à faire face aux impacts du changement climatique.</w:t>
      </w:r>
    </w:p>
    <w:p w14:paraId="52ACB80D" w14:textId="77777777" w:rsidR="00B23F1E" w:rsidRPr="009D6EE5" w:rsidRDefault="00B23F1E" w:rsidP="00B23F1E">
      <w:pPr>
        <w:pStyle w:val="Style5"/>
        <w:numPr>
          <w:ilvl w:val="0"/>
          <w:numId w:val="0"/>
        </w:numPr>
        <w:spacing w:line="22" w:lineRule="atLeast"/>
        <w:jc w:val="both"/>
        <w:rPr>
          <w:sz w:val="20"/>
          <w:szCs w:val="20"/>
        </w:rPr>
      </w:pPr>
    </w:p>
    <w:p w14:paraId="471DAF0D" w14:textId="77777777" w:rsidR="00B23F1E" w:rsidRDefault="00B23F1E" w:rsidP="00B23F1E">
      <w:pPr>
        <w:pStyle w:val="Style5"/>
        <w:numPr>
          <w:ilvl w:val="0"/>
          <w:numId w:val="0"/>
        </w:numPr>
        <w:spacing w:line="22" w:lineRule="atLeast"/>
        <w:jc w:val="both"/>
        <w:rPr>
          <w:sz w:val="20"/>
          <w:szCs w:val="20"/>
        </w:rPr>
      </w:pPr>
      <w:r w:rsidRPr="00F8121F">
        <w:rPr>
          <w:sz w:val="20"/>
          <w:szCs w:val="20"/>
        </w:rPr>
        <w:t>Le Besoin Global de Solvabilité (BGS) 202</w:t>
      </w:r>
      <w:r>
        <w:rPr>
          <w:sz w:val="20"/>
          <w:szCs w:val="20"/>
        </w:rPr>
        <w:t>5</w:t>
      </w:r>
      <w:r w:rsidRPr="00F8121F">
        <w:rPr>
          <w:sz w:val="20"/>
          <w:szCs w:val="20"/>
        </w:rPr>
        <w:t xml:space="preserve"> est par ailleurs constitué des éléments suivants : </w:t>
      </w:r>
    </w:p>
    <w:p w14:paraId="58D167E1" w14:textId="7E441200" w:rsidR="00B23F1E" w:rsidRDefault="00B23F1E" w:rsidP="00590DD1">
      <w:pPr>
        <w:pStyle w:val="Style5"/>
        <w:numPr>
          <w:ilvl w:val="1"/>
          <w:numId w:val="94"/>
        </w:numPr>
        <w:spacing w:line="22" w:lineRule="atLeast"/>
        <w:ind w:left="851"/>
        <w:jc w:val="both"/>
        <w:rPr>
          <w:sz w:val="20"/>
          <w:szCs w:val="20"/>
        </w:rPr>
      </w:pPr>
      <w:r w:rsidRPr="00B23F1E">
        <w:rPr>
          <w:b/>
          <w:bCs/>
          <w:sz w:val="20"/>
          <w:szCs w:val="20"/>
        </w:rPr>
        <w:t>Une composante couverte par du capital économique</w:t>
      </w:r>
      <w:r w:rsidRPr="00F8121F">
        <w:rPr>
          <w:sz w:val="20"/>
          <w:szCs w:val="20"/>
        </w:rPr>
        <w:t xml:space="preserve">. Il s’agit du niveau d’appétence au risque d’Abeille Assurances, calculé à partir d’une vision interne </w:t>
      </w:r>
      <w:r>
        <w:rPr>
          <w:sz w:val="20"/>
          <w:szCs w:val="20"/>
        </w:rPr>
        <w:t>pour certains facteurs de risques dont le risque physique</w:t>
      </w:r>
      <w:r w:rsidRPr="00F8121F">
        <w:rPr>
          <w:sz w:val="20"/>
          <w:szCs w:val="20"/>
        </w:rPr>
        <w:t xml:space="preserve">, afin de tenir compte de son profil de risque spécifique et de sa stratégie de développement. </w:t>
      </w:r>
    </w:p>
    <w:p w14:paraId="2F009ACE" w14:textId="041B9C82" w:rsidR="00387216" w:rsidRPr="00A74D23" w:rsidRDefault="00B23F1E" w:rsidP="00590DD1">
      <w:pPr>
        <w:pStyle w:val="Style5"/>
        <w:numPr>
          <w:ilvl w:val="1"/>
          <w:numId w:val="94"/>
        </w:numPr>
        <w:spacing w:line="22" w:lineRule="atLeast"/>
        <w:ind w:left="851"/>
        <w:jc w:val="both"/>
        <w:rPr>
          <w:sz w:val="20"/>
          <w:szCs w:val="20"/>
        </w:rPr>
      </w:pPr>
      <w:r w:rsidRPr="00B23F1E">
        <w:rPr>
          <w:b/>
          <w:bCs/>
          <w:sz w:val="20"/>
          <w:szCs w:val="20"/>
        </w:rPr>
        <w:t>Une composante non-couverte par du capital économique</w:t>
      </w:r>
      <w:r w:rsidRPr="00766B76">
        <w:rPr>
          <w:sz w:val="20"/>
          <w:szCs w:val="20"/>
        </w:rPr>
        <w:t xml:space="preserve">. Il s’agit du niveau d’impact des risques climatiques sur les fonds propres, calculé via un outil de stress test </w:t>
      </w:r>
      <w:r>
        <w:rPr>
          <w:sz w:val="20"/>
          <w:szCs w:val="20"/>
        </w:rPr>
        <w:t>(Climate Var</w:t>
      </w:r>
      <w:r w:rsidRPr="00766B76">
        <w:rPr>
          <w:sz w:val="20"/>
          <w:szCs w:val="20"/>
        </w:rPr>
        <w:t>) permettant de quantifier les pertes financières potentielles générées par le changement climatique, selon différents scénarios climatiques (physique et de transition)</w:t>
      </w:r>
      <w:r>
        <w:rPr>
          <w:sz w:val="20"/>
          <w:szCs w:val="20"/>
        </w:rPr>
        <w:t xml:space="preserve"> et d’analyses relatives à l’exposition aux risques ESG, à l’évolution des scores ESG et à l’évolution de l’intensité carbone.</w:t>
      </w:r>
    </w:p>
    <w:p w14:paraId="612E781E" w14:textId="77777777" w:rsidR="00B64222" w:rsidRPr="00A74D23" w:rsidRDefault="00B64222" w:rsidP="009D6EE5">
      <w:pPr>
        <w:pStyle w:val="Style5"/>
        <w:numPr>
          <w:ilvl w:val="0"/>
          <w:numId w:val="0"/>
        </w:numPr>
        <w:spacing w:line="22" w:lineRule="atLeast"/>
        <w:ind w:left="-426"/>
        <w:jc w:val="both"/>
        <w:rPr>
          <w:sz w:val="20"/>
          <w:szCs w:val="20"/>
        </w:rPr>
      </w:pPr>
    </w:p>
    <w:p w14:paraId="4E1849B3" w14:textId="77777777" w:rsidR="00321883" w:rsidRPr="00A74D23" w:rsidRDefault="00321883" w:rsidP="009D6EE5">
      <w:pPr>
        <w:pStyle w:val="Style5"/>
        <w:numPr>
          <w:ilvl w:val="0"/>
          <w:numId w:val="0"/>
        </w:numPr>
        <w:spacing w:line="22" w:lineRule="atLeast"/>
        <w:ind w:left="-426"/>
        <w:jc w:val="both"/>
        <w:rPr>
          <w:sz w:val="20"/>
          <w:szCs w:val="20"/>
        </w:rPr>
      </w:pPr>
    </w:p>
    <w:p w14:paraId="109D5444" w14:textId="77777777" w:rsidR="00321883" w:rsidRPr="00A74D23" w:rsidRDefault="00321883" w:rsidP="009D6EE5">
      <w:pPr>
        <w:pStyle w:val="Style5"/>
        <w:numPr>
          <w:ilvl w:val="0"/>
          <w:numId w:val="0"/>
        </w:numPr>
        <w:spacing w:line="22" w:lineRule="atLeast"/>
        <w:ind w:left="-426"/>
        <w:jc w:val="both"/>
        <w:rPr>
          <w:sz w:val="20"/>
          <w:szCs w:val="20"/>
        </w:rPr>
      </w:pPr>
    </w:p>
    <w:p w14:paraId="37209A60" w14:textId="77777777" w:rsidR="00321883" w:rsidRPr="00A74D23" w:rsidRDefault="00321883" w:rsidP="009D6EE5">
      <w:pPr>
        <w:pStyle w:val="Style5"/>
        <w:numPr>
          <w:ilvl w:val="0"/>
          <w:numId w:val="0"/>
        </w:numPr>
        <w:spacing w:line="22" w:lineRule="atLeast"/>
        <w:ind w:left="-426"/>
        <w:jc w:val="both"/>
        <w:rPr>
          <w:sz w:val="20"/>
          <w:szCs w:val="20"/>
        </w:rPr>
      </w:pPr>
    </w:p>
    <w:p w14:paraId="3D4BCAA8" w14:textId="77777777" w:rsidR="00321883" w:rsidRPr="00A74D23" w:rsidRDefault="00321883" w:rsidP="009D6EE5">
      <w:pPr>
        <w:pStyle w:val="Style5"/>
        <w:numPr>
          <w:ilvl w:val="0"/>
          <w:numId w:val="0"/>
        </w:numPr>
        <w:spacing w:line="22" w:lineRule="atLeast"/>
        <w:ind w:left="-426"/>
        <w:jc w:val="both"/>
        <w:rPr>
          <w:sz w:val="20"/>
          <w:szCs w:val="20"/>
        </w:rPr>
      </w:pPr>
    </w:p>
    <w:p w14:paraId="65AE99E4" w14:textId="77777777" w:rsidR="00321883" w:rsidRPr="00A74D23" w:rsidRDefault="00321883" w:rsidP="009D6EE5">
      <w:pPr>
        <w:pStyle w:val="Style5"/>
        <w:numPr>
          <w:ilvl w:val="0"/>
          <w:numId w:val="0"/>
        </w:numPr>
        <w:spacing w:line="22" w:lineRule="atLeast"/>
        <w:ind w:left="-426"/>
        <w:jc w:val="both"/>
        <w:rPr>
          <w:sz w:val="20"/>
          <w:szCs w:val="20"/>
        </w:rPr>
      </w:pPr>
    </w:p>
    <w:p w14:paraId="5D591EB3" w14:textId="77777777" w:rsidR="00321883" w:rsidRPr="00A74D23" w:rsidRDefault="00321883" w:rsidP="009D6EE5">
      <w:pPr>
        <w:pStyle w:val="Style5"/>
        <w:numPr>
          <w:ilvl w:val="0"/>
          <w:numId w:val="0"/>
        </w:numPr>
        <w:spacing w:line="22" w:lineRule="atLeast"/>
        <w:ind w:left="-426"/>
        <w:jc w:val="both"/>
        <w:rPr>
          <w:sz w:val="20"/>
          <w:szCs w:val="20"/>
        </w:rPr>
      </w:pPr>
    </w:p>
    <w:p w14:paraId="5831F2CC" w14:textId="77777777" w:rsidR="00321883" w:rsidRDefault="00321883" w:rsidP="009D6EE5">
      <w:pPr>
        <w:pStyle w:val="Style5"/>
        <w:numPr>
          <w:ilvl w:val="0"/>
          <w:numId w:val="0"/>
        </w:numPr>
        <w:spacing w:line="22" w:lineRule="atLeast"/>
        <w:ind w:left="-426"/>
        <w:jc w:val="both"/>
        <w:rPr>
          <w:sz w:val="20"/>
          <w:szCs w:val="20"/>
        </w:rPr>
      </w:pPr>
    </w:p>
    <w:p w14:paraId="037A0953" w14:textId="77777777" w:rsidR="00FD2A7E" w:rsidRDefault="00FD2A7E" w:rsidP="009D6EE5">
      <w:pPr>
        <w:pStyle w:val="Style5"/>
        <w:numPr>
          <w:ilvl w:val="0"/>
          <w:numId w:val="0"/>
        </w:numPr>
        <w:spacing w:line="22" w:lineRule="atLeast"/>
        <w:ind w:left="-426"/>
        <w:jc w:val="both"/>
        <w:rPr>
          <w:sz w:val="20"/>
          <w:szCs w:val="20"/>
        </w:rPr>
      </w:pPr>
    </w:p>
    <w:p w14:paraId="3B757D10" w14:textId="77777777" w:rsidR="00FD2A7E" w:rsidRDefault="00FD2A7E" w:rsidP="009D6EE5">
      <w:pPr>
        <w:pStyle w:val="Style5"/>
        <w:numPr>
          <w:ilvl w:val="0"/>
          <w:numId w:val="0"/>
        </w:numPr>
        <w:spacing w:line="22" w:lineRule="atLeast"/>
        <w:ind w:left="-426"/>
        <w:jc w:val="both"/>
        <w:rPr>
          <w:sz w:val="20"/>
          <w:szCs w:val="20"/>
        </w:rPr>
      </w:pPr>
    </w:p>
    <w:p w14:paraId="61896C3C" w14:textId="77777777" w:rsidR="00FD2A7E" w:rsidRDefault="00FD2A7E" w:rsidP="009D6EE5">
      <w:pPr>
        <w:pStyle w:val="Style5"/>
        <w:numPr>
          <w:ilvl w:val="0"/>
          <w:numId w:val="0"/>
        </w:numPr>
        <w:spacing w:line="22" w:lineRule="atLeast"/>
        <w:ind w:left="-426"/>
        <w:jc w:val="both"/>
        <w:rPr>
          <w:sz w:val="20"/>
          <w:szCs w:val="20"/>
        </w:rPr>
      </w:pPr>
    </w:p>
    <w:p w14:paraId="52A22C35" w14:textId="77777777" w:rsidR="00FD2A7E" w:rsidRDefault="00FD2A7E" w:rsidP="009D6EE5">
      <w:pPr>
        <w:pStyle w:val="Style5"/>
        <w:numPr>
          <w:ilvl w:val="0"/>
          <w:numId w:val="0"/>
        </w:numPr>
        <w:spacing w:line="22" w:lineRule="atLeast"/>
        <w:ind w:left="-426"/>
        <w:jc w:val="both"/>
        <w:rPr>
          <w:sz w:val="20"/>
          <w:szCs w:val="20"/>
        </w:rPr>
      </w:pPr>
    </w:p>
    <w:p w14:paraId="7803B037" w14:textId="77777777" w:rsidR="00FD2A7E" w:rsidRDefault="00FD2A7E" w:rsidP="009D6EE5">
      <w:pPr>
        <w:pStyle w:val="Style5"/>
        <w:numPr>
          <w:ilvl w:val="0"/>
          <w:numId w:val="0"/>
        </w:numPr>
        <w:spacing w:line="22" w:lineRule="atLeast"/>
        <w:ind w:left="-426"/>
        <w:jc w:val="both"/>
        <w:rPr>
          <w:sz w:val="20"/>
          <w:szCs w:val="20"/>
        </w:rPr>
      </w:pPr>
    </w:p>
    <w:p w14:paraId="5B0E6741" w14:textId="77777777" w:rsidR="00FD2A7E" w:rsidRDefault="00FD2A7E" w:rsidP="009D6EE5">
      <w:pPr>
        <w:pStyle w:val="Style5"/>
        <w:numPr>
          <w:ilvl w:val="0"/>
          <w:numId w:val="0"/>
        </w:numPr>
        <w:spacing w:line="22" w:lineRule="atLeast"/>
        <w:ind w:left="-426"/>
        <w:jc w:val="both"/>
        <w:rPr>
          <w:sz w:val="20"/>
          <w:szCs w:val="20"/>
        </w:rPr>
      </w:pPr>
    </w:p>
    <w:p w14:paraId="46E8C45F" w14:textId="77777777" w:rsidR="00FD2A7E" w:rsidRDefault="00FD2A7E" w:rsidP="009D6EE5">
      <w:pPr>
        <w:pStyle w:val="Style5"/>
        <w:numPr>
          <w:ilvl w:val="0"/>
          <w:numId w:val="0"/>
        </w:numPr>
        <w:spacing w:line="22" w:lineRule="atLeast"/>
        <w:ind w:left="-426"/>
        <w:jc w:val="both"/>
        <w:rPr>
          <w:sz w:val="20"/>
          <w:szCs w:val="20"/>
        </w:rPr>
      </w:pPr>
    </w:p>
    <w:p w14:paraId="3B82C6AB" w14:textId="77777777" w:rsidR="00FD2A7E" w:rsidRDefault="00FD2A7E" w:rsidP="009D6EE5">
      <w:pPr>
        <w:pStyle w:val="Style5"/>
        <w:numPr>
          <w:ilvl w:val="0"/>
          <w:numId w:val="0"/>
        </w:numPr>
        <w:spacing w:line="22" w:lineRule="atLeast"/>
        <w:ind w:left="-426"/>
        <w:jc w:val="both"/>
        <w:rPr>
          <w:sz w:val="20"/>
          <w:szCs w:val="20"/>
        </w:rPr>
      </w:pPr>
    </w:p>
    <w:p w14:paraId="2D987E91" w14:textId="77777777" w:rsidR="00FD2A7E" w:rsidRDefault="00FD2A7E" w:rsidP="009D6EE5">
      <w:pPr>
        <w:pStyle w:val="Style5"/>
        <w:numPr>
          <w:ilvl w:val="0"/>
          <w:numId w:val="0"/>
        </w:numPr>
        <w:spacing w:line="22" w:lineRule="atLeast"/>
        <w:ind w:left="-426"/>
        <w:jc w:val="both"/>
        <w:rPr>
          <w:sz w:val="20"/>
          <w:szCs w:val="20"/>
        </w:rPr>
      </w:pPr>
    </w:p>
    <w:p w14:paraId="7AF67C4E" w14:textId="77777777" w:rsidR="00FD2A7E" w:rsidRDefault="00FD2A7E" w:rsidP="009D6EE5">
      <w:pPr>
        <w:pStyle w:val="Style5"/>
        <w:numPr>
          <w:ilvl w:val="0"/>
          <w:numId w:val="0"/>
        </w:numPr>
        <w:spacing w:line="22" w:lineRule="atLeast"/>
        <w:ind w:left="-426"/>
        <w:jc w:val="both"/>
        <w:rPr>
          <w:sz w:val="20"/>
          <w:szCs w:val="20"/>
        </w:rPr>
      </w:pPr>
    </w:p>
    <w:p w14:paraId="2569B606" w14:textId="77777777" w:rsidR="00FD2A7E" w:rsidRDefault="00FD2A7E" w:rsidP="009D6EE5">
      <w:pPr>
        <w:pStyle w:val="Style5"/>
        <w:numPr>
          <w:ilvl w:val="0"/>
          <w:numId w:val="0"/>
        </w:numPr>
        <w:spacing w:line="22" w:lineRule="atLeast"/>
        <w:ind w:left="-426"/>
        <w:jc w:val="both"/>
        <w:rPr>
          <w:sz w:val="20"/>
          <w:szCs w:val="20"/>
        </w:rPr>
      </w:pPr>
    </w:p>
    <w:p w14:paraId="2BE4FA47" w14:textId="77777777" w:rsidR="00FD2A7E" w:rsidRDefault="00FD2A7E" w:rsidP="009D6EE5">
      <w:pPr>
        <w:pStyle w:val="Style5"/>
        <w:numPr>
          <w:ilvl w:val="0"/>
          <w:numId w:val="0"/>
        </w:numPr>
        <w:spacing w:line="22" w:lineRule="atLeast"/>
        <w:ind w:left="-426"/>
        <w:jc w:val="both"/>
        <w:rPr>
          <w:sz w:val="20"/>
          <w:szCs w:val="20"/>
        </w:rPr>
      </w:pPr>
    </w:p>
    <w:p w14:paraId="77EC3327" w14:textId="77777777" w:rsidR="00FD2A7E" w:rsidRDefault="00FD2A7E" w:rsidP="009D6EE5">
      <w:pPr>
        <w:pStyle w:val="Style5"/>
        <w:numPr>
          <w:ilvl w:val="0"/>
          <w:numId w:val="0"/>
        </w:numPr>
        <w:spacing w:line="22" w:lineRule="atLeast"/>
        <w:ind w:left="-426"/>
        <w:jc w:val="both"/>
        <w:rPr>
          <w:sz w:val="20"/>
          <w:szCs w:val="20"/>
        </w:rPr>
      </w:pPr>
    </w:p>
    <w:p w14:paraId="503EDDF3" w14:textId="77777777" w:rsidR="00FD2A7E" w:rsidRDefault="00FD2A7E" w:rsidP="009D6EE5">
      <w:pPr>
        <w:pStyle w:val="Style5"/>
        <w:numPr>
          <w:ilvl w:val="0"/>
          <w:numId w:val="0"/>
        </w:numPr>
        <w:spacing w:line="22" w:lineRule="atLeast"/>
        <w:ind w:left="-426"/>
        <w:jc w:val="both"/>
        <w:rPr>
          <w:sz w:val="20"/>
          <w:szCs w:val="20"/>
        </w:rPr>
      </w:pPr>
    </w:p>
    <w:p w14:paraId="1BF20E49" w14:textId="77777777" w:rsidR="00FD2A7E" w:rsidRDefault="00FD2A7E" w:rsidP="009D6EE5">
      <w:pPr>
        <w:pStyle w:val="Style5"/>
        <w:numPr>
          <w:ilvl w:val="0"/>
          <w:numId w:val="0"/>
        </w:numPr>
        <w:spacing w:line="22" w:lineRule="atLeast"/>
        <w:ind w:left="-426"/>
        <w:jc w:val="both"/>
        <w:rPr>
          <w:sz w:val="20"/>
          <w:szCs w:val="20"/>
        </w:rPr>
      </w:pPr>
    </w:p>
    <w:p w14:paraId="0E3887F9" w14:textId="77777777" w:rsidR="00FD2A7E" w:rsidRPr="00A74D23" w:rsidRDefault="00FD2A7E" w:rsidP="009D6EE5">
      <w:pPr>
        <w:pStyle w:val="Style5"/>
        <w:numPr>
          <w:ilvl w:val="0"/>
          <w:numId w:val="0"/>
        </w:numPr>
        <w:spacing w:line="22" w:lineRule="atLeast"/>
        <w:ind w:left="-426"/>
        <w:jc w:val="both"/>
        <w:rPr>
          <w:sz w:val="20"/>
          <w:szCs w:val="20"/>
        </w:rPr>
      </w:pPr>
    </w:p>
    <w:p w14:paraId="19BCD150" w14:textId="77777777" w:rsidR="00321883" w:rsidRPr="00A74D23" w:rsidRDefault="00321883" w:rsidP="009D6EE5">
      <w:pPr>
        <w:pStyle w:val="Style5"/>
        <w:numPr>
          <w:ilvl w:val="0"/>
          <w:numId w:val="0"/>
        </w:numPr>
        <w:spacing w:line="22" w:lineRule="atLeast"/>
        <w:ind w:left="-426"/>
        <w:jc w:val="both"/>
        <w:rPr>
          <w:sz w:val="20"/>
          <w:szCs w:val="20"/>
        </w:rPr>
      </w:pPr>
    </w:p>
    <w:p w14:paraId="64C0EA75" w14:textId="77777777" w:rsidR="00D2433B" w:rsidRPr="00A74D23" w:rsidRDefault="00D2433B" w:rsidP="009D6EE5">
      <w:pPr>
        <w:pStyle w:val="Style5"/>
        <w:numPr>
          <w:ilvl w:val="0"/>
          <w:numId w:val="0"/>
        </w:numPr>
        <w:spacing w:line="22" w:lineRule="atLeast"/>
        <w:ind w:left="-426"/>
        <w:jc w:val="both"/>
        <w:rPr>
          <w:sz w:val="20"/>
          <w:szCs w:val="20"/>
        </w:rPr>
      </w:pPr>
    </w:p>
    <w:p w14:paraId="7861008C" w14:textId="77777777" w:rsidR="00321883" w:rsidRPr="00A74D23" w:rsidRDefault="00321883" w:rsidP="009D6EE5">
      <w:pPr>
        <w:spacing w:line="22" w:lineRule="atLeast"/>
        <w:jc w:val="both"/>
        <w:rPr>
          <w:rFonts w:asciiTheme="minorHAnsi" w:hAnsiTheme="minorHAnsi" w:cs="Open Sans"/>
          <w:sz w:val="20"/>
          <w:szCs w:val="20"/>
          <w:lang w:val="fr-FR"/>
        </w:rPr>
      </w:pPr>
    </w:p>
    <w:p w14:paraId="0290DC0A" w14:textId="19C5998F" w:rsidR="00537FED" w:rsidRPr="001D687B" w:rsidRDefault="0034095D" w:rsidP="009D6EE5">
      <w:pPr>
        <w:pStyle w:val="Titre10"/>
        <w:spacing w:line="22" w:lineRule="atLeast"/>
        <w:ind w:left="284" w:hanging="284"/>
        <w:jc w:val="both"/>
        <w:rPr>
          <w:rFonts w:asciiTheme="minorHAnsi" w:hAnsiTheme="minorHAnsi" w:cs="Open Sans"/>
          <w:b w:val="0"/>
          <w:bCs/>
          <w:sz w:val="44"/>
          <w:szCs w:val="44"/>
        </w:rPr>
      </w:pPr>
      <w:bookmarkStart w:id="103" w:name="_Toc129091846"/>
      <w:bookmarkStart w:id="104" w:name="_Toc128735934"/>
      <w:bookmarkStart w:id="105" w:name="_Toc231337029"/>
      <w:r w:rsidRPr="001D687B">
        <w:rPr>
          <w:rFonts w:asciiTheme="minorHAnsi" w:hAnsiTheme="minorHAnsi" w:cs="Open Sans"/>
          <w:b w:val="0"/>
          <w:bCs/>
          <w:sz w:val="44"/>
          <w:szCs w:val="44"/>
        </w:rPr>
        <w:t xml:space="preserve">J. </w:t>
      </w:r>
      <w:r w:rsidR="00F75956" w:rsidRPr="001D687B">
        <w:rPr>
          <w:rFonts w:asciiTheme="minorHAnsi" w:hAnsiTheme="minorHAnsi" w:cs="Open Sans"/>
          <w:b w:val="0"/>
          <w:bCs/>
          <w:sz w:val="44"/>
          <w:szCs w:val="44"/>
        </w:rPr>
        <w:t>Perspectives</w:t>
      </w:r>
      <w:bookmarkEnd w:id="103"/>
      <w:bookmarkEnd w:id="104"/>
      <w:bookmarkEnd w:id="105"/>
      <w:r w:rsidR="00200CC6" w:rsidRPr="001D687B">
        <w:rPr>
          <w:rFonts w:asciiTheme="minorHAnsi" w:hAnsiTheme="minorHAnsi" w:cs="Open Sans"/>
          <w:b w:val="0"/>
          <w:bCs/>
          <w:sz w:val="44"/>
          <w:szCs w:val="44"/>
        </w:rPr>
        <w:t xml:space="preserve"> </w:t>
      </w:r>
    </w:p>
    <w:p w14:paraId="2AC44922" w14:textId="77777777" w:rsidR="00B0178C" w:rsidRPr="00A74D23" w:rsidRDefault="00B0178C" w:rsidP="009D6EE5">
      <w:pPr>
        <w:spacing w:line="22" w:lineRule="atLeast"/>
        <w:jc w:val="both"/>
        <w:rPr>
          <w:rFonts w:asciiTheme="minorHAnsi" w:hAnsiTheme="minorHAnsi" w:cs="Open Sans"/>
          <w:sz w:val="20"/>
          <w:lang w:val="fr-FR"/>
        </w:rPr>
      </w:pPr>
    </w:p>
    <w:p w14:paraId="4307129B" w14:textId="26C9BD25" w:rsidR="002E122E" w:rsidRPr="00A74D23" w:rsidRDefault="00F77BE7"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En complément des actions déjà engagées, les principaux nouveaux axes de travail identifiés pour 2026 porteront sur les chantiers suivants : </w:t>
      </w:r>
    </w:p>
    <w:p w14:paraId="10099BFE" w14:textId="77777777" w:rsidR="00F77BE7" w:rsidRPr="00A74D23" w:rsidRDefault="00F77BE7" w:rsidP="009D6EE5">
      <w:pPr>
        <w:spacing w:line="22" w:lineRule="atLeast"/>
        <w:jc w:val="both"/>
        <w:rPr>
          <w:rFonts w:asciiTheme="minorHAnsi" w:hAnsiTheme="minorHAnsi" w:cs="Open Sans"/>
          <w:sz w:val="20"/>
          <w:lang w:val="fr-FR"/>
        </w:rPr>
      </w:pPr>
    </w:p>
    <w:p w14:paraId="3DAAECE6" w14:textId="4BA0B134" w:rsidR="002E122E" w:rsidRPr="00A74D23" w:rsidRDefault="002E122E" w:rsidP="009D6EE5">
      <w:pPr>
        <w:spacing w:line="22" w:lineRule="atLeast"/>
        <w:jc w:val="both"/>
        <w:rPr>
          <w:rFonts w:asciiTheme="minorHAnsi" w:hAnsiTheme="minorHAnsi" w:cs="Open Sans"/>
          <w:b/>
          <w:bCs/>
          <w:szCs w:val="32"/>
          <w:lang w:val="fr-FR"/>
        </w:rPr>
      </w:pPr>
      <w:r w:rsidRPr="00A74D23">
        <w:rPr>
          <w:rFonts w:asciiTheme="minorHAnsi" w:hAnsiTheme="minorHAnsi" w:cs="Open Sans"/>
          <w:b/>
          <w:bCs/>
          <w:szCs w:val="32"/>
          <w:lang w:val="fr-FR"/>
        </w:rPr>
        <w:t>1. Déployer et opérationnaliser les politiques mises en place en 2025</w:t>
      </w:r>
    </w:p>
    <w:p w14:paraId="614F0467" w14:textId="77777777" w:rsidR="002E122E" w:rsidRPr="00A74D23" w:rsidRDefault="002E122E"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Les politiques et cadres définis ou renforcés en 2025 feront l’objet d’un déploiement opérationnel approfondi afin d’en assurer la pleine appropriation et l’efficacité.</w:t>
      </w:r>
    </w:p>
    <w:p w14:paraId="2F68BCE2" w14:textId="0B1342C2" w:rsidR="002E122E" w:rsidRDefault="002E122E" w:rsidP="00590DD1">
      <w:pPr>
        <w:numPr>
          <w:ilvl w:val="0"/>
          <w:numId w:val="96"/>
        </w:numPr>
        <w:spacing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Formation des équipes, intégration dans les outils internes et approfondissement de l’analyse liée à la </w:t>
      </w:r>
      <w:r w:rsidR="000F1AA9" w:rsidRPr="00A74D23">
        <w:rPr>
          <w:rFonts w:asciiTheme="minorHAnsi" w:hAnsiTheme="minorHAnsi" w:cs="Open Sans"/>
          <w:sz w:val="20"/>
          <w:lang w:val="fr-FR"/>
        </w:rPr>
        <w:t xml:space="preserve">nouvelle </w:t>
      </w:r>
      <w:r w:rsidRPr="00A74D23">
        <w:rPr>
          <w:rFonts w:asciiTheme="minorHAnsi" w:hAnsiTheme="minorHAnsi" w:cs="Open Sans"/>
          <w:sz w:val="20"/>
          <w:lang w:val="fr-FR"/>
        </w:rPr>
        <w:t>définition de l’investissement durable.</w:t>
      </w:r>
    </w:p>
    <w:p w14:paraId="33998DE6" w14:textId="1DA4331E" w:rsidR="00BB47FF" w:rsidRPr="00A74D23" w:rsidRDefault="00BB47FF" w:rsidP="00590DD1">
      <w:pPr>
        <w:numPr>
          <w:ilvl w:val="0"/>
          <w:numId w:val="96"/>
        </w:numPr>
        <w:spacing w:line="22" w:lineRule="atLeast"/>
        <w:jc w:val="both"/>
        <w:rPr>
          <w:rFonts w:asciiTheme="minorHAnsi" w:hAnsiTheme="minorHAnsi" w:cs="Open Sans"/>
          <w:sz w:val="20"/>
          <w:lang w:val="fr-FR"/>
        </w:rPr>
      </w:pPr>
      <w:r>
        <w:rPr>
          <w:rFonts w:asciiTheme="minorHAnsi" w:hAnsiTheme="minorHAnsi" w:cs="Open Sans"/>
          <w:sz w:val="20"/>
          <w:lang w:val="fr-FR"/>
        </w:rPr>
        <w:t>Suivre attentivement les évolutions règlementaires sur SFDR</w:t>
      </w:r>
    </w:p>
    <w:p w14:paraId="6022FF4B" w14:textId="77777777" w:rsidR="002E122E" w:rsidRPr="00A74D23" w:rsidRDefault="002E122E" w:rsidP="00590DD1">
      <w:pPr>
        <w:numPr>
          <w:ilvl w:val="0"/>
          <w:numId w:val="96"/>
        </w:numPr>
        <w:spacing w:line="22" w:lineRule="atLeast"/>
        <w:jc w:val="both"/>
        <w:rPr>
          <w:rFonts w:asciiTheme="minorHAnsi" w:hAnsiTheme="minorHAnsi" w:cs="Open Sans"/>
          <w:sz w:val="20"/>
          <w:lang w:val="fr-FR"/>
        </w:rPr>
      </w:pPr>
      <w:r w:rsidRPr="00A74D23">
        <w:rPr>
          <w:rFonts w:asciiTheme="minorHAnsi" w:hAnsiTheme="minorHAnsi" w:cs="Open Sans"/>
          <w:sz w:val="20"/>
          <w:lang w:val="fr-FR"/>
        </w:rPr>
        <w:t>Mise en œuvre opérationnelle de la stratégie hydrocarbures renforcée.</w:t>
      </w:r>
    </w:p>
    <w:p w14:paraId="39A8CE3E" w14:textId="77777777" w:rsidR="002E122E" w:rsidRDefault="002E122E" w:rsidP="00590DD1">
      <w:pPr>
        <w:numPr>
          <w:ilvl w:val="0"/>
          <w:numId w:val="96"/>
        </w:numPr>
        <w:spacing w:line="22" w:lineRule="atLeast"/>
        <w:jc w:val="both"/>
        <w:rPr>
          <w:rFonts w:asciiTheme="minorHAnsi" w:hAnsiTheme="minorHAnsi" w:cs="Open Sans"/>
          <w:sz w:val="20"/>
          <w:lang w:val="fr-FR"/>
        </w:rPr>
      </w:pPr>
      <w:r w:rsidRPr="00A74D23">
        <w:rPr>
          <w:rFonts w:asciiTheme="minorHAnsi" w:hAnsiTheme="minorHAnsi" w:cs="Open Sans"/>
          <w:sz w:val="20"/>
          <w:lang w:val="fr-FR"/>
        </w:rPr>
        <w:t>Poursuite du suivi et de l’opérationnalisation des nouveaux indicateurs déployés (déforestation, WWF Risk Filter, ASCOR, etc.).</w:t>
      </w:r>
    </w:p>
    <w:p w14:paraId="7317C7D0" w14:textId="4B9E5410" w:rsidR="002D448D" w:rsidRPr="00A74D23" w:rsidRDefault="002D448D" w:rsidP="00590DD1">
      <w:pPr>
        <w:numPr>
          <w:ilvl w:val="0"/>
          <w:numId w:val="96"/>
        </w:numPr>
        <w:spacing w:line="22" w:lineRule="atLeast"/>
        <w:jc w:val="both"/>
        <w:rPr>
          <w:rFonts w:asciiTheme="minorHAnsi" w:hAnsiTheme="minorHAnsi" w:cs="Open Sans"/>
          <w:sz w:val="20"/>
          <w:lang w:val="fr-FR"/>
        </w:rPr>
      </w:pPr>
      <w:r>
        <w:rPr>
          <w:rFonts w:asciiTheme="minorHAnsi" w:hAnsiTheme="minorHAnsi" w:cs="Open Sans"/>
          <w:sz w:val="20"/>
          <w:lang w:val="fr-FR"/>
        </w:rPr>
        <w:t xml:space="preserve">Travailler sur la décarbonation du scope 3 et framework </w:t>
      </w:r>
      <w:r w:rsidR="00F179E9">
        <w:rPr>
          <w:rFonts w:asciiTheme="minorHAnsi" w:hAnsiTheme="minorHAnsi" w:cs="Open Sans"/>
          <w:sz w:val="20"/>
          <w:lang w:val="fr-FR"/>
        </w:rPr>
        <w:t>Finance For Biodiversity Pledge</w:t>
      </w:r>
    </w:p>
    <w:p w14:paraId="51182ABC" w14:textId="1C780815" w:rsidR="002E122E" w:rsidRPr="00A74D23" w:rsidRDefault="002E122E" w:rsidP="00590DD1">
      <w:pPr>
        <w:numPr>
          <w:ilvl w:val="0"/>
          <w:numId w:val="96"/>
        </w:numPr>
        <w:spacing w:line="22" w:lineRule="atLeast"/>
        <w:jc w:val="both"/>
        <w:rPr>
          <w:rFonts w:asciiTheme="minorHAnsi" w:hAnsiTheme="minorHAnsi" w:cs="Open Sans"/>
          <w:sz w:val="20"/>
          <w:lang w:val="fr-FR"/>
        </w:rPr>
      </w:pPr>
      <w:r w:rsidRPr="00A74D23">
        <w:rPr>
          <w:rFonts w:asciiTheme="minorHAnsi" w:hAnsiTheme="minorHAnsi" w:cs="Open Sans"/>
          <w:sz w:val="20"/>
          <w:lang w:val="fr-FR"/>
        </w:rPr>
        <w:t>Formalisation de la feuille de route biodiversité sur le portefeuille immobilier géré par OFI Invest Real Estate.</w:t>
      </w:r>
    </w:p>
    <w:p w14:paraId="74F53ACA" w14:textId="77777777" w:rsidR="00353B05" w:rsidRPr="00A74D23" w:rsidRDefault="00353B05" w:rsidP="009D6EE5">
      <w:pPr>
        <w:spacing w:line="22" w:lineRule="atLeast"/>
        <w:jc w:val="both"/>
        <w:rPr>
          <w:rFonts w:asciiTheme="minorHAnsi" w:hAnsiTheme="minorHAnsi" w:cs="Open Sans"/>
          <w:sz w:val="20"/>
          <w:lang w:val="fr-FR"/>
        </w:rPr>
      </w:pPr>
    </w:p>
    <w:p w14:paraId="2A1DBD0B" w14:textId="2768FD2D" w:rsidR="002E122E" w:rsidRPr="00A74D23" w:rsidRDefault="002E122E" w:rsidP="009D6EE5">
      <w:pPr>
        <w:spacing w:line="22" w:lineRule="atLeast"/>
        <w:jc w:val="both"/>
        <w:rPr>
          <w:rFonts w:asciiTheme="minorHAnsi" w:hAnsiTheme="minorHAnsi" w:cs="Open Sans"/>
          <w:b/>
          <w:bCs/>
          <w:szCs w:val="32"/>
          <w:lang w:val="fr-FR"/>
        </w:rPr>
      </w:pPr>
      <w:r w:rsidRPr="00A74D23">
        <w:rPr>
          <w:rFonts w:asciiTheme="minorHAnsi" w:hAnsiTheme="minorHAnsi" w:cs="Open Sans"/>
          <w:b/>
          <w:bCs/>
          <w:szCs w:val="32"/>
          <w:lang w:val="fr-FR"/>
        </w:rPr>
        <w:t>2. Prioriser et développer de nouveaux axes stratégiques par thématique</w:t>
      </w:r>
    </w:p>
    <w:p w14:paraId="51EA11AE" w14:textId="77777777" w:rsidR="002E122E" w:rsidRPr="00A74D23" w:rsidRDefault="002E122E"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Abeille Assurances engagera en 2026 une démarche de priorisation accrue des enjeux de durabilité, visant à concentrer les efforts sur les thématiques et secteurs présentant les enjeux d’impacts et de risques les plus significatifs.</w:t>
      </w:r>
    </w:p>
    <w:p w14:paraId="1BB53361" w14:textId="77777777" w:rsidR="002E122E" w:rsidRPr="00A74D23" w:rsidRDefault="002E122E" w:rsidP="00590DD1">
      <w:pPr>
        <w:numPr>
          <w:ilvl w:val="0"/>
          <w:numId w:val="97"/>
        </w:numPr>
        <w:spacing w:line="22" w:lineRule="atLeast"/>
        <w:jc w:val="both"/>
        <w:rPr>
          <w:rFonts w:asciiTheme="minorHAnsi" w:hAnsiTheme="minorHAnsi" w:cs="Open Sans"/>
          <w:sz w:val="20"/>
          <w:lang w:val="fr-FR"/>
        </w:rPr>
      </w:pPr>
      <w:r w:rsidRPr="00A74D23">
        <w:rPr>
          <w:rFonts w:asciiTheme="minorHAnsi" w:hAnsiTheme="minorHAnsi" w:cs="Open Sans"/>
          <w:sz w:val="20"/>
          <w:lang w:val="fr-FR"/>
        </w:rPr>
        <w:t>Élaboration d’un cadre spécifique applicable aux acteurs financiers, en particulier sur les enjeux environnementaux, compte tenu de leur poids très important dans les encours et de la nécessité de dépasser une approche aujourd’hui largement homogène avec d’autres secteurs.</w:t>
      </w:r>
    </w:p>
    <w:p w14:paraId="1180CAAF" w14:textId="68CD7BA7" w:rsidR="002E122E" w:rsidRDefault="002E122E" w:rsidP="00590DD1">
      <w:pPr>
        <w:numPr>
          <w:ilvl w:val="0"/>
          <w:numId w:val="97"/>
        </w:numPr>
        <w:spacing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Réflexion sur le développement d’axes stratégiques dédiés au secteur </w:t>
      </w:r>
      <w:r w:rsidR="00D2433B" w:rsidRPr="00A74D23">
        <w:rPr>
          <w:rFonts w:asciiTheme="minorHAnsi" w:hAnsiTheme="minorHAnsi" w:cs="Open Sans"/>
          <w:sz w:val="20"/>
          <w:lang w:val="fr-FR"/>
        </w:rPr>
        <w:t>agroalimentaire</w:t>
      </w:r>
      <w:r w:rsidR="00980D1D">
        <w:rPr>
          <w:rFonts w:asciiTheme="minorHAnsi" w:hAnsiTheme="minorHAnsi" w:cs="Open Sans"/>
          <w:sz w:val="20"/>
          <w:lang w:val="fr-FR"/>
        </w:rPr>
        <w:t xml:space="preserve"> (soja/bétail)</w:t>
      </w:r>
      <w:r w:rsidR="00D2433B" w:rsidRPr="00A74D23">
        <w:rPr>
          <w:rFonts w:asciiTheme="minorHAnsi" w:hAnsiTheme="minorHAnsi" w:cs="Open Sans"/>
          <w:sz w:val="20"/>
          <w:lang w:val="fr-FR"/>
        </w:rPr>
        <w:t>,</w:t>
      </w:r>
      <w:r w:rsidRPr="00A74D23">
        <w:rPr>
          <w:rFonts w:asciiTheme="minorHAnsi" w:hAnsiTheme="minorHAnsi" w:cs="Open Sans"/>
          <w:sz w:val="20"/>
          <w:lang w:val="fr-FR"/>
        </w:rPr>
        <w:t xml:space="preserve"> identifié comme le plus exposé aux enjeux de biodiversité au regard de l’ensemble des analyses menées.</w:t>
      </w:r>
    </w:p>
    <w:p w14:paraId="5F297C21" w14:textId="511B492E" w:rsidR="00980D1D" w:rsidRDefault="00980D1D" w:rsidP="00590DD1">
      <w:pPr>
        <w:numPr>
          <w:ilvl w:val="0"/>
          <w:numId w:val="97"/>
        </w:numPr>
        <w:spacing w:line="22" w:lineRule="atLeast"/>
        <w:jc w:val="both"/>
        <w:rPr>
          <w:rFonts w:asciiTheme="minorHAnsi" w:hAnsiTheme="minorHAnsi" w:cs="Open Sans"/>
          <w:sz w:val="20"/>
          <w:lang w:val="fr-FR"/>
        </w:rPr>
      </w:pPr>
      <w:r>
        <w:rPr>
          <w:rFonts w:asciiTheme="minorHAnsi" w:hAnsiTheme="minorHAnsi" w:cs="Open Sans"/>
          <w:sz w:val="20"/>
          <w:lang w:val="fr-FR"/>
        </w:rPr>
        <w:t>Lancement de travaux préparatoires à l’élaboration d’une politique sociale</w:t>
      </w:r>
    </w:p>
    <w:p w14:paraId="29467E9F" w14:textId="39B5B430" w:rsidR="00980D1D" w:rsidRPr="00A74D23" w:rsidRDefault="00980D1D" w:rsidP="00590DD1">
      <w:pPr>
        <w:numPr>
          <w:ilvl w:val="0"/>
          <w:numId w:val="97"/>
        </w:numPr>
        <w:spacing w:line="22" w:lineRule="atLeast"/>
        <w:jc w:val="both"/>
        <w:rPr>
          <w:rFonts w:asciiTheme="minorHAnsi" w:hAnsiTheme="minorHAnsi" w:cs="Open Sans"/>
          <w:sz w:val="20"/>
          <w:lang w:val="fr-FR"/>
        </w:rPr>
      </w:pPr>
      <w:r>
        <w:rPr>
          <w:rFonts w:asciiTheme="minorHAnsi" w:hAnsiTheme="minorHAnsi" w:cs="Open Sans"/>
          <w:sz w:val="20"/>
          <w:lang w:val="fr-FR"/>
        </w:rPr>
        <w:t>Réflexion sur une approche souveraineté</w:t>
      </w:r>
    </w:p>
    <w:p w14:paraId="22DAAAE1" w14:textId="77777777" w:rsidR="00077BDC" w:rsidRPr="00A74D23" w:rsidRDefault="00077BDC" w:rsidP="009D6EE5">
      <w:pPr>
        <w:spacing w:line="22" w:lineRule="atLeast"/>
        <w:jc w:val="both"/>
        <w:rPr>
          <w:rFonts w:asciiTheme="minorHAnsi" w:hAnsiTheme="minorHAnsi" w:cs="Open Sans"/>
          <w:sz w:val="20"/>
          <w:lang w:val="fr-FR"/>
        </w:rPr>
      </w:pPr>
    </w:p>
    <w:p w14:paraId="02B5A92E" w14:textId="4FB4E485" w:rsidR="002E122E" w:rsidRPr="00A74D23" w:rsidRDefault="00F377FA" w:rsidP="009D6EE5">
      <w:pPr>
        <w:spacing w:line="22" w:lineRule="atLeast"/>
        <w:jc w:val="both"/>
        <w:rPr>
          <w:rFonts w:asciiTheme="minorHAnsi" w:hAnsiTheme="minorHAnsi" w:cs="Open Sans"/>
          <w:b/>
          <w:bCs/>
          <w:szCs w:val="32"/>
          <w:lang w:val="fr-FR"/>
        </w:rPr>
      </w:pPr>
      <w:r>
        <w:rPr>
          <w:rFonts w:asciiTheme="minorHAnsi" w:hAnsiTheme="minorHAnsi" w:cs="Open Sans"/>
          <w:b/>
          <w:bCs/>
          <w:szCs w:val="32"/>
          <w:lang w:val="fr-FR"/>
        </w:rPr>
        <w:t>3</w:t>
      </w:r>
      <w:r w:rsidR="002E122E" w:rsidRPr="00A74D23">
        <w:rPr>
          <w:rFonts w:asciiTheme="minorHAnsi" w:hAnsiTheme="minorHAnsi" w:cs="Open Sans"/>
          <w:b/>
          <w:bCs/>
          <w:szCs w:val="32"/>
          <w:lang w:val="fr-FR"/>
        </w:rPr>
        <w:t xml:space="preserve">. </w:t>
      </w:r>
      <w:r w:rsidR="004D3917" w:rsidRPr="00A74D23">
        <w:rPr>
          <w:rFonts w:asciiTheme="minorHAnsi" w:hAnsiTheme="minorHAnsi" w:cs="Open Sans"/>
          <w:b/>
          <w:bCs/>
          <w:szCs w:val="32"/>
          <w:lang w:val="fr-FR"/>
        </w:rPr>
        <w:t>Faire de l’adaptation au changement climatique un axe de travail de plus en plus structurant</w:t>
      </w:r>
    </w:p>
    <w:p w14:paraId="0E27FB9E" w14:textId="77777777" w:rsidR="002E122E" w:rsidRPr="00A74D23" w:rsidRDefault="002E122E"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L’année 2026 sera marquée par un renforcement spécifique des travaux consacrés à l’adaptation au changement climatique, en lien étroit avec la gestion des risques physiques.</w:t>
      </w:r>
    </w:p>
    <w:p w14:paraId="6AF71BC7" w14:textId="7BDACDDF" w:rsidR="008252EC" w:rsidRPr="008252EC" w:rsidRDefault="008252EC" w:rsidP="00590DD1">
      <w:pPr>
        <w:pStyle w:val="Paragraphedeliste"/>
        <w:numPr>
          <w:ilvl w:val="0"/>
          <w:numId w:val="121"/>
        </w:numPr>
        <w:spacing w:line="22" w:lineRule="atLeast"/>
        <w:jc w:val="both"/>
        <w:rPr>
          <w:rFonts w:cs="Open Sans"/>
          <w:sz w:val="20"/>
        </w:rPr>
      </w:pPr>
      <w:r w:rsidRPr="008252EC">
        <w:rPr>
          <w:rFonts w:cs="Open Sans"/>
          <w:sz w:val="20"/>
        </w:rPr>
        <w:t>Approfondissement de l’exploitation des résultats de la Climate VaR, en mettant l’accent sur l’interprétation des risques physiques et leurs implications opérationnelles</w:t>
      </w:r>
    </w:p>
    <w:p w14:paraId="5FF0AEF4" w14:textId="221C1F22" w:rsidR="008252EC" w:rsidRPr="008252EC" w:rsidRDefault="008252EC" w:rsidP="00590DD1">
      <w:pPr>
        <w:pStyle w:val="Paragraphedeliste"/>
        <w:numPr>
          <w:ilvl w:val="0"/>
          <w:numId w:val="121"/>
        </w:numPr>
        <w:spacing w:line="22" w:lineRule="atLeast"/>
        <w:jc w:val="both"/>
        <w:rPr>
          <w:rFonts w:cs="Open Sans"/>
          <w:sz w:val="20"/>
        </w:rPr>
      </w:pPr>
      <w:r w:rsidRPr="008252EC">
        <w:rPr>
          <w:rFonts w:cs="Open Sans"/>
          <w:sz w:val="20"/>
        </w:rPr>
        <w:t>Développement de métriques dédiées à l’évaluation des capacités d’adaptation des entreprises, en complément des indicateurs climatiques existants.</w:t>
      </w:r>
    </w:p>
    <w:p w14:paraId="7F067A67" w14:textId="2F74C1AD" w:rsidR="002E122E" w:rsidRPr="008252EC" w:rsidRDefault="008252EC" w:rsidP="00590DD1">
      <w:pPr>
        <w:pStyle w:val="Paragraphedeliste"/>
        <w:numPr>
          <w:ilvl w:val="0"/>
          <w:numId w:val="121"/>
        </w:numPr>
        <w:spacing w:line="22" w:lineRule="atLeast"/>
        <w:jc w:val="both"/>
        <w:rPr>
          <w:rFonts w:cs="Open Sans"/>
          <w:sz w:val="20"/>
        </w:rPr>
      </w:pPr>
      <w:r w:rsidRPr="008252EC">
        <w:rPr>
          <w:rFonts w:cs="Open Sans"/>
          <w:sz w:val="20"/>
        </w:rPr>
        <w:t>Poursuite du suivi et de l’opérationnalisation des nouveaux indicateurs déployés (déforestation, WWF Risk Filter, ASCOR, etc.)</w:t>
      </w:r>
    </w:p>
    <w:p w14:paraId="331005BC" w14:textId="77777777" w:rsidR="00B0178C" w:rsidRDefault="00B0178C" w:rsidP="009D6EE5">
      <w:pPr>
        <w:spacing w:line="22" w:lineRule="atLeast"/>
        <w:jc w:val="both"/>
        <w:rPr>
          <w:rFonts w:asciiTheme="minorHAnsi" w:hAnsiTheme="minorHAnsi" w:cs="Open Sans"/>
          <w:sz w:val="20"/>
          <w:lang w:val="fr-FR"/>
        </w:rPr>
      </w:pPr>
    </w:p>
    <w:p w14:paraId="590DDDA8" w14:textId="77777777" w:rsidR="001D687B" w:rsidRDefault="001D687B" w:rsidP="009D6EE5">
      <w:pPr>
        <w:spacing w:line="22" w:lineRule="atLeast"/>
        <w:jc w:val="both"/>
        <w:rPr>
          <w:rFonts w:asciiTheme="minorHAnsi" w:hAnsiTheme="minorHAnsi" w:cs="Open Sans"/>
          <w:sz w:val="20"/>
          <w:lang w:val="fr-FR"/>
        </w:rPr>
      </w:pPr>
    </w:p>
    <w:p w14:paraId="2C5D5C9A" w14:textId="77777777" w:rsidR="001D687B" w:rsidRDefault="001D687B" w:rsidP="009D6EE5">
      <w:pPr>
        <w:spacing w:line="22" w:lineRule="atLeast"/>
        <w:jc w:val="both"/>
        <w:rPr>
          <w:rFonts w:asciiTheme="minorHAnsi" w:hAnsiTheme="minorHAnsi" w:cs="Open Sans"/>
          <w:sz w:val="20"/>
          <w:lang w:val="fr-FR"/>
        </w:rPr>
      </w:pPr>
    </w:p>
    <w:p w14:paraId="3B40841B" w14:textId="77777777" w:rsidR="001D687B" w:rsidRDefault="001D687B" w:rsidP="009D6EE5">
      <w:pPr>
        <w:spacing w:line="22" w:lineRule="atLeast"/>
        <w:jc w:val="both"/>
        <w:rPr>
          <w:rFonts w:asciiTheme="minorHAnsi" w:hAnsiTheme="minorHAnsi" w:cs="Open Sans"/>
          <w:sz w:val="20"/>
          <w:lang w:val="fr-FR"/>
        </w:rPr>
      </w:pPr>
    </w:p>
    <w:p w14:paraId="41921264" w14:textId="77777777" w:rsidR="001D687B" w:rsidRDefault="001D687B" w:rsidP="009D6EE5">
      <w:pPr>
        <w:spacing w:line="22" w:lineRule="atLeast"/>
        <w:jc w:val="both"/>
        <w:rPr>
          <w:rFonts w:asciiTheme="minorHAnsi" w:hAnsiTheme="minorHAnsi" w:cs="Open Sans"/>
          <w:sz w:val="20"/>
          <w:lang w:val="fr-FR"/>
        </w:rPr>
      </w:pPr>
    </w:p>
    <w:p w14:paraId="5F0521EB" w14:textId="77777777" w:rsidR="001D687B" w:rsidRDefault="001D687B" w:rsidP="009D6EE5">
      <w:pPr>
        <w:spacing w:line="22" w:lineRule="atLeast"/>
        <w:jc w:val="both"/>
        <w:rPr>
          <w:rFonts w:asciiTheme="minorHAnsi" w:hAnsiTheme="minorHAnsi" w:cs="Open Sans"/>
          <w:sz w:val="20"/>
          <w:lang w:val="fr-FR"/>
        </w:rPr>
      </w:pPr>
    </w:p>
    <w:p w14:paraId="597DFEB4" w14:textId="77777777" w:rsidR="001D687B" w:rsidRDefault="001D687B" w:rsidP="009D6EE5">
      <w:pPr>
        <w:spacing w:line="22" w:lineRule="atLeast"/>
        <w:jc w:val="both"/>
        <w:rPr>
          <w:rFonts w:asciiTheme="minorHAnsi" w:hAnsiTheme="minorHAnsi" w:cs="Open Sans"/>
          <w:sz w:val="20"/>
          <w:lang w:val="fr-FR"/>
        </w:rPr>
      </w:pPr>
    </w:p>
    <w:p w14:paraId="62504F23" w14:textId="77777777" w:rsidR="001D687B" w:rsidRPr="00A74D23" w:rsidRDefault="001D687B" w:rsidP="009D6EE5">
      <w:pPr>
        <w:spacing w:line="22" w:lineRule="atLeast"/>
        <w:jc w:val="both"/>
        <w:rPr>
          <w:rFonts w:asciiTheme="minorHAnsi" w:hAnsiTheme="minorHAnsi" w:cs="Open Sans"/>
          <w:sz w:val="20"/>
          <w:lang w:val="fr-FR"/>
        </w:rPr>
      </w:pPr>
    </w:p>
    <w:p w14:paraId="35ADA35F" w14:textId="6EC17A8D" w:rsidR="001F3C0D" w:rsidRPr="001D687B" w:rsidRDefault="0034095D" w:rsidP="009D6EE5">
      <w:pPr>
        <w:pStyle w:val="Titre10"/>
        <w:spacing w:line="22" w:lineRule="atLeast"/>
        <w:jc w:val="both"/>
        <w:rPr>
          <w:rFonts w:asciiTheme="minorHAnsi" w:hAnsiTheme="minorHAnsi" w:cs="Open Sans"/>
          <w:b w:val="0"/>
          <w:bCs/>
          <w:sz w:val="44"/>
          <w:szCs w:val="44"/>
        </w:rPr>
      </w:pPr>
      <w:bookmarkStart w:id="106" w:name="_Toc231337030"/>
      <w:r w:rsidRPr="001D687B">
        <w:rPr>
          <w:rFonts w:asciiTheme="minorHAnsi" w:hAnsiTheme="minorHAnsi" w:cs="Open Sans"/>
          <w:b w:val="0"/>
          <w:bCs/>
          <w:sz w:val="44"/>
          <w:szCs w:val="44"/>
        </w:rPr>
        <w:t xml:space="preserve">K. </w:t>
      </w:r>
      <w:r w:rsidR="00751801" w:rsidRPr="001D687B">
        <w:rPr>
          <w:rFonts w:asciiTheme="minorHAnsi" w:hAnsiTheme="minorHAnsi" w:cs="Open Sans"/>
          <w:b w:val="0"/>
          <w:bCs/>
          <w:sz w:val="44"/>
          <w:szCs w:val="44"/>
        </w:rPr>
        <w:t>I</w:t>
      </w:r>
      <w:r w:rsidR="001F3C0D" w:rsidRPr="001D687B">
        <w:rPr>
          <w:rFonts w:asciiTheme="minorHAnsi" w:hAnsiTheme="minorHAnsi" w:cs="Open Sans"/>
          <w:b w:val="0"/>
          <w:bCs/>
          <w:sz w:val="44"/>
          <w:szCs w:val="44"/>
        </w:rPr>
        <w:t xml:space="preserve">nformations issues des </w:t>
      </w:r>
      <w:r w:rsidR="009D07BD" w:rsidRPr="001D687B">
        <w:rPr>
          <w:rFonts w:asciiTheme="minorHAnsi" w:hAnsiTheme="minorHAnsi" w:cs="Open Sans"/>
          <w:b w:val="0"/>
          <w:bCs/>
          <w:sz w:val="44"/>
          <w:szCs w:val="44"/>
        </w:rPr>
        <w:t xml:space="preserve">dispositions de l’article </w:t>
      </w:r>
      <w:r w:rsidR="001F3C0D" w:rsidRPr="001D687B">
        <w:rPr>
          <w:rFonts w:asciiTheme="minorHAnsi" w:hAnsiTheme="minorHAnsi" w:cs="Open Sans"/>
          <w:b w:val="0"/>
          <w:bCs/>
          <w:sz w:val="44"/>
          <w:szCs w:val="44"/>
        </w:rPr>
        <w:t xml:space="preserve">4 </w:t>
      </w:r>
      <w:r w:rsidR="004418A8" w:rsidRPr="001D687B">
        <w:rPr>
          <w:rFonts w:asciiTheme="minorHAnsi" w:hAnsiTheme="minorHAnsi" w:cs="Open Sans"/>
          <w:b w:val="0"/>
          <w:bCs/>
          <w:sz w:val="44"/>
          <w:szCs w:val="44"/>
        </w:rPr>
        <w:t xml:space="preserve">du </w:t>
      </w:r>
      <w:r w:rsidR="001F3C0D" w:rsidRPr="001D687B">
        <w:rPr>
          <w:rFonts w:asciiTheme="minorHAnsi" w:hAnsiTheme="minorHAnsi" w:cs="Open Sans"/>
          <w:b w:val="0"/>
          <w:bCs/>
          <w:sz w:val="44"/>
          <w:szCs w:val="44"/>
        </w:rPr>
        <w:t>règlement (UE) 2019/2088 du Parlement européen et du Conseil du 27 novembre 2019</w:t>
      </w:r>
      <w:bookmarkEnd w:id="106"/>
      <w:r w:rsidR="001F3C0D" w:rsidRPr="001D687B">
        <w:rPr>
          <w:rFonts w:asciiTheme="minorHAnsi" w:hAnsiTheme="minorHAnsi" w:cs="Open Sans"/>
          <w:b w:val="0"/>
          <w:bCs/>
          <w:sz w:val="44"/>
          <w:szCs w:val="44"/>
        </w:rPr>
        <w:t xml:space="preserve"> </w:t>
      </w:r>
    </w:p>
    <w:p w14:paraId="0259137C" w14:textId="17B4C9D6" w:rsidR="00671DEC" w:rsidRPr="00A74D23" w:rsidRDefault="00B057B6" w:rsidP="009D6EE5">
      <w:pPr>
        <w:pStyle w:val="TITRE1"/>
        <w:numPr>
          <w:ilvl w:val="0"/>
          <w:numId w:val="0"/>
        </w:numPr>
        <w:spacing w:line="22" w:lineRule="atLeast"/>
        <w:outlineLvl w:val="9"/>
        <w:rPr>
          <w:rFonts w:asciiTheme="minorHAnsi" w:eastAsiaTheme="minorHAnsi" w:hAnsiTheme="minorHAnsi" w:cs="Open Sans"/>
          <w:b w:val="0"/>
          <w:caps w:val="0"/>
          <w:color w:val="auto"/>
          <w:sz w:val="20"/>
          <w:szCs w:val="22"/>
        </w:rPr>
      </w:pPr>
      <w:bookmarkStart w:id="107" w:name="_Toc137136366"/>
      <w:r w:rsidRPr="00A74D23">
        <w:rPr>
          <w:rFonts w:asciiTheme="minorHAnsi" w:eastAsiaTheme="minorHAnsi" w:hAnsiTheme="minorHAnsi" w:cs="Open Sans"/>
          <w:b w:val="0"/>
          <w:caps w:val="0"/>
          <w:color w:val="auto"/>
          <w:sz w:val="20"/>
          <w:szCs w:val="22"/>
        </w:rPr>
        <w:t>Cette partie</w:t>
      </w:r>
      <w:r w:rsidR="00671DEC" w:rsidRPr="00A74D23">
        <w:rPr>
          <w:rFonts w:asciiTheme="minorHAnsi" w:eastAsiaTheme="minorHAnsi" w:hAnsiTheme="minorHAnsi" w:cs="Open Sans"/>
          <w:b w:val="0"/>
          <w:caps w:val="0"/>
          <w:color w:val="auto"/>
          <w:sz w:val="20"/>
          <w:szCs w:val="22"/>
        </w:rPr>
        <w:t xml:space="preserve"> est publié</w:t>
      </w:r>
      <w:r w:rsidRPr="00A74D23">
        <w:rPr>
          <w:rFonts w:asciiTheme="minorHAnsi" w:eastAsiaTheme="minorHAnsi" w:hAnsiTheme="minorHAnsi" w:cs="Open Sans"/>
          <w:b w:val="0"/>
          <w:caps w:val="0"/>
          <w:color w:val="auto"/>
          <w:sz w:val="20"/>
          <w:szCs w:val="22"/>
        </w:rPr>
        <w:t xml:space="preserve">e </w:t>
      </w:r>
      <w:r w:rsidR="00671DEC" w:rsidRPr="00A74D23">
        <w:rPr>
          <w:rFonts w:asciiTheme="minorHAnsi" w:eastAsiaTheme="minorHAnsi" w:hAnsiTheme="minorHAnsi" w:cs="Open Sans"/>
          <w:b w:val="0"/>
          <w:caps w:val="0"/>
          <w:color w:val="auto"/>
          <w:sz w:val="20"/>
          <w:szCs w:val="22"/>
        </w:rPr>
        <w:t>afin de satisfaire aux exigences de l’article 4 du règlement UE 2019/2088 du Parlement Européen et du Conseil du 27 Novembre 2019 sur la publication d’informations en matière de durabilité dans le secteur des services financiers (SFDR) dont les dispositions sont définies dans le règlement 2022 /1288.</w:t>
      </w:r>
      <w:bookmarkEnd w:id="107"/>
    </w:p>
    <w:p w14:paraId="340D2C69" w14:textId="439D17F3" w:rsidR="0051098C" w:rsidRPr="00A74D23" w:rsidRDefault="007D6135" w:rsidP="009D6EE5">
      <w:pPr>
        <w:pStyle w:val="Paragraphedeliste"/>
        <w:numPr>
          <w:ilvl w:val="0"/>
          <w:numId w:val="4"/>
        </w:numPr>
        <w:spacing w:after="120" w:line="22" w:lineRule="atLeast"/>
        <w:ind w:left="284" w:hanging="284"/>
        <w:contextualSpacing w:val="0"/>
        <w:jc w:val="both"/>
        <w:rPr>
          <w:rFonts w:cs="Open Sans"/>
          <w:b/>
          <w:sz w:val="20"/>
        </w:rPr>
      </w:pPr>
      <w:r w:rsidRPr="00A74D23">
        <w:rPr>
          <w:rFonts w:cs="Open Sans"/>
          <w:b/>
          <w:sz w:val="20"/>
        </w:rPr>
        <w:t xml:space="preserve">Résumé </w:t>
      </w:r>
      <w:r w:rsidR="00724769" w:rsidRPr="00A74D23">
        <w:rPr>
          <w:rFonts w:cs="Open Sans"/>
          <w:b/>
          <w:sz w:val="20"/>
        </w:rPr>
        <w:t>d</w:t>
      </w:r>
      <w:r w:rsidRPr="00A74D23">
        <w:rPr>
          <w:rFonts w:cs="Open Sans"/>
          <w:b/>
          <w:sz w:val="20"/>
        </w:rPr>
        <w:t>es principales incidences négatives sur les facteurs de durabilité</w:t>
      </w:r>
      <w:r w:rsidR="00641C7C" w:rsidRPr="00A74D23">
        <w:rPr>
          <w:rFonts w:cs="Open Sans"/>
          <w:b/>
          <w:sz w:val="20"/>
        </w:rPr>
        <w:t xml:space="preserve"> </w:t>
      </w:r>
      <w:r w:rsidR="0051098C" w:rsidRPr="00A74D23">
        <w:rPr>
          <w:rFonts w:cs="Open Sans"/>
          <w:b/>
          <w:sz w:val="20"/>
        </w:rPr>
        <w:t>et description des principales incidences négatives sur les facteurs de durabilité et comparaison historique</w:t>
      </w:r>
    </w:p>
    <w:p w14:paraId="53E61653" w14:textId="38C0E0D2"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Abeille Assurances a effectué un exercice d’identification et de hiérarchisation des indicateurs d'incidence négative en matière de durabilité. Cette liste d’indicateurs définit un niveau de priorité des indicateurs (niveau 1 « prioritaire », niveau 2 « non prioritaire »)</w:t>
      </w:r>
      <w:r w:rsidR="00D41029" w:rsidRPr="00A74D23">
        <w:rPr>
          <w:rFonts w:asciiTheme="minorHAnsi" w:hAnsiTheme="minorHAnsi" w:cs="Open Sans"/>
          <w:sz w:val="20"/>
          <w:lang w:val="fr-FR"/>
        </w:rPr>
        <w:t>.</w:t>
      </w:r>
    </w:p>
    <w:tbl>
      <w:tblPr>
        <w:tblW w:w="9072" w:type="dxa"/>
        <w:tblInd w:w="-5" w:type="dxa"/>
        <w:tblCellMar>
          <w:left w:w="70" w:type="dxa"/>
          <w:right w:w="70" w:type="dxa"/>
        </w:tblCellMar>
        <w:tblLook w:val="04A0" w:firstRow="1" w:lastRow="0" w:firstColumn="1" w:lastColumn="0" w:noHBand="0" w:noVBand="1"/>
      </w:tblPr>
      <w:tblGrid>
        <w:gridCol w:w="1595"/>
        <w:gridCol w:w="2047"/>
        <w:gridCol w:w="3938"/>
        <w:gridCol w:w="1492"/>
      </w:tblGrid>
      <w:tr w:rsidR="004521F9" w:rsidRPr="00A74D23" w14:paraId="2D6F02C2" w14:textId="77777777" w:rsidTr="00A15764">
        <w:trPr>
          <w:trHeight w:val="600"/>
        </w:trPr>
        <w:tc>
          <w:tcPr>
            <w:tcW w:w="3761" w:type="dxa"/>
            <w:gridSpan w:val="2"/>
            <w:tcBorders>
              <w:top w:val="single" w:sz="4" w:space="0" w:color="auto"/>
              <w:left w:val="single" w:sz="4" w:space="0" w:color="auto"/>
              <w:bottom w:val="single" w:sz="4" w:space="0" w:color="auto"/>
              <w:right w:val="single" w:sz="4" w:space="0" w:color="auto"/>
            </w:tcBorders>
            <w:shd w:val="clear" w:color="auto" w:fill="808080"/>
            <w:hideMark/>
          </w:tcPr>
          <w:p w14:paraId="5E53F377" w14:textId="76126118" w:rsidR="00925245" w:rsidRPr="00A74D23" w:rsidRDefault="00925245" w:rsidP="009D6EE5">
            <w:pPr>
              <w:spacing w:line="22" w:lineRule="atLeast"/>
              <w:jc w:val="both"/>
              <w:rPr>
                <w:rFonts w:asciiTheme="minorHAnsi" w:hAnsiTheme="minorHAnsi" w:cs="Open Sans"/>
                <w:b/>
                <w:bCs/>
                <w:color w:val="FFFFFF" w:themeColor="background1"/>
                <w:sz w:val="20"/>
                <w:lang w:val="fr-FR"/>
              </w:rPr>
            </w:pPr>
            <w:r w:rsidRPr="00A74D23">
              <w:rPr>
                <w:rFonts w:asciiTheme="minorHAnsi" w:hAnsiTheme="minorHAnsi" w:cs="Open Sans"/>
                <w:b/>
                <w:bCs/>
                <w:color w:val="FFFFFF" w:themeColor="background1"/>
                <w:sz w:val="20"/>
                <w:lang w:val="fr-FR"/>
              </w:rPr>
              <w:t>Indicateur</w:t>
            </w:r>
            <w:r w:rsidR="00FE0CD7" w:rsidRPr="00A74D23">
              <w:rPr>
                <w:rFonts w:asciiTheme="minorHAnsi" w:hAnsiTheme="minorHAnsi" w:cs="Open Sans"/>
                <w:b/>
                <w:bCs/>
                <w:color w:val="FFFFFF" w:themeColor="background1"/>
                <w:sz w:val="20"/>
                <w:lang w:val="fr-FR"/>
              </w:rPr>
              <w:t>s</w:t>
            </w:r>
            <w:r w:rsidRPr="00A74D23">
              <w:rPr>
                <w:rFonts w:asciiTheme="minorHAnsi" w:hAnsiTheme="minorHAnsi" w:cs="Open Sans"/>
                <w:b/>
                <w:bCs/>
                <w:color w:val="FFFFFF" w:themeColor="background1"/>
                <w:sz w:val="20"/>
                <w:lang w:val="fr-FR"/>
              </w:rPr>
              <w:t xml:space="preserve"> d’incidences négatives sur la durabilité</w:t>
            </w:r>
          </w:p>
        </w:tc>
        <w:tc>
          <w:tcPr>
            <w:tcW w:w="4466" w:type="dxa"/>
            <w:tcBorders>
              <w:top w:val="single" w:sz="4" w:space="0" w:color="auto"/>
              <w:left w:val="nil"/>
              <w:bottom w:val="single" w:sz="4" w:space="0" w:color="auto"/>
              <w:right w:val="single" w:sz="4" w:space="0" w:color="auto"/>
            </w:tcBorders>
            <w:shd w:val="clear" w:color="auto" w:fill="808080"/>
            <w:hideMark/>
          </w:tcPr>
          <w:p w14:paraId="55B015C3" w14:textId="6DACF149" w:rsidR="00925245" w:rsidRPr="00A74D23" w:rsidRDefault="00925245" w:rsidP="009D6EE5">
            <w:pPr>
              <w:spacing w:line="22" w:lineRule="atLeast"/>
              <w:jc w:val="both"/>
              <w:rPr>
                <w:rFonts w:asciiTheme="minorHAnsi" w:hAnsiTheme="minorHAnsi" w:cs="Open Sans"/>
                <w:b/>
                <w:bCs/>
                <w:color w:val="FFFFFF" w:themeColor="background1"/>
                <w:sz w:val="20"/>
              </w:rPr>
            </w:pPr>
            <w:r w:rsidRPr="00A74D23">
              <w:rPr>
                <w:rFonts w:asciiTheme="minorHAnsi" w:hAnsiTheme="minorHAnsi" w:cs="Open Sans"/>
                <w:b/>
                <w:bCs/>
                <w:color w:val="FFFFFF" w:themeColor="background1"/>
                <w:sz w:val="20"/>
              </w:rPr>
              <w:t>Eléments de mesure</w:t>
            </w:r>
          </w:p>
        </w:tc>
        <w:tc>
          <w:tcPr>
            <w:tcW w:w="845" w:type="dxa"/>
            <w:tcBorders>
              <w:top w:val="single" w:sz="4" w:space="0" w:color="auto"/>
              <w:left w:val="nil"/>
              <w:bottom w:val="single" w:sz="4" w:space="0" w:color="auto"/>
              <w:right w:val="single" w:sz="4" w:space="0" w:color="auto"/>
            </w:tcBorders>
            <w:shd w:val="clear" w:color="auto" w:fill="808080"/>
          </w:tcPr>
          <w:p w14:paraId="5F3FCB81" w14:textId="77777777" w:rsidR="00925245" w:rsidRPr="00A74D23" w:rsidRDefault="00925245" w:rsidP="009D6EE5">
            <w:pPr>
              <w:spacing w:line="22" w:lineRule="atLeast"/>
              <w:jc w:val="both"/>
              <w:rPr>
                <w:rFonts w:asciiTheme="minorHAnsi" w:hAnsiTheme="minorHAnsi" w:cs="Open Sans"/>
                <w:b/>
                <w:bCs/>
                <w:color w:val="FFFFFF" w:themeColor="background1"/>
                <w:sz w:val="20"/>
              </w:rPr>
            </w:pPr>
            <w:r w:rsidRPr="00A74D23">
              <w:rPr>
                <w:rFonts w:asciiTheme="minorHAnsi" w:hAnsiTheme="minorHAnsi" w:cs="Open Sans"/>
                <w:b/>
                <w:bCs/>
                <w:color w:val="FFFFFF" w:themeColor="background1"/>
                <w:sz w:val="20"/>
              </w:rPr>
              <w:t>Niveau de hiérarchisation</w:t>
            </w:r>
          </w:p>
        </w:tc>
      </w:tr>
      <w:tr w:rsidR="00F72877" w:rsidRPr="00601C93" w14:paraId="50014E7A" w14:textId="77777777" w:rsidTr="00A15764">
        <w:trPr>
          <w:trHeight w:val="600"/>
        </w:trPr>
        <w:tc>
          <w:tcPr>
            <w:tcW w:w="9072"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C99FBA"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INDICATEURS CLIMATIQUES ET AUTRES INDICATEURS RELATIFS À L’ENVIRONNEMENT</w:t>
            </w:r>
          </w:p>
        </w:tc>
      </w:tr>
      <w:tr w:rsidR="00FC17A9" w:rsidRPr="00A74D23" w14:paraId="61990890" w14:textId="77777777" w:rsidTr="00A15764">
        <w:trPr>
          <w:trHeight w:val="221"/>
        </w:trPr>
        <w:tc>
          <w:tcPr>
            <w:tcW w:w="1635" w:type="dxa"/>
            <w:vMerge w:val="restart"/>
            <w:tcBorders>
              <w:top w:val="nil"/>
              <w:left w:val="single" w:sz="4" w:space="0" w:color="auto"/>
              <w:right w:val="single" w:sz="4" w:space="0" w:color="auto"/>
            </w:tcBorders>
          </w:tcPr>
          <w:p w14:paraId="5D2C8917"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Émissions de gaz à effet de serre</w:t>
            </w:r>
          </w:p>
        </w:tc>
        <w:tc>
          <w:tcPr>
            <w:tcW w:w="2126" w:type="dxa"/>
            <w:vMerge w:val="restart"/>
            <w:tcBorders>
              <w:top w:val="nil"/>
              <w:left w:val="nil"/>
              <w:right w:val="single" w:sz="4" w:space="0" w:color="auto"/>
            </w:tcBorders>
          </w:tcPr>
          <w:p w14:paraId="10943158"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 xml:space="preserve">1.Emissions de GES </w:t>
            </w:r>
          </w:p>
        </w:tc>
        <w:tc>
          <w:tcPr>
            <w:tcW w:w="4466" w:type="dxa"/>
            <w:tcBorders>
              <w:top w:val="nil"/>
              <w:left w:val="nil"/>
              <w:bottom w:val="single" w:sz="4" w:space="0" w:color="auto"/>
              <w:right w:val="single" w:sz="4" w:space="0" w:color="auto"/>
            </w:tcBorders>
          </w:tcPr>
          <w:p w14:paraId="2035A55B"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Emissions de GES de niveau 1</w:t>
            </w:r>
          </w:p>
        </w:tc>
        <w:tc>
          <w:tcPr>
            <w:tcW w:w="845" w:type="dxa"/>
            <w:tcBorders>
              <w:top w:val="nil"/>
              <w:left w:val="nil"/>
              <w:bottom w:val="single" w:sz="4" w:space="0" w:color="auto"/>
              <w:right w:val="single" w:sz="4" w:space="0" w:color="auto"/>
            </w:tcBorders>
          </w:tcPr>
          <w:p w14:paraId="45156A3A"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1</w:t>
            </w:r>
          </w:p>
        </w:tc>
      </w:tr>
      <w:tr w:rsidR="00FC17A9" w:rsidRPr="00A74D23" w14:paraId="25BADC24" w14:textId="77777777" w:rsidTr="00A15764">
        <w:trPr>
          <w:trHeight w:val="285"/>
        </w:trPr>
        <w:tc>
          <w:tcPr>
            <w:tcW w:w="1635" w:type="dxa"/>
            <w:vMerge/>
            <w:tcBorders>
              <w:left w:val="single" w:sz="4" w:space="0" w:color="auto"/>
              <w:right w:val="single" w:sz="4" w:space="0" w:color="auto"/>
            </w:tcBorders>
          </w:tcPr>
          <w:p w14:paraId="46EA5FD1" w14:textId="77777777" w:rsidR="00925245" w:rsidRPr="00A74D23" w:rsidRDefault="00925245" w:rsidP="009D6EE5">
            <w:pPr>
              <w:spacing w:line="22" w:lineRule="atLeast"/>
              <w:jc w:val="both"/>
              <w:rPr>
                <w:rFonts w:asciiTheme="minorHAnsi" w:hAnsiTheme="minorHAnsi" w:cs="Open Sans"/>
                <w:sz w:val="20"/>
              </w:rPr>
            </w:pPr>
          </w:p>
        </w:tc>
        <w:tc>
          <w:tcPr>
            <w:tcW w:w="2126" w:type="dxa"/>
            <w:vMerge/>
            <w:tcBorders>
              <w:left w:val="nil"/>
              <w:right w:val="single" w:sz="4" w:space="0" w:color="auto"/>
            </w:tcBorders>
          </w:tcPr>
          <w:p w14:paraId="286AB729" w14:textId="77777777" w:rsidR="00925245" w:rsidRPr="00A74D23" w:rsidRDefault="00925245" w:rsidP="009D6EE5">
            <w:pPr>
              <w:spacing w:line="22" w:lineRule="atLeast"/>
              <w:jc w:val="both"/>
              <w:rPr>
                <w:rFonts w:asciiTheme="minorHAnsi" w:hAnsiTheme="minorHAnsi" w:cs="Open Sans"/>
                <w:sz w:val="20"/>
              </w:rPr>
            </w:pPr>
          </w:p>
        </w:tc>
        <w:tc>
          <w:tcPr>
            <w:tcW w:w="4466" w:type="dxa"/>
            <w:tcBorders>
              <w:top w:val="nil"/>
              <w:left w:val="nil"/>
              <w:bottom w:val="single" w:sz="4" w:space="0" w:color="auto"/>
              <w:right w:val="single" w:sz="4" w:space="0" w:color="auto"/>
            </w:tcBorders>
          </w:tcPr>
          <w:p w14:paraId="21015865"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Emissions de GES de niveau 2</w:t>
            </w:r>
          </w:p>
        </w:tc>
        <w:tc>
          <w:tcPr>
            <w:tcW w:w="845" w:type="dxa"/>
            <w:tcBorders>
              <w:top w:val="nil"/>
              <w:left w:val="nil"/>
              <w:bottom w:val="single" w:sz="4" w:space="0" w:color="auto"/>
              <w:right w:val="single" w:sz="4" w:space="0" w:color="auto"/>
            </w:tcBorders>
          </w:tcPr>
          <w:p w14:paraId="4BA8CC85"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1</w:t>
            </w:r>
          </w:p>
        </w:tc>
      </w:tr>
      <w:tr w:rsidR="00FC17A9" w:rsidRPr="00A74D23" w14:paraId="0360970D" w14:textId="77777777" w:rsidTr="00A15764">
        <w:trPr>
          <w:trHeight w:val="362"/>
        </w:trPr>
        <w:tc>
          <w:tcPr>
            <w:tcW w:w="1635" w:type="dxa"/>
            <w:vMerge/>
            <w:tcBorders>
              <w:left w:val="single" w:sz="4" w:space="0" w:color="auto"/>
              <w:right w:val="single" w:sz="4" w:space="0" w:color="auto"/>
            </w:tcBorders>
          </w:tcPr>
          <w:p w14:paraId="0C9C120B" w14:textId="77777777" w:rsidR="00925245" w:rsidRPr="00A74D23" w:rsidRDefault="00925245" w:rsidP="009D6EE5">
            <w:pPr>
              <w:spacing w:line="22" w:lineRule="atLeast"/>
              <w:jc w:val="both"/>
              <w:rPr>
                <w:rFonts w:asciiTheme="minorHAnsi" w:hAnsiTheme="minorHAnsi" w:cs="Open Sans"/>
                <w:sz w:val="20"/>
              </w:rPr>
            </w:pPr>
          </w:p>
        </w:tc>
        <w:tc>
          <w:tcPr>
            <w:tcW w:w="2126" w:type="dxa"/>
            <w:vMerge/>
            <w:tcBorders>
              <w:left w:val="nil"/>
              <w:right w:val="single" w:sz="4" w:space="0" w:color="auto"/>
            </w:tcBorders>
          </w:tcPr>
          <w:p w14:paraId="5A6CF5FA" w14:textId="77777777" w:rsidR="00925245" w:rsidRPr="00A74D23" w:rsidRDefault="00925245" w:rsidP="009D6EE5">
            <w:pPr>
              <w:spacing w:line="22" w:lineRule="atLeast"/>
              <w:jc w:val="both"/>
              <w:rPr>
                <w:rFonts w:asciiTheme="minorHAnsi" w:hAnsiTheme="minorHAnsi" w:cs="Open Sans"/>
                <w:sz w:val="20"/>
              </w:rPr>
            </w:pPr>
          </w:p>
        </w:tc>
        <w:tc>
          <w:tcPr>
            <w:tcW w:w="4466" w:type="dxa"/>
            <w:tcBorders>
              <w:top w:val="nil"/>
              <w:left w:val="nil"/>
              <w:bottom w:val="single" w:sz="4" w:space="0" w:color="auto"/>
              <w:right w:val="single" w:sz="4" w:space="0" w:color="auto"/>
            </w:tcBorders>
          </w:tcPr>
          <w:p w14:paraId="21256AB0"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Emissions de GES de niveau 3</w:t>
            </w:r>
          </w:p>
        </w:tc>
        <w:tc>
          <w:tcPr>
            <w:tcW w:w="845" w:type="dxa"/>
            <w:tcBorders>
              <w:top w:val="nil"/>
              <w:left w:val="nil"/>
              <w:bottom w:val="single" w:sz="4" w:space="0" w:color="auto"/>
              <w:right w:val="single" w:sz="4" w:space="0" w:color="auto"/>
            </w:tcBorders>
          </w:tcPr>
          <w:p w14:paraId="337AA6DF"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1</w:t>
            </w:r>
          </w:p>
        </w:tc>
      </w:tr>
      <w:tr w:rsidR="00FC17A9" w:rsidRPr="00A74D23" w14:paraId="6A26A395" w14:textId="77777777" w:rsidTr="00A15764">
        <w:trPr>
          <w:trHeight w:val="285"/>
        </w:trPr>
        <w:tc>
          <w:tcPr>
            <w:tcW w:w="1635" w:type="dxa"/>
            <w:vMerge/>
            <w:tcBorders>
              <w:left w:val="single" w:sz="4" w:space="0" w:color="auto"/>
              <w:right w:val="single" w:sz="4" w:space="0" w:color="auto"/>
            </w:tcBorders>
          </w:tcPr>
          <w:p w14:paraId="2B8F7FA0" w14:textId="77777777" w:rsidR="00925245" w:rsidRPr="00A74D23" w:rsidRDefault="00925245" w:rsidP="009D6EE5">
            <w:pPr>
              <w:spacing w:line="22" w:lineRule="atLeast"/>
              <w:jc w:val="both"/>
              <w:rPr>
                <w:rFonts w:asciiTheme="minorHAnsi" w:hAnsiTheme="minorHAnsi" w:cs="Open Sans"/>
                <w:sz w:val="20"/>
              </w:rPr>
            </w:pPr>
          </w:p>
        </w:tc>
        <w:tc>
          <w:tcPr>
            <w:tcW w:w="2126" w:type="dxa"/>
            <w:vMerge/>
            <w:tcBorders>
              <w:left w:val="nil"/>
              <w:bottom w:val="single" w:sz="4" w:space="0" w:color="auto"/>
              <w:right w:val="single" w:sz="4" w:space="0" w:color="auto"/>
            </w:tcBorders>
          </w:tcPr>
          <w:p w14:paraId="3B1FF5EA" w14:textId="77777777" w:rsidR="00925245" w:rsidRPr="00A74D23" w:rsidRDefault="00925245" w:rsidP="009D6EE5">
            <w:pPr>
              <w:spacing w:line="22" w:lineRule="atLeast"/>
              <w:jc w:val="both"/>
              <w:rPr>
                <w:rFonts w:asciiTheme="minorHAnsi" w:hAnsiTheme="minorHAnsi" w:cs="Open Sans"/>
                <w:sz w:val="20"/>
              </w:rPr>
            </w:pPr>
          </w:p>
        </w:tc>
        <w:tc>
          <w:tcPr>
            <w:tcW w:w="4466" w:type="dxa"/>
            <w:tcBorders>
              <w:top w:val="nil"/>
              <w:left w:val="nil"/>
              <w:bottom w:val="single" w:sz="4" w:space="0" w:color="auto"/>
              <w:right w:val="single" w:sz="4" w:space="0" w:color="auto"/>
            </w:tcBorders>
          </w:tcPr>
          <w:p w14:paraId="5429F536" w14:textId="57E346E6"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Emissions totales</w:t>
            </w:r>
            <w:r w:rsidR="00FE0CD7" w:rsidRPr="00A74D23">
              <w:rPr>
                <w:rFonts w:asciiTheme="minorHAnsi" w:hAnsiTheme="minorHAnsi" w:cs="Open Sans"/>
                <w:sz w:val="20"/>
              </w:rPr>
              <w:t xml:space="preserve"> de</w:t>
            </w:r>
            <w:r w:rsidRPr="00A74D23">
              <w:rPr>
                <w:rFonts w:asciiTheme="minorHAnsi" w:hAnsiTheme="minorHAnsi" w:cs="Open Sans"/>
                <w:sz w:val="20"/>
              </w:rPr>
              <w:t xml:space="preserve"> GES</w:t>
            </w:r>
          </w:p>
        </w:tc>
        <w:tc>
          <w:tcPr>
            <w:tcW w:w="845" w:type="dxa"/>
            <w:tcBorders>
              <w:top w:val="nil"/>
              <w:left w:val="nil"/>
              <w:bottom w:val="single" w:sz="4" w:space="0" w:color="auto"/>
              <w:right w:val="single" w:sz="4" w:space="0" w:color="auto"/>
            </w:tcBorders>
          </w:tcPr>
          <w:p w14:paraId="68B10556"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1</w:t>
            </w:r>
          </w:p>
        </w:tc>
      </w:tr>
      <w:tr w:rsidR="00FC17A9" w:rsidRPr="00A74D23" w14:paraId="054FEC99" w14:textId="77777777" w:rsidTr="00A15764">
        <w:trPr>
          <w:trHeight w:val="221"/>
        </w:trPr>
        <w:tc>
          <w:tcPr>
            <w:tcW w:w="1635" w:type="dxa"/>
            <w:vMerge/>
            <w:tcBorders>
              <w:left w:val="single" w:sz="4" w:space="0" w:color="auto"/>
              <w:right w:val="single" w:sz="4" w:space="0" w:color="auto"/>
            </w:tcBorders>
          </w:tcPr>
          <w:p w14:paraId="675E882F" w14:textId="77777777" w:rsidR="00925245" w:rsidRPr="00A74D23" w:rsidRDefault="00925245" w:rsidP="009D6EE5">
            <w:pPr>
              <w:spacing w:line="22" w:lineRule="atLeast"/>
              <w:jc w:val="both"/>
              <w:rPr>
                <w:rFonts w:asciiTheme="minorHAnsi" w:hAnsiTheme="minorHAnsi" w:cs="Open Sans"/>
                <w:sz w:val="20"/>
              </w:rPr>
            </w:pPr>
          </w:p>
        </w:tc>
        <w:tc>
          <w:tcPr>
            <w:tcW w:w="2126" w:type="dxa"/>
            <w:tcBorders>
              <w:top w:val="nil"/>
              <w:left w:val="nil"/>
              <w:bottom w:val="single" w:sz="4" w:space="0" w:color="auto"/>
              <w:right w:val="single" w:sz="4" w:space="0" w:color="auto"/>
            </w:tcBorders>
          </w:tcPr>
          <w:p w14:paraId="309B52FC"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2.Empreinte carbone</w:t>
            </w:r>
          </w:p>
        </w:tc>
        <w:tc>
          <w:tcPr>
            <w:tcW w:w="4466" w:type="dxa"/>
            <w:tcBorders>
              <w:top w:val="nil"/>
              <w:left w:val="nil"/>
              <w:bottom w:val="single" w:sz="4" w:space="0" w:color="auto"/>
              <w:right w:val="single" w:sz="4" w:space="0" w:color="auto"/>
            </w:tcBorders>
          </w:tcPr>
          <w:p w14:paraId="51CB5434"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Empreinte carbone</w:t>
            </w:r>
          </w:p>
        </w:tc>
        <w:tc>
          <w:tcPr>
            <w:tcW w:w="845" w:type="dxa"/>
            <w:tcBorders>
              <w:top w:val="nil"/>
              <w:left w:val="nil"/>
              <w:bottom w:val="single" w:sz="4" w:space="0" w:color="auto"/>
              <w:right w:val="single" w:sz="4" w:space="0" w:color="auto"/>
            </w:tcBorders>
          </w:tcPr>
          <w:p w14:paraId="006A33C0"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1</w:t>
            </w:r>
          </w:p>
        </w:tc>
      </w:tr>
      <w:tr w:rsidR="00FC17A9" w:rsidRPr="00A74D23" w14:paraId="45DDB36B" w14:textId="77777777" w:rsidTr="00A15764">
        <w:trPr>
          <w:trHeight w:val="759"/>
        </w:trPr>
        <w:tc>
          <w:tcPr>
            <w:tcW w:w="1635" w:type="dxa"/>
            <w:vMerge/>
            <w:tcBorders>
              <w:left w:val="single" w:sz="4" w:space="0" w:color="auto"/>
              <w:right w:val="single" w:sz="4" w:space="0" w:color="auto"/>
            </w:tcBorders>
          </w:tcPr>
          <w:p w14:paraId="663464A0" w14:textId="77777777" w:rsidR="00925245" w:rsidRPr="00A74D23" w:rsidRDefault="00925245" w:rsidP="009D6EE5">
            <w:pPr>
              <w:spacing w:line="22" w:lineRule="atLeast"/>
              <w:jc w:val="both"/>
              <w:rPr>
                <w:rFonts w:asciiTheme="minorHAnsi" w:hAnsiTheme="minorHAnsi" w:cs="Open Sans"/>
                <w:sz w:val="20"/>
              </w:rPr>
            </w:pPr>
          </w:p>
        </w:tc>
        <w:tc>
          <w:tcPr>
            <w:tcW w:w="2126" w:type="dxa"/>
            <w:tcBorders>
              <w:top w:val="nil"/>
              <w:left w:val="nil"/>
              <w:bottom w:val="single" w:sz="4" w:space="0" w:color="auto"/>
              <w:right w:val="single" w:sz="4" w:space="0" w:color="auto"/>
            </w:tcBorders>
          </w:tcPr>
          <w:p w14:paraId="0305388F"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3.Intensité de GES des sociétés bénéficiaires des investissements</w:t>
            </w:r>
          </w:p>
        </w:tc>
        <w:tc>
          <w:tcPr>
            <w:tcW w:w="4466" w:type="dxa"/>
            <w:tcBorders>
              <w:top w:val="nil"/>
              <w:left w:val="nil"/>
              <w:bottom w:val="single" w:sz="4" w:space="0" w:color="auto"/>
              <w:right w:val="single" w:sz="4" w:space="0" w:color="auto"/>
            </w:tcBorders>
          </w:tcPr>
          <w:p w14:paraId="7A5785C9"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Intensité de GES des sociétés bénéficiaires des investissements</w:t>
            </w:r>
          </w:p>
        </w:tc>
        <w:tc>
          <w:tcPr>
            <w:tcW w:w="845" w:type="dxa"/>
            <w:tcBorders>
              <w:top w:val="nil"/>
              <w:left w:val="nil"/>
              <w:bottom w:val="single" w:sz="4" w:space="0" w:color="auto"/>
              <w:right w:val="single" w:sz="4" w:space="0" w:color="auto"/>
            </w:tcBorders>
          </w:tcPr>
          <w:p w14:paraId="0AB466F0"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1</w:t>
            </w:r>
          </w:p>
        </w:tc>
      </w:tr>
      <w:tr w:rsidR="00FC17A9" w:rsidRPr="00A74D23" w14:paraId="40D276F0" w14:textId="77777777" w:rsidTr="00A15764">
        <w:trPr>
          <w:trHeight w:val="759"/>
        </w:trPr>
        <w:tc>
          <w:tcPr>
            <w:tcW w:w="1635" w:type="dxa"/>
            <w:vMerge/>
            <w:tcBorders>
              <w:left w:val="single" w:sz="4" w:space="0" w:color="auto"/>
              <w:right w:val="single" w:sz="4" w:space="0" w:color="auto"/>
            </w:tcBorders>
          </w:tcPr>
          <w:p w14:paraId="6538EC7B" w14:textId="77777777" w:rsidR="00925245" w:rsidRPr="00A74D23" w:rsidRDefault="00925245" w:rsidP="009D6EE5">
            <w:pPr>
              <w:spacing w:line="22" w:lineRule="atLeast"/>
              <w:jc w:val="both"/>
              <w:rPr>
                <w:rFonts w:asciiTheme="minorHAnsi" w:hAnsiTheme="minorHAnsi" w:cs="Open Sans"/>
                <w:sz w:val="20"/>
              </w:rPr>
            </w:pPr>
          </w:p>
        </w:tc>
        <w:tc>
          <w:tcPr>
            <w:tcW w:w="2126" w:type="dxa"/>
            <w:tcBorders>
              <w:top w:val="nil"/>
              <w:left w:val="nil"/>
              <w:bottom w:val="single" w:sz="4" w:space="0" w:color="auto"/>
              <w:right w:val="single" w:sz="4" w:space="0" w:color="auto"/>
            </w:tcBorders>
          </w:tcPr>
          <w:p w14:paraId="53D51801"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4.Exposition à des sociétés actives dans le secteur des combustibles fossiles</w:t>
            </w:r>
          </w:p>
        </w:tc>
        <w:tc>
          <w:tcPr>
            <w:tcW w:w="4466" w:type="dxa"/>
            <w:tcBorders>
              <w:top w:val="nil"/>
              <w:left w:val="nil"/>
              <w:bottom w:val="single" w:sz="4" w:space="0" w:color="auto"/>
              <w:right w:val="single" w:sz="4" w:space="0" w:color="auto"/>
            </w:tcBorders>
          </w:tcPr>
          <w:p w14:paraId="3106B8BA"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Part d’investissement dans des sociétés actives dans le secteur des combustibles fossiles</w:t>
            </w:r>
          </w:p>
        </w:tc>
        <w:tc>
          <w:tcPr>
            <w:tcW w:w="845" w:type="dxa"/>
            <w:tcBorders>
              <w:top w:val="nil"/>
              <w:left w:val="nil"/>
              <w:bottom w:val="single" w:sz="4" w:space="0" w:color="auto"/>
              <w:right w:val="single" w:sz="4" w:space="0" w:color="auto"/>
            </w:tcBorders>
          </w:tcPr>
          <w:p w14:paraId="69E993A8"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1</w:t>
            </w:r>
          </w:p>
        </w:tc>
      </w:tr>
      <w:tr w:rsidR="00FC17A9" w:rsidRPr="00A74D23" w14:paraId="6DC31021" w14:textId="77777777" w:rsidTr="00A15764">
        <w:trPr>
          <w:trHeight w:val="1871"/>
        </w:trPr>
        <w:tc>
          <w:tcPr>
            <w:tcW w:w="1635" w:type="dxa"/>
            <w:vMerge/>
            <w:tcBorders>
              <w:left w:val="single" w:sz="4" w:space="0" w:color="auto"/>
              <w:right w:val="single" w:sz="4" w:space="0" w:color="auto"/>
            </w:tcBorders>
          </w:tcPr>
          <w:p w14:paraId="6529A608" w14:textId="77777777" w:rsidR="00925245" w:rsidRPr="00A74D23" w:rsidRDefault="00925245" w:rsidP="009D6EE5">
            <w:pPr>
              <w:spacing w:line="22" w:lineRule="atLeast"/>
              <w:jc w:val="both"/>
              <w:rPr>
                <w:rFonts w:asciiTheme="minorHAnsi" w:hAnsiTheme="minorHAnsi" w:cs="Open Sans"/>
                <w:sz w:val="20"/>
              </w:rPr>
            </w:pPr>
          </w:p>
        </w:tc>
        <w:tc>
          <w:tcPr>
            <w:tcW w:w="2126" w:type="dxa"/>
            <w:tcBorders>
              <w:top w:val="nil"/>
              <w:left w:val="nil"/>
              <w:bottom w:val="single" w:sz="4" w:space="0" w:color="auto"/>
              <w:right w:val="single" w:sz="4" w:space="0" w:color="auto"/>
            </w:tcBorders>
          </w:tcPr>
          <w:p w14:paraId="09D380BD"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5.Part de consommation et de production d’énergie non renouvelable</w:t>
            </w:r>
          </w:p>
        </w:tc>
        <w:tc>
          <w:tcPr>
            <w:tcW w:w="4466" w:type="dxa"/>
            <w:tcBorders>
              <w:top w:val="nil"/>
              <w:left w:val="nil"/>
              <w:bottom w:val="single" w:sz="4" w:space="0" w:color="auto"/>
              <w:right w:val="single" w:sz="4" w:space="0" w:color="auto"/>
            </w:tcBorders>
          </w:tcPr>
          <w:p w14:paraId="11FE817E" w14:textId="4523DCEA"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Part de la consommation et de la production d’énergie des sociétés bénéficiaires d’investissement qui provient de sources d’énergie non renouvelables, par rapport à celle</w:t>
            </w:r>
            <w:r w:rsidR="00FE0CD7" w:rsidRPr="00A74D23">
              <w:rPr>
                <w:rFonts w:asciiTheme="minorHAnsi" w:hAnsiTheme="minorHAnsi" w:cs="Open Sans"/>
                <w:sz w:val="20"/>
                <w:lang w:val="fr-FR"/>
              </w:rPr>
              <w:t>s</w:t>
            </w:r>
            <w:r w:rsidRPr="00A74D23">
              <w:rPr>
                <w:rFonts w:asciiTheme="minorHAnsi" w:hAnsiTheme="minorHAnsi" w:cs="Open Sans"/>
                <w:sz w:val="20"/>
                <w:lang w:val="fr-FR"/>
              </w:rPr>
              <w:t xml:space="preserve"> provenant de sources d’énergie renouvelables, exprimée en pourcentage du total des sources d’énergie</w:t>
            </w:r>
          </w:p>
        </w:tc>
        <w:tc>
          <w:tcPr>
            <w:tcW w:w="845" w:type="dxa"/>
            <w:tcBorders>
              <w:top w:val="nil"/>
              <w:left w:val="nil"/>
              <w:bottom w:val="single" w:sz="4" w:space="0" w:color="auto"/>
              <w:right w:val="single" w:sz="4" w:space="0" w:color="auto"/>
            </w:tcBorders>
          </w:tcPr>
          <w:p w14:paraId="6BBA8667"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2</w:t>
            </w:r>
          </w:p>
        </w:tc>
      </w:tr>
      <w:tr w:rsidR="004521F9" w:rsidRPr="00A74D23" w14:paraId="561DAB82" w14:textId="77777777" w:rsidTr="00A15764">
        <w:trPr>
          <w:trHeight w:val="759"/>
        </w:trPr>
        <w:tc>
          <w:tcPr>
            <w:tcW w:w="1635" w:type="dxa"/>
            <w:vMerge/>
            <w:tcBorders>
              <w:left w:val="single" w:sz="4" w:space="0" w:color="auto"/>
              <w:bottom w:val="single" w:sz="4" w:space="0" w:color="auto"/>
              <w:right w:val="single" w:sz="4" w:space="0" w:color="auto"/>
            </w:tcBorders>
          </w:tcPr>
          <w:p w14:paraId="6F4EC5C9" w14:textId="77777777" w:rsidR="00925245" w:rsidRPr="00A74D23" w:rsidRDefault="00925245" w:rsidP="009D6EE5">
            <w:pPr>
              <w:spacing w:line="22" w:lineRule="atLeast"/>
              <w:jc w:val="both"/>
              <w:rPr>
                <w:rFonts w:asciiTheme="minorHAnsi" w:hAnsiTheme="minorHAnsi" w:cs="Open Sans"/>
                <w:sz w:val="20"/>
              </w:rPr>
            </w:pPr>
          </w:p>
        </w:tc>
        <w:tc>
          <w:tcPr>
            <w:tcW w:w="2126" w:type="dxa"/>
            <w:tcBorders>
              <w:top w:val="nil"/>
              <w:left w:val="nil"/>
              <w:bottom w:val="single" w:sz="4" w:space="0" w:color="auto"/>
              <w:right w:val="single" w:sz="4" w:space="0" w:color="auto"/>
            </w:tcBorders>
          </w:tcPr>
          <w:p w14:paraId="3C069D57"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6.Intensité de consommation d’énergie par secteur à fort impact climatique</w:t>
            </w:r>
          </w:p>
        </w:tc>
        <w:tc>
          <w:tcPr>
            <w:tcW w:w="4466" w:type="dxa"/>
            <w:tcBorders>
              <w:top w:val="nil"/>
              <w:left w:val="nil"/>
              <w:bottom w:val="single" w:sz="4" w:space="0" w:color="auto"/>
              <w:right w:val="single" w:sz="4" w:space="0" w:color="auto"/>
            </w:tcBorders>
          </w:tcPr>
          <w:p w14:paraId="64CEED0B"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Consommation d’énergie en GWh par million d’euros de chiffre d’affaires des sociétés bénéficiaires d’investissements, par secteur à fort impact climatique</w:t>
            </w:r>
          </w:p>
        </w:tc>
        <w:tc>
          <w:tcPr>
            <w:tcW w:w="845" w:type="dxa"/>
            <w:tcBorders>
              <w:top w:val="nil"/>
              <w:left w:val="nil"/>
              <w:bottom w:val="single" w:sz="4" w:space="0" w:color="auto"/>
              <w:right w:val="single" w:sz="4" w:space="0" w:color="auto"/>
            </w:tcBorders>
          </w:tcPr>
          <w:p w14:paraId="7168A20C"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2</w:t>
            </w:r>
          </w:p>
        </w:tc>
      </w:tr>
      <w:tr w:rsidR="00FC17A9" w:rsidRPr="00A74D23" w14:paraId="53FEFFA9" w14:textId="77777777" w:rsidTr="00A15764">
        <w:trPr>
          <w:trHeight w:val="70"/>
        </w:trPr>
        <w:tc>
          <w:tcPr>
            <w:tcW w:w="1635" w:type="dxa"/>
            <w:tcBorders>
              <w:top w:val="nil"/>
              <w:left w:val="single" w:sz="4" w:space="0" w:color="auto"/>
              <w:bottom w:val="single" w:sz="4" w:space="0" w:color="auto"/>
              <w:right w:val="single" w:sz="4" w:space="0" w:color="auto"/>
            </w:tcBorders>
          </w:tcPr>
          <w:p w14:paraId="4B496B86"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Biodiversité</w:t>
            </w:r>
          </w:p>
        </w:tc>
        <w:tc>
          <w:tcPr>
            <w:tcW w:w="2126" w:type="dxa"/>
            <w:tcBorders>
              <w:top w:val="nil"/>
              <w:left w:val="nil"/>
              <w:bottom w:val="single" w:sz="4" w:space="0" w:color="auto"/>
              <w:right w:val="single" w:sz="4" w:space="0" w:color="auto"/>
            </w:tcBorders>
          </w:tcPr>
          <w:p w14:paraId="5AAED097"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7.Activités ayant une incidence négative sur des zones sensibles sur le plan de la biodiversité</w:t>
            </w:r>
          </w:p>
        </w:tc>
        <w:tc>
          <w:tcPr>
            <w:tcW w:w="4466" w:type="dxa"/>
            <w:tcBorders>
              <w:top w:val="nil"/>
              <w:left w:val="nil"/>
              <w:bottom w:val="single" w:sz="4" w:space="0" w:color="auto"/>
              <w:right w:val="single" w:sz="4" w:space="0" w:color="auto"/>
            </w:tcBorders>
          </w:tcPr>
          <w:p w14:paraId="7F8513AF"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Part des investissements effectués dans des sociétés ayant des sites/établissements situés dans ou à proximité de zones sensibles sur le plan de la biodiversité, si les activités de ces sociétés ont une incidence négative sur ces zones</w:t>
            </w:r>
          </w:p>
        </w:tc>
        <w:tc>
          <w:tcPr>
            <w:tcW w:w="845" w:type="dxa"/>
            <w:tcBorders>
              <w:top w:val="nil"/>
              <w:left w:val="nil"/>
              <w:bottom w:val="single" w:sz="4" w:space="0" w:color="auto"/>
              <w:right w:val="single" w:sz="4" w:space="0" w:color="auto"/>
            </w:tcBorders>
          </w:tcPr>
          <w:p w14:paraId="2F5110D1"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1</w:t>
            </w:r>
          </w:p>
        </w:tc>
      </w:tr>
      <w:tr w:rsidR="00FC17A9" w:rsidRPr="00A74D23" w14:paraId="6792FA7B" w14:textId="77777777" w:rsidTr="00A15764">
        <w:trPr>
          <w:trHeight w:val="70"/>
        </w:trPr>
        <w:tc>
          <w:tcPr>
            <w:tcW w:w="1635" w:type="dxa"/>
            <w:tcBorders>
              <w:top w:val="nil"/>
              <w:left w:val="single" w:sz="4" w:space="0" w:color="auto"/>
              <w:bottom w:val="single" w:sz="4" w:space="0" w:color="auto"/>
              <w:right w:val="single" w:sz="4" w:space="0" w:color="auto"/>
            </w:tcBorders>
          </w:tcPr>
          <w:p w14:paraId="78A2D926"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 xml:space="preserve">Eau </w:t>
            </w:r>
          </w:p>
        </w:tc>
        <w:tc>
          <w:tcPr>
            <w:tcW w:w="2126" w:type="dxa"/>
            <w:tcBorders>
              <w:top w:val="nil"/>
              <w:left w:val="nil"/>
              <w:bottom w:val="single" w:sz="4" w:space="0" w:color="auto"/>
              <w:right w:val="single" w:sz="4" w:space="0" w:color="auto"/>
            </w:tcBorders>
          </w:tcPr>
          <w:p w14:paraId="1A717015"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8.Rejets dans l’eau</w:t>
            </w:r>
          </w:p>
        </w:tc>
        <w:tc>
          <w:tcPr>
            <w:tcW w:w="4466" w:type="dxa"/>
            <w:tcBorders>
              <w:top w:val="nil"/>
              <w:left w:val="nil"/>
              <w:bottom w:val="single" w:sz="4" w:space="0" w:color="auto"/>
              <w:right w:val="single" w:sz="4" w:space="0" w:color="auto"/>
            </w:tcBorders>
          </w:tcPr>
          <w:p w14:paraId="0CE5910D"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Tonnes de rejets dans l’eau provenant des sociétés bénéficiaires d’investissements, par million d’euros investi, en moyenne pondérée</w:t>
            </w:r>
          </w:p>
        </w:tc>
        <w:tc>
          <w:tcPr>
            <w:tcW w:w="845" w:type="dxa"/>
            <w:tcBorders>
              <w:top w:val="nil"/>
              <w:left w:val="nil"/>
              <w:bottom w:val="single" w:sz="4" w:space="0" w:color="auto"/>
              <w:right w:val="single" w:sz="4" w:space="0" w:color="auto"/>
            </w:tcBorders>
          </w:tcPr>
          <w:p w14:paraId="5DFA54C5"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2</w:t>
            </w:r>
          </w:p>
        </w:tc>
      </w:tr>
      <w:tr w:rsidR="00FC17A9" w:rsidRPr="00A74D23" w14:paraId="33115B79" w14:textId="77777777" w:rsidTr="00A15764">
        <w:trPr>
          <w:trHeight w:val="70"/>
        </w:trPr>
        <w:tc>
          <w:tcPr>
            <w:tcW w:w="1635" w:type="dxa"/>
            <w:tcBorders>
              <w:top w:val="nil"/>
              <w:left w:val="single" w:sz="4" w:space="0" w:color="auto"/>
              <w:bottom w:val="single" w:sz="4" w:space="0" w:color="auto"/>
              <w:right w:val="single" w:sz="4" w:space="0" w:color="auto"/>
            </w:tcBorders>
          </w:tcPr>
          <w:p w14:paraId="0CA036A0"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Déchets</w:t>
            </w:r>
          </w:p>
        </w:tc>
        <w:tc>
          <w:tcPr>
            <w:tcW w:w="2126" w:type="dxa"/>
            <w:tcBorders>
              <w:top w:val="nil"/>
              <w:left w:val="nil"/>
              <w:bottom w:val="single" w:sz="4" w:space="0" w:color="auto"/>
              <w:right w:val="single" w:sz="4" w:space="0" w:color="auto"/>
            </w:tcBorders>
          </w:tcPr>
          <w:p w14:paraId="795C47DA"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9.Ratio de déchets dangereux et de déchets radioactifs</w:t>
            </w:r>
          </w:p>
        </w:tc>
        <w:tc>
          <w:tcPr>
            <w:tcW w:w="4466" w:type="dxa"/>
            <w:tcBorders>
              <w:top w:val="nil"/>
              <w:left w:val="nil"/>
              <w:bottom w:val="single" w:sz="4" w:space="0" w:color="auto"/>
              <w:right w:val="single" w:sz="4" w:space="0" w:color="auto"/>
            </w:tcBorders>
          </w:tcPr>
          <w:p w14:paraId="643D6B15"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Tonnes de déchets dangereux et de déchets radioactifs produites par les sociétés bénéficiaires d’investissements, par million d’euros investi, en moyenne pondérée</w:t>
            </w:r>
          </w:p>
        </w:tc>
        <w:tc>
          <w:tcPr>
            <w:tcW w:w="845" w:type="dxa"/>
            <w:tcBorders>
              <w:top w:val="nil"/>
              <w:left w:val="nil"/>
              <w:bottom w:val="single" w:sz="4" w:space="0" w:color="auto"/>
              <w:right w:val="single" w:sz="4" w:space="0" w:color="auto"/>
            </w:tcBorders>
          </w:tcPr>
          <w:p w14:paraId="2341EC42"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2</w:t>
            </w:r>
          </w:p>
        </w:tc>
      </w:tr>
      <w:tr w:rsidR="004521F9" w:rsidRPr="007E29BB" w14:paraId="5805F940" w14:textId="77777777" w:rsidTr="00A15764">
        <w:trPr>
          <w:trHeight w:val="759"/>
        </w:trPr>
        <w:tc>
          <w:tcPr>
            <w:tcW w:w="9072" w:type="dxa"/>
            <w:gridSpan w:val="4"/>
            <w:tcBorders>
              <w:top w:val="nil"/>
              <w:left w:val="single" w:sz="4" w:space="0" w:color="auto"/>
              <w:bottom w:val="single" w:sz="4" w:space="0" w:color="auto"/>
              <w:right w:val="single" w:sz="4" w:space="0" w:color="auto"/>
            </w:tcBorders>
            <w:shd w:val="clear" w:color="auto" w:fill="D9D9D9" w:themeFill="background1" w:themeFillShade="D9"/>
          </w:tcPr>
          <w:p w14:paraId="3BEEECFA"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Indicateurs liés aux questions sociales de personnel, de respect des droits de l’homme et de lutte contre la corruption et les actes de corruption </w:t>
            </w:r>
          </w:p>
        </w:tc>
      </w:tr>
      <w:tr w:rsidR="00FC17A9" w:rsidRPr="00A74D23" w14:paraId="6D36EC79" w14:textId="77777777" w:rsidTr="00A15764">
        <w:trPr>
          <w:trHeight w:val="759"/>
        </w:trPr>
        <w:tc>
          <w:tcPr>
            <w:tcW w:w="1635" w:type="dxa"/>
            <w:vMerge w:val="restart"/>
            <w:tcBorders>
              <w:top w:val="nil"/>
              <w:left w:val="single" w:sz="4" w:space="0" w:color="auto"/>
              <w:right w:val="single" w:sz="4" w:space="0" w:color="auto"/>
            </w:tcBorders>
          </w:tcPr>
          <w:p w14:paraId="7838028F"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Les questions sociales et de personnel</w:t>
            </w:r>
          </w:p>
        </w:tc>
        <w:tc>
          <w:tcPr>
            <w:tcW w:w="2126" w:type="dxa"/>
            <w:tcBorders>
              <w:top w:val="nil"/>
              <w:left w:val="nil"/>
              <w:bottom w:val="single" w:sz="4" w:space="0" w:color="auto"/>
              <w:right w:val="single" w:sz="4" w:space="0" w:color="auto"/>
            </w:tcBorders>
          </w:tcPr>
          <w:p w14:paraId="17C720E3"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10.Violations des principes du pacte mondial des Nations unies et des principes directeurs de l’OCDE pour les entreprises multinationales</w:t>
            </w:r>
          </w:p>
        </w:tc>
        <w:tc>
          <w:tcPr>
            <w:tcW w:w="4466" w:type="dxa"/>
            <w:tcBorders>
              <w:top w:val="nil"/>
              <w:left w:val="nil"/>
              <w:bottom w:val="single" w:sz="4" w:space="0" w:color="auto"/>
              <w:right w:val="single" w:sz="4" w:space="0" w:color="auto"/>
            </w:tcBorders>
          </w:tcPr>
          <w:p w14:paraId="4D455E89"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Part d’investissement dans des sociétés qui ont participé à des violations des principes du Pacte mondial des Nations unies ou des principes directeurs de l’OCDE à l’intention des entreprises multinationales</w:t>
            </w:r>
          </w:p>
        </w:tc>
        <w:tc>
          <w:tcPr>
            <w:tcW w:w="845" w:type="dxa"/>
            <w:tcBorders>
              <w:top w:val="nil"/>
              <w:left w:val="nil"/>
              <w:bottom w:val="single" w:sz="4" w:space="0" w:color="auto"/>
              <w:right w:val="single" w:sz="4" w:space="0" w:color="auto"/>
            </w:tcBorders>
          </w:tcPr>
          <w:p w14:paraId="79487ED7"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1</w:t>
            </w:r>
          </w:p>
        </w:tc>
      </w:tr>
      <w:tr w:rsidR="00FC17A9" w:rsidRPr="00A74D23" w14:paraId="6DDDA5BD" w14:textId="77777777" w:rsidTr="00A15764">
        <w:trPr>
          <w:trHeight w:val="759"/>
        </w:trPr>
        <w:tc>
          <w:tcPr>
            <w:tcW w:w="1635" w:type="dxa"/>
            <w:vMerge/>
            <w:tcBorders>
              <w:left w:val="single" w:sz="4" w:space="0" w:color="auto"/>
              <w:right w:val="single" w:sz="4" w:space="0" w:color="auto"/>
            </w:tcBorders>
          </w:tcPr>
          <w:p w14:paraId="6F1ACD39" w14:textId="77777777" w:rsidR="00925245" w:rsidRPr="00A74D23" w:rsidRDefault="00925245" w:rsidP="009D6EE5">
            <w:pPr>
              <w:spacing w:line="22" w:lineRule="atLeast"/>
              <w:jc w:val="both"/>
              <w:rPr>
                <w:rFonts w:asciiTheme="minorHAnsi" w:hAnsiTheme="minorHAnsi" w:cs="Open Sans"/>
                <w:sz w:val="20"/>
              </w:rPr>
            </w:pPr>
          </w:p>
        </w:tc>
        <w:tc>
          <w:tcPr>
            <w:tcW w:w="2126" w:type="dxa"/>
            <w:tcBorders>
              <w:top w:val="nil"/>
              <w:left w:val="nil"/>
              <w:bottom w:val="single" w:sz="4" w:space="0" w:color="auto"/>
              <w:right w:val="single" w:sz="4" w:space="0" w:color="auto"/>
            </w:tcBorders>
          </w:tcPr>
          <w:p w14:paraId="723FF9DE"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11.Absence de processus et de mécanismes de conformité permettant de contrôler le respect des principes du Pacte mondial des Nations unies et des principes directeurs de l’OCDE à l’intention des entreprises multinationales</w:t>
            </w:r>
          </w:p>
        </w:tc>
        <w:tc>
          <w:tcPr>
            <w:tcW w:w="4466" w:type="dxa"/>
            <w:tcBorders>
              <w:top w:val="nil"/>
              <w:left w:val="nil"/>
              <w:bottom w:val="single" w:sz="4" w:space="0" w:color="auto"/>
              <w:right w:val="single" w:sz="4" w:space="0" w:color="auto"/>
            </w:tcBorders>
          </w:tcPr>
          <w:p w14:paraId="1B61A4B9" w14:textId="00ED5D1A"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Part d’investissement dans des sociétés qui n’ont pas de politique de contrôle du respect des principes du Pacte mondial des Nations unies ou des principes directeurs de l’OCDE à l’intention des entreprises multinationales, ni de mécanismes de traitement des plaintes ou des différen</w:t>
            </w:r>
            <w:r w:rsidR="00FE0CD7" w:rsidRPr="00A74D23">
              <w:rPr>
                <w:rFonts w:asciiTheme="minorHAnsi" w:hAnsiTheme="minorHAnsi" w:cs="Open Sans"/>
                <w:sz w:val="20"/>
                <w:lang w:val="fr-FR"/>
              </w:rPr>
              <w:t>d</w:t>
            </w:r>
            <w:r w:rsidRPr="00A74D23">
              <w:rPr>
                <w:rFonts w:asciiTheme="minorHAnsi" w:hAnsiTheme="minorHAnsi" w:cs="Open Sans"/>
                <w:sz w:val="20"/>
                <w:lang w:val="fr-FR"/>
              </w:rPr>
              <w:t>s permettant de remédier à de telles violations</w:t>
            </w:r>
          </w:p>
        </w:tc>
        <w:tc>
          <w:tcPr>
            <w:tcW w:w="845" w:type="dxa"/>
            <w:tcBorders>
              <w:top w:val="nil"/>
              <w:left w:val="nil"/>
              <w:bottom w:val="single" w:sz="4" w:space="0" w:color="auto"/>
              <w:right w:val="single" w:sz="4" w:space="0" w:color="auto"/>
            </w:tcBorders>
          </w:tcPr>
          <w:p w14:paraId="0BF9166A"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1</w:t>
            </w:r>
          </w:p>
        </w:tc>
      </w:tr>
      <w:tr w:rsidR="00FC17A9" w:rsidRPr="00A74D23" w14:paraId="55B1B05F" w14:textId="77777777" w:rsidTr="00A15764">
        <w:trPr>
          <w:trHeight w:val="759"/>
        </w:trPr>
        <w:tc>
          <w:tcPr>
            <w:tcW w:w="1635" w:type="dxa"/>
            <w:vMerge/>
            <w:tcBorders>
              <w:left w:val="single" w:sz="4" w:space="0" w:color="auto"/>
              <w:right w:val="single" w:sz="4" w:space="0" w:color="auto"/>
            </w:tcBorders>
          </w:tcPr>
          <w:p w14:paraId="6B2C3D91" w14:textId="77777777" w:rsidR="00925245" w:rsidRPr="00A74D23" w:rsidRDefault="00925245" w:rsidP="009D6EE5">
            <w:pPr>
              <w:spacing w:line="22" w:lineRule="atLeast"/>
              <w:jc w:val="both"/>
              <w:rPr>
                <w:rFonts w:asciiTheme="minorHAnsi" w:hAnsiTheme="minorHAnsi" w:cs="Open Sans"/>
                <w:sz w:val="20"/>
              </w:rPr>
            </w:pPr>
          </w:p>
        </w:tc>
        <w:tc>
          <w:tcPr>
            <w:tcW w:w="2126" w:type="dxa"/>
            <w:tcBorders>
              <w:top w:val="nil"/>
              <w:left w:val="nil"/>
              <w:bottom w:val="single" w:sz="4" w:space="0" w:color="auto"/>
              <w:right w:val="single" w:sz="4" w:space="0" w:color="auto"/>
            </w:tcBorders>
          </w:tcPr>
          <w:p w14:paraId="1B42D1E6"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12.Écart de rémunération entre hommes et femmes non corrigé</w:t>
            </w:r>
          </w:p>
        </w:tc>
        <w:tc>
          <w:tcPr>
            <w:tcW w:w="4466" w:type="dxa"/>
            <w:tcBorders>
              <w:top w:val="nil"/>
              <w:left w:val="nil"/>
              <w:bottom w:val="single" w:sz="4" w:space="0" w:color="auto"/>
              <w:right w:val="single" w:sz="4" w:space="0" w:color="auto"/>
            </w:tcBorders>
          </w:tcPr>
          <w:p w14:paraId="6D7B1F85"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Ecart de rémunération moyen non corrigé entre les hommes et les femmes au sein des sociétés bénéficiaires des investissements</w:t>
            </w:r>
          </w:p>
        </w:tc>
        <w:tc>
          <w:tcPr>
            <w:tcW w:w="845" w:type="dxa"/>
            <w:tcBorders>
              <w:top w:val="nil"/>
              <w:left w:val="nil"/>
              <w:bottom w:val="single" w:sz="4" w:space="0" w:color="auto"/>
              <w:right w:val="single" w:sz="4" w:space="0" w:color="auto"/>
            </w:tcBorders>
          </w:tcPr>
          <w:p w14:paraId="27752FA6"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1</w:t>
            </w:r>
          </w:p>
        </w:tc>
      </w:tr>
      <w:tr w:rsidR="00FC17A9" w:rsidRPr="00A74D23" w14:paraId="005FB031" w14:textId="77777777" w:rsidTr="00A15764">
        <w:trPr>
          <w:trHeight w:val="759"/>
        </w:trPr>
        <w:tc>
          <w:tcPr>
            <w:tcW w:w="1635" w:type="dxa"/>
            <w:vMerge/>
            <w:tcBorders>
              <w:left w:val="single" w:sz="4" w:space="0" w:color="auto"/>
              <w:right w:val="single" w:sz="4" w:space="0" w:color="auto"/>
            </w:tcBorders>
          </w:tcPr>
          <w:p w14:paraId="1CC807C7" w14:textId="77777777" w:rsidR="00925245" w:rsidRPr="00A74D23" w:rsidRDefault="00925245" w:rsidP="009D6EE5">
            <w:pPr>
              <w:spacing w:line="22" w:lineRule="atLeast"/>
              <w:jc w:val="both"/>
              <w:rPr>
                <w:rFonts w:asciiTheme="minorHAnsi" w:hAnsiTheme="minorHAnsi" w:cs="Open Sans"/>
                <w:sz w:val="20"/>
              </w:rPr>
            </w:pPr>
          </w:p>
        </w:tc>
        <w:tc>
          <w:tcPr>
            <w:tcW w:w="2126" w:type="dxa"/>
            <w:tcBorders>
              <w:top w:val="nil"/>
              <w:left w:val="nil"/>
              <w:bottom w:val="single" w:sz="4" w:space="0" w:color="auto"/>
              <w:right w:val="single" w:sz="4" w:space="0" w:color="auto"/>
            </w:tcBorders>
          </w:tcPr>
          <w:p w14:paraId="40DF19E9"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13.Mixité au sein des organes de gouvernance</w:t>
            </w:r>
          </w:p>
        </w:tc>
        <w:tc>
          <w:tcPr>
            <w:tcW w:w="4466" w:type="dxa"/>
            <w:tcBorders>
              <w:top w:val="nil"/>
              <w:left w:val="nil"/>
              <w:bottom w:val="single" w:sz="4" w:space="0" w:color="auto"/>
              <w:right w:val="single" w:sz="4" w:space="0" w:color="auto"/>
            </w:tcBorders>
          </w:tcPr>
          <w:p w14:paraId="49F1D776"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Ratio femmes/hommes moyen dans les organes de gouvernance des sociétés concernées, en pourcentage du nombre total de membres</w:t>
            </w:r>
          </w:p>
        </w:tc>
        <w:tc>
          <w:tcPr>
            <w:tcW w:w="845" w:type="dxa"/>
            <w:tcBorders>
              <w:top w:val="nil"/>
              <w:left w:val="nil"/>
              <w:bottom w:val="single" w:sz="4" w:space="0" w:color="auto"/>
              <w:right w:val="single" w:sz="4" w:space="0" w:color="auto"/>
            </w:tcBorders>
          </w:tcPr>
          <w:p w14:paraId="5DE39F36"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1</w:t>
            </w:r>
          </w:p>
        </w:tc>
      </w:tr>
      <w:tr w:rsidR="004521F9" w:rsidRPr="00A74D23" w14:paraId="710C76A9" w14:textId="77777777" w:rsidTr="00A15764">
        <w:trPr>
          <w:trHeight w:val="759"/>
        </w:trPr>
        <w:tc>
          <w:tcPr>
            <w:tcW w:w="1635" w:type="dxa"/>
            <w:vMerge/>
            <w:tcBorders>
              <w:left w:val="single" w:sz="4" w:space="0" w:color="auto"/>
              <w:bottom w:val="single" w:sz="4" w:space="0" w:color="auto"/>
              <w:right w:val="single" w:sz="4" w:space="0" w:color="auto"/>
            </w:tcBorders>
          </w:tcPr>
          <w:p w14:paraId="71F6E58B" w14:textId="77777777" w:rsidR="00925245" w:rsidRPr="00A74D23" w:rsidRDefault="00925245" w:rsidP="009D6EE5">
            <w:pPr>
              <w:spacing w:line="22" w:lineRule="atLeast"/>
              <w:jc w:val="both"/>
              <w:rPr>
                <w:rFonts w:asciiTheme="minorHAnsi" w:hAnsiTheme="minorHAnsi" w:cs="Open Sans"/>
                <w:sz w:val="20"/>
              </w:rPr>
            </w:pPr>
          </w:p>
        </w:tc>
        <w:tc>
          <w:tcPr>
            <w:tcW w:w="2126" w:type="dxa"/>
            <w:tcBorders>
              <w:top w:val="nil"/>
              <w:left w:val="nil"/>
              <w:bottom w:val="single" w:sz="4" w:space="0" w:color="auto"/>
              <w:right w:val="single" w:sz="4" w:space="0" w:color="auto"/>
            </w:tcBorders>
          </w:tcPr>
          <w:p w14:paraId="740CFF6F"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14.Exposition à des armes controversées (mines antipersonnel, armes à sous-munitions, armes chimiques ou armes biologiques)</w:t>
            </w:r>
          </w:p>
          <w:p w14:paraId="27D109F9" w14:textId="77777777" w:rsidR="001C1BCF" w:rsidRPr="00A74D23" w:rsidRDefault="001C1BCF" w:rsidP="009D6EE5">
            <w:pPr>
              <w:spacing w:line="22" w:lineRule="atLeast"/>
              <w:jc w:val="both"/>
              <w:rPr>
                <w:rFonts w:asciiTheme="minorHAnsi" w:hAnsiTheme="minorHAnsi" w:cs="Open Sans"/>
                <w:sz w:val="20"/>
                <w:lang w:val="fr-FR"/>
              </w:rPr>
            </w:pPr>
          </w:p>
        </w:tc>
        <w:tc>
          <w:tcPr>
            <w:tcW w:w="4466" w:type="dxa"/>
            <w:tcBorders>
              <w:top w:val="nil"/>
              <w:left w:val="nil"/>
              <w:bottom w:val="single" w:sz="4" w:space="0" w:color="auto"/>
              <w:right w:val="single" w:sz="4" w:space="0" w:color="auto"/>
            </w:tcBorders>
          </w:tcPr>
          <w:p w14:paraId="19785CB7"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Part d’investissement dans des sociétés qui participent à la fabrication ou à la vente d’armes controversées</w:t>
            </w:r>
          </w:p>
        </w:tc>
        <w:tc>
          <w:tcPr>
            <w:tcW w:w="845" w:type="dxa"/>
            <w:tcBorders>
              <w:top w:val="nil"/>
              <w:left w:val="nil"/>
              <w:bottom w:val="single" w:sz="4" w:space="0" w:color="auto"/>
              <w:right w:val="single" w:sz="4" w:space="0" w:color="auto"/>
            </w:tcBorders>
          </w:tcPr>
          <w:p w14:paraId="3989A85B"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1</w:t>
            </w:r>
          </w:p>
        </w:tc>
      </w:tr>
      <w:tr w:rsidR="004521F9" w:rsidRPr="007E29BB" w14:paraId="241E1C3C" w14:textId="77777777" w:rsidTr="00A15764">
        <w:trPr>
          <w:trHeight w:val="442"/>
        </w:trPr>
        <w:tc>
          <w:tcPr>
            <w:tcW w:w="9072" w:type="dxa"/>
            <w:gridSpan w:val="4"/>
            <w:tcBorders>
              <w:top w:val="nil"/>
              <w:left w:val="single" w:sz="4" w:space="0" w:color="auto"/>
              <w:bottom w:val="single" w:sz="4" w:space="0" w:color="auto"/>
              <w:right w:val="single" w:sz="4" w:space="0" w:color="auto"/>
            </w:tcBorders>
            <w:shd w:val="clear" w:color="auto" w:fill="D9D9D9" w:themeFill="background1" w:themeFillShade="D9"/>
          </w:tcPr>
          <w:p w14:paraId="063115CD"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Indicateurs applicables aux investissements dans des émetteurs souverains ou supranationaux</w:t>
            </w:r>
          </w:p>
        </w:tc>
      </w:tr>
      <w:tr w:rsidR="00FC17A9" w:rsidRPr="00A74D23" w14:paraId="1057B6E3" w14:textId="77777777" w:rsidTr="00A15764">
        <w:trPr>
          <w:trHeight w:val="699"/>
        </w:trPr>
        <w:tc>
          <w:tcPr>
            <w:tcW w:w="1635" w:type="dxa"/>
            <w:tcBorders>
              <w:top w:val="nil"/>
              <w:left w:val="single" w:sz="4" w:space="0" w:color="auto"/>
              <w:bottom w:val="single" w:sz="4" w:space="0" w:color="auto"/>
              <w:right w:val="single" w:sz="4" w:space="0" w:color="auto"/>
            </w:tcBorders>
          </w:tcPr>
          <w:p w14:paraId="322DFD91"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Environnement</w:t>
            </w:r>
          </w:p>
        </w:tc>
        <w:tc>
          <w:tcPr>
            <w:tcW w:w="2126" w:type="dxa"/>
            <w:tcBorders>
              <w:top w:val="nil"/>
              <w:left w:val="nil"/>
              <w:bottom w:val="single" w:sz="4" w:space="0" w:color="auto"/>
              <w:right w:val="single" w:sz="4" w:space="0" w:color="auto"/>
            </w:tcBorders>
          </w:tcPr>
          <w:p w14:paraId="2965805D"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15.Intensité de GES</w:t>
            </w:r>
          </w:p>
        </w:tc>
        <w:tc>
          <w:tcPr>
            <w:tcW w:w="4466" w:type="dxa"/>
            <w:tcBorders>
              <w:top w:val="nil"/>
              <w:left w:val="nil"/>
              <w:bottom w:val="single" w:sz="4" w:space="0" w:color="auto"/>
              <w:right w:val="single" w:sz="4" w:space="0" w:color="auto"/>
            </w:tcBorders>
          </w:tcPr>
          <w:p w14:paraId="35FA3DB6"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Intensité de GES des pays d’investissement</w:t>
            </w:r>
          </w:p>
        </w:tc>
        <w:tc>
          <w:tcPr>
            <w:tcW w:w="845" w:type="dxa"/>
            <w:tcBorders>
              <w:top w:val="nil"/>
              <w:left w:val="nil"/>
              <w:bottom w:val="single" w:sz="4" w:space="0" w:color="auto"/>
              <w:right w:val="single" w:sz="4" w:space="0" w:color="auto"/>
            </w:tcBorders>
          </w:tcPr>
          <w:p w14:paraId="5C1E455C"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1</w:t>
            </w:r>
          </w:p>
        </w:tc>
      </w:tr>
      <w:tr w:rsidR="00FC17A9" w:rsidRPr="00A74D23" w14:paraId="557430C2" w14:textId="77777777" w:rsidTr="00A15764">
        <w:trPr>
          <w:trHeight w:val="699"/>
        </w:trPr>
        <w:tc>
          <w:tcPr>
            <w:tcW w:w="1635" w:type="dxa"/>
            <w:tcBorders>
              <w:top w:val="nil"/>
              <w:left w:val="single" w:sz="4" w:space="0" w:color="auto"/>
              <w:bottom w:val="single" w:sz="4" w:space="0" w:color="auto"/>
              <w:right w:val="single" w:sz="4" w:space="0" w:color="auto"/>
            </w:tcBorders>
          </w:tcPr>
          <w:p w14:paraId="100FDB7D"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Social</w:t>
            </w:r>
          </w:p>
        </w:tc>
        <w:tc>
          <w:tcPr>
            <w:tcW w:w="2126" w:type="dxa"/>
            <w:tcBorders>
              <w:top w:val="nil"/>
              <w:left w:val="nil"/>
              <w:bottom w:val="single" w:sz="4" w:space="0" w:color="auto"/>
              <w:right w:val="single" w:sz="4" w:space="0" w:color="auto"/>
            </w:tcBorders>
          </w:tcPr>
          <w:p w14:paraId="4B6406A7"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16.Pays d’investissement connaissant des violations de normes sociales</w:t>
            </w:r>
          </w:p>
        </w:tc>
        <w:tc>
          <w:tcPr>
            <w:tcW w:w="4466" w:type="dxa"/>
            <w:tcBorders>
              <w:top w:val="nil"/>
              <w:left w:val="nil"/>
              <w:bottom w:val="single" w:sz="4" w:space="0" w:color="auto"/>
              <w:right w:val="single" w:sz="4" w:space="0" w:color="auto"/>
            </w:tcBorders>
          </w:tcPr>
          <w:p w14:paraId="57601001"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Nombre de pays d’investissement connaissant des violations de normes sociales (en nombre absolu et en proportion du nombre total de pays bénéficiaires d’investissements), au sens des traités et conventions internationaux, des principes des Nations unies ou, le cas échéant, du droit national.</w:t>
            </w:r>
          </w:p>
        </w:tc>
        <w:tc>
          <w:tcPr>
            <w:tcW w:w="845" w:type="dxa"/>
            <w:tcBorders>
              <w:top w:val="nil"/>
              <w:left w:val="nil"/>
              <w:bottom w:val="single" w:sz="4" w:space="0" w:color="auto"/>
              <w:right w:val="single" w:sz="4" w:space="0" w:color="auto"/>
            </w:tcBorders>
          </w:tcPr>
          <w:p w14:paraId="1B52E050"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1</w:t>
            </w:r>
          </w:p>
        </w:tc>
      </w:tr>
      <w:tr w:rsidR="004521F9" w:rsidRPr="007E29BB" w14:paraId="61674835" w14:textId="77777777" w:rsidTr="00A15764">
        <w:trPr>
          <w:trHeight w:val="118"/>
        </w:trPr>
        <w:tc>
          <w:tcPr>
            <w:tcW w:w="9072" w:type="dxa"/>
            <w:gridSpan w:val="4"/>
            <w:tcBorders>
              <w:top w:val="nil"/>
              <w:left w:val="single" w:sz="4" w:space="0" w:color="auto"/>
              <w:bottom w:val="single" w:sz="4" w:space="0" w:color="auto"/>
              <w:right w:val="single" w:sz="4" w:space="0" w:color="auto"/>
            </w:tcBorders>
            <w:shd w:val="clear" w:color="auto" w:fill="D9D9D9" w:themeFill="background1" w:themeFillShade="D9"/>
          </w:tcPr>
          <w:p w14:paraId="657F5831"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Indicateurs applicables aux investissements dans des actifs immobiliers</w:t>
            </w:r>
          </w:p>
        </w:tc>
      </w:tr>
      <w:tr w:rsidR="00FC17A9" w:rsidRPr="00A74D23" w14:paraId="20E493AA" w14:textId="77777777" w:rsidTr="00A15764">
        <w:trPr>
          <w:trHeight w:val="699"/>
        </w:trPr>
        <w:tc>
          <w:tcPr>
            <w:tcW w:w="1635" w:type="dxa"/>
            <w:tcBorders>
              <w:top w:val="nil"/>
              <w:left w:val="single" w:sz="4" w:space="0" w:color="auto"/>
              <w:bottom w:val="single" w:sz="4" w:space="0" w:color="auto"/>
              <w:right w:val="single" w:sz="4" w:space="0" w:color="auto"/>
            </w:tcBorders>
          </w:tcPr>
          <w:p w14:paraId="524A157C"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Combustibles fossiles</w:t>
            </w:r>
          </w:p>
        </w:tc>
        <w:tc>
          <w:tcPr>
            <w:tcW w:w="2126" w:type="dxa"/>
            <w:tcBorders>
              <w:top w:val="nil"/>
              <w:left w:val="nil"/>
              <w:bottom w:val="single" w:sz="4" w:space="0" w:color="auto"/>
              <w:right w:val="single" w:sz="4" w:space="0" w:color="auto"/>
            </w:tcBorders>
          </w:tcPr>
          <w:p w14:paraId="7F271607"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17.Exposition à des combustibles fossiles via des actifs immobiliers</w:t>
            </w:r>
          </w:p>
        </w:tc>
        <w:tc>
          <w:tcPr>
            <w:tcW w:w="4466" w:type="dxa"/>
            <w:tcBorders>
              <w:top w:val="nil"/>
              <w:left w:val="nil"/>
              <w:bottom w:val="single" w:sz="4" w:space="0" w:color="auto"/>
              <w:right w:val="single" w:sz="4" w:space="0" w:color="auto"/>
            </w:tcBorders>
          </w:tcPr>
          <w:p w14:paraId="1984FE89"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Part d’investissement dans des actifs immobiliers utilisés pour l’extraction, le stockage, le transport ou la production de combustibles fossiles</w:t>
            </w:r>
          </w:p>
        </w:tc>
        <w:tc>
          <w:tcPr>
            <w:tcW w:w="845" w:type="dxa"/>
            <w:tcBorders>
              <w:top w:val="nil"/>
              <w:left w:val="nil"/>
              <w:bottom w:val="single" w:sz="4" w:space="0" w:color="auto"/>
              <w:right w:val="single" w:sz="4" w:space="0" w:color="auto"/>
            </w:tcBorders>
          </w:tcPr>
          <w:p w14:paraId="1E258824"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1</w:t>
            </w:r>
          </w:p>
        </w:tc>
      </w:tr>
      <w:tr w:rsidR="00FC17A9" w:rsidRPr="00A74D23" w14:paraId="2BAFE59C" w14:textId="77777777" w:rsidTr="00A15764">
        <w:trPr>
          <w:trHeight w:val="699"/>
        </w:trPr>
        <w:tc>
          <w:tcPr>
            <w:tcW w:w="1635" w:type="dxa"/>
            <w:tcBorders>
              <w:top w:val="nil"/>
              <w:left w:val="single" w:sz="4" w:space="0" w:color="auto"/>
              <w:bottom w:val="single" w:sz="4" w:space="0" w:color="auto"/>
              <w:right w:val="single" w:sz="4" w:space="0" w:color="auto"/>
            </w:tcBorders>
          </w:tcPr>
          <w:p w14:paraId="7C019847"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Efficacité énergétique</w:t>
            </w:r>
          </w:p>
        </w:tc>
        <w:tc>
          <w:tcPr>
            <w:tcW w:w="2126" w:type="dxa"/>
            <w:tcBorders>
              <w:top w:val="nil"/>
              <w:left w:val="nil"/>
              <w:bottom w:val="single" w:sz="4" w:space="0" w:color="auto"/>
              <w:right w:val="single" w:sz="4" w:space="0" w:color="auto"/>
            </w:tcBorders>
          </w:tcPr>
          <w:p w14:paraId="643BCC7C"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18.Exposition à des actifs immobiliers inefficaces sur le plan énergétique</w:t>
            </w:r>
          </w:p>
        </w:tc>
        <w:tc>
          <w:tcPr>
            <w:tcW w:w="4466" w:type="dxa"/>
            <w:tcBorders>
              <w:top w:val="nil"/>
              <w:left w:val="nil"/>
              <w:bottom w:val="single" w:sz="4" w:space="0" w:color="auto"/>
              <w:right w:val="single" w:sz="4" w:space="0" w:color="auto"/>
            </w:tcBorders>
          </w:tcPr>
          <w:p w14:paraId="65209214"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Part d’investissement dans des actifs immobiliers inefficaces sur le plan énergétique</w:t>
            </w:r>
          </w:p>
        </w:tc>
        <w:tc>
          <w:tcPr>
            <w:tcW w:w="845" w:type="dxa"/>
            <w:tcBorders>
              <w:top w:val="nil"/>
              <w:left w:val="nil"/>
              <w:bottom w:val="single" w:sz="4" w:space="0" w:color="auto"/>
              <w:right w:val="single" w:sz="4" w:space="0" w:color="auto"/>
            </w:tcBorders>
          </w:tcPr>
          <w:p w14:paraId="2D90EBB9"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1</w:t>
            </w:r>
          </w:p>
        </w:tc>
      </w:tr>
      <w:tr w:rsidR="004521F9" w:rsidRPr="007E29BB" w14:paraId="59F7CA72" w14:textId="77777777" w:rsidTr="00A15764">
        <w:trPr>
          <w:trHeight w:val="389"/>
        </w:trPr>
        <w:tc>
          <w:tcPr>
            <w:tcW w:w="9072" w:type="dxa"/>
            <w:gridSpan w:val="4"/>
            <w:tcBorders>
              <w:top w:val="nil"/>
              <w:left w:val="single" w:sz="4" w:space="0" w:color="auto"/>
              <w:bottom w:val="single" w:sz="4" w:space="0" w:color="auto"/>
              <w:right w:val="single" w:sz="4" w:space="0" w:color="auto"/>
            </w:tcBorders>
            <w:shd w:val="clear" w:color="auto" w:fill="D9D9D9" w:themeFill="background1" w:themeFillShade="D9"/>
          </w:tcPr>
          <w:p w14:paraId="16085D81"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Indicateurs climatiques, et autres indicateurs liés à l’environnement, supplémentaires</w:t>
            </w:r>
          </w:p>
        </w:tc>
      </w:tr>
      <w:tr w:rsidR="00FC17A9" w:rsidRPr="00A74D23" w14:paraId="00E69B29" w14:textId="77777777" w:rsidTr="00A15764">
        <w:trPr>
          <w:trHeight w:val="699"/>
        </w:trPr>
        <w:tc>
          <w:tcPr>
            <w:tcW w:w="1635" w:type="dxa"/>
            <w:tcBorders>
              <w:top w:val="nil"/>
              <w:left w:val="single" w:sz="4" w:space="0" w:color="auto"/>
              <w:bottom w:val="single" w:sz="4" w:space="0" w:color="auto"/>
              <w:right w:val="single" w:sz="4" w:space="0" w:color="auto"/>
            </w:tcBorders>
          </w:tcPr>
          <w:p w14:paraId="121E542E"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Émissions</w:t>
            </w:r>
          </w:p>
        </w:tc>
        <w:tc>
          <w:tcPr>
            <w:tcW w:w="2126" w:type="dxa"/>
            <w:tcBorders>
              <w:top w:val="nil"/>
              <w:left w:val="nil"/>
              <w:bottom w:val="single" w:sz="4" w:space="0" w:color="auto"/>
              <w:right w:val="single" w:sz="4" w:space="0" w:color="auto"/>
            </w:tcBorders>
          </w:tcPr>
          <w:p w14:paraId="3090173E"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19.Investissements dans des sociétés n’ayant pas pris d’initiatives pour réduire leurs émissions de carbone</w:t>
            </w:r>
          </w:p>
        </w:tc>
        <w:tc>
          <w:tcPr>
            <w:tcW w:w="4466" w:type="dxa"/>
            <w:tcBorders>
              <w:top w:val="nil"/>
              <w:left w:val="nil"/>
              <w:bottom w:val="single" w:sz="4" w:space="0" w:color="auto"/>
              <w:right w:val="single" w:sz="4" w:space="0" w:color="auto"/>
            </w:tcBorders>
          </w:tcPr>
          <w:p w14:paraId="22D877A6"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Part d’investissement dans des sociétés qui n’ont pas pris d’initiatives pour réduire leurs émissions de carbone aux fins du respect de l’accord de Paris FR Journal officiel de l’Union européenne 25.7.2022 L 196/4</w:t>
            </w:r>
          </w:p>
        </w:tc>
        <w:tc>
          <w:tcPr>
            <w:tcW w:w="845" w:type="dxa"/>
            <w:tcBorders>
              <w:top w:val="nil"/>
              <w:left w:val="nil"/>
              <w:bottom w:val="single" w:sz="4" w:space="0" w:color="auto"/>
              <w:right w:val="single" w:sz="4" w:space="0" w:color="auto"/>
            </w:tcBorders>
          </w:tcPr>
          <w:p w14:paraId="6572D1C7"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1</w:t>
            </w:r>
          </w:p>
        </w:tc>
      </w:tr>
      <w:tr w:rsidR="00FC17A9" w:rsidRPr="00A74D23" w14:paraId="046BAE1C" w14:textId="77777777" w:rsidTr="00A15764">
        <w:trPr>
          <w:trHeight w:val="554"/>
        </w:trPr>
        <w:tc>
          <w:tcPr>
            <w:tcW w:w="1635" w:type="dxa"/>
            <w:tcBorders>
              <w:top w:val="nil"/>
              <w:left w:val="single" w:sz="4" w:space="0" w:color="auto"/>
              <w:bottom w:val="single" w:sz="4" w:space="0" w:color="auto"/>
              <w:right w:val="single" w:sz="4" w:space="0" w:color="auto"/>
            </w:tcBorders>
          </w:tcPr>
          <w:p w14:paraId="29DB1B89"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 xml:space="preserve">Droits de l’homme </w:t>
            </w:r>
          </w:p>
        </w:tc>
        <w:tc>
          <w:tcPr>
            <w:tcW w:w="2126" w:type="dxa"/>
            <w:tcBorders>
              <w:top w:val="nil"/>
              <w:left w:val="nil"/>
              <w:bottom w:val="single" w:sz="4" w:space="0" w:color="auto"/>
              <w:right w:val="single" w:sz="4" w:space="0" w:color="auto"/>
            </w:tcBorders>
          </w:tcPr>
          <w:p w14:paraId="55BC0D9E"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20.Absence de politique en matière de droits de l’homme</w:t>
            </w:r>
          </w:p>
        </w:tc>
        <w:tc>
          <w:tcPr>
            <w:tcW w:w="4466" w:type="dxa"/>
            <w:tcBorders>
              <w:top w:val="nil"/>
              <w:left w:val="nil"/>
              <w:bottom w:val="single" w:sz="4" w:space="0" w:color="auto"/>
              <w:right w:val="single" w:sz="4" w:space="0" w:color="auto"/>
            </w:tcBorders>
          </w:tcPr>
          <w:p w14:paraId="2A634A3E" w14:textId="77777777"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Part d’investissement dans des entités ne disposant pas d’une politique en matière de droits de l’homme</w:t>
            </w:r>
          </w:p>
        </w:tc>
        <w:tc>
          <w:tcPr>
            <w:tcW w:w="845" w:type="dxa"/>
            <w:tcBorders>
              <w:top w:val="nil"/>
              <w:left w:val="nil"/>
              <w:bottom w:val="single" w:sz="4" w:space="0" w:color="auto"/>
              <w:right w:val="single" w:sz="4" w:space="0" w:color="auto"/>
            </w:tcBorders>
          </w:tcPr>
          <w:p w14:paraId="3E23F49B" w14:textId="77777777" w:rsidR="00925245" w:rsidRPr="00A74D23" w:rsidRDefault="00925245" w:rsidP="009D6EE5">
            <w:pPr>
              <w:spacing w:line="22" w:lineRule="atLeast"/>
              <w:jc w:val="both"/>
              <w:rPr>
                <w:rFonts w:asciiTheme="minorHAnsi" w:hAnsiTheme="minorHAnsi" w:cs="Open Sans"/>
                <w:sz w:val="20"/>
              </w:rPr>
            </w:pPr>
            <w:r w:rsidRPr="00A74D23">
              <w:rPr>
                <w:rFonts w:asciiTheme="minorHAnsi" w:hAnsiTheme="minorHAnsi" w:cs="Open Sans"/>
                <w:sz w:val="20"/>
              </w:rPr>
              <w:t>1</w:t>
            </w:r>
          </w:p>
        </w:tc>
      </w:tr>
    </w:tbl>
    <w:p w14:paraId="32032CCF" w14:textId="77777777" w:rsidR="00925245" w:rsidRPr="00A74D23" w:rsidRDefault="00925245" w:rsidP="009D6EE5">
      <w:pPr>
        <w:spacing w:line="22" w:lineRule="atLeast"/>
        <w:jc w:val="both"/>
        <w:rPr>
          <w:rFonts w:asciiTheme="minorHAnsi" w:hAnsiTheme="minorHAnsi" w:cs="Open Sans"/>
          <w:sz w:val="20"/>
        </w:rPr>
      </w:pPr>
    </w:p>
    <w:p w14:paraId="3EDAC35C" w14:textId="6D1B02CC" w:rsidR="00925245" w:rsidRPr="00A74D23" w:rsidRDefault="00925245"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Un reporting annuel exhaustif en lien avec l’obligation réglementaire SFDR est publié chaque année à partir de 2023, incluant toutes les principales incidences négatives obligatoires et additionnelles sélectionnées par Abeille Assurances. </w:t>
      </w:r>
    </w:p>
    <w:p w14:paraId="40474CE9" w14:textId="77777777" w:rsidR="00EA721F" w:rsidRPr="00A74D23" w:rsidRDefault="00EA721F" w:rsidP="009D6EE5">
      <w:pPr>
        <w:spacing w:line="22" w:lineRule="atLeast"/>
        <w:jc w:val="both"/>
        <w:rPr>
          <w:rFonts w:asciiTheme="minorHAnsi" w:hAnsiTheme="minorHAnsi" w:cs="Open Sans"/>
          <w:sz w:val="20"/>
          <w:lang w:val="fr-FR"/>
        </w:rPr>
      </w:pPr>
    </w:p>
    <w:p w14:paraId="7C976AE2" w14:textId="77777777" w:rsidR="00B93551" w:rsidRPr="00A74D23" w:rsidRDefault="00B93551" w:rsidP="009D6EE5">
      <w:pPr>
        <w:spacing w:line="22" w:lineRule="atLeast"/>
        <w:jc w:val="both"/>
        <w:rPr>
          <w:rFonts w:asciiTheme="minorHAnsi" w:hAnsiTheme="minorHAnsi" w:cs="Open Sans"/>
          <w:b/>
          <w:color w:val="000000"/>
          <w:sz w:val="20"/>
          <w:lang w:val="fr-FR"/>
        </w:rPr>
      </w:pPr>
      <w:r w:rsidRPr="00A74D23">
        <w:rPr>
          <w:rFonts w:asciiTheme="minorHAnsi" w:hAnsiTheme="minorHAnsi" w:cs="Open Sans"/>
          <w:b/>
          <w:color w:val="000000"/>
          <w:sz w:val="20"/>
          <w:lang w:val="fr-FR"/>
        </w:rPr>
        <w:t>Principe de reporting des indicateurs de principales incidences négatives</w:t>
      </w:r>
    </w:p>
    <w:p w14:paraId="57EC5FA1" w14:textId="490B5626" w:rsidR="00B93551" w:rsidRPr="00A74D23" w:rsidRDefault="00B93551" w:rsidP="009D6EE5">
      <w:pPr>
        <w:spacing w:after="120" w:line="22" w:lineRule="atLeast"/>
        <w:jc w:val="both"/>
        <w:rPr>
          <w:rFonts w:asciiTheme="minorHAnsi" w:hAnsiTheme="minorHAnsi" w:cs="Open Sans"/>
          <w:sz w:val="20"/>
          <w:lang w:val="fr-FR"/>
        </w:rPr>
      </w:pPr>
      <w:r w:rsidRPr="00A74D23">
        <w:rPr>
          <w:rFonts w:asciiTheme="minorHAnsi" w:hAnsiTheme="minorHAnsi" w:cs="Open Sans"/>
          <w:sz w:val="20"/>
          <w:lang w:val="fr-FR"/>
        </w:rPr>
        <w:t>Le choix des principales incidences dit</w:t>
      </w:r>
      <w:r w:rsidR="00FE0CD7" w:rsidRPr="00A74D23">
        <w:rPr>
          <w:rFonts w:asciiTheme="minorHAnsi" w:hAnsiTheme="minorHAnsi" w:cs="Open Sans"/>
          <w:sz w:val="20"/>
          <w:lang w:val="fr-FR"/>
        </w:rPr>
        <w:t>e</w:t>
      </w:r>
      <w:r w:rsidRPr="00A74D23">
        <w:rPr>
          <w:rFonts w:asciiTheme="minorHAnsi" w:hAnsiTheme="minorHAnsi" w:cs="Open Sans"/>
          <w:sz w:val="20"/>
          <w:lang w:val="fr-FR"/>
        </w:rPr>
        <w:t xml:space="preserve">s prioritaires est justifié par le respect de tous les critères suivants : </w:t>
      </w:r>
    </w:p>
    <w:p w14:paraId="221D8353" w14:textId="54616F58" w:rsidR="00B93551" w:rsidRPr="00A74D23" w:rsidRDefault="00B93551" w:rsidP="00590DD1">
      <w:pPr>
        <w:pStyle w:val="AIP2Bodytextregular"/>
        <w:numPr>
          <w:ilvl w:val="0"/>
          <w:numId w:val="13"/>
        </w:numPr>
        <w:spacing w:after="0" w:line="22" w:lineRule="atLeast"/>
        <w:ind w:left="426" w:right="0"/>
        <w:jc w:val="both"/>
        <w:rPr>
          <w:rFonts w:asciiTheme="minorHAnsi" w:hAnsiTheme="minorHAnsi" w:cs="Open Sans"/>
          <w:color w:val="auto"/>
          <w:sz w:val="20"/>
          <w:lang w:val="fr-FR"/>
        </w:rPr>
      </w:pPr>
      <w:r w:rsidRPr="00A74D23">
        <w:rPr>
          <w:rFonts w:asciiTheme="minorHAnsi" w:hAnsiTheme="minorHAnsi" w:cs="Open Sans"/>
          <w:color w:val="auto"/>
          <w:sz w:val="20"/>
          <w:lang w:val="fr-FR"/>
        </w:rPr>
        <w:t xml:space="preserve">L’ambition </w:t>
      </w:r>
      <w:r w:rsidR="00FE0CD7" w:rsidRPr="00A74D23">
        <w:rPr>
          <w:rFonts w:asciiTheme="minorHAnsi" w:hAnsiTheme="minorHAnsi" w:cs="Open Sans"/>
          <w:color w:val="auto"/>
          <w:sz w:val="20"/>
          <w:lang w:val="fr-FR"/>
        </w:rPr>
        <w:t>d’</w:t>
      </w:r>
      <w:r w:rsidRPr="00A74D23">
        <w:rPr>
          <w:rFonts w:asciiTheme="minorHAnsi" w:hAnsiTheme="minorHAnsi" w:cs="Open Sans"/>
          <w:color w:val="auto"/>
          <w:sz w:val="20"/>
          <w:lang w:val="fr-FR"/>
        </w:rPr>
        <w:t xml:space="preserve">AEMA Groupe de création de valeur économique au service d’un projet social et humain </w:t>
      </w:r>
    </w:p>
    <w:p w14:paraId="6143C6D7" w14:textId="77777777" w:rsidR="00B93551" w:rsidRPr="00A74D23" w:rsidRDefault="00B93551" w:rsidP="00590DD1">
      <w:pPr>
        <w:pStyle w:val="AIP2Bodytextregular"/>
        <w:numPr>
          <w:ilvl w:val="0"/>
          <w:numId w:val="13"/>
        </w:numPr>
        <w:spacing w:after="0" w:line="22" w:lineRule="atLeast"/>
        <w:ind w:left="426" w:right="0"/>
        <w:jc w:val="both"/>
        <w:rPr>
          <w:rFonts w:asciiTheme="minorHAnsi" w:hAnsiTheme="minorHAnsi" w:cs="Open Sans"/>
          <w:color w:val="auto"/>
          <w:sz w:val="20"/>
          <w:lang w:val="fr-FR"/>
        </w:rPr>
      </w:pPr>
      <w:r w:rsidRPr="00A74D23">
        <w:rPr>
          <w:rFonts w:asciiTheme="minorHAnsi" w:hAnsiTheme="minorHAnsi" w:cs="Open Sans"/>
          <w:color w:val="auto"/>
          <w:sz w:val="20"/>
          <w:lang w:val="fr-FR"/>
        </w:rPr>
        <w:t>L’alignement avec les stratégies de nos portefeuilles d’investissement qui ont pour objectif d’intégrer les facteurs de durabilité dans la gestion et l’alignement à une stratégie net zéro ;</w:t>
      </w:r>
    </w:p>
    <w:p w14:paraId="00300F16" w14:textId="77777777" w:rsidR="00B93551" w:rsidRPr="00A74D23" w:rsidRDefault="00B93551" w:rsidP="00590DD1">
      <w:pPr>
        <w:pStyle w:val="AIP2Bodytextregular"/>
        <w:numPr>
          <w:ilvl w:val="0"/>
          <w:numId w:val="13"/>
        </w:numPr>
        <w:spacing w:after="0" w:line="22" w:lineRule="atLeast"/>
        <w:ind w:left="426" w:right="0"/>
        <w:jc w:val="both"/>
        <w:rPr>
          <w:rFonts w:asciiTheme="minorHAnsi" w:hAnsiTheme="minorHAnsi" w:cs="Open Sans"/>
          <w:color w:val="auto"/>
          <w:sz w:val="20"/>
          <w:lang w:val="fr-FR"/>
        </w:rPr>
      </w:pPr>
      <w:r w:rsidRPr="00A74D23">
        <w:rPr>
          <w:rFonts w:asciiTheme="minorHAnsi" w:hAnsiTheme="minorHAnsi" w:cs="Open Sans"/>
          <w:color w:val="auto"/>
          <w:sz w:val="20"/>
          <w:lang w:val="fr-FR"/>
        </w:rPr>
        <w:t>Le cadre règlementaire des autres textes de lois auxquels nous sommes assujettis sur le sujet lié au développement durable et notamment la Loi Energie Climat (LEC 29) pour le Climat et la biodiversité ;</w:t>
      </w:r>
    </w:p>
    <w:p w14:paraId="4EBF5E76" w14:textId="77777777" w:rsidR="00B93551" w:rsidRPr="00A74D23" w:rsidRDefault="00B93551" w:rsidP="00590DD1">
      <w:pPr>
        <w:pStyle w:val="AIP2Bodytextregular"/>
        <w:numPr>
          <w:ilvl w:val="0"/>
          <w:numId w:val="13"/>
        </w:numPr>
        <w:spacing w:after="0" w:line="22" w:lineRule="atLeast"/>
        <w:ind w:left="426" w:right="0"/>
        <w:jc w:val="both"/>
        <w:rPr>
          <w:rFonts w:asciiTheme="minorHAnsi" w:hAnsiTheme="minorHAnsi" w:cs="Open Sans"/>
          <w:color w:val="auto"/>
          <w:sz w:val="20"/>
          <w:lang w:val="fr-FR"/>
        </w:rPr>
      </w:pPr>
      <w:r w:rsidRPr="00A74D23">
        <w:rPr>
          <w:rFonts w:asciiTheme="minorHAnsi" w:hAnsiTheme="minorHAnsi" w:cs="Open Sans"/>
          <w:color w:val="auto"/>
          <w:sz w:val="20"/>
          <w:lang w:val="fr-FR"/>
        </w:rPr>
        <w:t>La qualité des données (notamment le taux de couverture disponible).</w:t>
      </w:r>
    </w:p>
    <w:p w14:paraId="35910763" w14:textId="77777777" w:rsidR="001C1BCF" w:rsidRPr="00A74D23" w:rsidRDefault="001C1BCF" w:rsidP="009D6EE5">
      <w:pPr>
        <w:spacing w:line="22" w:lineRule="atLeast"/>
        <w:jc w:val="both"/>
        <w:rPr>
          <w:rFonts w:asciiTheme="minorHAnsi" w:hAnsiTheme="minorHAnsi" w:cs="Open Sans"/>
          <w:b/>
          <w:color w:val="000000"/>
          <w:sz w:val="20"/>
          <w:lang w:val="fr-FR"/>
        </w:rPr>
      </w:pPr>
    </w:p>
    <w:p w14:paraId="13E8B37D" w14:textId="0C7CE75C" w:rsidR="00B93551" w:rsidRPr="00A74D23" w:rsidRDefault="00B93551" w:rsidP="009D6EE5">
      <w:pPr>
        <w:spacing w:line="22" w:lineRule="atLeast"/>
        <w:jc w:val="both"/>
        <w:rPr>
          <w:rFonts w:asciiTheme="minorHAnsi" w:hAnsiTheme="minorHAnsi" w:cs="Open Sans"/>
          <w:b/>
          <w:color w:val="000000"/>
          <w:sz w:val="20"/>
          <w:lang w:val="fr-FR"/>
        </w:rPr>
      </w:pPr>
      <w:r w:rsidRPr="00A74D23">
        <w:rPr>
          <w:rFonts w:asciiTheme="minorHAnsi" w:hAnsiTheme="minorHAnsi" w:cs="Open Sans"/>
          <w:b/>
          <w:color w:val="000000"/>
          <w:sz w:val="20"/>
          <w:lang w:val="fr-FR"/>
        </w:rPr>
        <w:t>Gestion des principales incidences négatives relatives à l’immobilier</w:t>
      </w:r>
    </w:p>
    <w:p w14:paraId="613A86AB" w14:textId="0C1A8490" w:rsidR="00B93551" w:rsidRPr="00A74D23" w:rsidRDefault="00B93551" w:rsidP="009D6EE5">
      <w:pPr>
        <w:spacing w:after="120"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En ce qui concerne son portefeuille immobilier, et en complément des principales incidences négatives 17 et 18, Abeille Assurances s’est </w:t>
      </w:r>
      <w:r w:rsidR="00535F3A" w:rsidRPr="00A74D23">
        <w:rPr>
          <w:rFonts w:asciiTheme="minorHAnsi" w:hAnsiTheme="minorHAnsi" w:cs="Open Sans"/>
          <w:sz w:val="20"/>
          <w:lang w:val="fr-FR"/>
        </w:rPr>
        <w:t>fixé</w:t>
      </w:r>
      <w:r w:rsidRPr="00A74D23">
        <w:rPr>
          <w:rFonts w:asciiTheme="minorHAnsi" w:hAnsiTheme="minorHAnsi" w:cs="Open Sans"/>
          <w:sz w:val="20"/>
          <w:lang w:val="fr-FR"/>
        </w:rPr>
        <w:t xml:space="preserve"> les objectifs suivants afin d’atténuer les principales incidences négatives de ses immeubles sur les facteurs de durabilité :</w:t>
      </w:r>
    </w:p>
    <w:p w14:paraId="1D4D3A2C" w14:textId="77777777" w:rsidR="00B93551" w:rsidRPr="00A74D23" w:rsidRDefault="00B93551" w:rsidP="00590DD1">
      <w:pPr>
        <w:pStyle w:val="Paragraphedeliste"/>
        <w:numPr>
          <w:ilvl w:val="0"/>
          <w:numId w:val="14"/>
        </w:numPr>
        <w:spacing w:after="0" w:line="22" w:lineRule="atLeast"/>
        <w:ind w:left="426"/>
        <w:contextualSpacing w:val="0"/>
        <w:jc w:val="both"/>
        <w:rPr>
          <w:rFonts w:cs="Open Sans"/>
          <w:sz w:val="20"/>
        </w:rPr>
      </w:pPr>
      <w:r w:rsidRPr="00A74D23">
        <w:rPr>
          <w:rFonts w:cs="Open Sans"/>
          <w:sz w:val="20"/>
        </w:rPr>
        <w:t>Réduire l’impact environnemental des Immeubles, en particulier carbone et biodiversité à travers le suivi de l’impact sur la faune et la flore ;</w:t>
      </w:r>
    </w:p>
    <w:p w14:paraId="36BD5A9D" w14:textId="77777777" w:rsidR="00B93551" w:rsidRPr="00A74D23" w:rsidRDefault="00B93551" w:rsidP="00590DD1">
      <w:pPr>
        <w:pStyle w:val="Paragraphedeliste"/>
        <w:numPr>
          <w:ilvl w:val="0"/>
          <w:numId w:val="14"/>
        </w:numPr>
        <w:spacing w:after="0" w:line="22" w:lineRule="atLeast"/>
        <w:ind w:left="426"/>
        <w:contextualSpacing w:val="0"/>
        <w:jc w:val="both"/>
        <w:rPr>
          <w:rFonts w:cs="Open Sans"/>
          <w:sz w:val="20"/>
        </w:rPr>
      </w:pPr>
      <w:r w:rsidRPr="00A74D23">
        <w:rPr>
          <w:rFonts w:cs="Open Sans"/>
          <w:sz w:val="20"/>
        </w:rPr>
        <w:t>Aligner les émissions de gaz à effet de serre de ses immeubles sur une trajectoire compatible avec l’Accord de Paris d’ici à 2030, en lien avec la trajectoire de décarbonation adoptée par Abeille Assurances et à travers le suivi de la trajectoire CRREM (Carbon Risk Real Estate Monitor)</w:t>
      </w:r>
    </w:p>
    <w:p w14:paraId="194A0E75" w14:textId="77777777" w:rsidR="00B93551" w:rsidRPr="00A74D23" w:rsidRDefault="00B93551" w:rsidP="00590DD1">
      <w:pPr>
        <w:pStyle w:val="Paragraphedeliste"/>
        <w:numPr>
          <w:ilvl w:val="0"/>
          <w:numId w:val="14"/>
        </w:numPr>
        <w:spacing w:after="0" w:line="22" w:lineRule="atLeast"/>
        <w:ind w:left="426"/>
        <w:contextualSpacing w:val="0"/>
        <w:jc w:val="both"/>
        <w:rPr>
          <w:rFonts w:cs="Open Sans"/>
          <w:sz w:val="20"/>
        </w:rPr>
      </w:pPr>
      <w:r w:rsidRPr="00A74D23">
        <w:rPr>
          <w:rFonts w:cs="Open Sans"/>
          <w:sz w:val="20"/>
        </w:rPr>
        <w:t xml:space="preserve">Améliorer le confort des occupants et l’offre de services (restauration, conciergerie, salle de sport, etc.) ; et </w:t>
      </w:r>
    </w:p>
    <w:p w14:paraId="14C249D7" w14:textId="50C03CAC" w:rsidR="00B93551" w:rsidRPr="00A74D23" w:rsidRDefault="00B93551" w:rsidP="00590DD1">
      <w:pPr>
        <w:pStyle w:val="Paragraphedeliste"/>
        <w:numPr>
          <w:ilvl w:val="0"/>
          <w:numId w:val="14"/>
        </w:numPr>
        <w:spacing w:after="0" w:line="22" w:lineRule="atLeast"/>
        <w:ind w:left="426"/>
        <w:contextualSpacing w:val="0"/>
        <w:jc w:val="both"/>
        <w:rPr>
          <w:rFonts w:cs="Open Sans"/>
          <w:sz w:val="20"/>
        </w:rPr>
      </w:pPr>
      <w:r w:rsidRPr="00A74D23">
        <w:rPr>
          <w:rFonts w:cs="Open Sans"/>
          <w:sz w:val="20"/>
        </w:rPr>
        <w:t xml:space="preserve">Engager ses parties prenantes clés (salariés, locataires, property managers, entreprises de travaux, associations de place, voisinage) autour de sa démarche ISR. </w:t>
      </w:r>
    </w:p>
    <w:p w14:paraId="36C5487C" w14:textId="77777777" w:rsidR="00B2507E" w:rsidRPr="00A74D23" w:rsidRDefault="00B2507E" w:rsidP="009D6EE5">
      <w:pPr>
        <w:pStyle w:val="Paragraphedeliste"/>
        <w:spacing w:after="0" w:line="22" w:lineRule="atLeast"/>
        <w:jc w:val="both"/>
        <w:rPr>
          <w:rFonts w:cs="Open Sans"/>
          <w:sz w:val="20"/>
        </w:rPr>
      </w:pPr>
    </w:p>
    <w:p w14:paraId="4A88679A" w14:textId="77777777" w:rsidR="00B2507E" w:rsidRPr="00A74D23" w:rsidRDefault="00B2507E" w:rsidP="009D6EE5">
      <w:pPr>
        <w:spacing w:line="22" w:lineRule="atLeast"/>
        <w:jc w:val="both"/>
        <w:rPr>
          <w:rFonts w:asciiTheme="minorHAnsi" w:hAnsiTheme="minorHAnsi" w:cs="Open Sans"/>
          <w:b/>
          <w:color w:val="000000"/>
          <w:sz w:val="20"/>
          <w:lang w:val="fr-FR"/>
        </w:rPr>
      </w:pPr>
      <w:r w:rsidRPr="00A74D23">
        <w:rPr>
          <w:rFonts w:asciiTheme="minorHAnsi" w:hAnsiTheme="minorHAnsi" w:cs="Open Sans"/>
          <w:b/>
          <w:color w:val="000000"/>
          <w:sz w:val="20"/>
          <w:lang w:val="fr-FR"/>
        </w:rPr>
        <w:t>Mise à jour et suivi des indicateurs de principales incidences négatives</w:t>
      </w:r>
    </w:p>
    <w:p w14:paraId="6DFB49A5" w14:textId="77777777" w:rsidR="00B2507E" w:rsidRPr="00A74D23" w:rsidRDefault="00B2507E"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Le niveau (1 ou 2) de chaque principale incidence négative est réévalué chaque année. Une modification de niveau d’une principale incidence négative doit être validée par le Comité des Investissements.</w:t>
      </w:r>
    </w:p>
    <w:p w14:paraId="5C4542D0" w14:textId="6A064EA0" w:rsidR="00B2507E" w:rsidRPr="00A74D23" w:rsidRDefault="00B2507E"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Le comité ESG discute trimestriellement des métriques relatives aux principales incidences négatives et de leurs résultats qui sont également reportés trimestriellement au Comité des Investissements d’Abeille Assurances.</w:t>
      </w:r>
    </w:p>
    <w:p w14:paraId="0F0348B0" w14:textId="77777777" w:rsidR="003C79C1" w:rsidRPr="00A74D23" w:rsidRDefault="003C79C1" w:rsidP="009D6EE5">
      <w:pPr>
        <w:spacing w:line="22" w:lineRule="atLeast"/>
        <w:jc w:val="both"/>
        <w:rPr>
          <w:rFonts w:asciiTheme="minorHAnsi" w:hAnsiTheme="minorHAnsi" w:cs="Open Sans"/>
          <w:sz w:val="20"/>
          <w:lang w:val="fr-FR"/>
        </w:rPr>
      </w:pPr>
    </w:p>
    <w:p w14:paraId="682119C6" w14:textId="77777777" w:rsidR="00B2507E" w:rsidRPr="00A74D23" w:rsidRDefault="00B2507E"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Le suivi de l’évolution des principales incidences négatives de niveau 1 jusqu’à cinq périodes de reporting et des actions possibles en vue de les améliorer (telles que la restructuration de portefeuilles, dialogue actionnarial, etc.) ont vocation à être traitées lors du comité ESG ainsi que lors de discussions bilatérales entre la société de gestion de portefeuille et la Direction des Investissements. Le comité ESG assure le suivi des actions d’amélioration.</w:t>
      </w:r>
    </w:p>
    <w:p w14:paraId="059AEC96" w14:textId="77777777" w:rsidR="00090EC3" w:rsidRPr="00A74D23" w:rsidRDefault="00090EC3" w:rsidP="009D6EE5">
      <w:pPr>
        <w:spacing w:line="22" w:lineRule="atLeast"/>
        <w:jc w:val="both"/>
        <w:rPr>
          <w:rFonts w:asciiTheme="minorHAnsi" w:hAnsiTheme="minorHAnsi" w:cs="Open Sans"/>
          <w:sz w:val="20"/>
          <w:lang w:val="fr-FR"/>
        </w:rPr>
      </w:pPr>
    </w:p>
    <w:p w14:paraId="58E6B691" w14:textId="261EC5E7" w:rsidR="00B2507E" w:rsidRPr="00A74D23" w:rsidRDefault="00B2507E" w:rsidP="009D6EE5">
      <w:pPr>
        <w:spacing w:after="120"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Abeille Assurances pourrait faire face à certaines limites méthodologiques telles que : </w:t>
      </w:r>
    </w:p>
    <w:p w14:paraId="25F6B943" w14:textId="77777777" w:rsidR="00B2507E" w:rsidRPr="00A74D23" w:rsidRDefault="00B2507E" w:rsidP="00590DD1">
      <w:pPr>
        <w:pStyle w:val="Paragraphedeliste"/>
        <w:numPr>
          <w:ilvl w:val="0"/>
          <w:numId w:val="16"/>
        </w:numPr>
        <w:spacing w:after="0" w:line="22" w:lineRule="atLeast"/>
        <w:ind w:left="426" w:hanging="284"/>
        <w:contextualSpacing w:val="0"/>
        <w:jc w:val="both"/>
        <w:rPr>
          <w:rFonts w:cs="Open Sans"/>
          <w:sz w:val="20"/>
        </w:rPr>
      </w:pPr>
      <w:r w:rsidRPr="00A74D23">
        <w:rPr>
          <w:rFonts w:cs="Open Sans"/>
          <w:sz w:val="20"/>
        </w:rPr>
        <w:t xml:space="preserve">Problème de publication manquante ou lacunaire de la part de certaines entreprises sur des informations liées aux PAI ; </w:t>
      </w:r>
    </w:p>
    <w:p w14:paraId="052DF7FD" w14:textId="77777777" w:rsidR="00B2507E" w:rsidRPr="00A74D23" w:rsidRDefault="00B2507E" w:rsidP="00590DD1">
      <w:pPr>
        <w:pStyle w:val="Paragraphedeliste"/>
        <w:numPr>
          <w:ilvl w:val="0"/>
          <w:numId w:val="16"/>
        </w:numPr>
        <w:spacing w:after="0" w:line="22" w:lineRule="atLeast"/>
        <w:ind w:left="426" w:hanging="284"/>
        <w:contextualSpacing w:val="0"/>
        <w:jc w:val="both"/>
        <w:rPr>
          <w:rFonts w:cs="Open Sans"/>
          <w:sz w:val="20"/>
        </w:rPr>
      </w:pPr>
      <w:r w:rsidRPr="00A74D23">
        <w:rPr>
          <w:rFonts w:cs="Open Sans"/>
          <w:sz w:val="20"/>
        </w:rPr>
        <w:t xml:space="preserve">Problème lié à la quantité et à la qualité des données ESG à traiter ; </w:t>
      </w:r>
    </w:p>
    <w:p w14:paraId="4F8F64AC" w14:textId="50DD6935" w:rsidR="00B2507E" w:rsidRPr="00A74D23" w:rsidRDefault="00B2507E" w:rsidP="00590DD1">
      <w:pPr>
        <w:pStyle w:val="Paragraphedeliste"/>
        <w:numPr>
          <w:ilvl w:val="0"/>
          <w:numId w:val="16"/>
        </w:numPr>
        <w:spacing w:after="0" w:line="22" w:lineRule="atLeast"/>
        <w:ind w:left="426" w:hanging="284"/>
        <w:contextualSpacing w:val="0"/>
        <w:jc w:val="both"/>
        <w:rPr>
          <w:rFonts w:cs="Open Sans"/>
          <w:sz w:val="20"/>
        </w:rPr>
      </w:pPr>
      <w:r w:rsidRPr="00A74D23">
        <w:rPr>
          <w:rFonts w:cs="Open Sans"/>
          <w:sz w:val="20"/>
        </w:rPr>
        <w:t>Problème lié à l’identification des informations et des facteurs pertinents pour l’analyse ESG</w:t>
      </w:r>
      <w:r w:rsidR="00FE0CD7" w:rsidRPr="00A74D23">
        <w:rPr>
          <w:rFonts w:cs="Open Sans"/>
          <w:sz w:val="20"/>
        </w:rPr>
        <w:t>.</w:t>
      </w:r>
      <w:r w:rsidRPr="00A74D23">
        <w:rPr>
          <w:rFonts w:cs="Open Sans"/>
          <w:sz w:val="20"/>
        </w:rPr>
        <w:t xml:space="preserve"> </w:t>
      </w:r>
    </w:p>
    <w:p w14:paraId="0D58204F" w14:textId="77777777" w:rsidR="00090EC3" w:rsidRPr="00A74D23" w:rsidRDefault="00090EC3" w:rsidP="009D6EE5">
      <w:pPr>
        <w:spacing w:line="22" w:lineRule="atLeast"/>
        <w:jc w:val="both"/>
        <w:rPr>
          <w:rFonts w:asciiTheme="minorHAnsi" w:hAnsiTheme="minorHAnsi" w:cs="Open Sans"/>
          <w:sz w:val="20"/>
          <w:lang w:val="fr-FR"/>
        </w:rPr>
      </w:pPr>
    </w:p>
    <w:p w14:paraId="673F1A67" w14:textId="52C15290" w:rsidR="00941E87" w:rsidRPr="00A74D23" w:rsidRDefault="00B2507E"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Abeille Assurances, par l’intermédiaire d’</w:t>
      </w:r>
      <w:r w:rsidR="00495330" w:rsidRPr="00A74D23">
        <w:rPr>
          <w:rFonts w:asciiTheme="minorHAnsi" w:hAnsiTheme="minorHAnsi" w:cs="Open Sans"/>
          <w:sz w:val="20"/>
          <w:lang w:val="fr-FR"/>
        </w:rPr>
        <w:t>Ofi</w:t>
      </w:r>
      <w:r w:rsidRPr="00A74D23">
        <w:rPr>
          <w:rFonts w:asciiTheme="minorHAnsi" w:hAnsiTheme="minorHAnsi" w:cs="Open Sans"/>
          <w:sz w:val="20"/>
          <w:lang w:val="fr-FR"/>
        </w:rPr>
        <w:t xml:space="preserve"> Invest Asset Management, pourra compléter les informations manquantes via des recherches supplémentaires de données publiques et/ou de l’engagement avec les émetteurs.  Abeille Assurances ne peut s’engager, à ce stade, sur une couverture complète de ses actifs</w:t>
      </w:r>
      <w:r w:rsidR="00FE0CD7" w:rsidRPr="00A74D23">
        <w:rPr>
          <w:rFonts w:asciiTheme="minorHAnsi" w:hAnsiTheme="minorHAnsi" w:cs="Open Sans"/>
          <w:sz w:val="20"/>
          <w:lang w:val="fr-FR"/>
        </w:rPr>
        <w:t>.</w:t>
      </w:r>
    </w:p>
    <w:p w14:paraId="64631A51" w14:textId="77777777" w:rsidR="0051098C" w:rsidRPr="00A74D23" w:rsidRDefault="0051098C" w:rsidP="009D6EE5">
      <w:pPr>
        <w:spacing w:line="22" w:lineRule="atLeast"/>
        <w:jc w:val="both"/>
        <w:rPr>
          <w:rFonts w:asciiTheme="minorHAnsi" w:hAnsiTheme="minorHAnsi" w:cs="Open Sans"/>
          <w:sz w:val="20"/>
          <w:lang w:val="fr-FR"/>
        </w:rPr>
      </w:pPr>
    </w:p>
    <w:p w14:paraId="213A9F71" w14:textId="77777777" w:rsidR="00DC0395" w:rsidRPr="00A74D23" w:rsidRDefault="00DC0395" w:rsidP="009D6EE5">
      <w:pPr>
        <w:pStyle w:val="Paragraphedeliste"/>
        <w:numPr>
          <w:ilvl w:val="0"/>
          <w:numId w:val="4"/>
        </w:numPr>
        <w:spacing w:after="120" w:line="22" w:lineRule="atLeast"/>
        <w:ind w:left="284" w:hanging="284"/>
        <w:contextualSpacing w:val="0"/>
        <w:jc w:val="both"/>
        <w:rPr>
          <w:rFonts w:cs="Open Sans"/>
          <w:b/>
          <w:sz w:val="20"/>
        </w:rPr>
      </w:pPr>
      <w:r w:rsidRPr="00A74D23">
        <w:rPr>
          <w:rFonts w:cs="Open Sans"/>
          <w:b/>
          <w:sz w:val="20"/>
        </w:rPr>
        <w:t>Description des politiques visant à identifier et hiérarchiser les principales incidences négatives sur les facteurs de durabilité</w:t>
      </w:r>
    </w:p>
    <w:p w14:paraId="2F5CCBF0" w14:textId="77777777" w:rsidR="00B93551" w:rsidRPr="00A74D23" w:rsidRDefault="00B93551"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Abeille Assurances intègre les principales incidences négatives dans ses pratiques d’investissement ; notamment au travers de l’intégration des critères ESG dans la gestion de ses portefeuilles d’investissement, de ses démarches d’engagement actionnarial et de politique de vote, et enfin par le biais de ses politiques d’exclusion. </w:t>
      </w:r>
    </w:p>
    <w:p w14:paraId="1DC63D15" w14:textId="77777777" w:rsidR="001F1E0F" w:rsidRPr="00A74D23" w:rsidRDefault="001F1E0F" w:rsidP="009D6EE5">
      <w:pPr>
        <w:spacing w:line="22" w:lineRule="atLeast"/>
        <w:jc w:val="both"/>
        <w:rPr>
          <w:rFonts w:asciiTheme="minorHAnsi" w:hAnsiTheme="minorHAnsi" w:cs="Open Sans"/>
          <w:sz w:val="20"/>
          <w:lang w:val="fr-FR"/>
        </w:rPr>
      </w:pPr>
    </w:p>
    <w:p w14:paraId="30CF3B4B" w14:textId="77777777" w:rsidR="00B93551" w:rsidRPr="00A74D23" w:rsidRDefault="00B93551" w:rsidP="009D6EE5">
      <w:pPr>
        <w:spacing w:after="120" w:line="22" w:lineRule="atLeast"/>
        <w:jc w:val="both"/>
        <w:rPr>
          <w:rFonts w:asciiTheme="minorHAnsi" w:hAnsiTheme="minorHAnsi" w:cs="Open Sans"/>
          <w:sz w:val="20"/>
          <w:lang w:val="fr-FR"/>
        </w:rPr>
      </w:pPr>
      <w:r w:rsidRPr="00A74D23">
        <w:rPr>
          <w:rFonts w:asciiTheme="minorHAnsi" w:hAnsiTheme="minorHAnsi" w:cs="Open Sans"/>
          <w:b/>
          <w:sz w:val="20"/>
          <w:lang w:val="fr-FR"/>
        </w:rPr>
        <w:t xml:space="preserve">La prise en compte des critères ESG par classe d’actifs </w:t>
      </w:r>
    </w:p>
    <w:p w14:paraId="512C3FCB" w14:textId="5AF7609D" w:rsidR="0056679E" w:rsidRPr="00A74D23" w:rsidRDefault="00B93551"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La pierre angulaire de la prise en compte des facteurs de durabilité et des principales incidences négatives dans la gestion de nos actifs consiste en l’intégration des critères ESG dans les processus d’investissement sur la base d’un score ESG par émetteur et d’analyses extra financières réalisées par les équipes ISR d’Abeille Asset Management. Les critères ESG font partie intégrante des processus d’investissement et sont appliqués à l’ensemble des classes d’actifs sur lesquelles nous investissons. L’ensemble de nos mandats de gestion prend en compte les facteurs environnementaux, sociaux et de gouvernance qui obligent nos gestionnaires d’actifs à intégrer de manière rigoureuse les critères ESG, les scores de controverse et ainsi prendre en compte les principales incidences négatives dans leur processus d’investissement et à rendre compte de leur performance extra-financière dans le cadre d’un suivi régulier et transparent. Nous nous inspirons des Objectifs de Développement Durable de l’ONU comme cadre méthodologique pour cartographier l’impact social et environnemental des investissements. Nous sommes convaincus que la prise en compte des paramètres ESG dans notre gestion financière nous permet de constituer des portefeuilles avec un </w:t>
      </w:r>
      <w:r w:rsidR="001F1E0F" w:rsidRPr="00A74D23">
        <w:rPr>
          <w:rFonts w:asciiTheme="minorHAnsi" w:hAnsiTheme="minorHAnsi" w:cs="Open Sans"/>
          <w:sz w:val="20"/>
          <w:lang w:val="fr-FR"/>
        </w:rPr>
        <w:t>profil</w:t>
      </w:r>
      <w:r w:rsidRPr="00A74D23">
        <w:rPr>
          <w:rFonts w:asciiTheme="minorHAnsi" w:hAnsiTheme="minorHAnsi" w:cs="Open Sans"/>
          <w:sz w:val="20"/>
          <w:lang w:val="fr-FR"/>
        </w:rPr>
        <w:t xml:space="preserve"> de risque réduit et des espérances de rendement plus favorables sur le long terme en lien avec nos obligations fiduciaires vis-à-vis de nos clients.</w:t>
      </w:r>
    </w:p>
    <w:p w14:paraId="533DB3A5" w14:textId="77777777" w:rsidR="00346990" w:rsidRPr="00A74D23" w:rsidRDefault="00346990" w:rsidP="009D6EE5">
      <w:pPr>
        <w:pStyle w:val="Paragraphedeliste"/>
        <w:spacing w:after="120" w:line="22" w:lineRule="atLeast"/>
        <w:ind w:left="284"/>
        <w:contextualSpacing w:val="0"/>
        <w:jc w:val="both"/>
        <w:rPr>
          <w:rFonts w:cs="Open Sans"/>
          <w:b/>
          <w:sz w:val="20"/>
        </w:rPr>
      </w:pPr>
    </w:p>
    <w:p w14:paraId="6683E2C3" w14:textId="77777777" w:rsidR="000A5ABE" w:rsidRPr="00A74D23" w:rsidRDefault="000A5ABE" w:rsidP="009D6EE5">
      <w:pPr>
        <w:pStyle w:val="Paragraphedeliste"/>
        <w:numPr>
          <w:ilvl w:val="0"/>
          <w:numId w:val="4"/>
        </w:numPr>
        <w:spacing w:after="60" w:line="22" w:lineRule="atLeast"/>
        <w:contextualSpacing w:val="0"/>
        <w:jc w:val="both"/>
        <w:rPr>
          <w:rFonts w:cs="Open Sans"/>
          <w:b/>
          <w:sz w:val="20"/>
        </w:rPr>
      </w:pPr>
      <w:r w:rsidRPr="00A74D23">
        <w:rPr>
          <w:rFonts w:cs="Open Sans"/>
          <w:b/>
          <w:sz w:val="20"/>
        </w:rPr>
        <w:t>Politique d’engagement</w:t>
      </w:r>
    </w:p>
    <w:p w14:paraId="7D3D6AD3" w14:textId="1F3B75BF" w:rsidR="001C002D" w:rsidRPr="00A74D23" w:rsidRDefault="001C002D" w:rsidP="009D6EE5">
      <w:pPr>
        <w:autoSpaceDE w:val="0"/>
        <w:autoSpaceDN w:val="0"/>
        <w:adjustRightInd w:val="0"/>
        <w:spacing w:after="120"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Nous accordons une grande importance à l’engagement pour améliorer les pratiques ESG des sociétés, en particulier celles opérant dans des secteurs à fort </w:t>
      </w:r>
      <w:r w:rsidRPr="00A74D23">
        <w:rPr>
          <w:rStyle w:val="CorpsdetexteCar"/>
          <w:rFonts w:asciiTheme="minorHAnsi" w:hAnsiTheme="minorHAnsi" w:cs="Open Sans"/>
          <w:lang w:val="fr-FR"/>
        </w:rPr>
        <w:t>impact</w:t>
      </w:r>
      <w:r w:rsidRPr="00A74D23">
        <w:rPr>
          <w:rFonts w:asciiTheme="minorHAnsi" w:hAnsiTheme="minorHAnsi" w:cs="Open Sans"/>
          <w:sz w:val="20"/>
          <w:lang w:val="fr-FR"/>
        </w:rPr>
        <w:t xml:space="preserve"> carbone et/ou biodiversité afin notamment de réduire les incidences négatives liées à nos investissements. La politique d’engagement actionnarial est un outil fondamental d’</w:t>
      </w:r>
      <w:r w:rsidR="00495330" w:rsidRPr="00A74D23">
        <w:rPr>
          <w:rFonts w:asciiTheme="minorHAnsi" w:hAnsiTheme="minorHAnsi" w:cs="Open Sans"/>
          <w:color w:val="242424"/>
          <w:sz w:val="20"/>
          <w:shd w:val="clear" w:color="auto" w:fill="FFFFFF"/>
          <w:lang w:val="fr-FR"/>
        </w:rPr>
        <w:t>Ofi</w:t>
      </w:r>
      <w:r w:rsidRPr="00A74D23">
        <w:rPr>
          <w:rFonts w:asciiTheme="minorHAnsi" w:hAnsiTheme="minorHAnsi" w:cs="Open Sans"/>
          <w:color w:val="242424"/>
          <w:sz w:val="20"/>
          <w:shd w:val="clear" w:color="auto" w:fill="FFFFFF"/>
          <w:lang w:val="fr-FR"/>
        </w:rPr>
        <w:t xml:space="preserve"> Invest Asset </w:t>
      </w:r>
      <w:r w:rsidR="00EF4DA9" w:rsidRPr="00A74D23">
        <w:rPr>
          <w:rFonts w:asciiTheme="minorHAnsi" w:hAnsiTheme="minorHAnsi" w:cs="Open Sans"/>
          <w:color w:val="242424"/>
          <w:sz w:val="20"/>
          <w:shd w:val="clear" w:color="auto" w:fill="FFFFFF"/>
          <w:lang w:val="fr-FR"/>
        </w:rPr>
        <w:t>M</w:t>
      </w:r>
      <w:r w:rsidRPr="00A74D23">
        <w:rPr>
          <w:rFonts w:asciiTheme="minorHAnsi" w:hAnsiTheme="minorHAnsi" w:cs="Open Sans"/>
          <w:color w:val="242424"/>
          <w:sz w:val="20"/>
          <w:shd w:val="clear" w:color="auto" w:fill="FFFFFF"/>
          <w:lang w:val="fr-FR"/>
        </w:rPr>
        <w:t xml:space="preserve">anagement </w:t>
      </w:r>
      <w:r w:rsidRPr="00A74D23">
        <w:rPr>
          <w:rFonts w:asciiTheme="minorHAnsi" w:hAnsiTheme="minorHAnsi" w:cs="Open Sans"/>
          <w:sz w:val="20"/>
          <w:lang w:val="fr-FR"/>
        </w:rPr>
        <w:t>pour exercer son rôle d’actionnaire responsable et exercer un effet bénéfique sur les entreprises dans lesquelles nous investissons. Cette politique d’engagement actionnarial est appliquée à nos actifs</w:t>
      </w:r>
      <w:r w:rsidR="00463D22" w:rsidRPr="00A74D23">
        <w:rPr>
          <w:rFonts w:asciiTheme="minorHAnsi" w:hAnsiTheme="minorHAnsi" w:cs="Open Sans"/>
          <w:sz w:val="20"/>
          <w:lang w:val="fr-FR"/>
        </w:rPr>
        <w:t>.</w:t>
      </w:r>
    </w:p>
    <w:p w14:paraId="383827E6" w14:textId="0B1FE07A" w:rsidR="001C002D" w:rsidRPr="00A74D23" w:rsidRDefault="001C002D" w:rsidP="009D6EE5">
      <w:pPr>
        <w:spacing w:after="120"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L’engagement auprès des entreprises fait partie intégrante de la gestion des risques et des opportunités ESG au sein de nos portefeuilles d’investissement. </w:t>
      </w:r>
      <w:r w:rsidR="00495330" w:rsidRPr="00A74D23">
        <w:rPr>
          <w:rFonts w:asciiTheme="minorHAnsi" w:hAnsiTheme="minorHAnsi" w:cs="Open Sans"/>
          <w:color w:val="242424"/>
          <w:sz w:val="20"/>
          <w:shd w:val="clear" w:color="auto" w:fill="FFFFFF"/>
          <w:lang w:val="fr-FR"/>
        </w:rPr>
        <w:t>Ofi</w:t>
      </w:r>
      <w:r w:rsidRPr="00A74D23">
        <w:rPr>
          <w:rFonts w:asciiTheme="minorHAnsi" w:hAnsiTheme="minorHAnsi" w:cs="Open Sans"/>
          <w:color w:val="242424"/>
          <w:sz w:val="20"/>
          <w:shd w:val="clear" w:color="auto" w:fill="FFFFFF"/>
          <w:lang w:val="fr-FR"/>
        </w:rPr>
        <w:t xml:space="preserve"> Invest Asset management</w:t>
      </w:r>
      <w:r w:rsidRPr="00A74D23">
        <w:rPr>
          <w:rFonts w:asciiTheme="minorHAnsi" w:hAnsiTheme="minorHAnsi" w:cs="Open Sans"/>
          <w:sz w:val="20"/>
          <w:lang w:val="fr-FR"/>
        </w:rPr>
        <w:t xml:space="preserve">, au nom d’Abeille Assurances, dialogue activement avec les entreprises dans lesquelles il investit afin d’identifier et, le cas échéant, atténuer les risques ESG. Si l’engagement ne génère pas les effets escomptés, Abeille Assurances se réserve la possibilité de se désengager de certains émetteurs qui présentent des </w:t>
      </w:r>
      <w:r w:rsidR="001F1E0F" w:rsidRPr="00A74D23">
        <w:rPr>
          <w:rFonts w:asciiTheme="minorHAnsi" w:hAnsiTheme="minorHAnsi" w:cs="Open Sans"/>
          <w:sz w:val="20"/>
          <w:lang w:val="fr-FR"/>
        </w:rPr>
        <w:t>profils</w:t>
      </w:r>
      <w:r w:rsidRPr="00A74D23">
        <w:rPr>
          <w:rFonts w:asciiTheme="minorHAnsi" w:hAnsiTheme="minorHAnsi" w:cs="Open Sans"/>
          <w:sz w:val="20"/>
          <w:lang w:val="fr-FR"/>
        </w:rPr>
        <w:t xml:space="preserve"> de risque ESG incompatibles avec son appétence en matière de risques ESG. Toutes les entreprises et secteurs ayant un rôle à jouer dans la transition bas-carbone, nous intégrons systématiquement la stratégie, les objectifs et la performance liés au climat dans nos actions d’engagement.</w:t>
      </w:r>
    </w:p>
    <w:p w14:paraId="5D5F7726" w14:textId="5E060AC6" w:rsidR="001C002D" w:rsidRPr="00A74D23" w:rsidRDefault="001C002D" w:rsidP="009D6EE5">
      <w:pPr>
        <w:spacing w:after="120"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L’urgence climatique conjuguée à l’inertie de certaines entreprises émettant des volumes considérables de gaz à effet de serre nous a conduit à renforcer et cibler notre politique d’engagement vis-à-vis des sociétés opérant dans des secteurs à fort impact sur le climat. </w:t>
      </w:r>
      <w:r w:rsidR="00495330" w:rsidRPr="00A74D23">
        <w:rPr>
          <w:rFonts w:asciiTheme="minorHAnsi" w:hAnsiTheme="minorHAnsi" w:cs="Open Sans"/>
          <w:color w:val="242424"/>
          <w:sz w:val="20"/>
          <w:shd w:val="clear" w:color="auto" w:fill="FFFFFF"/>
          <w:lang w:val="fr-FR"/>
        </w:rPr>
        <w:t>Ofi</w:t>
      </w:r>
      <w:r w:rsidRPr="00A74D23">
        <w:rPr>
          <w:rFonts w:asciiTheme="minorHAnsi" w:hAnsiTheme="minorHAnsi" w:cs="Open Sans"/>
          <w:color w:val="242424"/>
          <w:sz w:val="20"/>
          <w:shd w:val="clear" w:color="auto" w:fill="FFFFFF"/>
          <w:lang w:val="fr-FR"/>
        </w:rPr>
        <w:t xml:space="preserve"> Invest Asset </w:t>
      </w:r>
      <w:r w:rsidR="00463D22" w:rsidRPr="00A74D23">
        <w:rPr>
          <w:rFonts w:asciiTheme="minorHAnsi" w:hAnsiTheme="minorHAnsi" w:cs="Open Sans"/>
          <w:color w:val="242424"/>
          <w:sz w:val="20"/>
          <w:shd w:val="clear" w:color="auto" w:fill="FFFFFF"/>
          <w:lang w:val="fr-FR"/>
        </w:rPr>
        <w:t>M</w:t>
      </w:r>
      <w:r w:rsidRPr="00A74D23">
        <w:rPr>
          <w:rFonts w:asciiTheme="minorHAnsi" w:hAnsiTheme="minorHAnsi" w:cs="Open Sans"/>
          <w:color w:val="242424"/>
          <w:sz w:val="20"/>
          <w:shd w:val="clear" w:color="auto" w:fill="FFFFFF"/>
          <w:lang w:val="fr-FR"/>
        </w:rPr>
        <w:t xml:space="preserve">anagement </w:t>
      </w:r>
      <w:r w:rsidRPr="00A74D23">
        <w:rPr>
          <w:rFonts w:asciiTheme="minorHAnsi" w:hAnsiTheme="minorHAnsi" w:cs="Open Sans"/>
          <w:sz w:val="20"/>
          <w:lang w:val="fr-FR"/>
        </w:rPr>
        <w:t xml:space="preserve">attend des entreprises qu’elles définissent des stratégies climatiques robustes et des voies de transition qui permettront de parvenir à la neutralité carbone d’ici 2050. Ces stratégies doivent inclure des objectifs à court et moyen terme, et s’articuler autour de méthodologies solides, comme l’initiative Science Based Target. </w:t>
      </w:r>
      <w:r w:rsidR="00495330" w:rsidRPr="00A74D23">
        <w:rPr>
          <w:rFonts w:asciiTheme="minorHAnsi" w:hAnsiTheme="minorHAnsi" w:cs="Open Sans"/>
          <w:color w:val="242424"/>
          <w:sz w:val="20"/>
          <w:shd w:val="clear" w:color="auto" w:fill="FFFFFF"/>
          <w:lang w:val="fr-FR"/>
        </w:rPr>
        <w:t>Ofi</w:t>
      </w:r>
      <w:r w:rsidRPr="00A74D23">
        <w:rPr>
          <w:rFonts w:asciiTheme="minorHAnsi" w:hAnsiTheme="minorHAnsi" w:cs="Open Sans"/>
          <w:color w:val="242424"/>
          <w:sz w:val="20"/>
          <w:shd w:val="clear" w:color="auto" w:fill="FFFFFF"/>
          <w:lang w:val="fr-FR"/>
        </w:rPr>
        <w:t xml:space="preserve"> Invest Asset </w:t>
      </w:r>
      <w:r w:rsidR="00504AC6" w:rsidRPr="00A74D23">
        <w:rPr>
          <w:rFonts w:asciiTheme="minorHAnsi" w:hAnsiTheme="minorHAnsi" w:cs="Open Sans"/>
          <w:color w:val="242424"/>
          <w:sz w:val="20"/>
          <w:shd w:val="clear" w:color="auto" w:fill="FFFFFF"/>
          <w:lang w:val="fr-FR"/>
        </w:rPr>
        <w:t>M</w:t>
      </w:r>
      <w:r w:rsidRPr="00A74D23">
        <w:rPr>
          <w:rFonts w:asciiTheme="minorHAnsi" w:hAnsiTheme="minorHAnsi" w:cs="Open Sans"/>
          <w:color w:val="242424"/>
          <w:sz w:val="20"/>
          <w:shd w:val="clear" w:color="auto" w:fill="FFFFFF"/>
          <w:lang w:val="fr-FR"/>
        </w:rPr>
        <w:t xml:space="preserve">anagement </w:t>
      </w:r>
      <w:r w:rsidRPr="00A74D23">
        <w:rPr>
          <w:rFonts w:asciiTheme="minorHAnsi" w:hAnsiTheme="minorHAnsi" w:cs="Open Sans"/>
          <w:sz w:val="20"/>
          <w:lang w:val="fr-FR"/>
        </w:rPr>
        <w:t>n’apporte pas son soutien aux dirigeants d’entreprise qui exercent leurs activités dans des secteurs à fort impact qui n’ont pas formalisé de stratégie crédible de transition. Nous avons renforcé notre politique de vote et d’engagement particulièrement vis-à-vis des sociétés opérant dans les secteurs à fort impact sur le climat. Nous attendons d’elles qu’elles définissent des stratégies climatiques robustes et des voies de transition approuvées par la science. C’est une condition sine qua non pour réduire l’intensité carbone de nos investissements dans ces secteurs.</w:t>
      </w:r>
    </w:p>
    <w:p w14:paraId="326AC96B" w14:textId="08D092DA" w:rsidR="001C002D" w:rsidRPr="00A74D23" w:rsidRDefault="001C002D" w:rsidP="009D6EE5">
      <w:pPr>
        <w:spacing w:after="120" w:line="22" w:lineRule="atLeast"/>
        <w:jc w:val="both"/>
        <w:rPr>
          <w:rFonts w:asciiTheme="minorHAnsi" w:hAnsiTheme="minorHAnsi" w:cs="Open Sans"/>
          <w:sz w:val="20"/>
          <w:lang w:val="fr-FR"/>
        </w:rPr>
      </w:pPr>
      <w:r w:rsidRPr="00A74D23">
        <w:rPr>
          <w:rFonts w:asciiTheme="minorHAnsi" w:hAnsiTheme="minorHAnsi" w:cs="Open Sans"/>
          <w:sz w:val="20"/>
          <w:lang w:val="fr-FR"/>
        </w:rPr>
        <w:t>La politique d’engagement actionnarial, utilisée depuis plusieurs années, revue annuellement est un outil fondamental d’</w:t>
      </w:r>
      <w:r w:rsidR="00495330" w:rsidRPr="00A74D23">
        <w:rPr>
          <w:rFonts w:asciiTheme="minorHAnsi" w:hAnsiTheme="minorHAnsi" w:cs="Open Sans"/>
          <w:color w:val="242424"/>
          <w:sz w:val="20"/>
          <w:shd w:val="clear" w:color="auto" w:fill="FFFFFF"/>
          <w:lang w:val="fr-FR"/>
        </w:rPr>
        <w:t>Ofi</w:t>
      </w:r>
      <w:r w:rsidRPr="00A74D23">
        <w:rPr>
          <w:rFonts w:asciiTheme="minorHAnsi" w:hAnsiTheme="minorHAnsi" w:cs="Open Sans"/>
          <w:color w:val="242424"/>
          <w:sz w:val="20"/>
          <w:shd w:val="clear" w:color="auto" w:fill="FFFFFF"/>
          <w:lang w:val="fr-FR"/>
        </w:rPr>
        <w:t xml:space="preserve"> Invest Asset management </w:t>
      </w:r>
      <w:r w:rsidRPr="00A74D23">
        <w:rPr>
          <w:rFonts w:asciiTheme="minorHAnsi" w:hAnsiTheme="minorHAnsi" w:cs="Open Sans"/>
          <w:sz w:val="20"/>
          <w:lang w:val="fr-FR"/>
        </w:rPr>
        <w:t>pour exercer son rôle actif d’actionnaire responsable. Nos démarches de vote et d’engagement vont dans le même sens : exercer une influence positive sur les entreprises afin qu’elles améliorent leurs pratiques ESG.</w:t>
      </w:r>
    </w:p>
    <w:p w14:paraId="36060F10" w14:textId="77777777" w:rsidR="00EA721F" w:rsidRPr="00A74D23" w:rsidRDefault="00EA721F" w:rsidP="009D6EE5">
      <w:pPr>
        <w:pStyle w:val="TITRE2"/>
        <w:numPr>
          <w:ilvl w:val="0"/>
          <w:numId w:val="0"/>
        </w:numPr>
        <w:spacing w:before="0" w:after="0" w:line="22" w:lineRule="atLeast"/>
        <w:outlineLvl w:val="9"/>
        <w:rPr>
          <w:rFonts w:asciiTheme="minorHAnsi" w:hAnsiTheme="minorHAnsi" w:cs="Open Sans"/>
          <w:color w:val="000000"/>
          <w:sz w:val="20"/>
        </w:rPr>
      </w:pPr>
      <w:bookmarkStart w:id="108" w:name="_Toc94275746"/>
      <w:bookmarkStart w:id="109" w:name="_Toc118912854"/>
    </w:p>
    <w:p w14:paraId="45BDD4D4" w14:textId="23776262" w:rsidR="001C002D" w:rsidRPr="00A74D23" w:rsidRDefault="001C002D" w:rsidP="009D6EE5">
      <w:pPr>
        <w:pStyle w:val="TITRE2"/>
        <w:numPr>
          <w:ilvl w:val="0"/>
          <w:numId w:val="0"/>
        </w:numPr>
        <w:spacing w:before="0" w:line="22" w:lineRule="atLeast"/>
        <w:outlineLvl w:val="9"/>
        <w:rPr>
          <w:rFonts w:asciiTheme="minorHAnsi" w:hAnsiTheme="minorHAnsi" w:cs="Open Sans"/>
          <w:color w:val="000000"/>
          <w:sz w:val="20"/>
        </w:rPr>
      </w:pPr>
      <w:r w:rsidRPr="00A74D23">
        <w:rPr>
          <w:rFonts w:asciiTheme="minorHAnsi" w:hAnsiTheme="minorHAnsi" w:cs="Open Sans"/>
          <w:color w:val="000000"/>
          <w:sz w:val="20"/>
        </w:rPr>
        <w:t>La politique de vote</w:t>
      </w:r>
      <w:bookmarkEnd w:id="108"/>
      <w:bookmarkEnd w:id="109"/>
    </w:p>
    <w:p w14:paraId="1E9AA362" w14:textId="3BBA9D6A" w:rsidR="001C002D" w:rsidRPr="00A74D23" w:rsidRDefault="001C002D"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L’exercice des droits de vote est un moyen privilégié pour </w:t>
      </w:r>
      <w:r w:rsidR="00495330" w:rsidRPr="00A74D23">
        <w:rPr>
          <w:rFonts w:asciiTheme="minorHAnsi" w:hAnsiTheme="minorHAnsi" w:cs="Open Sans"/>
          <w:color w:val="242424"/>
          <w:sz w:val="20"/>
          <w:shd w:val="clear" w:color="auto" w:fill="FFFFFF"/>
          <w:lang w:val="fr-FR"/>
        </w:rPr>
        <w:t>Ofi</w:t>
      </w:r>
      <w:r w:rsidRPr="00A74D23">
        <w:rPr>
          <w:rFonts w:asciiTheme="minorHAnsi" w:hAnsiTheme="minorHAnsi" w:cs="Open Sans"/>
          <w:color w:val="242424"/>
          <w:sz w:val="20"/>
          <w:shd w:val="clear" w:color="auto" w:fill="FFFFFF"/>
          <w:lang w:val="fr-FR"/>
        </w:rPr>
        <w:t xml:space="preserve"> Invest Asset management </w:t>
      </w:r>
      <w:r w:rsidRPr="00A74D23">
        <w:rPr>
          <w:rFonts w:asciiTheme="minorHAnsi" w:hAnsiTheme="minorHAnsi" w:cs="Open Sans"/>
          <w:sz w:val="20"/>
          <w:lang w:val="fr-FR"/>
        </w:rPr>
        <w:t xml:space="preserve">d’établir une relation étroite et constructive avec les conseils d’administration des entreprises dans lesquelles elle investit. </w:t>
      </w:r>
      <w:r w:rsidR="00495330" w:rsidRPr="00A74D23">
        <w:rPr>
          <w:rFonts w:asciiTheme="minorHAnsi" w:hAnsiTheme="minorHAnsi" w:cs="Open Sans"/>
          <w:color w:val="242424"/>
          <w:sz w:val="20"/>
          <w:shd w:val="clear" w:color="auto" w:fill="FFFFFF"/>
          <w:lang w:val="fr-FR"/>
        </w:rPr>
        <w:t>Ofi</w:t>
      </w:r>
      <w:r w:rsidRPr="00A74D23">
        <w:rPr>
          <w:rFonts w:asciiTheme="minorHAnsi" w:hAnsiTheme="minorHAnsi" w:cs="Open Sans"/>
          <w:color w:val="242424"/>
          <w:sz w:val="20"/>
          <w:shd w:val="clear" w:color="auto" w:fill="FFFFFF"/>
          <w:lang w:val="fr-FR"/>
        </w:rPr>
        <w:t xml:space="preserve"> Invest Asset management </w:t>
      </w:r>
      <w:r w:rsidRPr="00A74D23">
        <w:rPr>
          <w:rFonts w:asciiTheme="minorHAnsi" w:hAnsiTheme="minorHAnsi" w:cs="Open Sans"/>
          <w:sz w:val="20"/>
          <w:lang w:val="fr-FR"/>
        </w:rPr>
        <w:t xml:space="preserve">applique une politique stricte et engagée, particulièrement sur les sujets liés aux rémunérations des dirigeants. Nous n’apportons pas notre soutien aux accords de rémunération si des objectifs significatifs en matière de développement durable n’ont pas été intégrés dans la rémunération variable des dirigeants. Depuis 2001, nous avons instauré une politique qui prévoit de refuser tout soutien à une entreprise si les informations publiées sur les questions ESG sont lacunaires ou inexistantes. </w:t>
      </w:r>
      <w:r w:rsidR="00495330" w:rsidRPr="00A74D23">
        <w:rPr>
          <w:rFonts w:asciiTheme="minorHAnsi" w:hAnsiTheme="minorHAnsi" w:cs="Open Sans"/>
          <w:sz w:val="20"/>
          <w:lang w:val="fr-FR"/>
        </w:rPr>
        <w:t>Ofi</w:t>
      </w:r>
      <w:r w:rsidRPr="00A74D23">
        <w:rPr>
          <w:rFonts w:asciiTheme="minorHAnsi" w:hAnsiTheme="minorHAnsi" w:cs="Open Sans"/>
          <w:sz w:val="20"/>
          <w:lang w:val="fr-FR"/>
        </w:rPr>
        <w:t xml:space="preserve"> Invest Asset </w:t>
      </w:r>
      <w:r w:rsidR="004C04CF" w:rsidRPr="00A74D23">
        <w:rPr>
          <w:rFonts w:asciiTheme="minorHAnsi" w:hAnsiTheme="minorHAnsi" w:cs="Open Sans"/>
          <w:sz w:val="20"/>
          <w:lang w:val="fr-FR"/>
        </w:rPr>
        <w:t>M</w:t>
      </w:r>
      <w:r w:rsidRPr="00A74D23">
        <w:rPr>
          <w:rFonts w:asciiTheme="minorHAnsi" w:hAnsiTheme="minorHAnsi" w:cs="Open Sans"/>
          <w:sz w:val="20"/>
          <w:lang w:val="fr-FR"/>
        </w:rPr>
        <w:t>anagement est également l’un des premiers gérants d’actifs à avoir intégré l’évaluation de la diversité dans son analyse de vote. Dans ce cadre, le groupe pourrait voter contre la réélection des dirigeants et l’approbation des comptes si les progrès en matière de diversité sont jugés insuffisants.</w:t>
      </w:r>
    </w:p>
    <w:p w14:paraId="4C08183D" w14:textId="77777777" w:rsidR="00B0718A" w:rsidRPr="00A74D23" w:rsidRDefault="00B0718A" w:rsidP="009D6EE5">
      <w:pPr>
        <w:spacing w:after="60" w:line="22" w:lineRule="atLeast"/>
        <w:jc w:val="both"/>
        <w:rPr>
          <w:rFonts w:asciiTheme="minorHAnsi" w:hAnsiTheme="minorHAnsi" w:cs="Open Sans"/>
          <w:b/>
          <w:sz w:val="20"/>
          <w:lang w:val="fr-FR"/>
        </w:rPr>
      </w:pPr>
    </w:p>
    <w:p w14:paraId="68890994" w14:textId="77777777" w:rsidR="00DD62A2" w:rsidRPr="00A74D23" w:rsidRDefault="00DD62A2" w:rsidP="009D6EE5">
      <w:pPr>
        <w:spacing w:after="60" w:line="22" w:lineRule="atLeast"/>
        <w:jc w:val="both"/>
        <w:rPr>
          <w:rFonts w:asciiTheme="minorHAnsi" w:hAnsiTheme="minorHAnsi" w:cs="Open Sans"/>
          <w:b/>
          <w:sz w:val="20"/>
          <w:lang w:val="fr-FR"/>
        </w:rPr>
      </w:pPr>
    </w:p>
    <w:p w14:paraId="6A486377" w14:textId="77777777" w:rsidR="00E85B29" w:rsidRPr="00A74D23" w:rsidRDefault="00E85B29" w:rsidP="009D6EE5">
      <w:pPr>
        <w:pStyle w:val="Paragraphedeliste"/>
        <w:numPr>
          <w:ilvl w:val="0"/>
          <w:numId w:val="4"/>
        </w:numPr>
        <w:spacing w:after="60" w:line="22" w:lineRule="atLeast"/>
        <w:contextualSpacing w:val="0"/>
        <w:jc w:val="both"/>
        <w:rPr>
          <w:rFonts w:cs="Open Sans"/>
          <w:b/>
          <w:sz w:val="20"/>
        </w:rPr>
      </w:pPr>
      <w:r w:rsidRPr="00A74D23">
        <w:rPr>
          <w:rFonts w:cs="Open Sans"/>
          <w:b/>
          <w:sz w:val="20"/>
        </w:rPr>
        <w:t xml:space="preserve">Références aux normes internationales </w:t>
      </w:r>
    </w:p>
    <w:p w14:paraId="25E976FC" w14:textId="50394556" w:rsidR="00B578FA" w:rsidRPr="00A74D23" w:rsidRDefault="00B578FA" w:rsidP="009D6EE5">
      <w:pPr>
        <w:spacing w:after="120" w:line="22" w:lineRule="atLeast"/>
        <w:jc w:val="both"/>
        <w:rPr>
          <w:rFonts w:asciiTheme="minorHAnsi" w:hAnsiTheme="minorHAnsi" w:cs="Open Sans"/>
          <w:b/>
          <w:sz w:val="20"/>
        </w:rPr>
      </w:pPr>
      <w:r w:rsidRPr="00A74D23">
        <w:rPr>
          <w:rFonts w:asciiTheme="minorHAnsi" w:hAnsiTheme="minorHAnsi" w:cs="Open Sans"/>
          <w:b/>
          <w:sz w:val="20"/>
        </w:rPr>
        <w:t xml:space="preserve">Les engagements responsables d’Abeille Assurances </w:t>
      </w:r>
    </w:p>
    <w:p w14:paraId="08866789" w14:textId="77777777" w:rsidR="00B578FA" w:rsidRPr="00A74D23" w:rsidRDefault="00B578FA" w:rsidP="009D6EE5">
      <w:pPr>
        <w:spacing w:after="120" w:line="22" w:lineRule="atLeast"/>
        <w:jc w:val="both"/>
        <w:rPr>
          <w:rFonts w:asciiTheme="minorHAnsi" w:hAnsiTheme="minorHAnsi" w:cs="Open Sans"/>
          <w:sz w:val="20"/>
          <w:lang w:val="fr-FR"/>
        </w:rPr>
      </w:pPr>
      <w:r w:rsidRPr="00A74D23">
        <w:rPr>
          <w:rFonts w:asciiTheme="minorHAnsi" w:hAnsiTheme="minorHAnsi" w:cs="Open Sans"/>
          <w:sz w:val="20"/>
          <w:szCs w:val="20"/>
          <w:lang w:val="fr-FR"/>
        </w:rPr>
        <w:t>Les engagements d’Abeille Assurances en matière de durabilité et de lutte contre le changement climatique se reflètent à travers le fait qu’Abeille Assurances, en tant que filiale d’Aéma Groupe, est signataire des Principes pour l’Investissement Responsable (UN PRI</w:t>
      </w:r>
      <w:r w:rsidRPr="00A74D23">
        <w:rPr>
          <w:rFonts w:asciiTheme="minorHAnsi" w:hAnsiTheme="minorHAnsi" w:cs="Open Sans"/>
          <w:bCs/>
          <w:sz w:val="20"/>
          <w:szCs w:val="20"/>
          <w:vertAlign w:val="superscript"/>
        </w:rPr>
        <w:footnoteReference w:id="15"/>
      </w:r>
      <w:r w:rsidRPr="00A74D23">
        <w:rPr>
          <w:rFonts w:asciiTheme="minorHAnsi" w:hAnsiTheme="minorHAnsi" w:cs="Open Sans"/>
          <w:sz w:val="20"/>
          <w:szCs w:val="20"/>
          <w:lang w:val="fr-FR"/>
        </w:rPr>
        <w:t xml:space="preserve">), du Finance for Biodiversity Pledge et de la Net Zero Asset Owner Alliance. Cet engagement en matière de responsabilité sociale et environnementale se manifeste par l’obligation de mise en place d’une stratégie d’investissement responsable. Abeille Assurances suit également les recommandations de la TCFD (Task force on Climate-related Financial Disclosure) dont l’objectif est de prodiguer des recommandations sur le reporting des risques et des opportunités liés au changement climatique afin de réconcilier les décisions financières d’investissement avec les conséquences concrètes du changement climatique. </w:t>
      </w:r>
    </w:p>
    <w:p w14:paraId="273E98E9" w14:textId="1F51BC19" w:rsidR="00B578FA" w:rsidRPr="00A74D23" w:rsidRDefault="00B578FA" w:rsidP="009D6EE5">
      <w:pPr>
        <w:spacing w:after="120"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En matière de transparence et de reporting extra financier, le rapport ESG Climat d’Abeille Assurances a pour but d’informer l’ensemble des parties prenantes sur nos activités de développement durable et d’investissement responsable. Par exemple, Abeille Assurances s’est engagée à réduire de </w:t>
      </w:r>
      <w:r w:rsidR="00365656" w:rsidRPr="00A74D23">
        <w:rPr>
          <w:rFonts w:asciiTheme="minorHAnsi" w:hAnsiTheme="minorHAnsi" w:cs="Open Sans"/>
          <w:sz w:val="20"/>
          <w:lang w:val="fr-FR"/>
        </w:rPr>
        <w:t>40</w:t>
      </w:r>
      <w:r w:rsidRPr="00A74D23">
        <w:rPr>
          <w:rFonts w:asciiTheme="minorHAnsi" w:hAnsiTheme="minorHAnsi" w:cs="Open Sans"/>
          <w:sz w:val="20"/>
          <w:lang w:val="fr-FR"/>
        </w:rPr>
        <w:t xml:space="preserve">% </w:t>
      </w:r>
      <w:r w:rsidR="00365656" w:rsidRPr="00A74D23">
        <w:rPr>
          <w:rFonts w:asciiTheme="minorHAnsi" w:hAnsiTheme="minorHAnsi" w:cs="Open Sans"/>
          <w:sz w:val="20"/>
          <w:lang w:val="fr-FR"/>
        </w:rPr>
        <w:t>l’empreinte</w:t>
      </w:r>
      <w:r w:rsidRPr="00A74D23">
        <w:rPr>
          <w:rFonts w:asciiTheme="minorHAnsi" w:hAnsiTheme="minorHAnsi" w:cs="Open Sans"/>
          <w:sz w:val="20"/>
          <w:lang w:val="fr-FR"/>
        </w:rPr>
        <w:t xml:space="preserve"> carbone de son portefeuille d’investissements entre 2019 et 202</w:t>
      </w:r>
      <w:r w:rsidR="00365656" w:rsidRPr="00A74D23">
        <w:rPr>
          <w:rFonts w:asciiTheme="minorHAnsi" w:hAnsiTheme="minorHAnsi" w:cs="Open Sans"/>
          <w:sz w:val="20"/>
          <w:lang w:val="fr-FR"/>
        </w:rPr>
        <w:t>9</w:t>
      </w:r>
      <w:r w:rsidRPr="00A74D23">
        <w:rPr>
          <w:rFonts w:asciiTheme="minorHAnsi" w:hAnsiTheme="minorHAnsi" w:cs="Open Sans"/>
          <w:sz w:val="20"/>
          <w:lang w:val="fr-FR"/>
        </w:rPr>
        <w:t xml:space="preserve"> dans le cadre de la mise en place de sa stratégie d’alignement avec l’Accord de Paris. Le rapport ESG Climat permet de suivre l’atteinte de cet objectif. </w:t>
      </w:r>
    </w:p>
    <w:p w14:paraId="117D35E8" w14:textId="0B89CE6A" w:rsidR="00D81DBA" w:rsidRPr="00A74D23" w:rsidRDefault="00D81DBA" w:rsidP="009D6EE5">
      <w:pPr>
        <w:spacing w:line="22" w:lineRule="atLeast"/>
        <w:jc w:val="both"/>
        <w:rPr>
          <w:rFonts w:asciiTheme="minorHAnsi" w:eastAsiaTheme="majorEastAsia" w:hAnsiTheme="minorHAnsi" w:cs="Open Sans"/>
          <w:b/>
          <w:sz w:val="20"/>
          <w:szCs w:val="32"/>
          <w:lang w:val="fr-FR"/>
        </w:rPr>
      </w:pPr>
      <w:bookmarkStart w:id="110" w:name="_Toc129091847"/>
      <w:bookmarkStart w:id="111" w:name="_Toc128735935"/>
      <w:r w:rsidRPr="00A74D23">
        <w:rPr>
          <w:rFonts w:asciiTheme="minorHAnsi" w:hAnsiTheme="minorHAnsi" w:cs="Open Sans"/>
          <w:sz w:val="20"/>
          <w:lang w:val="fr-FR"/>
        </w:rPr>
        <w:br w:type="page"/>
      </w:r>
    </w:p>
    <w:p w14:paraId="6B808CF5" w14:textId="24EB9728" w:rsidR="00E06D1B" w:rsidRPr="00A74D23" w:rsidRDefault="00E06D1B" w:rsidP="009D6EE5">
      <w:pPr>
        <w:pStyle w:val="Titre10"/>
        <w:spacing w:line="22" w:lineRule="atLeast"/>
        <w:ind w:left="708" w:hanging="708"/>
        <w:jc w:val="both"/>
        <w:rPr>
          <w:rFonts w:asciiTheme="minorHAnsi" w:hAnsiTheme="minorHAnsi" w:cs="Open Sans"/>
          <w:sz w:val="40"/>
          <w:szCs w:val="56"/>
        </w:rPr>
      </w:pPr>
      <w:bookmarkStart w:id="112" w:name="_Toc231337031"/>
      <w:r w:rsidRPr="00A74D23">
        <w:rPr>
          <w:rFonts w:asciiTheme="minorHAnsi" w:hAnsiTheme="minorHAnsi" w:cs="Open Sans"/>
          <w:sz w:val="48"/>
          <w:szCs w:val="96"/>
        </w:rPr>
        <w:t>Annexes</w:t>
      </w:r>
      <w:bookmarkEnd w:id="112"/>
      <w:r w:rsidRPr="00A74D23">
        <w:rPr>
          <w:rFonts w:asciiTheme="minorHAnsi" w:hAnsiTheme="minorHAnsi" w:cs="Open Sans"/>
          <w:sz w:val="40"/>
          <w:szCs w:val="56"/>
        </w:rPr>
        <w:t> </w:t>
      </w:r>
      <w:bookmarkEnd w:id="110"/>
      <w:bookmarkEnd w:id="111"/>
    </w:p>
    <w:p w14:paraId="0AEDDFC2" w14:textId="77777777" w:rsidR="00D432B8" w:rsidRPr="00A74D23" w:rsidRDefault="00D432B8" w:rsidP="009D6EE5">
      <w:pPr>
        <w:pStyle w:val="Paragraphedeliste"/>
        <w:spacing w:after="0" w:line="22" w:lineRule="atLeast"/>
        <w:ind w:left="927"/>
        <w:jc w:val="both"/>
        <w:rPr>
          <w:rFonts w:cs="Open Sans"/>
          <w:i/>
          <w:color w:val="E9D9CE" w:themeColor="accent5"/>
          <w:sz w:val="20"/>
        </w:rPr>
      </w:pPr>
    </w:p>
    <w:p w14:paraId="1E07F03D" w14:textId="6BB48EA8" w:rsidR="00697D4E" w:rsidRPr="00A74D23" w:rsidRDefault="00697D4E" w:rsidP="009D6EE5">
      <w:pPr>
        <w:pStyle w:val="Style3"/>
        <w:spacing w:line="22" w:lineRule="atLeast"/>
        <w:jc w:val="both"/>
        <w:rPr>
          <w:rFonts w:asciiTheme="minorHAnsi" w:hAnsiTheme="minorHAnsi" w:cs="Open Sans"/>
        </w:rPr>
      </w:pPr>
      <w:bookmarkStart w:id="113" w:name="_Toc129091849"/>
      <w:bookmarkStart w:id="114" w:name="_Toc128735937"/>
      <w:r w:rsidRPr="00A74D23">
        <w:rPr>
          <w:rFonts w:asciiTheme="minorHAnsi" w:hAnsiTheme="minorHAnsi" w:cs="Open Sans"/>
        </w:rPr>
        <w:t>Glossaire</w:t>
      </w:r>
      <w:bookmarkEnd w:id="113"/>
      <w:bookmarkEnd w:id="114"/>
    </w:p>
    <w:p w14:paraId="6C50CD3E" w14:textId="10903191" w:rsidR="00512341" w:rsidRPr="00A74D23" w:rsidRDefault="0075181B" w:rsidP="009D6EE5">
      <w:pPr>
        <w:spacing w:line="22" w:lineRule="atLeast"/>
        <w:jc w:val="both"/>
        <w:rPr>
          <w:rFonts w:asciiTheme="minorHAnsi" w:hAnsiTheme="minorHAnsi" w:cs="Open Sans"/>
          <w:sz w:val="20"/>
          <w:lang w:val="fr-FR"/>
        </w:rPr>
      </w:pPr>
      <w:r w:rsidRPr="00A74D23">
        <w:rPr>
          <w:rFonts w:asciiTheme="minorHAnsi" w:hAnsiTheme="minorHAnsi" w:cs="Open Sans"/>
          <w:b/>
          <w:sz w:val="20"/>
          <w:lang w:val="fr-FR"/>
        </w:rPr>
        <w:t>Actif</w:t>
      </w:r>
      <w:r w:rsidRPr="00A74D23">
        <w:rPr>
          <w:rFonts w:ascii="Arial" w:hAnsi="Arial" w:cs="Arial"/>
          <w:sz w:val="20"/>
          <w:lang w:val="fr-FR"/>
        </w:rPr>
        <w:t> </w:t>
      </w:r>
      <w:r w:rsidRPr="00A74D23">
        <w:rPr>
          <w:rFonts w:asciiTheme="minorHAnsi" w:hAnsiTheme="minorHAnsi" w:cs="Open Sans"/>
          <w:sz w:val="20"/>
          <w:lang w:val="fr-FR"/>
        </w:rPr>
        <w:t>: Un actif financier est un titre ou un contrat, généralement transmissible et négociable (par exemple sur un marché financier), qui est susceptible de produire à son détenteur des revenus ou un gain en capital, en contrepartie d’une certaine prise de risque. Les actions et obligations sont des actifs financiers par exemple.</w:t>
      </w:r>
    </w:p>
    <w:p w14:paraId="55F87F5C" w14:textId="61114A53" w:rsidR="0075181B" w:rsidRPr="00A74D23" w:rsidRDefault="0075181B" w:rsidP="009D6EE5">
      <w:pPr>
        <w:spacing w:line="22" w:lineRule="atLeast"/>
        <w:jc w:val="both"/>
        <w:rPr>
          <w:rFonts w:asciiTheme="minorHAnsi" w:hAnsiTheme="minorHAnsi" w:cs="Open Sans"/>
          <w:sz w:val="20"/>
          <w:lang w:val="fr-FR"/>
        </w:rPr>
      </w:pPr>
      <w:r w:rsidRPr="00A74D23">
        <w:rPr>
          <w:rFonts w:asciiTheme="minorHAnsi" w:hAnsiTheme="minorHAnsi" w:cs="Open Sans"/>
          <w:b/>
          <w:sz w:val="20"/>
          <w:lang w:val="fr-FR"/>
        </w:rPr>
        <w:t>Action</w:t>
      </w:r>
      <w:r w:rsidRPr="00A74D23">
        <w:rPr>
          <w:rFonts w:ascii="Arial" w:hAnsi="Arial" w:cs="Arial"/>
          <w:sz w:val="20"/>
          <w:lang w:val="fr-FR"/>
        </w:rPr>
        <w:t> </w:t>
      </w:r>
      <w:r w:rsidRPr="00A74D23">
        <w:rPr>
          <w:rFonts w:asciiTheme="minorHAnsi" w:hAnsiTheme="minorHAnsi" w:cs="Open Sans"/>
          <w:sz w:val="20"/>
          <w:lang w:val="fr-FR"/>
        </w:rPr>
        <w:t>: Une action est un titre de propriété délivré par une entreprise. Elle confère à son détenteur la propriété d’une partie du capital de cette entreprise, avec les droits qui y sont associés</w:t>
      </w:r>
      <w:r w:rsidRPr="00A74D23">
        <w:rPr>
          <w:rFonts w:ascii="Arial" w:hAnsi="Arial" w:cs="Arial"/>
          <w:sz w:val="20"/>
          <w:lang w:val="fr-FR"/>
        </w:rPr>
        <w:t> </w:t>
      </w:r>
      <w:r w:rsidRPr="00A74D23">
        <w:rPr>
          <w:rFonts w:asciiTheme="minorHAnsi" w:hAnsiTheme="minorHAnsi" w:cs="Open Sans"/>
          <w:sz w:val="20"/>
          <w:lang w:val="fr-FR"/>
        </w:rPr>
        <w:t xml:space="preserve">: </w:t>
      </w:r>
      <w:r w:rsidR="00FE0CD7" w:rsidRPr="00A74D23">
        <w:rPr>
          <w:rFonts w:asciiTheme="minorHAnsi" w:hAnsiTheme="minorHAnsi" w:cs="Open Sans"/>
          <w:sz w:val="20"/>
          <w:lang w:val="fr-FR"/>
        </w:rPr>
        <w:t>d’</w:t>
      </w:r>
      <w:r w:rsidRPr="00A74D23">
        <w:rPr>
          <w:rFonts w:asciiTheme="minorHAnsi" w:hAnsiTheme="minorHAnsi" w:cs="Open Sans"/>
          <w:sz w:val="20"/>
          <w:lang w:val="fr-FR"/>
        </w:rPr>
        <w:t xml:space="preserve">intervenir dans la gestion de l’entreprise (via, par exemple, un vote) et </w:t>
      </w:r>
      <w:r w:rsidR="00FE0CD7" w:rsidRPr="00A74D23">
        <w:rPr>
          <w:rFonts w:asciiTheme="minorHAnsi" w:hAnsiTheme="minorHAnsi" w:cs="Open Sans"/>
          <w:sz w:val="20"/>
          <w:lang w:val="fr-FR"/>
        </w:rPr>
        <w:t>d’</w:t>
      </w:r>
      <w:r w:rsidRPr="00A74D23">
        <w:rPr>
          <w:rFonts w:asciiTheme="minorHAnsi" w:hAnsiTheme="minorHAnsi" w:cs="Open Sans"/>
          <w:sz w:val="20"/>
          <w:lang w:val="fr-FR"/>
        </w:rPr>
        <w:t>en retirer un revenu appelé dividende.</w:t>
      </w:r>
    </w:p>
    <w:p w14:paraId="694B21DF" w14:textId="7D78E3C6" w:rsidR="0075181B" w:rsidRPr="00A74D23" w:rsidRDefault="0075181B" w:rsidP="009D6EE5">
      <w:pPr>
        <w:spacing w:line="22" w:lineRule="atLeast"/>
        <w:jc w:val="both"/>
        <w:rPr>
          <w:rFonts w:asciiTheme="minorHAnsi" w:hAnsiTheme="minorHAnsi" w:cs="Open Sans"/>
          <w:sz w:val="20"/>
          <w:lang w:val="fr-FR"/>
        </w:rPr>
      </w:pPr>
      <w:r w:rsidRPr="00A74D23">
        <w:rPr>
          <w:rFonts w:asciiTheme="minorHAnsi" w:hAnsiTheme="minorHAnsi" w:cs="Open Sans"/>
          <w:b/>
          <w:sz w:val="20"/>
          <w:lang w:val="fr-FR"/>
        </w:rPr>
        <w:t>Changement climatique</w:t>
      </w:r>
      <w:r w:rsidRPr="00A74D23">
        <w:rPr>
          <w:rFonts w:asciiTheme="minorHAnsi" w:hAnsiTheme="minorHAnsi" w:cs="Open Sans"/>
          <w:sz w:val="20"/>
          <w:lang w:val="fr-FR"/>
        </w:rPr>
        <w:t xml:space="preserve"> : Tout changement de climat dans le temps, qu’il soit dû à la variabilité naturelle ou aux activités humaines. Cette définition diffère de celle qui est employée dans la Convention cadre des Nations Unies sur les changements climatiques, dans laquelle le changement climatique s’applique à un changement de climat attribué directement ou indirectement aux activités humaines qui modifient la composition de l’atmosphère dans son ensemble et qui s’ajoute à la variabilité naturelle du climat constatée sur des périodes de temps comparables (GIEC)</w:t>
      </w:r>
      <w:r w:rsidR="00826BBB" w:rsidRPr="00A74D23">
        <w:rPr>
          <w:rFonts w:asciiTheme="minorHAnsi" w:hAnsiTheme="minorHAnsi" w:cs="Open Sans"/>
          <w:sz w:val="20"/>
          <w:lang w:val="fr-FR"/>
        </w:rPr>
        <w:t>.</w:t>
      </w:r>
    </w:p>
    <w:p w14:paraId="2A23BD87" w14:textId="315DD42D" w:rsidR="0075181B" w:rsidRPr="00A74D23" w:rsidRDefault="002332F4" w:rsidP="009D6EE5">
      <w:pPr>
        <w:spacing w:line="22" w:lineRule="atLeast"/>
        <w:jc w:val="both"/>
        <w:rPr>
          <w:rFonts w:asciiTheme="minorHAnsi" w:hAnsiTheme="minorHAnsi" w:cs="Open Sans"/>
          <w:sz w:val="20"/>
          <w:lang w:val="fr-FR"/>
        </w:rPr>
      </w:pPr>
      <w:r w:rsidRPr="00A74D23">
        <w:rPr>
          <w:rFonts w:asciiTheme="minorHAnsi" w:hAnsiTheme="minorHAnsi" w:cs="Open Sans"/>
          <w:b/>
          <w:sz w:val="20"/>
          <w:lang w:val="fr-FR"/>
        </w:rPr>
        <w:t>CO</w:t>
      </w:r>
      <w:r w:rsidRPr="00A74D23">
        <w:rPr>
          <w:rFonts w:asciiTheme="minorHAnsi" w:hAnsiTheme="minorHAnsi" w:cs="Open Sans"/>
          <w:b/>
          <w:sz w:val="20"/>
          <w:vertAlign w:val="subscript"/>
          <w:lang w:val="fr-FR"/>
        </w:rPr>
        <w:t>2</w:t>
      </w:r>
      <w:r w:rsidRPr="00A74D23">
        <w:rPr>
          <w:rFonts w:asciiTheme="minorHAnsi" w:hAnsiTheme="minorHAnsi" w:cs="Open Sans"/>
          <w:sz w:val="20"/>
          <w:lang w:val="fr-FR"/>
        </w:rPr>
        <w:t xml:space="preserve"> :</w:t>
      </w:r>
      <w:r w:rsidR="0075181B" w:rsidRPr="00A74D23">
        <w:rPr>
          <w:rFonts w:asciiTheme="minorHAnsi" w:hAnsiTheme="minorHAnsi" w:cs="Open Sans"/>
          <w:sz w:val="20"/>
          <w:lang w:val="fr-FR"/>
        </w:rPr>
        <w:t xml:space="preserve"> Dioxyde de carbone, l’un des principaux gaz à effet de serre.</w:t>
      </w:r>
    </w:p>
    <w:p w14:paraId="3020A61F" w14:textId="6CA7156A" w:rsidR="0075181B" w:rsidRPr="00A74D23" w:rsidRDefault="002332F4" w:rsidP="009D6EE5">
      <w:pPr>
        <w:spacing w:line="22" w:lineRule="atLeast"/>
        <w:jc w:val="both"/>
        <w:rPr>
          <w:rFonts w:asciiTheme="minorHAnsi" w:hAnsiTheme="minorHAnsi" w:cs="Open Sans"/>
          <w:sz w:val="20"/>
          <w:lang w:val="fr-FR"/>
        </w:rPr>
      </w:pPr>
      <w:r w:rsidRPr="00A74D23">
        <w:rPr>
          <w:rFonts w:asciiTheme="minorHAnsi" w:hAnsiTheme="minorHAnsi" w:cs="Open Sans"/>
          <w:b/>
          <w:sz w:val="20"/>
          <w:lang w:val="fr-FR"/>
        </w:rPr>
        <w:t>Contrepartie</w:t>
      </w:r>
      <w:r w:rsidRPr="00A74D23">
        <w:rPr>
          <w:rFonts w:ascii="Arial" w:hAnsi="Arial" w:cs="Arial"/>
          <w:sz w:val="20"/>
          <w:lang w:val="fr-FR"/>
        </w:rPr>
        <w:t> </w:t>
      </w:r>
      <w:r w:rsidRPr="00A74D23">
        <w:rPr>
          <w:rFonts w:asciiTheme="minorHAnsi" w:hAnsiTheme="minorHAnsi" w:cs="Open Sans"/>
          <w:sz w:val="20"/>
          <w:lang w:val="fr-FR"/>
        </w:rPr>
        <w:t>: Entité se situant de l’autre côté d’une transaction, en position d’acheteur ou de vendeur</w:t>
      </w:r>
    </w:p>
    <w:p w14:paraId="7FC64DFE" w14:textId="45DF832C" w:rsidR="002332F4" w:rsidRPr="00A74D23" w:rsidRDefault="002332F4" w:rsidP="009D6EE5">
      <w:pPr>
        <w:spacing w:line="22" w:lineRule="atLeast"/>
        <w:jc w:val="both"/>
        <w:rPr>
          <w:rFonts w:asciiTheme="minorHAnsi" w:hAnsiTheme="minorHAnsi" w:cs="Open Sans"/>
          <w:sz w:val="20"/>
          <w:lang w:val="fr-FR"/>
        </w:rPr>
      </w:pPr>
      <w:r w:rsidRPr="00A74D23">
        <w:rPr>
          <w:rFonts w:asciiTheme="minorHAnsi" w:hAnsiTheme="minorHAnsi" w:cs="Open Sans"/>
          <w:b/>
          <w:sz w:val="20"/>
          <w:lang w:val="fr-FR"/>
        </w:rPr>
        <w:t>Critères ESG</w:t>
      </w:r>
      <w:r w:rsidRPr="00A74D23">
        <w:rPr>
          <w:rFonts w:ascii="Arial" w:hAnsi="Arial" w:cs="Arial"/>
          <w:sz w:val="20"/>
          <w:lang w:val="fr-FR"/>
        </w:rPr>
        <w:t> </w:t>
      </w:r>
      <w:r w:rsidRPr="00A74D23">
        <w:rPr>
          <w:rFonts w:asciiTheme="minorHAnsi" w:hAnsiTheme="minorHAnsi" w:cs="Open Sans"/>
          <w:sz w:val="20"/>
          <w:lang w:val="fr-FR"/>
        </w:rPr>
        <w:t>: Critères environnementaux, sociaux et de gouvernance d’entreprise</w:t>
      </w:r>
    </w:p>
    <w:p w14:paraId="0CDDBB87" w14:textId="17D11940" w:rsidR="002332F4" w:rsidRPr="00A74D23" w:rsidRDefault="002332F4" w:rsidP="009D6EE5">
      <w:pPr>
        <w:spacing w:line="22" w:lineRule="atLeast"/>
        <w:jc w:val="both"/>
        <w:rPr>
          <w:rFonts w:asciiTheme="minorHAnsi" w:hAnsiTheme="minorHAnsi" w:cs="Open Sans"/>
          <w:sz w:val="20"/>
          <w:lang w:val="fr-FR"/>
        </w:rPr>
      </w:pPr>
      <w:r w:rsidRPr="00A74D23">
        <w:rPr>
          <w:rFonts w:asciiTheme="minorHAnsi" w:hAnsiTheme="minorHAnsi" w:cs="Open Sans"/>
          <w:b/>
          <w:sz w:val="20"/>
          <w:lang w:val="fr-FR"/>
        </w:rPr>
        <w:t>Développement durable</w:t>
      </w:r>
      <w:r w:rsidRPr="00A74D23">
        <w:rPr>
          <w:rFonts w:ascii="Arial" w:hAnsi="Arial" w:cs="Arial"/>
          <w:sz w:val="20"/>
          <w:lang w:val="fr-FR"/>
        </w:rPr>
        <w:t> </w:t>
      </w:r>
      <w:r w:rsidRPr="00A74D23">
        <w:rPr>
          <w:rFonts w:asciiTheme="minorHAnsi" w:hAnsiTheme="minorHAnsi" w:cs="Open Sans"/>
          <w:sz w:val="20"/>
          <w:lang w:val="fr-FR"/>
        </w:rPr>
        <w:t>: Développement qui répond aux besoins du présent sans compromettre la capacité des générations futures à répondre à leurs propres besoins (Rapport Brundtland, 1987).</w:t>
      </w:r>
    </w:p>
    <w:p w14:paraId="36575C44" w14:textId="7AFD51DF" w:rsidR="002332F4" w:rsidRPr="00A74D23" w:rsidRDefault="002332F4" w:rsidP="009D6EE5">
      <w:pPr>
        <w:spacing w:line="22" w:lineRule="atLeast"/>
        <w:jc w:val="both"/>
        <w:rPr>
          <w:rFonts w:asciiTheme="minorHAnsi" w:hAnsiTheme="minorHAnsi" w:cs="Open Sans"/>
          <w:sz w:val="20"/>
          <w:lang w:val="fr-FR"/>
        </w:rPr>
      </w:pPr>
      <w:r w:rsidRPr="00A74D23">
        <w:rPr>
          <w:rFonts w:asciiTheme="minorHAnsi" w:hAnsiTheme="minorHAnsi" w:cs="Open Sans"/>
          <w:b/>
          <w:sz w:val="20"/>
          <w:lang w:val="fr-FR"/>
        </w:rPr>
        <w:t>Droit de vote</w:t>
      </w:r>
      <w:r w:rsidRPr="00A74D23">
        <w:rPr>
          <w:rFonts w:asciiTheme="minorHAnsi" w:hAnsiTheme="minorHAnsi" w:cs="Open Sans"/>
          <w:sz w:val="20"/>
          <w:lang w:val="fr-FR"/>
        </w:rPr>
        <w:t xml:space="preserve"> : Attaché à une action, le droit de vote permet à son détenteur d’exprimer sa position et de participer aux décisions stratégiques d’une entreprise.</w:t>
      </w:r>
    </w:p>
    <w:p w14:paraId="1E7AE799" w14:textId="7CFB9BED" w:rsidR="002332F4" w:rsidRPr="00A74D23" w:rsidRDefault="002332F4" w:rsidP="009D6EE5">
      <w:pPr>
        <w:spacing w:line="22" w:lineRule="atLeast"/>
        <w:jc w:val="both"/>
        <w:rPr>
          <w:rFonts w:asciiTheme="minorHAnsi" w:hAnsiTheme="minorHAnsi" w:cs="Open Sans"/>
          <w:sz w:val="20"/>
          <w:lang w:val="fr-FR"/>
        </w:rPr>
      </w:pPr>
      <w:r w:rsidRPr="00A74D23">
        <w:rPr>
          <w:rFonts w:asciiTheme="minorHAnsi" w:hAnsiTheme="minorHAnsi" w:cs="Open Sans"/>
          <w:b/>
          <w:sz w:val="20"/>
          <w:lang w:val="fr-FR"/>
        </w:rPr>
        <w:t>Effet de serre</w:t>
      </w:r>
      <w:r w:rsidRPr="00A74D23">
        <w:rPr>
          <w:rFonts w:asciiTheme="minorHAnsi" w:hAnsiTheme="minorHAnsi" w:cs="Open Sans"/>
          <w:sz w:val="20"/>
          <w:lang w:val="fr-FR"/>
        </w:rPr>
        <w:t xml:space="preserve"> : L’effet de serre est un phénomène naturel provoquant une élévation de la température à la surface de notre planète. Les activités humaines affectent la composition chimique de l’atmosphère en larguant des gaz entraînant un effet de serre additionnel, responsable en grande partie du changement climatique actuel. Les gaz à effet de serre sont les gaz responsables de ce phénomène (Météo France)</w:t>
      </w:r>
      <w:r w:rsidR="00CD109D" w:rsidRPr="00A74D23">
        <w:rPr>
          <w:rFonts w:asciiTheme="minorHAnsi" w:hAnsiTheme="minorHAnsi" w:cs="Open Sans"/>
          <w:sz w:val="20"/>
          <w:lang w:val="fr-FR"/>
        </w:rPr>
        <w:t>.</w:t>
      </w:r>
    </w:p>
    <w:p w14:paraId="44799285" w14:textId="5B99CB5B" w:rsidR="0075181B" w:rsidRPr="00A74D23" w:rsidRDefault="004A23AD" w:rsidP="009D6EE5">
      <w:pPr>
        <w:spacing w:line="22" w:lineRule="atLeast"/>
        <w:jc w:val="both"/>
        <w:rPr>
          <w:rFonts w:asciiTheme="minorHAnsi" w:hAnsiTheme="minorHAnsi" w:cs="Open Sans"/>
          <w:sz w:val="20"/>
          <w:lang w:val="fr-FR"/>
        </w:rPr>
      </w:pPr>
      <w:r w:rsidRPr="00A74D23">
        <w:rPr>
          <w:rFonts w:asciiTheme="minorHAnsi" w:hAnsiTheme="minorHAnsi" w:cs="Open Sans"/>
          <w:b/>
          <w:sz w:val="20"/>
          <w:lang w:val="fr-FR"/>
        </w:rPr>
        <w:t>Exposition financière</w:t>
      </w:r>
      <w:r w:rsidRPr="00A74D23">
        <w:rPr>
          <w:rFonts w:ascii="Arial" w:hAnsi="Arial" w:cs="Arial"/>
          <w:sz w:val="20"/>
          <w:lang w:val="fr-FR"/>
        </w:rPr>
        <w:t> </w:t>
      </w:r>
      <w:r w:rsidRPr="00A74D23">
        <w:rPr>
          <w:rFonts w:asciiTheme="minorHAnsi" w:hAnsiTheme="minorHAnsi" w:cs="Open Sans"/>
          <w:sz w:val="20"/>
          <w:lang w:val="fr-FR"/>
        </w:rPr>
        <w:t>: Part d’un fonds investi sur une valeur, un actif ou un groupe d’actifs</w:t>
      </w:r>
      <w:r w:rsidR="00CD109D" w:rsidRPr="00A74D23">
        <w:rPr>
          <w:rFonts w:asciiTheme="minorHAnsi" w:hAnsiTheme="minorHAnsi" w:cs="Open Sans"/>
          <w:sz w:val="20"/>
          <w:lang w:val="fr-FR"/>
        </w:rPr>
        <w:t>.</w:t>
      </w:r>
    </w:p>
    <w:p w14:paraId="0E4C2402" w14:textId="08A9C472" w:rsidR="004A23AD" w:rsidRPr="00A74D23" w:rsidRDefault="004A23AD" w:rsidP="009D6EE5">
      <w:pPr>
        <w:spacing w:line="22" w:lineRule="atLeast"/>
        <w:jc w:val="both"/>
        <w:rPr>
          <w:rFonts w:asciiTheme="minorHAnsi" w:hAnsiTheme="minorHAnsi" w:cs="Open Sans"/>
          <w:sz w:val="20"/>
          <w:lang w:val="fr-FR"/>
        </w:rPr>
      </w:pPr>
      <w:r w:rsidRPr="00A74D23">
        <w:rPr>
          <w:rFonts w:asciiTheme="minorHAnsi" w:hAnsiTheme="minorHAnsi" w:cs="Open Sans"/>
          <w:b/>
          <w:bCs/>
          <w:sz w:val="20"/>
          <w:lang w:val="fr-FR"/>
        </w:rPr>
        <w:t>Gestion sous mandat de gestion</w:t>
      </w:r>
      <w:r w:rsidRPr="00A74D23">
        <w:rPr>
          <w:rFonts w:ascii="Arial" w:hAnsi="Arial" w:cs="Arial"/>
          <w:b/>
          <w:bCs/>
          <w:sz w:val="20"/>
          <w:lang w:val="fr-FR"/>
        </w:rPr>
        <w:t> </w:t>
      </w:r>
      <w:r w:rsidRPr="00A74D23">
        <w:rPr>
          <w:rFonts w:asciiTheme="minorHAnsi" w:hAnsiTheme="minorHAnsi" w:cs="Open Sans"/>
          <w:b/>
          <w:bCs/>
          <w:sz w:val="20"/>
          <w:lang w:val="fr-FR"/>
        </w:rPr>
        <w:t>:</w:t>
      </w:r>
      <w:r w:rsidRPr="00A74D23">
        <w:rPr>
          <w:rFonts w:asciiTheme="minorHAnsi" w:hAnsiTheme="minorHAnsi" w:cs="Open Sans"/>
          <w:sz w:val="20"/>
          <w:lang w:val="fr-FR"/>
        </w:rPr>
        <w:t xml:space="preserve"> Dans le cadre de la gestion sous mandats, le client confie la gestion de son épargne à l’assureur qui a la faculté de décider de la manière dont les investissements de son client sont gérés dans le cadre défini par le mandat de gestion. Dans le présent rapport, les mandats de gestion incluent les fonds en euros gérés par </w:t>
      </w:r>
      <w:r w:rsidR="00495330" w:rsidRPr="00A74D23">
        <w:rPr>
          <w:rFonts w:asciiTheme="minorHAnsi" w:hAnsiTheme="minorHAnsi" w:cs="Open Sans"/>
          <w:sz w:val="20"/>
          <w:lang w:val="fr-FR"/>
        </w:rPr>
        <w:t>Ofi</w:t>
      </w:r>
      <w:r w:rsidR="003530C8" w:rsidRPr="00A74D23">
        <w:rPr>
          <w:rFonts w:asciiTheme="minorHAnsi" w:hAnsiTheme="minorHAnsi" w:cs="Open Sans"/>
          <w:sz w:val="20"/>
          <w:lang w:val="fr-FR"/>
        </w:rPr>
        <w:t xml:space="preserve"> Invest Asset Manage</w:t>
      </w:r>
      <w:r w:rsidR="00915735" w:rsidRPr="00A74D23">
        <w:rPr>
          <w:rFonts w:asciiTheme="minorHAnsi" w:hAnsiTheme="minorHAnsi" w:cs="Open Sans"/>
          <w:sz w:val="20"/>
          <w:lang w:val="fr-FR"/>
        </w:rPr>
        <w:t>ment</w:t>
      </w:r>
      <w:r w:rsidRPr="00A74D23">
        <w:rPr>
          <w:rFonts w:asciiTheme="minorHAnsi" w:hAnsiTheme="minorHAnsi" w:cs="Open Sans"/>
          <w:sz w:val="20"/>
          <w:lang w:val="fr-FR"/>
        </w:rPr>
        <w:t xml:space="preserve"> ainsi que tout fonds géré en représentation d’un contrat d’assurance.</w:t>
      </w:r>
    </w:p>
    <w:p w14:paraId="2A7FF12D" w14:textId="626DCF36" w:rsidR="004A23AD" w:rsidRPr="00A74D23" w:rsidRDefault="004A23AD" w:rsidP="009D6EE5">
      <w:pPr>
        <w:spacing w:line="22" w:lineRule="atLeast"/>
        <w:jc w:val="both"/>
        <w:rPr>
          <w:rFonts w:asciiTheme="minorHAnsi" w:hAnsiTheme="minorHAnsi" w:cs="Open Sans"/>
          <w:sz w:val="20"/>
          <w:lang w:val="fr-FR"/>
        </w:rPr>
      </w:pPr>
      <w:r w:rsidRPr="00A74D23">
        <w:rPr>
          <w:rFonts w:asciiTheme="minorHAnsi" w:hAnsiTheme="minorHAnsi" w:cs="Open Sans"/>
          <w:b/>
          <w:sz w:val="20"/>
          <w:lang w:val="fr-FR"/>
        </w:rPr>
        <w:t>Intensité carbone</w:t>
      </w:r>
      <w:r w:rsidRPr="00A74D23">
        <w:rPr>
          <w:rFonts w:ascii="Arial" w:hAnsi="Arial" w:cs="Arial"/>
          <w:sz w:val="20"/>
          <w:lang w:val="fr-FR"/>
        </w:rPr>
        <w:t> </w:t>
      </w:r>
      <w:r w:rsidRPr="00A74D23">
        <w:rPr>
          <w:rFonts w:asciiTheme="minorHAnsi" w:hAnsiTheme="minorHAnsi" w:cs="Open Sans"/>
          <w:sz w:val="20"/>
          <w:lang w:val="fr-FR"/>
        </w:rPr>
        <w:t>: L’intensité carbone est le rapport des émissions de CO2 à la production de l’entreprise</w:t>
      </w:r>
      <w:r w:rsidR="00915735" w:rsidRPr="00A74D23">
        <w:rPr>
          <w:rFonts w:asciiTheme="minorHAnsi" w:hAnsiTheme="minorHAnsi" w:cs="Open Sans"/>
          <w:sz w:val="20"/>
          <w:lang w:val="fr-FR"/>
        </w:rPr>
        <w:t>.</w:t>
      </w:r>
    </w:p>
    <w:p w14:paraId="356B7940" w14:textId="78230FBD" w:rsidR="00F72AA7" w:rsidRPr="00A74D23" w:rsidRDefault="004A23AD" w:rsidP="009D6EE5">
      <w:pPr>
        <w:spacing w:line="22" w:lineRule="atLeast"/>
        <w:jc w:val="both"/>
        <w:rPr>
          <w:rFonts w:asciiTheme="minorHAnsi" w:hAnsiTheme="minorHAnsi" w:cs="Open Sans"/>
          <w:sz w:val="20"/>
          <w:lang w:val="fr-FR"/>
        </w:rPr>
      </w:pPr>
      <w:r w:rsidRPr="00A74D23">
        <w:rPr>
          <w:rFonts w:asciiTheme="minorHAnsi" w:hAnsiTheme="minorHAnsi" w:cs="Open Sans"/>
          <w:b/>
          <w:sz w:val="20"/>
          <w:lang w:val="fr-FR"/>
        </w:rPr>
        <w:t>Investissement Socialement Responsable</w:t>
      </w:r>
      <w:r w:rsidRPr="00A74D23">
        <w:rPr>
          <w:rFonts w:ascii="Arial" w:hAnsi="Arial" w:cs="Arial"/>
          <w:sz w:val="20"/>
          <w:lang w:val="fr-FR"/>
        </w:rPr>
        <w:t> </w:t>
      </w:r>
      <w:r w:rsidRPr="00A74D23">
        <w:rPr>
          <w:rFonts w:asciiTheme="minorHAnsi" w:hAnsiTheme="minorHAnsi" w:cs="Open Sans"/>
          <w:sz w:val="20"/>
          <w:lang w:val="fr-FR"/>
        </w:rPr>
        <w:t>: L’investissement socialement responsable répond à des critères ESG obligatoires fixés par les investisseurs.</w:t>
      </w:r>
    </w:p>
    <w:p w14:paraId="2F52AE56" w14:textId="77777777" w:rsidR="00724769" w:rsidRPr="00A74D23" w:rsidRDefault="00F72AA7" w:rsidP="00724769">
      <w:pPr>
        <w:spacing w:line="22" w:lineRule="atLeast"/>
        <w:jc w:val="both"/>
        <w:rPr>
          <w:rFonts w:asciiTheme="minorHAnsi" w:hAnsiTheme="minorHAnsi" w:cs="Open Sans"/>
          <w:sz w:val="20"/>
          <w:lang w:val="fr-FR"/>
        </w:rPr>
      </w:pPr>
      <w:r w:rsidRPr="00A74D23">
        <w:rPr>
          <w:rFonts w:asciiTheme="minorHAnsi" w:hAnsiTheme="minorHAnsi" w:cs="Open Sans"/>
          <w:b/>
          <w:sz w:val="20"/>
          <w:lang w:val="fr-FR"/>
        </w:rPr>
        <w:t>Loi sur la Transition Énergétique et la Croissance Verte (LTECV), France</w:t>
      </w:r>
      <w:r w:rsidRPr="00A74D23">
        <w:rPr>
          <w:rFonts w:ascii="Arial" w:hAnsi="Arial" w:cs="Arial"/>
          <w:sz w:val="20"/>
          <w:lang w:val="fr-FR"/>
        </w:rPr>
        <w:t> </w:t>
      </w:r>
      <w:r w:rsidRPr="00A74D23">
        <w:rPr>
          <w:rFonts w:asciiTheme="minorHAnsi" w:hAnsiTheme="minorHAnsi" w:cs="Open Sans"/>
          <w:sz w:val="20"/>
          <w:lang w:val="fr-FR"/>
        </w:rPr>
        <w:t>: La loi relative à la transition énergétique pour la croissance verte (LTECV) publiée au Journal Officiel du 18</w:t>
      </w:r>
      <w:r w:rsidRPr="00A74D23">
        <w:rPr>
          <w:rFonts w:asciiTheme="minorHAnsi" w:hAnsiTheme="minorHAnsi" w:cs="Arial"/>
          <w:sz w:val="20"/>
          <w:lang w:val="fr-FR"/>
        </w:rPr>
        <w:t> </w:t>
      </w:r>
      <w:r w:rsidRPr="00A74D23">
        <w:rPr>
          <w:rFonts w:asciiTheme="minorHAnsi" w:hAnsiTheme="minorHAnsi" w:cs="Open Sans"/>
          <w:sz w:val="20"/>
          <w:lang w:val="fr-FR"/>
        </w:rPr>
        <w:t xml:space="preserve">août 2015, ainsi que les plans d’action qui l’accompagnent visent à permettre à la France de contribuer plus efficacement à la lutte contre le dérèglement climatique et à la préservation de l’environnement, ainsi que de renforcer son indépendance énergétique tout en offrant à ses entreprises et ses citoyens l’accès à l’énergie à un coût compétitif (Ministère de la Transition écologique et </w:t>
      </w:r>
      <w:r w:rsidR="00F46318" w:rsidRPr="00A74D23">
        <w:rPr>
          <w:rFonts w:asciiTheme="minorHAnsi" w:hAnsiTheme="minorHAnsi" w:cs="Open Sans"/>
          <w:sz w:val="20"/>
          <w:lang w:val="fr-FR"/>
        </w:rPr>
        <w:t>de la cohésion des territoires</w:t>
      </w:r>
      <w:r w:rsidRPr="00A74D23">
        <w:rPr>
          <w:rFonts w:asciiTheme="minorHAnsi" w:hAnsiTheme="minorHAnsi" w:cs="Open Sans"/>
          <w:sz w:val="20"/>
          <w:lang w:val="fr-FR"/>
        </w:rPr>
        <w:t>).</w:t>
      </w:r>
    </w:p>
    <w:p w14:paraId="1C36122E" w14:textId="77777777" w:rsidR="00724769" w:rsidRPr="00A74D23" w:rsidRDefault="00BC5D4E" w:rsidP="00724769">
      <w:pPr>
        <w:spacing w:line="22" w:lineRule="atLeast"/>
        <w:jc w:val="both"/>
        <w:rPr>
          <w:rFonts w:asciiTheme="minorHAnsi" w:hAnsiTheme="minorHAnsi" w:cs="Open Sans"/>
          <w:b/>
          <w:bCs/>
          <w:color w:val="202328"/>
          <w:sz w:val="20"/>
          <w:szCs w:val="20"/>
          <w:lang w:val="fr-FR"/>
        </w:rPr>
      </w:pPr>
      <w:r w:rsidRPr="00A74D23">
        <w:rPr>
          <w:rFonts w:asciiTheme="minorHAnsi" w:hAnsiTheme="minorHAnsi" w:cs="Open Sans"/>
          <w:b/>
          <w:bCs/>
          <w:sz w:val="20"/>
          <w:lang w:val="fr-FR"/>
        </w:rPr>
        <w:t>Loi énergie climat :</w:t>
      </w:r>
      <w:r w:rsidRPr="00A74D23">
        <w:rPr>
          <w:rFonts w:asciiTheme="minorHAnsi" w:hAnsiTheme="minorHAnsi" w:cs="Open Sans"/>
          <w:sz w:val="20"/>
          <w:lang w:val="fr-FR"/>
        </w:rPr>
        <w:t xml:space="preserve"> </w:t>
      </w:r>
      <w:r w:rsidRPr="00A74D23">
        <w:rPr>
          <w:rFonts w:asciiTheme="minorHAnsi" w:hAnsiTheme="minorHAnsi" w:cs="Open Sans"/>
          <w:color w:val="202328"/>
          <w:sz w:val="20"/>
          <w:szCs w:val="20"/>
          <w:lang w:val="fr-FR"/>
        </w:rPr>
        <w:t>Adopté le 8 novembre 2019, la loi énergie-climat permet de fixer des objectifs ambitieux pour la politique climatique et énergétique française. Comportant 69 articles, le texte inscrit l’objectif de neutralité carbone en 2050 pour répondre à l’urgence climatique et à l’Accord de Paris</w:t>
      </w:r>
      <w:r w:rsidR="00F46318" w:rsidRPr="00A74D23">
        <w:rPr>
          <w:rFonts w:asciiTheme="minorHAnsi" w:hAnsiTheme="minorHAnsi" w:cs="Open Sans"/>
          <w:color w:val="202328"/>
          <w:sz w:val="20"/>
          <w:szCs w:val="20"/>
          <w:lang w:val="fr-FR"/>
        </w:rPr>
        <w:t xml:space="preserve"> </w:t>
      </w:r>
      <w:r w:rsidR="00F46318" w:rsidRPr="00A74D23">
        <w:rPr>
          <w:rFonts w:asciiTheme="minorHAnsi" w:hAnsiTheme="minorHAnsi" w:cs="Open Sans"/>
          <w:sz w:val="20"/>
          <w:lang w:val="fr-FR"/>
        </w:rPr>
        <w:t>(Ministère de la Transition écologique et de la cohésion des territoires)</w:t>
      </w:r>
      <w:r w:rsidRPr="00A74D23">
        <w:rPr>
          <w:rFonts w:asciiTheme="minorHAnsi" w:hAnsiTheme="minorHAnsi" w:cs="Open Sans"/>
          <w:color w:val="202328"/>
          <w:sz w:val="20"/>
          <w:szCs w:val="20"/>
          <w:lang w:val="fr-FR"/>
        </w:rPr>
        <w:t>.</w:t>
      </w:r>
      <w:r w:rsidRPr="00A74D23">
        <w:rPr>
          <w:rFonts w:asciiTheme="minorHAnsi" w:hAnsiTheme="minorHAnsi" w:cs="Open Sans"/>
          <w:b/>
          <w:bCs/>
          <w:color w:val="202328"/>
          <w:sz w:val="20"/>
          <w:szCs w:val="20"/>
          <w:lang w:val="fr-FR"/>
        </w:rPr>
        <w:t xml:space="preserve"> </w:t>
      </w:r>
    </w:p>
    <w:p w14:paraId="16F6D05C" w14:textId="45DBCC36" w:rsidR="00F72AA7" w:rsidRPr="00A74D23" w:rsidRDefault="00F72AA7" w:rsidP="00724769">
      <w:pPr>
        <w:spacing w:line="22" w:lineRule="atLeast"/>
        <w:jc w:val="both"/>
        <w:rPr>
          <w:rFonts w:asciiTheme="minorHAnsi" w:hAnsiTheme="minorHAnsi" w:cs="Open Sans"/>
          <w:sz w:val="20"/>
          <w:lang w:val="fr-FR"/>
        </w:rPr>
      </w:pPr>
      <w:r w:rsidRPr="00A74D23">
        <w:rPr>
          <w:rFonts w:asciiTheme="minorHAnsi" w:hAnsiTheme="minorHAnsi" w:cs="Open Sans"/>
          <w:b/>
          <w:sz w:val="20"/>
          <w:lang w:val="fr-FR"/>
        </w:rPr>
        <w:t>Obligation</w:t>
      </w:r>
      <w:r w:rsidRPr="00A74D23">
        <w:rPr>
          <w:rFonts w:ascii="Arial" w:hAnsi="Arial" w:cs="Arial"/>
          <w:sz w:val="20"/>
          <w:lang w:val="fr-FR"/>
        </w:rPr>
        <w:t> </w:t>
      </w:r>
      <w:r w:rsidRPr="00A74D23">
        <w:rPr>
          <w:rFonts w:asciiTheme="minorHAnsi" w:hAnsiTheme="minorHAnsi" w:cs="Open Sans"/>
          <w:sz w:val="20"/>
          <w:lang w:val="fr-FR"/>
        </w:rPr>
        <w:t>: Actif qui constitue une créance (un prêt) sur son émetteur, public ou privé, et représente une dette financière selon des paramètres définis contractuellement.</w:t>
      </w:r>
    </w:p>
    <w:p w14:paraId="5F986C17" w14:textId="240A7669" w:rsidR="00F72AA7" w:rsidRPr="00A74D23" w:rsidRDefault="00F72AA7" w:rsidP="009D6EE5">
      <w:pPr>
        <w:spacing w:line="22" w:lineRule="atLeast"/>
        <w:jc w:val="both"/>
        <w:rPr>
          <w:rFonts w:asciiTheme="minorHAnsi" w:hAnsiTheme="minorHAnsi" w:cs="Open Sans"/>
          <w:sz w:val="20"/>
          <w:lang w:val="fr-FR"/>
        </w:rPr>
      </w:pPr>
      <w:r w:rsidRPr="00A74D23">
        <w:rPr>
          <w:rFonts w:asciiTheme="minorHAnsi" w:hAnsiTheme="minorHAnsi" w:cs="Open Sans"/>
          <w:b/>
          <w:sz w:val="20"/>
          <w:lang w:val="fr-FR"/>
        </w:rPr>
        <w:t>Portefeuille</w:t>
      </w:r>
      <w:r w:rsidRPr="00A74D23">
        <w:rPr>
          <w:rFonts w:ascii="Arial" w:hAnsi="Arial" w:cs="Arial"/>
          <w:sz w:val="20"/>
          <w:lang w:val="fr-FR"/>
        </w:rPr>
        <w:t> </w:t>
      </w:r>
      <w:r w:rsidRPr="00A74D23">
        <w:rPr>
          <w:rFonts w:asciiTheme="minorHAnsi" w:hAnsiTheme="minorHAnsi" w:cs="Open Sans"/>
          <w:sz w:val="20"/>
          <w:lang w:val="fr-FR"/>
        </w:rPr>
        <w:t>: Ensemble des actifs détenus par un fonds d’investissement.</w:t>
      </w:r>
    </w:p>
    <w:p w14:paraId="4FCD1031" w14:textId="78DCBB55" w:rsidR="00F72AA7" w:rsidRPr="00A74D23" w:rsidRDefault="00F72AA7" w:rsidP="009D6EE5">
      <w:pPr>
        <w:spacing w:line="22" w:lineRule="atLeast"/>
        <w:jc w:val="both"/>
        <w:rPr>
          <w:rFonts w:asciiTheme="minorHAnsi" w:hAnsiTheme="minorHAnsi" w:cs="Open Sans"/>
          <w:sz w:val="20"/>
          <w:lang w:val="fr-FR"/>
        </w:rPr>
      </w:pPr>
      <w:r w:rsidRPr="00A74D23">
        <w:rPr>
          <w:rFonts w:asciiTheme="minorHAnsi" w:hAnsiTheme="minorHAnsi" w:cs="Open Sans"/>
          <w:b/>
          <w:sz w:val="20"/>
          <w:lang w:val="fr-FR"/>
        </w:rPr>
        <w:t>Risque de crédit</w:t>
      </w:r>
      <w:r w:rsidRPr="00A74D23">
        <w:rPr>
          <w:rFonts w:ascii="Arial" w:hAnsi="Arial" w:cs="Arial"/>
          <w:sz w:val="20"/>
          <w:lang w:val="fr-FR"/>
        </w:rPr>
        <w:t> </w:t>
      </w:r>
      <w:r w:rsidRPr="00A74D23">
        <w:rPr>
          <w:rFonts w:asciiTheme="minorHAnsi" w:hAnsiTheme="minorHAnsi" w:cs="Open Sans"/>
          <w:sz w:val="20"/>
          <w:lang w:val="fr-FR"/>
        </w:rPr>
        <w:t>: Risque qu’un emprunteur/émetteur d’obligation ne rembourse pas l’intégralité de sa créance.</w:t>
      </w:r>
    </w:p>
    <w:p w14:paraId="5C7EF116" w14:textId="7A5AD678" w:rsidR="001A6510" w:rsidRPr="00A74D23" w:rsidRDefault="001A6510" w:rsidP="009D6EE5">
      <w:pPr>
        <w:spacing w:line="22" w:lineRule="atLeast"/>
        <w:jc w:val="both"/>
        <w:rPr>
          <w:rFonts w:asciiTheme="minorHAnsi" w:hAnsiTheme="minorHAnsi" w:cs="Open Sans"/>
          <w:sz w:val="20"/>
          <w:lang w:val="fr-FR"/>
        </w:rPr>
      </w:pPr>
      <w:r w:rsidRPr="00A74D23">
        <w:rPr>
          <w:rFonts w:asciiTheme="minorHAnsi" w:hAnsiTheme="minorHAnsi" w:cs="Open Sans"/>
          <w:b/>
          <w:sz w:val="20"/>
          <w:lang w:val="fr-FR"/>
        </w:rPr>
        <w:t>Scénario 2</w:t>
      </w:r>
      <w:r w:rsidRPr="00A74D23">
        <w:rPr>
          <w:rFonts w:asciiTheme="minorHAnsi" w:hAnsiTheme="minorHAnsi" w:cs="Arial"/>
          <w:b/>
          <w:sz w:val="20"/>
          <w:lang w:val="fr-FR"/>
        </w:rPr>
        <w:t> </w:t>
      </w:r>
      <w:r w:rsidRPr="00A74D23">
        <w:rPr>
          <w:rFonts w:asciiTheme="minorHAnsi" w:hAnsiTheme="minorHAnsi" w:cs="Open Sans"/>
          <w:b/>
          <w:sz w:val="20"/>
          <w:lang w:val="fr-FR"/>
        </w:rPr>
        <w:t>°C</w:t>
      </w:r>
      <w:r w:rsidRPr="00A74D23">
        <w:rPr>
          <w:rFonts w:ascii="Arial" w:hAnsi="Arial" w:cs="Arial"/>
          <w:sz w:val="20"/>
          <w:lang w:val="fr-FR"/>
        </w:rPr>
        <w:t> </w:t>
      </w:r>
      <w:r w:rsidRPr="00A74D23">
        <w:rPr>
          <w:rFonts w:asciiTheme="minorHAnsi" w:hAnsiTheme="minorHAnsi" w:cs="Open Sans"/>
          <w:sz w:val="20"/>
          <w:lang w:val="fr-FR"/>
        </w:rPr>
        <w:t>: Scénario économique et/ou productif compatible avec une limitation du réchauffement climatique sous le seuil des +2</w:t>
      </w:r>
      <w:r w:rsidRPr="00A74D23">
        <w:rPr>
          <w:rFonts w:asciiTheme="minorHAnsi" w:hAnsiTheme="minorHAnsi" w:cs="Arial"/>
          <w:sz w:val="20"/>
          <w:lang w:val="fr-FR"/>
        </w:rPr>
        <w:t> </w:t>
      </w:r>
      <w:r w:rsidRPr="00A74D23">
        <w:rPr>
          <w:rFonts w:asciiTheme="minorHAnsi" w:hAnsiTheme="minorHAnsi" w:cs="Open Sans"/>
          <w:sz w:val="20"/>
          <w:lang w:val="fr-FR"/>
        </w:rPr>
        <w:t>°C en 2</w:t>
      </w:r>
      <w:r w:rsidRPr="00A74D23">
        <w:rPr>
          <w:rFonts w:ascii="Arial" w:hAnsi="Arial" w:cs="Arial"/>
          <w:sz w:val="20"/>
          <w:lang w:val="fr-FR"/>
        </w:rPr>
        <w:t> </w:t>
      </w:r>
      <w:r w:rsidRPr="00A74D23">
        <w:rPr>
          <w:rFonts w:asciiTheme="minorHAnsi" w:hAnsiTheme="minorHAnsi" w:cs="Open Sans"/>
          <w:sz w:val="20"/>
          <w:lang w:val="fr-FR"/>
        </w:rPr>
        <w:t>100 par rapport aux niveaux préindustriels.</w:t>
      </w:r>
    </w:p>
    <w:p w14:paraId="4CA0C1E6" w14:textId="515F72CE" w:rsidR="001A6510" w:rsidRPr="00A74D23" w:rsidRDefault="001A6510" w:rsidP="009D6EE5">
      <w:pPr>
        <w:spacing w:line="22" w:lineRule="atLeast"/>
        <w:jc w:val="both"/>
        <w:rPr>
          <w:rFonts w:asciiTheme="minorHAnsi" w:hAnsiTheme="minorHAnsi" w:cs="Open Sans"/>
          <w:sz w:val="20"/>
          <w:lang w:val="fr-FR"/>
        </w:rPr>
      </w:pPr>
      <w:r w:rsidRPr="00A74D23">
        <w:rPr>
          <w:rFonts w:asciiTheme="minorHAnsi" w:hAnsiTheme="minorHAnsi" w:cs="Open Sans"/>
          <w:b/>
          <w:sz w:val="20"/>
          <w:lang w:val="fr-FR"/>
        </w:rPr>
        <w:t>Scope 1</w:t>
      </w:r>
      <w:r w:rsidRPr="00A74D23">
        <w:rPr>
          <w:rFonts w:ascii="Arial" w:hAnsi="Arial" w:cs="Arial"/>
          <w:b/>
          <w:sz w:val="20"/>
          <w:lang w:val="fr-FR"/>
        </w:rPr>
        <w:t> </w:t>
      </w:r>
      <w:r w:rsidRPr="00A74D23">
        <w:rPr>
          <w:rFonts w:asciiTheme="minorHAnsi" w:hAnsiTheme="minorHAnsi" w:cs="Open Sans"/>
          <w:b/>
          <w:sz w:val="20"/>
          <w:lang w:val="fr-FR"/>
        </w:rPr>
        <w:t>:</w:t>
      </w:r>
      <w:r w:rsidRPr="00A74D23">
        <w:rPr>
          <w:rFonts w:asciiTheme="minorHAnsi" w:hAnsiTheme="minorHAnsi" w:cs="Open Sans"/>
          <w:sz w:val="20"/>
          <w:lang w:val="fr-FR"/>
        </w:rPr>
        <w:t xml:space="preserve"> Emissions directes de gaz à effet de serre. Il regroupe toutes les émissions générées directement par l’entreprise et ses activités</w:t>
      </w:r>
      <w:r w:rsidRPr="00A74D23">
        <w:rPr>
          <w:rFonts w:ascii="Arial" w:hAnsi="Arial" w:cs="Arial"/>
          <w:sz w:val="20"/>
          <w:lang w:val="fr-FR"/>
        </w:rPr>
        <w:t> </w:t>
      </w:r>
      <w:r w:rsidRPr="00A74D23">
        <w:rPr>
          <w:rFonts w:asciiTheme="minorHAnsi" w:hAnsiTheme="minorHAnsi" w:cs="Open Sans"/>
          <w:sz w:val="20"/>
          <w:lang w:val="fr-FR"/>
        </w:rPr>
        <w:t>: usines, installations, entrepôts, bureaux, flottes de véhicules possédées en propre par l’entreprise</w:t>
      </w:r>
    </w:p>
    <w:p w14:paraId="5BB1991E" w14:textId="6A0F4C68" w:rsidR="001A6510" w:rsidRPr="00A74D23" w:rsidRDefault="001A6510" w:rsidP="009D6EE5">
      <w:pPr>
        <w:spacing w:line="22" w:lineRule="atLeast"/>
        <w:jc w:val="both"/>
        <w:rPr>
          <w:rFonts w:asciiTheme="minorHAnsi" w:hAnsiTheme="minorHAnsi" w:cs="Open Sans"/>
          <w:sz w:val="20"/>
          <w:lang w:val="fr-FR"/>
        </w:rPr>
      </w:pPr>
      <w:r w:rsidRPr="00A74D23">
        <w:rPr>
          <w:rFonts w:asciiTheme="minorHAnsi" w:hAnsiTheme="minorHAnsi" w:cs="Open Sans"/>
          <w:b/>
          <w:sz w:val="20"/>
          <w:lang w:val="fr-FR"/>
        </w:rPr>
        <w:t>Scope 2</w:t>
      </w:r>
      <w:r w:rsidRPr="00A74D23">
        <w:rPr>
          <w:rFonts w:ascii="Arial" w:hAnsi="Arial" w:cs="Arial"/>
          <w:b/>
          <w:sz w:val="20"/>
          <w:lang w:val="fr-FR"/>
        </w:rPr>
        <w:t> </w:t>
      </w:r>
      <w:r w:rsidRPr="00A74D23">
        <w:rPr>
          <w:rFonts w:asciiTheme="minorHAnsi" w:hAnsiTheme="minorHAnsi" w:cs="Open Sans"/>
          <w:b/>
          <w:sz w:val="20"/>
          <w:lang w:val="fr-FR"/>
        </w:rPr>
        <w:t>:</w:t>
      </w:r>
      <w:r w:rsidRPr="00A74D23">
        <w:rPr>
          <w:rFonts w:asciiTheme="minorHAnsi" w:hAnsiTheme="minorHAnsi" w:cs="Open Sans"/>
          <w:sz w:val="20"/>
          <w:lang w:val="fr-FR"/>
        </w:rPr>
        <w:t xml:space="preserve"> Emissions indirectes liées à l’énergie. Il regroupe toutes les émissions associées aux consommations d’électricité, de chaleur ou de vapeur de l’entreprise dans ses installations ou flottes de véhicules.</w:t>
      </w:r>
    </w:p>
    <w:p w14:paraId="6ECF52F9" w14:textId="3C48DB78" w:rsidR="001A6510" w:rsidRPr="00A74D23" w:rsidRDefault="001A6510" w:rsidP="009D6EE5">
      <w:pPr>
        <w:spacing w:line="22" w:lineRule="atLeast"/>
        <w:jc w:val="both"/>
        <w:rPr>
          <w:rFonts w:asciiTheme="minorHAnsi" w:hAnsiTheme="minorHAnsi" w:cs="Open Sans"/>
          <w:sz w:val="20"/>
          <w:lang w:val="fr-FR"/>
        </w:rPr>
      </w:pPr>
      <w:r w:rsidRPr="00A74D23">
        <w:rPr>
          <w:rFonts w:asciiTheme="minorHAnsi" w:hAnsiTheme="minorHAnsi" w:cs="Open Sans"/>
          <w:b/>
          <w:sz w:val="20"/>
          <w:lang w:val="fr-FR"/>
        </w:rPr>
        <w:t>Scope 3</w:t>
      </w:r>
      <w:r w:rsidRPr="00A74D23">
        <w:rPr>
          <w:rFonts w:ascii="Arial" w:hAnsi="Arial" w:cs="Arial"/>
          <w:b/>
          <w:sz w:val="20"/>
          <w:lang w:val="fr-FR"/>
        </w:rPr>
        <w:t> </w:t>
      </w:r>
      <w:r w:rsidRPr="00A74D23">
        <w:rPr>
          <w:rFonts w:asciiTheme="minorHAnsi" w:hAnsiTheme="minorHAnsi" w:cs="Open Sans"/>
          <w:b/>
          <w:sz w:val="20"/>
          <w:lang w:val="fr-FR"/>
        </w:rPr>
        <w:t>:</w:t>
      </w:r>
      <w:r w:rsidRPr="00A74D23">
        <w:rPr>
          <w:rFonts w:asciiTheme="minorHAnsi" w:hAnsiTheme="minorHAnsi" w:cs="Open Sans"/>
          <w:sz w:val="20"/>
          <w:lang w:val="fr-FR"/>
        </w:rPr>
        <w:t xml:space="preserve"> Le scope 3 correspond à l’ensemble des autres émissions indirectes ayant lieu en amont ou en aval dans la chaîne de valeur de l’entreprise.</w:t>
      </w:r>
    </w:p>
    <w:p w14:paraId="115067D3" w14:textId="28183ABE" w:rsidR="000C3350" w:rsidRPr="00A74D23" w:rsidRDefault="001A6510" w:rsidP="009D6EE5">
      <w:pPr>
        <w:spacing w:line="22" w:lineRule="atLeast"/>
        <w:jc w:val="both"/>
        <w:rPr>
          <w:rFonts w:asciiTheme="minorHAnsi" w:hAnsiTheme="minorHAnsi" w:cs="Open Sans"/>
          <w:sz w:val="20"/>
          <w:lang w:val="fr-FR"/>
        </w:rPr>
      </w:pPr>
      <w:r w:rsidRPr="00A74D23">
        <w:rPr>
          <w:rFonts w:asciiTheme="minorHAnsi" w:hAnsiTheme="minorHAnsi" w:cs="Open Sans"/>
          <w:b/>
          <w:sz w:val="20"/>
          <w:lang w:val="fr-FR"/>
        </w:rPr>
        <w:t>Unité de compte</w:t>
      </w:r>
      <w:r w:rsidRPr="00A74D23">
        <w:rPr>
          <w:rFonts w:ascii="Arial" w:hAnsi="Arial" w:cs="Arial"/>
          <w:sz w:val="20"/>
          <w:lang w:val="fr-FR"/>
        </w:rPr>
        <w:t> </w:t>
      </w:r>
      <w:r w:rsidRPr="00A74D23">
        <w:rPr>
          <w:rFonts w:asciiTheme="minorHAnsi" w:hAnsiTheme="minorHAnsi" w:cs="Open Sans"/>
          <w:sz w:val="20"/>
          <w:lang w:val="fr-FR"/>
        </w:rPr>
        <w:t>: Support d’investissement (fonds d’action, fonds obligataire) associé à un contrat d’assurance-vie.</w:t>
      </w:r>
    </w:p>
    <w:p w14:paraId="449253A1" w14:textId="77777777" w:rsidR="000C3350" w:rsidRPr="00A74D23" w:rsidRDefault="000C3350"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br w:type="page"/>
      </w:r>
    </w:p>
    <w:p w14:paraId="3FBF471F" w14:textId="77777777" w:rsidR="001A6510" w:rsidRPr="00A74D23" w:rsidRDefault="001A6510" w:rsidP="009D6EE5">
      <w:pPr>
        <w:spacing w:line="22" w:lineRule="atLeast"/>
        <w:jc w:val="both"/>
        <w:rPr>
          <w:rFonts w:asciiTheme="minorHAnsi" w:hAnsiTheme="minorHAnsi" w:cs="Open Sans"/>
          <w:sz w:val="20"/>
          <w:lang w:val="fr-FR"/>
        </w:rPr>
      </w:pPr>
    </w:p>
    <w:p w14:paraId="31981BCB" w14:textId="0BDDDC1C" w:rsidR="00697D4E" w:rsidRPr="00A74D23" w:rsidRDefault="00697D4E" w:rsidP="009D6EE5">
      <w:pPr>
        <w:pStyle w:val="Style3"/>
        <w:spacing w:line="22" w:lineRule="atLeast"/>
        <w:jc w:val="both"/>
        <w:rPr>
          <w:rFonts w:asciiTheme="minorHAnsi" w:hAnsiTheme="minorHAnsi" w:cs="Open Sans"/>
        </w:rPr>
      </w:pPr>
      <w:bookmarkStart w:id="115" w:name="_Toc129091851"/>
      <w:bookmarkStart w:id="116" w:name="_Toc128735939"/>
      <w:r w:rsidRPr="00A74D23">
        <w:rPr>
          <w:rFonts w:asciiTheme="minorHAnsi" w:hAnsiTheme="minorHAnsi" w:cs="Open Sans"/>
        </w:rPr>
        <w:t>Détail</w:t>
      </w:r>
      <w:r w:rsidR="001A6510" w:rsidRPr="00A74D23">
        <w:rPr>
          <w:rFonts w:asciiTheme="minorHAnsi" w:hAnsiTheme="minorHAnsi" w:cs="Open Sans"/>
        </w:rPr>
        <w:t>s</w:t>
      </w:r>
      <w:r w:rsidRPr="00A74D23">
        <w:rPr>
          <w:rFonts w:asciiTheme="minorHAnsi" w:hAnsiTheme="minorHAnsi" w:cs="Open Sans"/>
        </w:rPr>
        <w:t xml:space="preserve"> méthodologique</w:t>
      </w:r>
      <w:bookmarkEnd w:id="115"/>
      <w:bookmarkEnd w:id="116"/>
      <w:r w:rsidR="001A6510" w:rsidRPr="00A74D23">
        <w:rPr>
          <w:rFonts w:asciiTheme="minorHAnsi" w:hAnsiTheme="minorHAnsi" w:cs="Open Sans"/>
        </w:rPr>
        <w:t>s</w:t>
      </w:r>
    </w:p>
    <w:tbl>
      <w:tblPr>
        <w:tblStyle w:val="Grilledutableau"/>
        <w:tblW w:w="0" w:type="auto"/>
        <w:tblLook w:val="04A0" w:firstRow="1" w:lastRow="0" w:firstColumn="1" w:lastColumn="0" w:noHBand="0" w:noVBand="1"/>
      </w:tblPr>
      <w:tblGrid>
        <w:gridCol w:w="9850"/>
      </w:tblGrid>
      <w:tr w:rsidR="00C164DD" w:rsidRPr="00601C93" w14:paraId="6C387556" w14:textId="77777777" w:rsidTr="0003214D">
        <w:trPr>
          <w:trHeight w:val="7454"/>
        </w:trPr>
        <w:tc>
          <w:tcPr>
            <w:tcW w:w="9850" w:type="dxa"/>
          </w:tcPr>
          <w:p w14:paraId="41B2CDCC" w14:textId="60F36310" w:rsidR="00C164DD" w:rsidRPr="00A74D23" w:rsidRDefault="00C164DD" w:rsidP="009D6EE5">
            <w:pPr>
              <w:spacing w:line="22" w:lineRule="atLeast"/>
              <w:jc w:val="both"/>
              <w:rPr>
                <w:rFonts w:asciiTheme="minorHAnsi" w:hAnsiTheme="minorHAnsi" w:cs="Open Sans"/>
                <w:b/>
                <w:sz w:val="20"/>
                <w:lang w:val="fr-FR"/>
              </w:rPr>
            </w:pPr>
            <w:r w:rsidRPr="00A74D23">
              <w:rPr>
                <w:rFonts w:asciiTheme="minorHAnsi" w:hAnsiTheme="minorHAnsi" w:cs="Open Sans"/>
                <w:b/>
                <w:sz w:val="20"/>
                <w:lang w:val="fr-FR"/>
              </w:rPr>
              <w:t xml:space="preserve">Méthodologie </w:t>
            </w:r>
            <w:r w:rsidR="007A4F43" w:rsidRPr="00A74D23">
              <w:rPr>
                <w:rFonts w:asciiTheme="minorHAnsi" w:hAnsiTheme="minorHAnsi" w:cs="Open Sans"/>
                <w:b/>
                <w:sz w:val="20"/>
                <w:lang w:val="fr-FR"/>
              </w:rPr>
              <w:t xml:space="preserve">de mesure de la </w:t>
            </w:r>
            <w:r w:rsidR="001F1E0F" w:rsidRPr="00A74D23">
              <w:rPr>
                <w:rFonts w:asciiTheme="minorHAnsi" w:hAnsiTheme="minorHAnsi" w:cs="Open Sans"/>
                <w:b/>
                <w:sz w:val="20"/>
                <w:lang w:val="fr-FR"/>
              </w:rPr>
              <w:t>C</w:t>
            </w:r>
            <w:r w:rsidR="007A4F43" w:rsidRPr="00A74D23">
              <w:rPr>
                <w:rFonts w:asciiTheme="minorHAnsi" w:hAnsiTheme="minorHAnsi" w:cs="Open Sans"/>
                <w:b/>
                <w:sz w:val="20"/>
                <w:lang w:val="fr-FR"/>
              </w:rPr>
              <w:t>limate VaR (MSCI)</w:t>
            </w:r>
          </w:p>
          <w:p w14:paraId="2C5C05FB" w14:textId="77777777" w:rsidR="007A4F43" w:rsidRPr="00A74D23" w:rsidRDefault="007A4F43" w:rsidP="009D6EE5">
            <w:pPr>
              <w:spacing w:line="22" w:lineRule="atLeast"/>
              <w:jc w:val="both"/>
              <w:rPr>
                <w:rFonts w:asciiTheme="minorHAnsi" w:hAnsiTheme="minorHAnsi" w:cs="Open Sans"/>
                <w:b/>
                <w:sz w:val="20"/>
                <w:lang w:val="fr-FR"/>
              </w:rPr>
            </w:pPr>
          </w:p>
          <w:p w14:paraId="2E5A632C" w14:textId="77777777" w:rsidR="00D33419" w:rsidRPr="00A74D23" w:rsidRDefault="00D33419"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 xml:space="preserve">MSCI ESG Research utilise une méthodologie hybride top-down et bottom-up pour calculer les risques et les opportunités liés au changement climatique, tels que les futures politiques ciblant les réductions d'émissions, le potentiel des technologies à faible teneur en carbone et les risques météorologiques extrêmes. </w:t>
            </w:r>
          </w:p>
          <w:p w14:paraId="4CE10890" w14:textId="77777777" w:rsidR="00D33419" w:rsidRPr="00A74D23" w:rsidRDefault="00D33419" w:rsidP="009D6EE5">
            <w:pPr>
              <w:spacing w:line="22" w:lineRule="atLeast"/>
              <w:jc w:val="both"/>
              <w:rPr>
                <w:rFonts w:asciiTheme="minorHAnsi" w:hAnsiTheme="minorHAnsi" w:cs="Open Sans"/>
                <w:sz w:val="20"/>
                <w:lang w:val="fr-FR"/>
              </w:rPr>
            </w:pPr>
          </w:p>
          <w:p w14:paraId="28AAE580" w14:textId="77777777" w:rsidR="00D77D97" w:rsidRPr="00A74D23" w:rsidRDefault="00D33419"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La modélisation des risques politiques de MSCI ESG Research quantifie les objectifs de réduction des émissions de gaz à effet de serre (GES) de chaque pays intégré dans les engagements nationaux, appelés contributions déterminées au niveau national (CDN), qui font partie de l'Accord de Paris. Les objectifs de réduction des émissions des pays sont ensuite décomposés en objectifs sectoriels qui sont reliés à la base de données des sites de production de MSCI ESG Research en attribuant des objectifs de réduction des émissions sectorielles aux sites de production des entreprises. Cela donne un aperçu des exigences en matière de réduction des émissions pour les installations détenues et exploitées par les entreprises à l'échelle mondiale.</w:t>
            </w:r>
          </w:p>
          <w:p w14:paraId="2AB5B595" w14:textId="77777777" w:rsidR="00D77D97" w:rsidRPr="00A74D23" w:rsidRDefault="00D77D97" w:rsidP="009D6EE5">
            <w:pPr>
              <w:spacing w:line="22" w:lineRule="atLeast"/>
              <w:jc w:val="both"/>
              <w:rPr>
                <w:rFonts w:asciiTheme="minorHAnsi" w:hAnsiTheme="minorHAnsi" w:cs="Open Sans"/>
                <w:sz w:val="20"/>
                <w:lang w:val="fr-FR"/>
              </w:rPr>
            </w:pPr>
          </w:p>
          <w:p w14:paraId="701B8E8C" w14:textId="1D1AC679" w:rsidR="007A4F43" w:rsidRPr="00A74D23" w:rsidRDefault="00D33419" w:rsidP="009D6EE5">
            <w:pPr>
              <w:spacing w:line="22" w:lineRule="atLeast"/>
              <w:jc w:val="both"/>
              <w:rPr>
                <w:rFonts w:asciiTheme="minorHAnsi" w:hAnsiTheme="minorHAnsi" w:cs="Open Sans"/>
                <w:b/>
                <w:sz w:val="20"/>
                <w:lang w:val="fr-FR"/>
              </w:rPr>
            </w:pPr>
            <w:r w:rsidRPr="00A74D23">
              <w:rPr>
                <w:rFonts w:asciiTheme="minorHAnsi" w:hAnsiTheme="minorHAnsi" w:cs="Open Sans"/>
                <w:sz w:val="20"/>
                <w:lang w:val="fr-FR"/>
              </w:rPr>
              <w:t>En utilisant des estimations des prix futurs du carbone dans le cadre de scénarios politiques spécifiques, MSCI ESG Research calcule ensuite les coûts associés à ces objectifs de réduction des émissions et calcule la "Policy Climate Value-at-Risk" pour plus de 22 000 entreprises. L'analyse de transition de MSCI ESG Research évalue également les parts de marché actuelles des revenus verts sur la base des données Cleantech de MSCI, ainsi que la notation des technologies à faible teneur en carbone dans tous les secteurs GICS. La qualité des brevets est évaluée sur la base de méthodes statistiques, telles que les citations antérieures et postérieures, la couverture géographique et sectorielle. L'indicateur "Technology Opportunity " qui en résulte est un indicateur de rendement à la hausse pour plus de 5 000 émetteurs. En outre, MSCI ESG Research prend également en compte les impacts indirects du risque climatique liés à la consommation d'électricité et à la chaîne d'approvisionnement (Scopes 2 &amp; 3). Enfin, les scénarios de risque climatique physique définissent les conséquences climatiques possibles résultant de l'augmentation des niveaux d'émissions de GES, ainsi que la charge (ou l'opportunité) financière qui en découle pour les entreprises en raison de l'impact sur leurs installations. En utilisant les 35 dernières années de modèles météorologiques observés pour établir une base historique ainsi que des modèles climatiques de pointe, MSCI ESG Research met en perspective les développements climatiques aigus et chroniques en modélisant les coûts des dommages aux actifs et des interruptions d'activité respectivement.</w:t>
            </w:r>
          </w:p>
        </w:tc>
      </w:tr>
    </w:tbl>
    <w:p w14:paraId="7070A6E8" w14:textId="0C85EA7F" w:rsidR="005D2485" w:rsidRPr="00A74D23" w:rsidRDefault="005D2485" w:rsidP="009D6EE5">
      <w:pPr>
        <w:spacing w:before="120" w:line="22" w:lineRule="atLeast"/>
        <w:jc w:val="both"/>
        <w:rPr>
          <w:rFonts w:asciiTheme="minorHAnsi" w:hAnsiTheme="minorHAnsi" w:cs="Open Sans"/>
          <w:sz w:val="20"/>
          <w:lang w:val="fr-FR"/>
        </w:rPr>
      </w:pPr>
    </w:p>
    <w:p w14:paraId="3BD637CB" w14:textId="33D55863" w:rsidR="00F62BE5" w:rsidRPr="00A74D23" w:rsidRDefault="00F62BE5" w:rsidP="009D6EE5">
      <w:pPr>
        <w:pBdr>
          <w:top w:val="single" w:sz="4" w:space="1" w:color="auto"/>
          <w:left w:val="single" w:sz="4" w:space="4" w:color="auto"/>
          <w:bottom w:val="single" w:sz="4" w:space="1" w:color="auto"/>
          <w:right w:val="single" w:sz="4" w:space="6" w:color="auto"/>
        </w:pBdr>
        <w:spacing w:after="80" w:line="22" w:lineRule="atLeast"/>
        <w:ind w:left="142" w:right="142"/>
        <w:jc w:val="both"/>
        <w:rPr>
          <w:rFonts w:asciiTheme="minorHAnsi" w:hAnsiTheme="minorHAnsi" w:cs="Open Sans"/>
          <w:b/>
          <w:sz w:val="20"/>
          <w:lang w:val="fr-FR"/>
        </w:rPr>
      </w:pPr>
      <w:r w:rsidRPr="00A74D23">
        <w:rPr>
          <w:rFonts w:asciiTheme="minorHAnsi" w:hAnsiTheme="minorHAnsi" w:cs="Open Sans"/>
          <w:b/>
          <w:sz w:val="20"/>
          <w:lang w:val="fr-FR"/>
        </w:rPr>
        <w:t>Méthodologie de mesure de l’intensité carbone </w:t>
      </w:r>
    </w:p>
    <w:p w14:paraId="7C1235DC" w14:textId="44003F48" w:rsidR="00F62BE5" w:rsidRPr="00A74D23" w:rsidRDefault="00F62BE5" w:rsidP="009D6EE5">
      <w:pPr>
        <w:pBdr>
          <w:top w:val="single" w:sz="4" w:space="1" w:color="auto"/>
          <w:left w:val="single" w:sz="4" w:space="4" w:color="auto"/>
          <w:bottom w:val="single" w:sz="4" w:space="1" w:color="auto"/>
          <w:right w:val="single" w:sz="4" w:space="6" w:color="auto"/>
        </w:pBdr>
        <w:spacing w:line="22" w:lineRule="atLeast"/>
        <w:ind w:left="142" w:right="142"/>
        <w:jc w:val="both"/>
        <w:rPr>
          <w:rFonts w:asciiTheme="minorHAnsi" w:hAnsiTheme="minorHAnsi" w:cs="Open Sans"/>
          <w:sz w:val="20"/>
          <w:lang w:val="fr-FR"/>
        </w:rPr>
      </w:pPr>
      <w:r w:rsidRPr="00A74D23">
        <w:rPr>
          <w:rFonts w:asciiTheme="minorHAnsi" w:hAnsiTheme="minorHAnsi" w:cs="Open Sans"/>
          <w:sz w:val="20"/>
          <w:lang w:val="fr-FR"/>
        </w:rPr>
        <w:t>L’intensité carbone d’un portefeuille est la moyenne des intensité</w:t>
      </w:r>
      <w:r w:rsidR="00E66D62" w:rsidRPr="00A74D23">
        <w:rPr>
          <w:rFonts w:asciiTheme="minorHAnsi" w:hAnsiTheme="minorHAnsi" w:cs="Open Sans"/>
          <w:sz w:val="20"/>
          <w:lang w:val="fr-FR"/>
        </w:rPr>
        <w:t>s</w:t>
      </w:r>
      <w:r w:rsidRPr="00A74D23">
        <w:rPr>
          <w:rFonts w:asciiTheme="minorHAnsi" w:hAnsiTheme="minorHAnsi" w:cs="Open Sans"/>
          <w:sz w:val="20"/>
          <w:lang w:val="fr-FR"/>
        </w:rPr>
        <w:t xml:space="preserve"> carbones des entreprises en portefeuille (émissions de gaz à effet de serre des </w:t>
      </w:r>
      <w:r w:rsidR="000838C5" w:rsidRPr="00A74D23">
        <w:rPr>
          <w:rFonts w:asciiTheme="minorHAnsi" w:hAnsiTheme="minorHAnsi" w:cs="Open Sans"/>
          <w:sz w:val="20"/>
          <w:lang w:val="fr-FR"/>
        </w:rPr>
        <w:t>sociétés investies</w:t>
      </w:r>
      <w:r w:rsidRPr="00A74D23">
        <w:rPr>
          <w:rFonts w:asciiTheme="minorHAnsi" w:hAnsiTheme="minorHAnsi" w:cs="Open Sans"/>
          <w:sz w:val="20"/>
          <w:lang w:val="fr-FR"/>
        </w:rPr>
        <w:t xml:space="preserve"> normalisé</w:t>
      </w:r>
      <w:r w:rsidR="00C24D89" w:rsidRPr="00A74D23">
        <w:rPr>
          <w:rFonts w:asciiTheme="minorHAnsi" w:hAnsiTheme="minorHAnsi" w:cs="Open Sans"/>
          <w:sz w:val="20"/>
          <w:lang w:val="fr-FR"/>
        </w:rPr>
        <w:t>es</w:t>
      </w:r>
      <w:r w:rsidR="000838C5" w:rsidRPr="00A74D23">
        <w:rPr>
          <w:rFonts w:asciiTheme="minorHAnsi" w:hAnsiTheme="minorHAnsi" w:cs="Open Sans"/>
          <w:sz w:val="20"/>
          <w:lang w:val="fr-FR"/>
        </w:rPr>
        <w:t xml:space="preserve"> par leur </w:t>
      </w:r>
      <w:r w:rsidRPr="00A74D23">
        <w:rPr>
          <w:rFonts w:asciiTheme="minorHAnsi" w:hAnsiTheme="minorHAnsi" w:cs="Open Sans"/>
          <w:sz w:val="20"/>
          <w:lang w:val="fr-FR"/>
        </w:rPr>
        <w:t>chiffre d’affaire</w:t>
      </w:r>
      <w:r w:rsidR="000838C5" w:rsidRPr="00A74D23">
        <w:rPr>
          <w:rFonts w:asciiTheme="minorHAnsi" w:hAnsiTheme="minorHAnsi" w:cs="Open Sans"/>
          <w:sz w:val="20"/>
          <w:lang w:val="fr-FR"/>
        </w:rPr>
        <w:t>s)</w:t>
      </w:r>
      <w:r w:rsidRPr="00A74D23">
        <w:rPr>
          <w:rFonts w:asciiTheme="minorHAnsi" w:hAnsiTheme="minorHAnsi" w:cs="Open Sans"/>
          <w:sz w:val="20"/>
          <w:lang w:val="fr-FR"/>
        </w:rPr>
        <w:t>, et pondérées par le poids des entreprises en portefeuille. Abeille Assurances mesure l’</w:t>
      </w:r>
      <w:r w:rsidR="00C24D89" w:rsidRPr="00A74D23">
        <w:rPr>
          <w:rFonts w:asciiTheme="minorHAnsi" w:hAnsiTheme="minorHAnsi" w:cs="Open Sans"/>
          <w:sz w:val="20"/>
          <w:lang w:val="fr-FR"/>
        </w:rPr>
        <w:t>intensité carbone</w:t>
      </w:r>
      <w:r w:rsidRPr="00A74D23">
        <w:rPr>
          <w:rFonts w:asciiTheme="minorHAnsi" w:hAnsiTheme="minorHAnsi" w:cs="Open Sans"/>
          <w:sz w:val="20"/>
          <w:lang w:val="fr-FR"/>
        </w:rPr>
        <w:t xml:space="preserve"> de son portefeuille grâce aux données fournies par MSCI.</w:t>
      </w:r>
    </w:p>
    <w:p w14:paraId="452AF64A" w14:textId="77777777" w:rsidR="00F62BE5" w:rsidRPr="00A74D23" w:rsidRDefault="00F62BE5" w:rsidP="009D6EE5">
      <w:pPr>
        <w:spacing w:line="22" w:lineRule="atLeast"/>
        <w:jc w:val="both"/>
        <w:rPr>
          <w:rFonts w:asciiTheme="minorHAnsi" w:hAnsiTheme="minorHAnsi" w:cs="Open Sans"/>
          <w:sz w:val="20"/>
          <w:lang w:val="fr-FR"/>
        </w:rPr>
      </w:pPr>
    </w:p>
    <w:tbl>
      <w:tblPr>
        <w:tblStyle w:val="Grilledutableau"/>
        <w:tblW w:w="0" w:type="auto"/>
        <w:tblLook w:val="04A0" w:firstRow="1" w:lastRow="0" w:firstColumn="1" w:lastColumn="0" w:noHBand="0" w:noVBand="1"/>
      </w:tblPr>
      <w:tblGrid>
        <w:gridCol w:w="9864"/>
      </w:tblGrid>
      <w:tr w:rsidR="00040689" w:rsidRPr="00601C93" w14:paraId="044F579E" w14:textId="77777777" w:rsidTr="0003214D">
        <w:trPr>
          <w:trHeight w:val="1331"/>
        </w:trPr>
        <w:tc>
          <w:tcPr>
            <w:tcW w:w="9864" w:type="dxa"/>
          </w:tcPr>
          <w:p w14:paraId="092CEC17" w14:textId="5FEC92CF" w:rsidR="00040689" w:rsidRPr="00A74D23" w:rsidRDefault="009F61A5" w:rsidP="009D6EE5">
            <w:pPr>
              <w:spacing w:after="80" w:line="22" w:lineRule="atLeast"/>
              <w:jc w:val="both"/>
              <w:rPr>
                <w:rFonts w:asciiTheme="minorHAnsi" w:hAnsiTheme="minorHAnsi" w:cs="Open Sans"/>
                <w:b/>
                <w:sz w:val="20"/>
                <w:lang w:val="fr-FR"/>
              </w:rPr>
            </w:pPr>
            <w:r w:rsidRPr="00A74D23">
              <w:rPr>
                <w:rFonts w:asciiTheme="minorHAnsi" w:hAnsiTheme="minorHAnsi" w:cs="Open Sans"/>
                <w:b/>
                <w:sz w:val="20"/>
                <w:lang w:val="fr-FR"/>
              </w:rPr>
              <w:t>M</w:t>
            </w:r>
            <w:r w:rsidR="008A1201" w:rsidRPr="00A74D23">
              <w:rPr>
                <w:rFonts w:asciiTheme="minorHAnsi" w:hAnsiTheme="minorHAnsi" w:cs="Open Sans"/>
                <w:b/>
                <w:sz w:val="20"/>
                <w:lang w:val="fr-FR"/>
              </w:rPr>
              <w:t>éthodologie de m</w:t>
            </w:r>
            <w:r w:rsidRPr="00A74D23">
              <w:rPr>
                <w:rFonts w:asciiTheme="minorHAnsi" w:hAnsiTheme="minorHAnsi" w:cs="Open Sans"/>
                <w:b/>
                <w:sz w:val="20"/>
                <w:lang w:val="fr-FR"/>
              </w:rPr>
              <w:t>esure de l’empreinte carbone </w:t>
            </w:r>
          </w:p>
          <w:p w14:paraId="38D2A6A2" w14:textId="24D0B069" w:rsidR="009F61A5" w:rsidRPr="00A74D23" w:rsidRDefault="00A81646" w:rsidP="009D6EE5">
            <w:pPr>
              <w:autoSpaceDE w:val="0"/>
              <w:autoSpaceDN w:val="0"/>
              <w:adjustRightInd w:val="0"/>
              <w:spacing w:line="22" w:lineRule="atLeast"/>
              <w:jc w:val="both"/>
              <w:rPr>
                <w:rFonts w:asciiTheme="minorHAnsi" w:hAnsiTheme="minorHAnsi" w:cs="Open Sans"/>
                <w:sz w:val="20"/>
                <w:lang w:val="fr-FR"/>
              </w:rPr>
            </w:pPr>
            <w:r w:rsidRPr="00A74D23">
              <w:rPr>
                <w:rFonts w:asciiTheme="minorHAnsi" w:hAnsiTheme="minorHAnsi" w:cs="Open Sans"/>
                <w:sz w:val="20"/>
                <w:lang w:val="fr-FR"/>
              </w:rPr>
              <w:t>L’empreinte carbone d’un portefeuille est l’agrégation des émissions de gaz à effet de serre des actifs investis</w:t>
            </w:r>
            <w:r w:rsidR="00567041" w:rsidRPr="00A74D23">
              <w:rPr>
                <w:rFonts w:asciiTheme="minorHAnsi" w:hAnsiTheme="minorHAnsi" w:cs="Open Sans"/>
                <w:sz w:val="20"/>
                <w:lang w:val="fr-FR"/>
              </w:rPr>
              <w:t xml:space="preserve"> pondérées par la part de détention dans l'entreprise que représente l'investissement du portefeuille. </w:t>
            </w:r>
            <w:r w:rsidR="0045295B" w:rsidRPr="00A74D23">
              <w:rPr>
                <w:rFonts w:asciiTheme="minorHAnsi" w:hAnsiTheme="minorHAnsi" w:cs="Open Sans"/>
                <w:sz w:val="20"/>
                <w:lang w:val="fr-FR"/>
              </w:rPr>
              <w:t>Abeille Assurances</w:t>
            </w:r>
            <w:r w:rsidRPr="00A74D23">
              <w:rPr>
                <w:rFonts w:asciiTheme="minorHAnsi" w:hAnsiTheme="minorHAnsi" w:cs="Open Sans"/>
                <w:sz w:val="20"/>
                <w:lang w:val="fr-FR"/>
              </w:rPr>
              <w:t xml:space="preserve"> mesure l’empreinte </w:t>
            </w:r>
            <w:r w:rsidR="00C24D89" w:rsidRPr="00A74D23">
              <w:rPr>
                <w:rFonts w:asciiTheme="minorHAnsi" w:hAnsiTheme="minorHAnsi" w:cs="Open Sans"/>
                <w:sz w:val="20"/>
                <w:lang w:val="fr-FR"/>
              </w:rPr>
              <w:t xml:space="preserve">carbone </w:t>
            </w:r>
            <w:r w:rsidRPr="00A74D23">
              <w:rPr>
                <w:rFonts w:asciiTheme="minorHAnsi" w:hAnsiTheme="minorHAnsi" w:cs="Open Sans"/>
                <w:sz w:val="20"/>
                <w:lang w:val="fr-FR"/>
              </w:rPr>
              <w:t>de son portefeuille grâce</w:t>
            </w:r>
            <w:r w:rsidR="0045295B" w:rsidRPr="00A74D23">
              <w:rPr>
                <w:rFonts w:asciiTheme="minorHAnsi" w:hAnsiTheme="minorHAnsi" w:cs="Open Sans"/>
                <w:sz w:val="20"/>
                <w:lang w:val="fr-FR"/>
              </w:rPr>
              <w:t xml:space="preserve"> aux données fournies par MSCI.</w:t>
            </w:r>
          </w:p>
        </w:tc>
      </w:tr>
    </w:tbl>
    <w:p w14:paraId="15B15339" w14:textId="29A72480" w:rsidR="00495963" w:rsidRPr="00A74D23" w:rsidRDefault="00495963" w:rsidP="00495963">
      <w:pPr>
        <w:spacing w:before="160" w:line="22" w:lineRule="atLeast"/>
        <w:jc w:val="both"/>
        <w:rPr>
          <w:rFonts w:asciiTheme="minorHAnsi" w:hAnsiTheme="minorHAnsi" w:cs="Open Sans"/>
          <w:sz w:val="20"/>
          <w:lang w:val="fr-FR"/>
        </w:rPr>
      </w:pPr>
    </w:p>
    <w:p w14:paraId="09A48377" w14:textId="77777777" w:rsidR="00495963" w:rsidRPr="00A74D23" w:rsidRDefault="00495963" w:rsidP="00495963">
      <w:pPr>
        <w:spacing w:before="160" w:line="22" w:lineRule="atLeast"/>
        <w:jc w:val="both"/>
        <w:rPr>
          <w:rFonts w:asciiTheme="minorHAnsi" w:hAnsiTheme="minorHAnsi" w:cs="Open Sans"/>
          <w:sz w:val="20"/>
          <w:lang w:val="fr-FR"/>
        </w:rPr>
      </w:pPr>
    </w:p>
    <w:p w14:paraId="0F80909D" w14:textId="77777777" w:rsidR="00495963" w:rsidRPr="00A74D23" w:rsidRDefault="00495963" w:rsidP="00495963">
      <w:pPr>
        <w:spacing w:before="160" w:line="22" w:lineRule="atLeast"/>
        <w:jc w:val="both"/>
        <w:rPr>
          <w:rFonts w:asciiTheme="minorHAnsi" w:hAnsiTheme="minorHAnsi" w:cs="Open Sans"/>
          <w:sz w:val="20"/>
          <w:lang w:val="fr-FR"/>
        </w:rPr>
      </w:pPr>
    </w:p>
    <w:p w14:paraId="1A54CD0F" w14:textId="77777777" w:rsidR="00495963" w:rsidRPr="00A74D23" w:rsidRDefault="00495963" w:rsidP="00495963">
      <w:pPr>
        <w:spacing w:before="160" w:line="22" w:lineRule="atLeast"/>
        <w:jc w:val="both"/>
        <w:rPr>
          <w:rFonts w:asciiTheme="minorHAnsi" w:hAnsiTheme="minorHAnsi" w:cs="Open Sans"/>
          <w:sz w:val="20"/>
          <w:lang w:val="fr-FR"/>
        </w:rPr>
      </w:pPr>
    </w:p>
    <w:p w14:paraId="0FDB73FC" w14:textId="77777777" w:rsidR="00495963" w:rsidRPr="00A74D23" w:rsidRDefault="00495963" w:rsidP="00495963">
      <w:pPr>
        <w:spacing w:before="160" w:line="22" w:lineRule="atLeast"/>
        <w:jc w:val="both"/>
        <w:rPr>
          <w:rFonts w:asciiTheme="minorHAnsi" w:hAnsiTheme="minorHAnsi" w:cs="Open Sans"/>
          <w:sz w:val="20"/>
          <w:lang w:val="fr-FR"/>
        </w:rPr>
      </w:pPr>
    </w:p>
    <w:p w14:paraId="5AED8734" w14:textId="77777777" w:rsidR="00495963" w:rsidRPr="00A74D23" w:rsidRDefault="00495963" w:rsidP="00495963">
      <w:pPr>
        <w:spacing w:before="160" w:line="22" w:lineRule="atLeast"/>
        <w:jc w:val="both"/>
        <w:rPr>
          <w:rFonts w:asciiTheme="minorHAnsi" w:hAnsiTheme="minorHAnsi" w:cs="Open Sans"/>
          <w:sz w:val="20"/>
          <w:lang w:val="fr-FR"/>
        </w:rPr>
      </w:pPr>
    </w:p>
    <w:p w14:paraId="6F35A22E" w14:textId="77777777" w:rsidR="00495963" w:rsidRPr="00A74D23" w:rsidRDefault="00495963" w:rsidP="00495963">
      <w:pPr>
        <w:spacing w:before="160" w:line="22" w:lineRule="atLeast"/>
        <w:jc w:val="both"/>
        <w:rPr>
          <w:rFonts w:asciiTheme="minorHAnsi" w:hAnsiTheme="minorHAnsi" w:cs="Open Sans"/>
          <w:sz w:val="20"/>
          <w:lang w:val="fr-FR"/>
        </w:rPr>
      </w:pPr>
    </w:p>
    <w:p w14:paraId="6DE1CF41" w14:textId="072C4ED9" w:rsidR="00495963" w:rsidRPr="00A74D23" w:rsidRDefault="00495963" w:rsidP="009D6EE5">
      <w:pPr>
        <w:spacing w:before="160" w:line="22" w:lineRule="atLeast"/>
        <w:jc w:val="both"/>
        <w:rPr>
          <w:rFonts w:asciiTheme="minorHAnsi" w:hAnsiTheme="minorHAnsi" w:cs="Open Sans"/>
          <w:sz w:val="20"/>
          <w:lang w:val="fr-FR"/>
        </w:rPr>
      </w:pPr>
      <w:r w:rsidRPr="00A74D23">
        <w:rPr>
          <w:rFonts w:asciiTheme="minorHAnsi" w:hAnsiTheme="minorHAnsi" w:cs="Open Sans"/>
          <w:noProof/>
          <w:sz w:val="20"/>
          <w:lang w:val="fr-FR"/>
        </w:rPr>
        <mc:AlternateContent>
          <mc:Choice Requires="wps">
            <w:drawing>
              <wp:anchor distT="0" distB="0" distL="114300" distR="114300" simplePos="0" relativeHeight="251932672" behindDoc="0" locked="0" layoutInCell="1" allowOverlap="1" wp14:anchorId="49D99A99" wp14:editId="214A172F">
                <wp:simplePos x="0" y="0"/>
                <wp:positionH relativeFrom="column">
                  <wp:posOffset>29403</wp:posOffset>
                </wp:positionH>
                <wp:positionV relativeFrom="paragraph">
                  <wp:posOffset>71976</wp:posOffset>
                </wp:positionV>
                <wp:extent cx="6257677" cy="2997642"/>
                <wp:effectExtent l="0" t="0" r="10160" b="12700"/>
                <wp:wrapNone/>
                <wp:docPr id="1634716341" name="Rectangle 411"/>
                <wp:cNvGraphicFramePr/>
                <a:graphic xmlns:a="http://schemas.openxmlformats.org/drawingml/2006/main">
                  <a:graphicData uri="http://schemas.microsoft.com/office/word/2010/wordprocessingShape">
                    <wps:wsp>
                      <wps:cNvSpPr/>
                      <wps:spPr>
                        <a:xfrm>
                          <a:off x="0" y="0"/>
                          <a:ext cx="6257677" cy="2997642"/>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41AD96" w14:textId="5CA944BE" w:rsidR="00495963" w:rsidRDefault="00495963" w:rsidP="00495963">
                            <w:pPr>
                              <w:rPr>
                                <w:rFonts w:asciiTheme="minorHAnsi" w:hAnsiTheme="minorHAnsi"/>
                                <w:b/>
                                <w:bCs/>
                                <w:color w:val="000000" w:themeColor="text1"/>
                                <w:sz w:val="20"/>
                                <w:szCs w:val="20"/>
                                <w:lang w:val="fr-FR"/>
                              </w:rPr>
                            </w:pPr>
                            <w:r w:rsidRPr="005C72F7">
                              <w:rPr>
                                <w:rFonts w:asciiTheme="minorHAnsi" w:hAnsiTheme="minorHAnsi"/>
                                <w:b/>
                                <w:bCs/>
                                <w:color w:val="000000" w:themeColor="text1"/>
                                <w:sz w:val="20"/>
                                <w:szCs w:val="20"/>
                                <w:lang w:val="fr-FR"/>
                              </w:rPr>
                              <w:t>Echelle de maturité NZIF</w:t>
                            </w:r>
                          </w:p>
                          <w:p w14:paraId="2DAA9A11" w14:textId="77777777" w:rsidR="005C72F7" w:rsidRPr="005C72F7" w:rsidRDefault="005C72F7" w:rsidP="00495963">
                            <w:pPr>
                              <w:rPr>
                                <w:rFonts w:asciiTheme="minorHAnsi" w:hAnsiTheme="minorHAnsi"/>
                                <w:b/>
                                <w:bCs/>
                                <w:color w:val="000000" w:themeColor="text1"/>
                                <w:sz w:val="20"/>
                                <w:szCs w:val="20"/>
                                <w:lang w:val="fr-FR"/>
                              </w:rPr>
                            </w:pPr>
                          </w:p>
                          <w:p w14:paraId="39F28C6B" w14:textId="039255DE" w:rsidR="00495963" w:rsidRPr="005C72F7" w:rsidRDefault="00495963" w:rsidP="00495963">
                            <w:pPr>
                              <w:rPr>
                                <w:rFonts w:asciiTheme="minorHAnsi" w:hAnsiTheme="minorHAnsi"/>
                                <w:b/>
                                <w:bCs/>
                                <w:color w:val="000000" w:themeColor="text1"/>
                                <w:sz w:val="20"/>
                                <w:szCs w:val="20"/>
                                <w:lang w:val="fr-FR"/>
                              </w:rPr>
                            </w:pPr>
                            <w:r w:rsidRPr="005C72F7">
                              <w:rPr>
                                <w:rFonts w:asciiTheme="minorHAnsi" w:hAnsiTheme="minorHAnsi" w:cs="Open Sans"/>
                                <w:b/>
                                <w:bCs/>
                                <w:noProof/>
                                <w:color w:val="000000" w:themeColor="text1"/>
                                <w:sz w:val="20"/>
                                <w:szCs w:val="20"/>
                              </w:rPr>
                              <w:drawing>
                                <wp:inline distT="0" distB="0" distL="0" distR="0" wp14:anchorId="1FF4DADA" wp14:editId="0F7C8F53">
                                  <wp:extent cx="4018923" cy="2454876"/>
                                  <wp:effectExtent l="0" t="0" r="635" b="3175"/>
                                  <wp:docPr id="11146758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032611" cy="2463237"/>
                                          </a:xfrm>
                                          <a:prstGeom prst="rect">
                                            <a:avLst/>
                                          </a:prstGeom>
                                          <a:noFill/>
                                          <a:ln>
                                            <a:noFill/>
                                          </a:ln>
                                        </pic:spPr>
                                      </pic:pic>
                                    </a:graphicData>
                                  </a:graphic>
                                </wp:inline>
                              </w:drawing>
                            </w:r>
                          </w:p>
                          <w:p w14:paraId="317BEAE3" w14:textId="77777777" w:rsidR="00495963" w:rsidRPr="005C72F7" w:rsidRDefault="00495963" w:rsidP="00495963">
                            <w:pPr>
                              <w:rPr>
                                <w:rFonts w:asciiTheme="minorHAnsi" w:hAnsiTheme="minorHAnsi"/>
                                <w:b/>
                                <w:bCs/>
                                <w:color w:val="000000" w:themeColor="text1"/>
                                <w:sz w:val="20"/>
                                <w:szCs w:val="20"/>
                                <w:lang w:val="fr-FR"/>
                              </w:rPr>
                            </w:pPr>
                          </w:p>
                          <w:p w14:paraId="0F591A17" w14:textId="77777777" w:rsidR="00495963" w:rsidRPr="005C72F7" w:rsidRDefault="00495963" w:rsidP="00495963">
                            <w:pPr>
                              <w:rPr>
                                <w:rFonts w:asciiTheme="minorHAnsi" w:hAnsiTheme="minorHAnsi"/>
                                <w:b/>
                                <w:bCs/>
                                <w:color w:val="000000" w:themeColor="text1"/>
                                <w:sz w:val="20"/>
                                <w:szCs w:val="20"/>
                                <w:lang w:val="fr-FR"/>
                              </w:rPr>
                            </w:pPr>
                          </w:p>
                          <w:p w14:paraId="2B4B31BE" w14:textId="77777777" w:rsidR="00495963" w:rsidRPr="005C72F7" w:rsidRDefault="00495963" w:rsidP="00495963">
                            <w:pPr>
                              <w:rPr>
                                <w:rFonts w:asciiTheme="minorHAnsi" w:hAnsiTheme="minorHAnsi"/>
                                <w:b/>
                                <w:bCs/>
                                <w:color w:val="000000" w:themeColor="text1"/>
                                <w:sz w:val="20"/>
                                <w:szCs w:val="20"/>
                                <w:lang w:val="fr-FR"/>
                              </w:rPr>
                            </w:pPr>
                          </w:p>
                          <w:p w14:paraId="754DF15F" w14:textId="77777777" w:rsidR="00495963" w:rsidRPr="005C72F7" w:rsidRDefault="00495963" w:rsidP="00495963">
                            <w:pPr>
                              <w:rPr>
                                <w:rFonts w:asciiTheme="minorHAnsi" w:hAnsiTheme="minorHAnsi"/>
                                <w:b/>
                                <w:bCs/>
                                <w:color w:val="000000" w:themeColor="text1"/>
                                <w:sz w:val="20"/>
                                <w:szCs w:val="20"/>
                                <w:lang w:val="fr-FR"/>
                              </w:rPr>
                            </w:pPr>
                          </w:p>
                          <w:p w14:paraId="0D439AE1" w14:textId="77777777" w:rsidR="00495963" w:rsidRPr="005C72F7" w:rsidRDefault="00495963" w:rsidP="00495963">
                            <w:pPr>
                              <w:rPr>
                                <w:rFonts w:asciiTheme="minorHAnsi" w:hAnsiTheme="minorHAnsi"/>
                                <w:b/>
                                <w:bCs/>
                                <w:color w:val="000000" w:themeColor="text1"/>
                                <w:sz w:val="20"/>
                                <w:szCs w:val="20"/>
                                <w:lang w:val="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D99A99" id="Rectangle 411" o:spid="_x0000_s1188" style="position:absolute;left:0;text-align:left;margin-left:2.3pt;margin-top:5.65pt;width:492.75pt;height:236.05pt;z-index:251932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" filled="f" strokecolor="black [3213]">
                <v:textbox>
                  <w:txbxContent>
                    <w:p w14:paraId="4E41AD96" w14:textId="5CA944BE" w:rsidR="00495963" w:rsidRDefault="00495963" w:rsidP="00495963">
                      <w:pPr>
                        <w:rPr>
                          <w:rFonts w:asciiTheme="minorHAnsi" w:hAnsiTheme="minorHAnsi"/>
                          <w:b/>
                          <w:bCs/>
                          <w:color w:val="000000" w:themeColor="text1"/>
                          <w:sz w:val="20"/>
                          <w:szCs w:val="20"/>
                          <w:lang w:val="fr-FR"/>
                        </w:rPr>
                      </w:pPr>
                      <w:r w:rsidRPr="005C72F7">
                        <w:rPr>
                          <w:rFonts w:asciiTheme="minorHAnsi" w:hAnsiTheme="minorHAnsi"/>
                          <w:b/>
                          <w:bCs/>
                          <w:color w:val="000000" w:themeColor="text1"/>
                          <w:sz w:val="20"/>
                          <w:szCs w:val="20"/>
                          <w:lang w:val="fr-FR"/>
                        </w:rPr>
                        <w:t>Echelle de maturité NZIF</w:t>
                      </w:r>
                    </w:p>
                    <w:p w14:paraId="2DAA9A11" w14:textId="77777777" w:rsidR="005C72F7" w:rsidRPr="005C72F7" w:rsidRDefault="005C72F7" w:rsidP="00495963">
                      <w:pPr>
                        <w:rPr>
                          <w:rFonts w:asciiTheme="minorHAnsi" w:hAnsiTheme="minorHAnsi"/>
                          <w:b/>
                          <w:bCs/>
                          <w:color w:val="000000" w:themeColor="text1"/>
                          <w:sz w:val="20"/>
                          <w:szCs w:val="20"/>
                          <w:lang w:val="fr-FR"/>
                        </w:rPr>
                      </w:pPr>
                    </w:p>
                    <w:p w14:paraId="39F28C6B" w14:textId="039255DE" w:rsidR="00495963" w:rsidRPr="005C72F7" w:rsidRDefault="00495963" w:rsidP="00495963">
                      <w:pPr>
                        <w:rPr>
                          <w:rFonts w:asciiTheme="minorHAnsi" w:hAnsiTheme="minorHAnsi"/>
                          <w:b/>
                          <w:bCs/>
                          <w:color w:val="000000" w:themeColor="text1"/>
                          <w:sz w:val="20"/>
                          <w:szCs w:val="20"/>
                          <w:lang w:val="fr-FR"/>
                        </w:rPr>
                      </w:pPr>
                      <w:r w:rsidRPr="005C72F7">
                        <w:rPr>
                          <w:rFonts w:asciiTheme="minorHAnsi" w:hAnsiTheme="minorHAnsi" w:cs="Open Sans"/>
                          <w:b/>
                          <w:bCs/>
                          <w:noProof/>
                          <w:color w:val="000000" w:themeColor="text1"/>
                          <w:sz w:val="20"/>
                          <w:szCs w:val="20"/>
                        </w:rPr>
                        <w:drawing>
                          <wp:inline distT="0" distB="0" distL="0" distR="0" wp14:anchorId="1FF4DADA" wp14:editId="0F7C8F53">
                            <wp:extent cx="4018923" cy="2454876"/>
                            <wp:effectExtent l="0" t="0" r="635" b="3175"/>
                            <wp:docPr id="11146758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032611" cy="2463237"/>
                                    </a:xfrm>
                                    <a:prstGeom prst="rect">
                                      <a:avLst/>
                                    </a:prstGeom>
                                    <a:noFill/>
                                    <a:ln>
                                      <a:noFill/>
                                    </a:ln>
                                  </pic:spPr>
                                </pic:pic>
                              </a:graphicData>
                            </a:graphic>
                          </wp:inline>
                        </w:drawing>
                      </w:r>
                    </w:p>
                    <w:p w14:paraId="317BEAE3" w14:textId="77777777" w:rsidR="00495963" w:rsidRPr="005C72F7" w:rsidRDefault="00495963" w:rsidP="00495963">
                      <w:pPr>
                        <w:rPr>
                          <w:rFonts w:asciiTheme="minorHAnsi" w:hAnsiTheme="minorHAnsi"/>
                          <w:b/>
                          <w:bCs/>
                          <w:color w:val="000000" w:themeColor="text1"/>
                          <w:sz w:val="20"/>
                          <w:szCs w:val="20"/>
                          <w:lang w:val="fr-FR"/>
                        </w:rPr>
                      </w:pPr>
                    </w:p>
                    <w:p w14:paraId="0F591A17" w14:textId="77777777" w:rsidR="00495963" w:rsidRPr="005C72F7" w:rsidRDefault="00495963" w:rsidP="00495963">
                      <w:pPr>
                        <w:rPr>
                          <w:rFonts w:asciiTheme="minorHAnsi" w:hAnsiTheme="minorHAnsi"/>
                          <w:b/>
                          <w:bCs/>
                          <w:color w:val="000000" w:themeColor="text1"/>
                          <w:sz w:val="20"/>
                          <w:szCs w:val="20"/>
                          <w:lang w:val="fr-FR"/>
                        </w:rPr>
                      </w:pPr>
                    </w:p>
                    <w:p w14:paraId="2B4B31BE" w14:textId="77777777" w:rsidR="00495963" w:rsidRPr="005C72F7" w:rsidRDefault="00495963" w:rsidP="00495963">
                      <w:pPr>
                        <w:rPr>
                          <w:rFonts w:asciiTheme="minorHAnsi" w:hAnsiTheme="minorHAnsi"/>
                          <w:b/>
                          <w:bCs/>
                          <w:color w:val="000000" w:themeColor="text1"/>
                          <w:sz w:val="20"/>
                          <w:szCs w:val="20"/>
                          <w:lang w:val="fr-FR"/>
                        </w:rPr>
                      </w:pPr>
                    </w:p>
                    <w:p w14:paraId="754DF15F" w14:textId="77777777" w:rsidR="00495963" w:rsidRPr="005C72F7" w:rsidRDefault="00495963" w:rsidP="00495963">
                      <w:pPr>
                        <w:rPr>
                          <w:rFonts w:asciiTheme="minorHAnsi" w:hAnsiTheme="minorHAnsi"/>
                          <w:b/>
                          <w:bCs/>
                          <w:color w:val="000000" w:themeColor="text1"/>
                          <w:sz w:val="20"/>
                          <w:szCs w:val="20"/>
                          <w:lang w:val="fr-FR"/>
                        </w:rPr>
                      </w:pPr>
                    </w:p>
                    <w:p w14:paraId="0D439AE1" w14:textId="77777777" w:rsidR="00495963" w:rsidRPr="005C72F7" w:rsidRDefault="00495963" w:rsidP="00495963">
                      <w:pPr>
                        <w:rPr>
                          <w:rFonts w:asciiTheme="minorHAnsi" w:hAnsiTheme="minorHAnsi"/>
                          <w:b/>
                          <w:bCs/>
                          <w:color w:val="000000" w:themeColor="text1"/>
                          <w:sz w:val="20"/>
                          <w:szCs w:val="20"/>
                          <w:lang w:val="fr-FR"/>
                        </w:rPr>
                      </w:pPr>
                    </w:p>
                  </w:txbxContent>
                </v:textbox>
              </v:rect>
            </w:pict>
          </mc:Fallback>
        </mc:AlternateContent>
      </w:r>
    </w:p>
    <w:p w14:paraId="6B12F18E" w14:textId="77777777" w:rsidR="00495963" w:rsidRPr="00A74D23" w:rsidRDefault="00495963" w:rsidP="009D6EE5">
      <w:pPr>
        <w:spacing w:before="160" w:line="22" w:lineRule="atLeast"/>
        <w:jc w:val="both"/>
        <w:rPr>
          <w:rFonts w:asciiTheme="minorHAnsi" w:hAnsiTheme="minorHAnsi" w:cs="Open Sans"/>
          <w:sz w:val="20"/>
          <w:lang w:val="fr-FR"/>
        </w:rPr>
      </w:pPr>
    </w:p>
    <w:p w14:paraId="6A2E988A" w14:textId="77777777" w:rsidR="00495963" w:rsidRPr="00A74D23" w:rsidRDefault="00495963" w:rsidP="009D6EE5">
      <w:pPr>
        <w:spacing w:before="160" w:line="22" w:lineRule="atLeast"/>
        <w:jc w:val="both"/>
        <w:rPr>
          <w:rFonts w:asciiTheme="minorHAnsi" w:hAnsiTheme="minorHAnsi" w:cs="Open Sans"/>
          <w:sz w:val="20"/>
          <w:lang w:val="fr-FR"/>
        </w:rPr>
      </w:pPr>
    </w:p>
    <w:p w14:paraId="2316E17E" w14:textId="77777777" w:rsidR="00495963" w:rsidRPr="00A74D23" w:rsidRDefault="00495963" w:rsidP="009D6EE5">
      <w:pPr>
        <w:spacing w:before="160" w:line="22" w:lineRule="atLeast"/>
        <w:jc w:val="both"/>
        <w:rPr>
          <w:rFonts w:asciiTheme="minorHAnsi" w:hAnsiTheme="minorHAnsi" w:cs="Open Sans"/>
          <w:sz w:val="20"/>
          <w:lang w:val="fr-FR"/>
        </w:rPr>
      </w:pPr>
    </w:p>
    <w:p w14:paraId="7A645D82" w14:textId="77777777" w:rsidR="00495963" w:rsidRPr="00A74D23" w:rsidRDefault="00495963" w:rsidP="009D6EE5">
      <w:pPr>
        <w:spacing w:before="160" w:line="22" w:lineRule="atLeast"/>
        <w:jc w:val="both"/>
        <w:rPr>
          <w:rFonts w:asciiTheme="minorHAnsi" w:hAnsiTheme="minorHAnsi" w:cs="Open Sans"/>
          <w:sz w:val="20"/>
          <w:lang w:val="fr-FR"/>
        </w:rPr>
      </w:pPr>
    </w:p>
    <w:p w14:paraId="5A773ABE" w14:textId="77777777" w:rsidR="00495963" w:rsidRPr="00A74D23" w:rsidRDefault="00495963" w:rsidP="009D6EE5">
      <w:pPr>
        <w:spacing w:before="160" w:line="22" w:lineRule="atLeast"/>
        <w:jc w:val="both"/>
        <w:rPr>
          <w:rFonts w:asciiTheme="minorHAnsi" w:hAnsiTheme="minorHAnsi" w:cs="Open Sans"/>
          <w:sz w:val="20"/>
          <w:lang w:val="fr-FR"/>
        </w:rPr>
      </w:pPr>
    </w:p>
    <w:p w14:paraId="6F49BE44" w14:textId="77777777" w:rsidR="00495963" w:rsidRPr="00A74D23" w:rsidRDefault="00495963" w:rsidP="009D6EE5">
      <w:pPr>
        <w:spacing w:before="160" w:line="22" w:lineRule="atLeast"/>
        <w:jc w:val="both"/>
        <w:rPr>
          <w:rFonts w:asciiTheme="minorHAnsi" w:hAnsiTheme="minorHAnsi" w:cs="Open Sans"/>
          <w:sz w:val="20"/>
          <w:lang w:val="fr-FR"/>
        </w:rPr>
      </w:pPr>
    </w:p>
    <w:p w14:paraId="114D9826" w14:textId="77777777" w:rsidR="00495963" w:rsidRPr="00A74D23" w:rsidRDefault="00495963" w:rsidP="009D6EE5">
      <w:pPr>
        <w:spacing w:before="160" w:line="22" w:lineRule="atLeast"/>
        <w:jc w:val="both"/>
        <w:rPr>
          <w:rFonts w:asciiTheme="minorHAnsi" w:hAnsiTheme="minorHAnsi" w:cs="Open Sans"/>
          <w:sz w:val="20"/>
          <w:lang w:val="fr-FR"/>
        </w:rPr>
      </w:pPr>
    </w:p>
    <w:p w14:paraId="769D3A26" w14:textId="77777777" w:rsidR="00495963" w:rsidRPr="00A74D23" w:rsidRDefault="00495963" w:rsidP="009D6EE5">
      <w:pPr>
        <w:spacing w:before="160" w:line="22" w:lineRule="atLeast"/>
        <w:jc w:val="both"/>
        <w:rPr>
          <w:rFonts w:asciiTheme="minorHAnsi" w:hAnsiTheme="minorHAnsi" w:cs="Open Sans"/>
          <w:sz w:val="20"/>
          <w:lang w:val="fr-FR"/>
        </w:rPr>
      </w:pPr>
    </w:p>
    <w:p w14:paraId="2FE1F0FF" w14:textId="77777777" w:rsidR="00495963" w:rsidRPr="00A74D23" w:rsidRDefault="00495963" w:rsidP="009D6EE5">
      <w:pPr>
        <w:spacing w:before="160" w:line="22" w:lineRule="atLeast"/>
        <w:jc w:val="both"/>
        <w:rPr>
          <w:rFonts w:asciiTheme="minorHAnsi" w:hAnsiTheme="minorHAnsi" w:cs="Open Sans"/>
          <w:sz w:val="20"/>
          <w:lang w:val="fr-FR"/>
        </w:rPr>
      </w:pPr>
    </w:p>
    <w:p w14:paraId="04E119AE" w14:textId="77777777" w:rsidR="00495963" w:rsidRPr="00A74D23" w:rsidRDefault="00495963" w:rsidP="009D6EE5">
      <w:pPr>
        <w:spacing w:before="160" w:line="22" w:lineRule="atLeast"/>
        <w:jc w:val="both"/>
        <w:rPr>
          <w:rFonts w:asciiTheme="minorHAnsi" w:hAnsiTheme="minorHAnsi" w:cs="Open Sans"/>
          <w:sz w:val="20"/>
          <w:lang w:val="fr-FR"/>
        </w:rPr>
      </w:pPr>
    </w:p>
    <w:p w14:paraId="547B9FCD" w14:textId="77777777" w:rsidR="00DD62A2" w:rsidRDefault="00DD62A2" w:rsidP="009D6EE5">
      <w:pPr>
        <w:spacing w:before="160" w:line="22" w:lineRule="atLeast"/>
        <w:jc w:val="both"/>
        <w:rPr>
          <w:rFonts w:asciiTheme="minorHAnsi" w:hAnsiTheme="minorHAnsi" w:cs="Open Sans"/>
          <w:sz w:val="20"/>
          <w:lang w:val="fr-FR"/>
        </w:rPr>
      </w:pPr>
    </w:p>
    <w:p w14:paraId="0642325A" w14:textId="77777777" w:rsidR="005C72F7" w:rsidRPr="00A74D23" w:rsidRDefault="005C72F7" w:rsidP="009D6EE5">
      <w:pPr>
        <w:spacing w:before="160" w:line="22" w:lineRule="atLeast"/>
        <w:jc w:val="both"/>
        <w:rPr>
          <w:rFonts w:asciiTheme="minorHAnsi" w:hAnsiTheme="minorHAnsi" w:cs="Open Sans"/>
          <w:sz w:val="20"/>
          <w:lang w:val="fr-FR"/>
        </w:rPr>
      </w:pPr>
    </w:p>
    <w:tbl>
      <w:tblPr>
        <w:tblStyle w:val="Grilledutableau"/>
        <w:tblW w:w="0" w:type="auto"/>
        <w:tblLook w:val="04A0" w:firstRow="1" w:lastRow="0" w:firstColumn="1" w:lastColumn="0" w:noHBand="0" w:noVBand="1"/>
      </w:tblPr>
      <w:tblGrid>
        <w:gridCol w:w="9776"/>
      </w:tblGrid>
      <w:tr w:rsidR="009A420F" w:rsidRPr="00A74D23" w14:paraId="289288BD" w14:textId="77777777" w:rsidTr="0003214D">
        <w:tc>
          <w:tcPr>
            <w:tcW w:w="9776" w:type="dxa"/>
          </w:tcPr>
          <w:p w14:paraId="3D12DB88" w14:textId="3F69B85A" w:rsidR="009A420F" w:rsidRPr="00A74D23" w:rsidRDefault="008A1201" w:rsidP="009D6EE5">
            <w:pPr>
              <w:spacing w:line="22" w:lineRule="atLeast"/>
              <w:jc w:val="both"/>
              <w:rPr>
                <w:rFonts w:asciiTheme="minorHAnsi" w:hAnsiTheme="minorHAnsi" w:cs="Open Sans"/>
                <w:b/>
                <w:sz w:val="20"/>
                <w:lang w:val="fr-FR"/>
              </w:rPr>
            </w:pPr>
            <w:r w:rsidRPr="00A74D23">
              <w:rPr>
                <w:rFonts w:asciiTheme="minorHAnsi" w:hAnsiTheme="minorHAnsi" w:cs="Open Sans"/>
                <w:b/>
                <w:sz w:val="20"/>
                <w:lang w:val="fr-FR"/>
              </w:rPr>
              <w:t xml:space="preserve">Méthodologie de </w:t>
            </w:r>
            <w:r w:rsidR="007E7950" w:rsidRPr="00A74D23">
              <w:rPr>
                <w:rFonts w:asciiTheme="minorHAnsi" w:hAnsiTheme="minorHAnsi" w:cs="Open Sans"/>
                <w:b/>
                <w:sz w:val="20"/>
                <w:lang w:val="fr-FR"/>
              </w:rPr>
              <w:t>calcul de l’</w:t>
            </w:r>
            <w:r w:rsidR="00E94241" w:rsidRPr="00A74D23">
              <w:rPr>
                <w:rFonts w:asciiTheme="minorHAnsi" w:hAnsiTheme="minorHAnsi" w:cs="Open Sans"/>
                <w:b/>
                <w:sz w:val="20"/>
                <w:lang w:val="fr-FR"/>
              </w:rPr>
              <w:t xml:space="preserve">Implied Temperature Raise </w:t>
            </w:r>
            <w:r w:rsidR="007E7950" w:rsidRPr="00A74D23">
              <w:rPr>
                <w:rFonts w:asciiTheme="minorHAnsi" w:hAnsiTheme="minorHAnsi" w:cs="Open Sans"/>
                <w:b/>
                <w:sz w:val="20"/>
                <w:lang w:val="fr-FR"/>
              </w:rPr>
              <w:t>(ITR)</w:t>
            </w:r>
          </w:p>
          <w:p w14:paraId="115C9A27" w14:textId="17110CB8" w:rsidR="005F7624" w:rsidRPr="00A74D23" w:rsidRDefault="000838C5" w:rsidP="009D6EE5">
            <w:pPr>
              <w:pStyle w:val="Style1"/>
              <w:numPr>
                <w:ilvl w:val="0"/>
                <w:numId w:val="0"/>
              </w:numPr>
              <w:tabs>
                <w:tab w:val="left" w:pos="426"/>
              </w:tabs>
              <w:spacing w:line="22" w:lineRule="atLeast"/>
              <w:jc w:val="both"/>
              <w:rPr>
                <w:rFonts w:cs="Open Sans"/>
                <w:i w:val="0"/>
                <w:color w:val="auto"/>
                <w:sz w:val="20"/>
                <w:szCs w:val="20"/>
              </w:rPr>
            </w:pPr>
            <w:r w:rsidRPr="00A74D23">
              <w:rPr>
                <w:rFonts w:cs="Open Sans"/>
                <w:i w:val="0"/>
                <w:color w:val="auto"/>
                <w:sz w:val="20"/>
                <w:szCs w:val="20"/>
              </w:rPr>
              <w:t xml:space="preserve">L’ITR est une métrique implicite qui traduit la façon dont les entreprises/les portefeuilles s’alignent vis-à-vis d’un scénario de limitation du réchauffement climatique à 2°C à horizon 2100. Elle se base sur une approche cumulative au travers des 3 scopes d’émissions </w:t>
            </w:r>
            <w:r w:rsidR="00113551" w:rsidRPr="00A74D23">
              <w:rPr>
                <w:rFonts w:cs="Open Sans"/>
                <w:i w:val="0"/>
                <w:color w:val="auto"/>
                <w:sz w:val="20"/>
                <w:szCs w:val="20"/>
              </w:rPr>
              <w:t xml:space="preserve">de </w:t>
            </w:r>
            <w:r w:rsidRPr="00A74D23">
              <w:rPr>
                <w:rFonts w:cs="Open Sans"/>
                <w:i w:val="0"/>
                <w:color w:val="auto"/>
                <w:sz w:val="20"/>
                <w:szCs w:val="20"/>
              </w:rPr>
              <w:t xml:space="preserve">GES, qui considère une neutralité carbone atteinte en 2070.  L’ITR capture sur toute cette période à la fois le budget carbone en ligne avec le scénario de limitation à 2°C et les émissions de CO2 en projection des émetteurs (avec la prise en compte de leurs objectifs de réductions communiqués/estimés). Cela permet de définir un ratio d’Overshoot/d’Undershoot nécessaire à la modélisation du réchauffement (ou refroidissement) additionnel greffé aux 2°C de base du scénario. L’agrégation de la métrique au niveau portefeuille se base sur une approche par la détention en valeur d’entreprise (EVIC, ou Enterprise Value Including Cash). La méthodologie et les métriques sont fournies par MSCI. </w:t>
            </w:r>
          </w:p>
        </w:tc>
      </w:tr>
    </w:tbl>
    <w:p w14:paraId="41FD2E15" w14:textId="77777777" w:rsidR="00CE18A0" w:rsidRPr="00A74D23" w:rsidRDefault="00CE18A0" w:rsidP="009D6EE5">
      <w:pPr>
        <w:spacing w:line="22" w:lineRule="atLeast"/>
        <w:jc w:val="both"/>
        <w:rPr>
          <w:rFonts w:asciiTheme="minorHAnsi" w:hAnsiTheme="minorHAnsi" w:cs="Open Sans"/>
          <w:sz w:val="20"/>
        </w:rPr>
      </w:pPr>
    </w:p>
    <w:tbl>
      <w:tblPr>
        <w:tblStyle w:val="Grilledutableau"/>
        <w:tblW w:w="0" w:type="auto"/>
        <w:tblLook w:val="04A0" w:firstRow="1" w:lastRow="0" w:firstColumn="1" w:lastColumn="0" w:noHBand="0" w:noVBand="1"/>
      </w:tblPr>
      <w:tblGrid>
        <w:gridCol w:w="9776"/>
      </w:tblGrid>
      <w:tr w:rsidR="0013007E" w:rsidRPr="00601C93" w14:paraId="67C1AC25" w14:textId="77777777" w:rsidTr="0003214D">
        <w:tc>
          <w:tcPr>
            <w:tcW w:w="9776" w:type="dxa"/>
          </w:tcPr>
          <w:p w14:paraId="6118589A" w14:textId="46E8EDAA" w:rsidR="0013007E" w:rsidRPr="00A74D23" w:rsidRDefault="0013007E" w:rsidP="009D6EE5">
            <w:pPr>
              <w:spacing w:line="22" w:lineRule="atLeast"/>
              <w:jc w:val="both"/>
              <w:rPr>
                <w:rFonts w:asciiTheme="minorHAnsi" w:hAnsiTheme="minorHAnsi" w:cs="Open Sans"/>
                <w:b/>
                <w:sz w:val="20"/>
                <w:lang w:val="fr-FR"/>
              </w:rPr>
            </w:pPr>
            <w:r w:rsidRPr="00A74D23">
              <w:rPr>
                <w:rFonts w:asciiTheme="minorHAnsi" w:hAnsiTheme="minorHAnsi" w:cs="Open Sans"/>
                <w:b/>
                <w:sz w:val="20"/>
                <w:lang w:val="fr-FR"/>
              </w:rPr>
              <w:t>L’empreinte biodiversité</w:t>
            </w:r>
            <w:r w:rsidR="00EF3485" w:rsidRPr="00A74D23">
              <w:rPr>
                <w:rFonts w:asciiTheme="minorHAnsi" w:hAnsiTheme="minorHAnsi" w:cs="Open Sans"/>
                <w:b/>
                <w:sz w:val="20"/>
                <w:lang w:val="fr-FR"/>
              </w:rPr>
              <w:t xml:space="preserve"> de Carbon 4 Finance</w:t>
            </w:r>
          </w:p>
          <w:p w14:paraId="0BF5E448" w14:textId="15398C32" w:rsidR="0013007E" w:rsidRPr="00A74D23" w:rsidRDefault="0013007E"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Carbon4 Finance</w:t>
            </w:r>
            <w:r w:rsidR="00EF3485" w:rsidRPr="00A74D23">
              <w:rPr>
                <w:rFonts w:asciiTheme="minorHAnsi" w:hAnsiTheme="minorHAnsi" w:cs="Open Sans"/>
                <w:sz w:val="20"/>
                <w:lang w:val="fr-FR"/>
              </w:rPr>
              <w:t xml:space="preserve"> nous</w:t>
            </w:r>
            <w:r w:rsidRPr="00A74D23">
              <w:rPr>
                <w:rFonts w:asciiTheme="minorHAnsi" w:hAnsiTheme="minorHAnsi" w:cs="Open Sans"/>
                <w:sz w:val="20"/>
                <w:lang w:val="fr-FR"/>
              </w:rPr>
              <w:t xml:space="preserve"> permet d’estimer l’empreinte de nos investissements sur la biodiversité à travers la mesure de la diversité des espèces terrestres et aquatiques en moyenne d’abondance </w:t>
            </w:r>
            <w:r w:rsidR="00B04429" w:rsidRPr="00A74D23">
              <w:rPr>
                <w:rFonts w:asciiTheme="minorHAnsi" w:hAnsiTheme="minorHAnsi" w:cs="Open Sans"/>
                <w:sz w:val="20"/>
                <w:lang w:val="fr-FR"/>
              </w:rPr>
              <w:t xml:space="preserve">(MSA) </w:t>
            </w:r>
            <w:r w:rsidRPr="00A74D23">
              <w:rPr>
                <w:rFonts w:asciiTheme="minorHAnsi" w:hAnsiTheme="minorHAnsi" w:cs="Open Sans"/>
                <w:sz w:val="20"/>
                <w:lang w:val="fr-FR"/>
              </w:rPr>
              <w:t xml:space="preserve">par km². </w:t>
            </w:r>
          </w:p>
          <w:p w14:paraId="734353A7" w14:textId="77777777" w:rsidR="0013007E" w:rsidRPr="00A74D23" w:rsidRDefault="0013007E" w:rsidP="009D6EE5">
            <w:pPr>
              <w:spacing w:line="22" w:lineRule="atLeast"/>
              <w:jc w:val="both"/>
              <w:rPr>
                <w:rFonts w:asciiTheme="minorHAnsi" w:hAnsiTheme="minorHAnsi" w:cs="Open Sans"/>
                <w:sz w:val="20"/>
                <w:lang w:val="fr-FR"/>
              </w:rPr>
            </w:pPr>
          </w:p>
          <w:p w14:paraId="78ED2207" w14:textId="77777777" w:rsidR="0013007E" w:rsidRPr="00A74D23" w:rsidRDefault="0013007E" w:rsidP="009D6EE5">
            <w:pPr>
              <w:spacing w:line="22" w:lineRule="atLeast"/>
              <w:jc w:val="both"/>
              <w:rPr>
                <w:rFonts w:asciiTheme="minorHAnsi" w:hAnsiTheme="minorHAnsi" w:cs="Open Sans"/>
                <w:sz w:val="20"/>
                <w:lang w:val="fr-FR"/>
              </w:rPr>
            </w:pPr>
            <w:r w:rsidRPr="00A74D23">
              <w:rPr>
                <w:rFonts w:asciiTheme="minorHAnsi" w:hAnsiTheme="minorHAnsi" w:cs="Open Sans"/>
                <w:sz w:val="20"/>
                <w:lang w:val="fr-FR"/>
              </w:rPr>
              <w:t>L’empreinte biodiversité est calculée en deux temps</w:t>
            </w:r>
            <w:r w:rsidRPr="00A74D23">
              <w:rPr>
                <w:rFonts w:ascii="Arial" w:hAnsi="Arial" w:cs="Arial"/>
                <w:sz w:val="20"/>
                <w:lang w:val="fr-FR"/>
              </w:rPr>
              <w:t> </w:t>
            </w:r>
            <w:r w:rsidRPr="00A74D23">
              <w:rPr>
                <w:rFonts w:asciiTheme="minorHAnsi" w:hAnsiTheme="minorHAnsi" w:cs="Open Sans"/>
                <w:sz w:val="20"/>
                <w:lang w:val="fr-FR"/>
              </w:rPr>
              <w:t xml:space="preserve">: </w:t>
            </w:r>
          </w:p>
          <w:p w14:paraId="3C3F6A31" w14:textId="10AFADA7" w:rsidR="0013007E" w:rsidRPr="00A74D23" w:rsidRDefault="0013007E" w:rsidP="00590DD1">
            <w:pPr>
              <w:pStyle w:val="Paragraphedeliste"/>
              <w:numPr>
                <w:ilvl w:val="4"/>
                <w:numId w:val="21"/>
              </w:numPr>
              <w:spacing w:line="22" w:lineRule="atLeast"/>
              <w:ind w:left="594"/>
              <w:jc w:val="both"/>
              <w:rPr>
                <w:rFonts w:cs="Open Sans"/>
                <w:sz w:val="20"/>
              </w:rPr>
            </w:pPr>
            <w:r w:rsidRPr="00A74D23">
              <w:rPr>
                <w:rFonts w:cs="Open Sans"/>
                <w:sz w:val="20"/>
              </w:rPr>
              <w:t>Établir le lien entre activités économiques et les différentes pressions sur la biodiversité, tel que définies par l’IPBES, en chiffrant la contribution de l’activité économique à ces pressions (utilisation de la surface terrestre, climat) ;</w:t>
            </w:r>
          </w:p>
          <w:p w14:paraId="7767E4CE" w14:textId="538F2466" w:rsidR="0013007E" w:rsidRPr="00A74D23" w:rsidRDefault="00B14396" w:rsidP="00590DD1">
            <w:pPr>
              <w:pStyle w:val="Paragraphedeliste"/>
              <w:numPr>
                <w:ilvl w:val="4"/>
                <w:numId w:val="21"/>
              </w:numPr>
              <w:spacing w:line="22" w:lineRule="atLeast"/>
              <w:ind w:left="594"/>
              <w:jc w:val="both"/>
              <w:rPr>
                <w:rFonts w:cs="Open Sans"/>
                <w:sz w:val="20"/>
              </w:rPr>
            </w:pPr>
            <w:r w:rsidRPr="00A74D23">
              <w:rPr>
                <w:rFonts w:cs="Open Sans"/>
                <w:sz w:val="20"/>
              </w:rPr>
              <w:t>A</w:t>
            </w:r>
            <w:r w:rsidR="0013007E" w:rsidRPr="00A74D23">
              <w:rPr>
                <w:rFonts w:cs="Open Sans"/>
                <w:sz w:val="20"/>
              </w:rPr>
              <w:t>nalyser l’impact de ces pressions sur la biodiversité et le quantifier en MSA.km² (Mean Species Abundance par km²), métrique qui permet de décrire l’intégrité des écosystèmes et la surface impactée. Les impacts statiques (les impacts antérieurs sur la biodiversité) et dynamiques (les impacts biodiversité actuels) sont agrégés en MSAppb* pour une comparaison plus simple entre différents portefeuilles et émetteurs.</w:t>
            </w:r>
          </w:p>
        </w:tc>
      </w:tr>
    </w:tbl>
    <w:p w14:paraId="746171A0" w14:textId="77777777" w:rsidR="0013007E" w:rsidRPr="00A74D23" w:rsidRDefault="0013007E" w:rsidP="009D6EE5">
      <w:pPr>
        <w:spacing w:line="22" w:lineRule="atLeast"/>
        <w:jc w:val="both"/>
        <w:rPr>
          <w:rFonts w:asciiTheme="minorHAnsi" w:hAnsiTheme="minorHAnsi" w:cs="Open Sans"/>
          <w:sz w:val="20"/>
          <w:lang w:val="fr-FR"/>
        </w:rPr>
      </w:pPr>
    </w:p>
    <w:p w14:paraId="30288BF0" w14:textId="77777777" w:rsidR="00396D2F" w:rsidRDefault="00396D2F" w:rsidP="009D6EE5">
      <w:pPr>
        <w:spacing w:line="22" w:lineRule="atLeast"/>
        <w:jc w:val="both"/>
        <w:rPr>
          <w:rFonts w:asciiTheme="minorHAnsi" w:hAnsiTheme="minorHAnsi" w:cs="Open Sans"/>
          <w:sz w:val="20"/>
          <w:lang w:val="fr-FR"/>
        </w:rPr>
      </w:pPr>
    </w:p>
    <w:p w14:paraId="58519A7D" w14:textId="77777777" w:rsidR="001D687B" w:rsidRDefault="001D687B" w:rsidP="009D6EE5">
      <w:pPr>
        <w:spacing w:line="22" w:lineRule="atLeast"/>
        <w:jc w:val="both"/>
        <w:rPr>
          <w:rFonts w:asciiTheme="minorHAnsi" w:hAnsiTheme="minorHAnsi" w:cs="Open Sans"/>
          <w:sz w:val="20"/>
          <w:lang w:val="fr-FR"/>
        </w:rPr>
      </w:pPr>
    </w:p>
    <w:p w14:paraId="6B35D733" w14:textId="77777777" w:rsidR="005C72F7" w:rsidRDefault="005C72F7" w:rsidP="009D6EE5">
      <w:pPr>
        <w:spacing w:line="22" w:lineRule="atLeast"/>
        <w:jc w:val="both"/>
        <w:rPr>
          <w:rFonts w:asciiTheme="minorHAnsi" w:hAnsiTheme="minorHAnsi" w:cs="Open Sans"/>
          <w:sz w:val="20"/>
          <w:lang w:val="fr-FR"/>
        </w:rPr>
      </w:pPr>
    </w:p>
    <w:p w14:paraId="5740A345" w14:textId="77777777" w:rsidR="005C72F7" w:rsidRDefault="005C72F7" w:rsidP="009D6EE5">
      <w:pPr>
        <w:spacing w:line="22" w:lineRule="atLeast"/>
        <w:jc w:val="both"/>
        <w:rPr>
          <w:rFonts w:asciiTheme="minorHAnsi" w:hAnsiTheme="minorHAnsi" w:cs="Open Sans"/>
          <w:sz w:val="20"/>
          <w:lang w:val="fr-FR"/>
        </w:rPr>
      </w:pPr>
    </w:p>
    <w:p w14:paraId="3BE414AB" w14:textId="77777777" w:rsidR="005C72F7" w:rsidRDefault="005C72F7" w:rsidP="009D6EE5">
      <w:pPr>
        <w:spacing w:line="22" w:lineRule="atLeast"/>
        <w:jc w:val="both"/>
        <w:rPr>
          <w:rFonts w:asciiTheme="minorHAnsi" w:hAnsiTheme="minorHAnsi" w:cs="Open Sans"/>
          <w:sz w:val="20"/>
          <w:lang w:val="fr-FR"/>
        </w:rPr>
      </w:pPr>
    </w:p>
    <w:p w14:paraId="306D8C4C" w14:textId="77777777" w:rsidR="001D687B" w:rsidRPr="00A74D23" w:rsidRDefault="001D687B" w:rsidP="009D6EE5">
      <w:pPr>
        <w:spacing w:line="22" w:lineRule="atLeast"/>
        <w:jc w:val="both"/>
        <w:rPr>
          <w:rFonts w:asciiTheme="minorHAnsi" w:hAnsiTheme="minorHAnsi" w:cs="Open Sans"/>
          <w:sz w:val="20"/>
          <w:lang w:val="fr-FR"/>
        </w:rPr>
      </w:pPr>
    </w:p>
    <w:p w14:paraId="60875037" w14:textId="7378931A" w:rsidR="000246B2" w:rsidRPr="00A74D23" w:rsidRDefault="000246B2" w:rsidP="009D6EE5">
      <w:pPr>
        <w:pStyle w:val="Style3"/>
        <w:spacing w:line="22" w:lineRule="atLeast"/>
        <w:ind w:left="0" w:firstLine="0"/>
        <w:jc w:val="both"/>
        <w:rPr>
          <w:rFonts w:asciiTheme="minorHAnsi" w:hAnsiTheme="minorHAnsi" w:cs="Open Sans"/>
        </w:rPr>
      </w:pPr>
      <w:bookmarkStart w:id="117" w:name="_Toc129091848"/>
      <w:bookmarkStart w:id="118" w:name="_Toc128735936"/>
      <w:r w:rsidRPr="00A74D23">
        <w:rPr>
          <w:rFonts w:asciiTheme="minorHAnsi" w:hAnsiTheme="minorHAnsi" w:cs="Open Sans"/>
        </w:rPr>
        <w:t>Liste des produits financiers mentionnés en vertu de l'article 8 et 9 du Règlement Disclosure (SFDR)</w:t>
      </w:r>
      <w:bookmarkEnd w:id="117"/>
      <w:bookmarkEnd w:id="118"/>
    </w:p>
    <w:tbl>
      <w:tblPr>
        <w:tblStyle w:val="Grilledutableau"/>
        <w:tblW w:w="92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05"/>
        <w:gridCol w:w="5197"/>
        <w:gridCol w:w="2005"/>
      </w:tblGrid>
      <w:tr w:rsidR="000E5F78" w:rsidRPr="00A74D23" w14:paraId="4525353D"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shd w:val="clear" w:color="auto" w:fill="D57B1D" w:themeFill="accent3"/>
            <w:noWrap/>
            <w:hideMark/>
          </w:tcPr>
          <w:p w14:paraId="15DA7F59" w14:textId="77777777" w:rsidR="000E5F78" w:rsidRPr="00A74D23" w:rsidRDefault="000E5F78" w:rsidP="009D6EE5">
            <w:pPr>
              <w:spacing w:line="22" w:lineRule="atLeast"/>
              <w:jc w:val="both"/>
              <w:rPr>
                <w:rFonts w:asciiTheme="minorHAnsi" w:hAnsiTheme="minorHAnsi" w:cs="Open Sans"/>
                <w:b/>
                <w:bCs/>
                <w:color w:val="FFFFFF" w:themeColor="background1"/>
                <w:sz w:val="20"/>
                <w:szCs w:val="20"/>
                <w:lang w:eastAsia="fr-FR"/>
              </w:rPr>
            </w:pPr>
            <w:r w:rsidRPr="00A74D23">
              <w:rPr>
                <w:rFonts w:asciiTheme="minorHAnsi" w:hAnsiTheme="minorHAnsi" w:cs="Open Sans"/>
                <w:b/>
                <w:bCs/>
                <w:color w:val="FFFFFF" w:themeColor="background1"/>
                <w:sz w:val="20"/>
                <w:szCs w:val="20"/>
                <w:lang w:eastAsia="fr-FR"/>
              </w:rPr>
              <w:t>Classe d'actif</w:t>
            </w:r>
          </w:p>
        </w:tc>
        <w:tc>
          <w:tcPr>
            <w:tcW w:w="5197" w:type="dxa"/>
            <w:tcBorders>
              <w:top w:val="single" w:sz="4" w:space="0" w:color="auto"/>
              <w:left w:val="single" w:sz="4" w:space="0" w:color="auto"/>
              <w:bottom w:val="single" w:sz="4" w:space="0" w:color="auto"/>
              <w:right w:val="single" w:sz="4" w:space="0" w:color="auto"/>
            </w:tcBorders>
            <w:shd w:val="clear" w:color="auto" w:fill="D57B1D" w:themeFill="accent3"/>
            <w:noWrap/>
            <w:hideMark/>
          </w:tcPr>
          <w:p w14:paraId="7A5442FC" w14:textId="77777777" w:rsidR="000E5F78" w:rsidRPr="00A74D23" w:rsidRDefault="000E5F78" w:rsidP="009D6EE5">
            <w:pPr>
              <w:spacing w:line="22" w:lineRule="atLeast"/>
              <w:jc w:val="both"/>
              <w:rPr>
                <w:rFonts w:asciiTheme="minorHAnsi" w:hAnsiTheme="minorHAnsi" w:cs="Open Sans"/>
                <w:b/>
                <w:bCs/>
                <w:color w:val="FFFFFF" w:themeColor="background1"/>
                <w:sz w:val="20"/>
                <w:szCs w:val="20"/>
                <w:lang w:eastAsia="fr-FR"/>
              </w:rPr>
            </w:pPr>
            <w:r w:rsidRPr="00A74D23">
              <w:rPr>
                <w:rFonts w:asciiTheme="minorHAnsi" w:hAnsiTheme="minorHAnsi" w:cs="Open Sans"/>
                <w:b/>
                <w:bCs/>
                <w:color w:val="FFFFFF" w:themeColor="background1"/>
                <w:sz w:val="20"/>
                <w:szCs w:val="20"/>
                <w:lang w:eastAsia="fr-FR"/>
              </w:rPr>
              <w:t>Libellé portefeuille</w:t>
            </w:r>
          </w:p>
        </w:tc>
        <w:tc>
          <w:tcPr>
            <w:tcW w:w="2005" w:type="dxa"/>
            <w:tcBorders>
              <w:top w:val="single" w:sz="4" w:space="0" w:color="auto"/>
              <w:left w:val="single" w:sz="4" w:space="0" w:color="auto"/>
              <w:bottom w:val="single" w:sz="4" w:space="0" w:color="auto"/>
              <w:right w:val="single" w:sz="4" w:space="0" w:color="auto"/>
            </w:tcBorders>
            <w:shd w:val="clear" w:color="auto" w:fill="D57B1D" w:themeFill="accent3"/>
            <w:noWrap/>
            <w:hideMark/>
          </w:tcPr>
          <w:p w14:paraId="0D9AAC98" w14:textId="77777777" w:rsidR="000E5F78" w:rsidRPr="00A74D23" w:rsidRDefault="000E5F78" w:rsidP="009D6EE5">
            <w:pPr>
              <w:spacing w:line="22" w:lineRule="atLeast"/>
              <w:jc w:val="both"/>
              <w:rPr>
                <w:rFonts w:asciiTheme="minorHAnsi" w:hAnsiTheme="minorHAnsi" w:cs="Open Sans"/>
                <w:b/>
                <w:bCs/>
                <w:color w:val="FFFFFF" w:themeColor="background1"/>
                <w:sz w:val="20"/>
                <w:szCs w:val="20"/>
                <w:lang w:eastAsia="fr-FR"/>
              </w:rPr>
            </w:pPr>
            <w:r w:rsidRPr="00A74D23">
              <w:rPr>
                <w:rFonts w:asciiTheme="minorHAnsi" w:hAnsiTheme="minorHAnsi" w:cs="Open Sans"/>
                <w:b/>
                <w:bCs/>
                <w:color w:val="FFFFFF" w:themeColor="background1"/>
                <w:sz w:val="20"/>
                <w:szCs w:val="20"/>
                <w:lang w:eastAsia="fr-FR"/>
              </w:rPr>
              <w:t>Classification SFDR</w:t>
            </w:r>
          </w:p>
        </w:tc>
      </w:tr>
      <w:tr w:rsidR="00886BB4" w:rsidRPr="00A74D23" w14:paraId="1EB0ED38"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6FB34F67" w14:textId="25321E2C"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4CFA05B3" w14:textId="1E28C15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 BLUEBAAM</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2EB9885C" w14:textId="1D94A73C"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5A551A6E"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04892EE0" w14:textId="44BBDDA7"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1DD7FD53" w14:textId="3C75E8B6"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17Capital Strategic Lending Fund 6</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021E2A9A" w14:textId="075FD487"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391B6937"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0DE3C88E" w14:textId="5F9F4A5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7691AADA" w14:textId="10BF17E3"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2i Sélection</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4D546109" w14:textId="4D0CD396"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198B938F"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6BA03FBD" w14:textId="6FD97B73"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7DBA30EA" w14:textId="1C61B979"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ABEILLE ACTIONS CONVEX FPS</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6AF37991" w14:textId="7E580337"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6D90BB1C"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1AA88D5F" w14:textId="486688CD"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4F4446BC" w14:textId="02BB448D"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ABEILLE ACTIONS S2</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095A703E" w14:textId="1CBEBCDF"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7FAE0029"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6467110A" w14:textId="6D117425"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61058DD0" w14:textId="79F90E0B"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ABEILLE INFRA EQUITY 2024 FPS</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2D1E54F5" w14:textId="32AA79BD"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65FADD21"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514917D5" w14:textId="5E2E0B4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7C2438CB" w14:textId="0040D7E0"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ABEILLE MESSINE 5</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14A3AB9A" w14:textId="5153BB6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42778F1D"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64021EF1" w14:textId="5FF5FBC8"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4069E93B" w14:textId="6AA696D6"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ABEILLE OVERLAY ACTIONS EURO FCP</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3A254291" w14:textId="4C1945AF"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25D05F4A"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7FBA2E96" w14:textId="688544C5"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249A35A4" w14:textId="28D19DB5"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ABEILLE STRUCTURE INDEX1</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4B08A5E0" w14:textId="54032D98"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2EAC36BB"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45E4565A" w14:textId="30989D87"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63D18493" w14:textId="25F22CB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abrdn - Emerging Markets CorpBd</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77D7D8FC" w14:textId="7F82851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22E2F8BA"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1FBC6F17" w14:textId="6C4FEC4F"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1AFE7FF4" w14:textId="6FD08B0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Afer Actions Amérique</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307F68C4" w14:textId="0A6B2327"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403BF389"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786CC305" w14:textId="7F6E117B"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7F8293A5" w14:textId="17930D6F"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Afer Actions Euro</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4F671275" w14:textId="14ED06B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20A86DF8"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56FAB139" w14:textId="3B4314D8"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6A6DCB78" w14:textId="7DD6932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AFER ACTIONS PME</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1123ACCA" w14:textId="00B630D8"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5895B43B"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788F797D" w14:textId="5AA34C0D"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3334ABAB" w14:textId="0A52E0F2"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Afer Crédit Court</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06AA9152" w14:textId="2C37DB09"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6615A748"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0230132E" w14:textId="416E50BC"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095C73BA" w14:textId="60CEE673"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Afer Crédit Flexible</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3AD059E6" w14:textId="4C92867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228D2996"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67BF64CC" w14:textId="67B970B5"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348AD8AD" w14:textId="5D0DE80B"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Afer Generation Big Data</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4DA73445" w14:textId="06274442"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0F53E9F3"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1C813643" w14:textId="36524190"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240B68DB" w14:textId="5A9774E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Afer Generation Credit Financials</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64C25C18" w14:textId="6632519F"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53386A88"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2142D1F7" w14:textId="321CFAD2"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1B7DBD89" w14:textId="3C08D0E5"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Afer Global Souverains</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41DCEB37" w14:textId="4C9E5B27"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7D71D5A0"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365BBD2C" w14:textId="44E8878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78750BAF" w14:textId="2CF944B6"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ALGEBRIS FINANCIAL CREDIT FUND</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3D4E3C73" w14:textId="7EB6C1C7"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66DA4B6E"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131D50C4" w14:textId="02AB6234"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66B02992" w14:textId="3E02AAD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Allianz US Short Duration High Income Bd</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0F37B2FD" w14:textId="03098E38"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370ED973"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5F8CABA7" w14:textId="617C9108"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32A206B4" w14:textId="7695F773"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Alvearium Equity</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0CE7E37D" w14:textId="0E320B20"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3B90AAC6"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4FB8DC9B" w14:textId="54C039CF"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01F3F942" w14:textId="53C6D31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Amundi Asset Management</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07AE0F61" w14:textId="6BD9BFA3"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37CF1A43"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37F430AF" w14:textId="16A24AB5"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2DFC6E0F" w14:textId="727C5D0D"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ANDERA PARTNER</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4817100A" w14:textId="3F37208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0C3A11A8"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1F2F52E2" w14:textId="79E834BD"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758B7A12" w14:textId="6E6165EB"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ANTIN INF PAR V</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02D6F9CE" w14:textId="0E929B55"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4A021B13"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2AC407E4" w14:textId="04FD23BC"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3D6F8698" w14:textId="0B550550"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ARDIAN BUYOUT FD</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7A8B3877" w14:textId="04352B17"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686D9252"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4DD58CD5" w14:textId="578CBF22"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1488948F" w14:textId="7A957F12"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ARDIAN EXPANSION FUND VI SLP UNITS</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56B7E8DF" w14:textId="23C007F2"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518D6CAF"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4E932F6D" w14:textId="64462897"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7F8F480E" w14:textId="5584EE3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Ardian France</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36CC2AA9" w14:textId="4BAAF23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60B0A822"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398F66DE" w14:textId="626A8547"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4D6A1EB3" w14:textId="1A55EEC4"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Aviva France Global High Yield Fund</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7B28A0E0" w14:textId="685A8C1B"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44AA243C"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742F1CCE" w14:textId="0C7D464B"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4E70FFB9" w14:textId="30B4B837"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AVIVA INVESTORS ALPHA TAUX</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600F43D5" w14:textId="057A9746"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48C9E4E6"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4E3CF42D" w14:textId="025BADEF"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13704F26" w14:textId="5CF8C39F"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Aviva Investors Emerging Markets Bond Fd</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56990E64" w14:textId="10D6B24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6B21D002"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045F2BD7" w14:textId="4871E41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52219A3E" w14:textId="1B9E6040"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Aviva Investors Emerging Mkts Corp Bd Fd</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6E270CC5" w14:textId="01A44323"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1DEB8B60"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0B35D30B" w14:textId="510171BB"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2AEDF948" w14:textId="271CECA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Aviva Investors Invm Solu Emerg Mkts Dbt</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0681000C" w14:textId="4B15908B"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408B351B"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704EB27F" w14:textId="27C42149"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16229D10" w14:textId="47777338"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AXAIMFIIS US Short Duration High Yield</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48F02A15" w14:textId="34CC156F"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3EB139DC"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37811F9B" w14:textId="1558ADC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6FA64C21" w14:textId="1EBDF3A4"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AXAWF Global Convertibles</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59C3917C" w14:textId="2ED667E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2254EB9F"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30057168" w14:textId="68D144C8"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5BDC7D5E" w14:textId="150ED88D"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AXAWF US High Yield Bonds</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34C27024" w14:textId="20DE4E27"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0B06E552"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2EE004BC" w14:textId="7CB87F22"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63226F32" w14:textId="5296BDC0"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Bételgeuse</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3B10B545" w14:textId="4B8BDCDB"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03C6CF1E"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229838AF" w14:textId="6CA866EF"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44C34666" w14:textId="77DDFAE5"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BGF US Dollar High Yield Bond Fund</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12709312" w14:textId="07D1588F"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6E38B92A"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7D046080" w14:textId="6FF4382B"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2BF70DF4" w14:textId="638AFC1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BLACKFIN TECH 2 FPCI</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3FDF226E" w14:textId="0256E539"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2E46E314"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11246CFB" w14:textId="758293B7"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3D75A23D" w14:textId="6FFF9E9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BNY Mellon Global Short-Dtd Hi Yld Bd Fd</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64DDDBD2" w14:textId="72279092"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65BF211A"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70823D4C" w14:textId="7377D87F"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4F766DF1" w14:textId="6709F16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Candriam Bds Euro High Yield</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0D648E98" w14:textId="4778129F"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5BE0CBD4"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7065D203" w14:textId="7C2B9094"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0D36A8B1" w14:textId="1A221BB5"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Comgest Growth Europe</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04F23B7D" w14:textId="390B8950"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54A50A18"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59F85E4E" w14:textId="62C18545"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2846AB75" w14:textId="29017505"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DWS INVESTMENT MANAGEMENT AMERICAS INC</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3A2C682B" w14:textId="048BEE1F"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232482E9"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5A8117B4" w14:textId="13482C9C"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25773E31" w14:textId="752E44EF"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EMERGENCE ACT II</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6A99A38F" w14:textId="1F2C3CB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1AF15CE9"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4ABEF5F1" w14:textId="35BAB013"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1AEDFB77" w14:textId="7D9B2189"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EMERGENCE SICAV EMERGENCE EURO</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36D4C0B3" w14:textId="36ADC988"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19285059"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38860DDE" w14:textId="64E64D8F"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09CED279" w14:textId="15B47A3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EMERGENCE TECHS FOR GOOD</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5E6D10BF" w14:textId="713C5FB9"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099E591C"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3A9F1B75" w14:textId="53AAF170"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04ED2908" w14:textId="5CA2DF73"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Eurazeo Global Investor</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194BBD00" w14:textId="492146A5"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43CD08B2"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1ACD2BD0" w14:textId="516A468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4C169D95" w14:textId="4370D04F"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EURAZEO GROWTH FUND III SLP 1</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1AA840DC" w14:textId="0999489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3CBF7840"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2BD36729" w14:textId="2B002B9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68296935" w14:textId="33D70082"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Fidelity US High Yield Fund</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17B603E0" w14:textId="30834720"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5EE1DA86"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1874FADB" w14:textId="454F1BD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5AC86199" w14:textId="09BA1FF5"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FIVE ARROW MANAGERS GP SAS</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545513B5" w14:textId="01BF77BC"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7E35ADE6"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1989235E" w14:textId="0894CBE7"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3D1E9B13" w14:textId="0DA32BBA" w:rsidR="00886BB4" w:rsidRPr="00A74D23" w:rsidRDefault="00886BB4" w:rsidP="009D6EE5">
            <w:pPr>
              <w:spacing w:line="22" w:lineRule="atLeast"/>
              <w:jc w:val="both"/>
              <w:rPr>
                <w:rFonts w:asciiTheme="minorHAnsi" w:hAnsiTheme="minorHAnsi" w:cs="Open Sans"/>
                <w:color w:val="000000"/>
                <w:sz w:val="20"/>
                <w:szCs w:val="20"/>
                <w:lang w:val="fr-FR" w:eastAsia="fr-FR"/>
              </w:rPr>
            </w:pPr>
            <w:r w:rsidRPr="00A74D23">
              <w:rPr>
                <w:rFonts w:asciiTheme="minorHAnsi" w:hAnsiTheme="minorHAnsi" w:cs="Open Sans"/>
                <w:color w:val="000000"/>
                <w:sz w:val="20"/>
                <w:szCs w:val="20"/>
                <w:lang w:val="fr-FR"/>
              </w:rPr>
              <w:t>Fonds Strategique des Transitions SLP</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5A2FFE25" w14:textId="41934FD9"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6555D827"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6C5D564D" w14:textId="1BAFABC0"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53C4AAA7" w14:textId="64FF2BC0"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FPCI CAP 7</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3AD3AB0D" w14:textId="6DA2F99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7286AAB0"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2952467B" w14:textId="79F81CF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5466AF41" w14:textId="12FE4D03"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GS Emerging Markets Corporate Bond Port</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025E30E6" w14:textId="020D417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1559E8C9"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334F188D" w14:textId="17660AB6"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7C6DB84E" w14:textId="3E7E596B"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HSBC GIF Euro High Yield Bond</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1844756F" w14:textId="7C0FEA53"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63030F9E"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3544291B" w14:textId="1EF16EAD"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12E9D298" w14:textId="75927D53"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IK PARTNERS</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2F40C645" w14:textId="70850990"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002442D5"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077B1657" w14:textId="58F9D0B4"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1814B756" w14:textId="5DDBA4A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Infravia Capital Partners</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6DCA2CC4" w14:textId="2D147CB2"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4729B0EF"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0A24A0F3" w14:textId="4591E562"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3A3F4D44" w14:textId="5A35C7C2"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INNOVAFONDS</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2983FA65" w14:textId="32AE198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266254FA"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25759C2A" w14:textId="234EE2E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2BF4BAD8" w14:textId="6996B96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IXO 5 FPCI</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66B0C429" w14:textId="3B8C92D3"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2389D5D1"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2562CCDE" w14:textId="31D6265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5A5A3684" w14:textId="090F66AB"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JEITO SLP</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51EA45EF" w14:textId="3D682086"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51D34602"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79DC6D4B" w14:textId="503A5A9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1859C332" w14:textId="4D1D54E6"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JPM US Select Equity Fund</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46A20CD6" w14:textId="5E6C0BBC"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198D0799"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31319385" w14:textId="120DA1C4"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55F51228" w14:textId="2F1DFB5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LAC I SLP</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35C67541" w14:textId="55E4C8E5"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167EA761"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526928E9" w14:textId="7791351D"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2753528E" w14:textId="0F9040E7"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LAUXERA CAPITAL PARTNER SAS</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4292D83E" w14:textId="7BEDFDA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2F170CDE"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13E7FA73" w14:textId="2B13217B"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457FC8D2" w14:textId="74BA729C"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LAZARD CONVERTIBLE GLOBAL</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5247FF39" w14:textId="35362786"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04468733"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22556E5A" w14:textId="4747FDA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42773408" w14:textId="334245E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Lazard Small Caps Euro</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7213FFBA" w14:textId="56A5788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55ECFF86"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20BD5020" w14:textId="32B9276D"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19B78FA1" w14:textId="795A5497"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M&amp;G (Lux) European Strategic Value Fd</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320DC937" w14:textId="6316165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41187086"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00138888" w14:textId="05E2374C"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08697C83" w14:textId="7D603726"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MBO FLEX 1 SLP</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51DA5C6C" w14:textId="393359DB"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1CC8587F"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61A18B69" w14:textId="2736E374"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0D6E26F8" w14:textId="7B4918A7"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MFS Meridian Emerging Markets Debt Fund</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55D9BA2E" w14:textId="498B07D7"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06FFF9EE"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4CF7B52F" w14:textId="74881576"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55EEBCFD" w14:textId="45FF665F"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MS INVF Global Convertible Bond Fund</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42D52BD9" w14:textId="16D6A4B3"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36788BAC"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2523C7A0" w14:textId="6203BCA3"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68AE0663" w14:textId="17879DB6"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Naxicap Investment Opportunities III SLP</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7737E5D1" w14:textId="24A60003"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1905DBE9"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49930BFE" w14:textId="30B7919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293FE631" w14:textId="38A3C62C"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Neuberger Berman Corporate Hybrid Bd Fd</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136EB441" w14:textId="711A2410"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18601622"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10D23943" w14:textId="5A4C3D8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6BEB7AFB" w14:textId="2AEFEAB9"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Neuberger Berman Short Dur Em Mkt Dbt Fd</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43D9DF80" w14:textId="6AA4E03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2426B6DD"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hideMark/>
          </w:tcPr>
          <w:p w14:paraId="393DC7A8" w14:textId="1F08B88D"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12213F71" w14:textId="0B12B303"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NOVI 2</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208B8980" w14:textId="720666F4"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7A8670E5"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7C41FB12" w14:textId="0EA6ED0D"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0A49E9FD" w14:textId="306A0715"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ODDO BHF Euro Credit Short Duration</w:t>
            </w:r>
          </w:p>
        </w:tc>
        <w:tc>
          <w:tcPr>
            <w:tcW w:w="2005" w:type="dxa"/>
            <w:tcBorders>
              <w:top w:val="single" w:sz="4" w:space="0" w:color="auto"/>
              <w:left w:val="single" w:sz="4" w:space="0" w:color="auto"/>
              <w:bottom w:val="single" w:sz="4" w:space="0" w:color="auto"/>
              <w:right w:val="single" w:sz="4" w:space="0" w:color="auto"/>
            </w:tcBorders>
            <w:noWrap/>
            <w:vAlign w:val="bottom"/>
            <w:hideMark/>
          </w:tcPr>
          <w:p w14:paraId="50A2398B" w14:textId="538EEB20"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7DC1B196"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12A5F482" w14:textId="171F02A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03A1E7B0" w14:textId="00304CC7" w:rsidR="00886BB4" w:rsidRPr="00A74D23" w:rsidRDefault="00495330"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Ofi</w:t>
            </w:r>
            <w:r w:rsidR="00886BB4" w:rsidRPr="00A74D23">
              <w:rPr>
                <w:rFonts w:asciiTheme="minorHAnsi" w:hAnsiTheme="minorHAnsi" w:cs="Open Sans"/>
                <w:color w:val="000000"/>
                <w:sz w:val="20"/>
                <w:szCs w:val="20"/>
              </w:rPr>
              <w:t xml:space="preserve"> Invest Actions Euro</w:t>
            </w:r>
          </w:p>
        </w:tc>
        <w:tc>
          <w:tcPr>
            <w:tcW w:w="2005" w:type="dxa"/>
            <w:tcBorders>
              <w:top w:val="single" w:sz="4" w:space="0" w:color="auto"/>
              <w:left w:val="single" w:sz="4" w:space="0" w:color="auto"/>
              <w:bottom w:val="single" w:sz="4" w:space="0" w:color="auto"/>
              <w:right w:val="single" w:sz="4" w:space="0" w:color="auto"/>
            </w:tcBorders>
            <w:noWrap/>
            <w:vAlign w:val="bottom"/>
          </w:tcPr>
          <w:p w14:paraId="7541F0D9" w14:textId="5CC34382"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799BC129"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0AC6B1F8" w14:textId="75965F74"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03A62EEB" w14:textId="4CF7A201" w:rsidR="00886BB4" w:rsidRPr="00A74D23" w:rsidRDefault="00495330"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Ofi</w:t>
            </w:r>
            <w:r w:rsidR="00886BB4" w:rsidRPr="00A74D23">
              <w:rPr>
                <w:rFonts w:asciiTheme="minorHAnsi" w:hAnsiTheme="minorHAnsi" w:cs="Open Sans"/>
                <w:color w:val="000000"/>
                <w:sz w:val="20"/>
                <w:szCs w:val="20"/>
              </w:rPr>
              <w:t xml:space="preserve"> Invest Actions Japon</w:t>
            </w:r>
          </w:p>
        </w:tc>
        <w:tc>
          <w:tcPr>
            <w:tcW w:w="2005" w:type="dxa"/>
            <w:tcBorders>
              <w:top w:val="single" w:sz="4" w:space="0" w:color="auto"/>
              <w:left w:val="single" w:sz="4" w:space="0" w:color="auto"/>
              <w:bottom w:val="single" w:sz="4" w:space="0" w:color="auto"/>
              <w:right w:val="single" w:sz="4" w:space="0" w:color="auto"/>
            </w:tcBorders>
            <w:noWrap/>
            <w:vAlign w:val="bottom"/>
          </w:tcPr>
          <w:p w14:paraId="1962AD36" w14:textId="6A801A54"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3EBE2D3E"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674E4C36" w14:textId="235E7CB2"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41CE9972" w14:textId="7D14E034" w:rsidR="00886BB4" w:rsidRPr="00A74D23" w:rsidRDefault="00495330"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Ofi</w:t>
            </w:r>
            <w:r w:rsidR="00886BB4" w:rsidRPr="00A74D23">
              <w:rPr>
                <w:rFonts w:asciiTheme="minorHAnsi" w:hAnsiTheme="minorHAnsi" w:cs="Open Sans"/>
                <w:color w:val="000000"/>
                <w:sz w:val="20"/>
                <w:szCs w:val="20"/>
              </w:rPr>
              <w:t xml:space="preserve"> Invest Asset Management</w:t>
            </w:r>
          </w:p>
        </w:tc>
        <w:tc>
          <w:tcPr>
            <w:tcW w:w="2005" w:type="dxa"/>
            <w:tcBorders>
              <w:top w:val="single" w:sz="4" w:space="0" w:color="auto"/>
              <w:left w:val="single" w:sz="4" w:space="0" w:color="auto"/>
              <w:bottom w:val="single" w:sz="4" w:space="0" w:color="auto"/>
              <w:right w:val="single" w:sz="4" w:space="0" w:color="auto"/>
            </w:tcBorders>
            <w:noWrap/>
            <w:vAlign w:val="bottom"/>
          </w:tcPr>
          <w:p w14:paraId="2DE17E7C" w14:textId="234F13A8"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12AF018A"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20DA8755" w14:textId="3C71F7CC"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7A867941" w14:textId="46E2E51F" w:rsidR="00886BB4" w:rsidRPr="00A74D23" w:rsidRDefault="00495330"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Ofi</w:t>
            </w:r>
            <w:r w:rsidR="00886BB4" w:rsidRPr="00A74D23">
              <w:rPr>
                <w:rFonts w:asciiTheme="minorHAnsi" w:hAnsiTheme="minorHAnsi" w:cs="Open Sans"/>
                <w:color w:val="000000"/>
                <w:sz w:val="20"/>
                <w:szCs w:val="20"/>
              </w:rPr>
              <w:t xml:space="preserve"> Invest Energy Strategic Metals</w:t>
            </w:r>
          </w:p>
        </w:tc>
        <w:tc>
          <w:tcPr>
            <w:tcW w:w="2005" w:type="dxa"/>
            <w:tcBorders>
              <w:top w:val="single" w:sz="4" w:space="0" w:color="auto"/>
              <w:left w:val="single" w:sz="4" w:space="0" w:color="auto"/>
              <w:bottom w:val="single" w:sz="4" w:space="0" w:color="auto"/>
              <w:right w:val="single" w:sz="4" w:space="0" w:color="auto"/>
            </w:tcBorders>
            <w:noWrap/>
            <w:vAlign w:val="bottom"/>
          </w:tcPr>
          <w:p w14:paraId="13E6A75B" w14:textId="19D2602F"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1872AE8C"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5EDAB671" w14:textId="20FB72F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0795E672" w14:textId="120929C3" w:rsidR="00886BB4" w:rsidRPr="00A74D23" w:rsidRDefault="00495330"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Ofi</w:t>
            </w:r>
            <w:r w:rsidR="00886BB4" w:rsidRPr="00A74D23">
              <w:rPr>
                <w:rFonts w:asciiTheme="minorHAnsi" w:hAnsiTheme="minorHAnsi" w:cs="Open Sans"/>
                <w:color w:val="000000"/>
                <w:sz w:val="20"/>
                <w:szCs w:val="20"/>
              </w:rPr>
              <w:t xml:space="preserve"> Invest Euro High Yield</w:t>
            </w:r>
          </w:p>
        </w:tc>
        <w:tc>
          <w:tcPr>
            <w:tcW w:w="2005" w:type="dxa"/>
            <w:tcBorders>
              <w:top w:val="single" w:sz="4" w:space="0" w:color="auto"/>
              <w:left w:val="single" w:sz="4" w:space="0" w:color="auto"/>
              <w:bottom w:val="single" w:sz="4" w:space="0" w:color="auto"/>
              <w:right w:val="single" w:sz="4" w:space="0" w:color="auto"/>
            </w:tcBorders>
            <w:noWrap/>
            <w:vAlign w:val="bottom"/>
          </w:tcPr>
          <w:p w14:paraId="1CB64B47" w14:textId="654B5F3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77076A96"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029EFCD7" w14:textId="7649551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28567EA0" w14:textId="394A1A23" w:rsidR="00886BB4" w:rsidRPr="00A74D23" w:rsidRDefault="00495330"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Ofi</w:t>
            </w:r>
            <w:r w:rsidR="00886BB4" w:rsidRPr="00A74D23">
              <w:rPr>
                <w:rFonts w:asciiTheme="minorHAnsi" w:hAnsiTheme="minorHAnsi" w:cs="Open Sans"/>
                <w:color w:val="000000"/>
                <w:sz w:val="20"/>
                <w:szCs w:val="20"/>
              </w:rPr>
              <w:t xml:space="preserve"> Invest Global Convertible Bond</w:t>
            </w:r>
          </w:p>
        </w:tc>
        <w:tc>
          <w:tcPr>
            <w:tcW w:w="2005" w:type="dxa"/>
            <w:tcBorders>
              <w:top w:val="single" w:sz="4" w:space="0" w:color="auto"/>
              <w:left w:val="single" w:sz="4" w:space="0" w:color="auto"/>
              <w:bottom w:val="single" w:sz="4" w:space="0" w:color="auto"/>
              <w:right w:val="single" w:sz="4" w:space="0" w:color="auto"/>
            </w:tcBorders>
            <w:noWrap/>
            <w:vAlign w:val="bottom"/>
          </w:tcPr>
          <w:p w14:paraId="194494A6" w14:textId="12B2E0C0"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4CA0E45C"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7290E4DD" w14:textId="332C576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3BA8F389" w14:textId="357768D7" w:rsidR="00886BB4" w:rsidRPr="00A74D23" w:rsidRDefault="00495330"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Ofi</w:t>
            </w:r>
            <w:r w:rsidR="00886BB4" w:rsidRPr="00A74D23">
              <w:rPr>
                <w:rFonts w:asciiTheme="minorHAnsi" w:hAnsiTheme="minorHAnsi" w:cs="Open Sans"/>
                <w:color w:val="000000"/>
                <w:sz w:val="20"/>
                <w:szCs w:val="20"/>
              </w:rPr>
              <w:t xml:space="preserve"> Invest Valeurs Euro</w:t>
            </w:r>
          </w:p>
        </w:tc>
        <w:tc>
          <w:tcPr>
            <w:tcW w:w="2005" w:type="dxa"/>
            <w:tcBorders>
              <w:top w:val="single" w:sz="4" w:space="0" w:color="auto"/>
              <w:left w:val="single" w:sz="4" w:space="0" w:color="auto"/>
              <w:bottom w:val="single" w:sz="4" w:space="0" w:color="auto"/>
              <w:right w:val="single" w:sz="4" w:space="0" w:color="auto"/>
            </w:tcBorders>
            <w:noWrap/>
            <w:vAlign w:val="bottom"/>
          </w:tcPr>
          <w:p w14:paraId="5B93B558" w14:textId="7C1AC71D"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5ED20B98"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53656CC5" w14:textId="6F8ABDB0"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750AA91D" w14:textId="30C26F1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PAI PARTNER VIII SCSP</w:t>
            </w:r>
          </w:p>
        </w:tc>
        <w:tc>
          <w:tcPr>
            <w:tcW w:w="2005" w:type="dxa"/>
            <w:tcBorders>
              <w:top w:val="single" w:sz="4" w:space="0" w:color="auto"/>
              <w:left w:val="single" w:sz="4" w:space="0" w:color="auto"/>
              <w:bottom w:val="single" w:sz="4" w:space="0" w:color="auto"/>
              <w:right w:val="single" w:sz="4" w:space="0" w:color="auto"/>
            </w:tcBorders>
            <w:noWrap/>
            <w:vAlign w:val="bottom"/>
          </w:tcPr>
          <w:p w14:paraId="3506BECA" w14:textId="5B82E15C"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579EE92F"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3B13B99C" w14:textId="7124FC0F"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7EC46504" w14:textId="4442749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PIMCO GIS US High Yield Bond Fund</w:t>
            </w:r>
          </w:p>
        </w:tc>
        <w:tc>
          <w:tcPr>
            <w:tcW w:w="2005" w:type="dxa"/>
            <w:tcBorders>
              <w:top w:val="single" w:sz="4" w:space="0" w:color="auto"/>
              <w:left w:val="single" w:sz="4" w:space="0" w:color="auto"/>
              <w:bottom w:val="single" w:sz="4" w:space="0" w:color="auto"/>
              <w:right w:val="single" w:sz="4" w:space="0" w:color="auto"/>
            </w:tcBorders>
            <w:noWrap/>
            <w:vAlign w:val="bottom"/>
          </w:tcPr>
          <w:p w14:paraId="4F64585E" w14:textId="4DC402C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3893F527"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0664A484" w14:textId="006A260C"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5E0819C4" w14:textId="6CE1FD7E" w:rsidR="00886BB4" w:rsidRPr="00A74D23" w:rsidRDefault="00886BB4" w:rsidP="009D6EE5">
            <w:pPr>
              <w:spacing w:line="22" w:lineRule="atLeast"/>
              <w:jc w:val="both"/>
              <w:rPr>
                <w:rFonts w:asciiTheme="minorHAnsi" w:hAnsiTheme="minorHAnsi" w:cs="Open Sans"/>
                <w:color w:val="000000"/>
                <w:sz w:val="20"/>
                <w:szCs w:val="20"/>
                <w:lang w:val="fr-FR" w:eastAsia="fr-FR"/>
              </w:rPr>
            </w:pPr>
            <w:r w:rsidRPr="00A74D23">
              <w:rPr>
                <w:rFonts w:asciiTheme="minorHAnsi" w:hAnsiTheme="minorHAnsi" w:cs="Open Sans"/>
                <w:color w:val="000000"/>
                <w:sz w:val="20"/>
                <w:szCs w:val="20"/>
                <w:lang w:val="fr-FR"/>
              </w:rPr>
              <w:t>Quadrille Technologies V Companies SLP</w:t>
            </w:r>
          </w:p>
        </w:tc>
        <w:tc>
          <w:tcPr>
            <w:tcW w:w="2005" w:type="dxa"/>
            <w:tcBorders>
              <w:top w:val="single" w:sz="4" w:space="0" w:color="auto"/>
              <w:left w:val="single" w:sz="4" w:space="0" w:color="auto"/>
              <w:bottom w:val="single" w:sz="4" w:space="0" w:color="auto"/>
              <w:right w:val="single" w:sz="4" w:space="0" w:color="auto"/>
            </w:tcBorders>
            <w:noWrap/>
            <w:vAlign w:val="bottom"/>
          </w:tcPr>
          <w:p w14:paraId="77D16EC8" w14:textId="49D8A565"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6FC7CF81"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1F30B4CF" w14:textId="255D9F99"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2A95224C" w14:textId="22E3747D"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RAISE INVESTISSEMENT</w:t>
            </w:r>
          </w:p>
        </w:tc>
        <w:tc>
          <w:tcPr>
            <w:tcW w:w="2005" w:type="dxa"/>
            <w:tcBorders>
              <w:top w:val="single" w:sz="4" w:space="0" w:color="auto"/>
              <w:left w:val="single" w:sz="4" w:space="0" w:color="auto"/>
              <w:bottom w:val="single" w:sz="4" w:space="0" w:color="auto"/>
              <w:right w:val="single" w:sz="4" w:space="0" w:color="auto"/>
            </w:tcBorders>
            <w:noWrap/>
            <w:vAlign w:val="bottom"/>
          </w:tcPr>
          <w:p w14:paraId="365180D2" w14:textId="7CFCC213"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3AEB1AC4"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5F70722F" w14:textId="5BB9F9F6"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77D96BAF" w14:textId="4369BF24"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Red River West II Growth SLP</w:t>
            </w:r>
          </w:p>
        </w:tc>
        <w:tc>
          <w:tcPr>
            <w:tcW w:w="2005" w:type="dxa"/>
            <w:tcBorders>
              <w:top w:val="single" w:sz="4" w:space="0" w:color="auto"/>
              <w:left w:val="single" w:sz="4" w:space="0" w:color="auto"/>
              <w:bottom w:val="single" w:sz="4" w:space="0" w:color="auto"/>
              <w:right w:val="single" w:sz="4" w:space="0" w:color="auto"/>
            </w:tcBorders>
            <w:noWrap/>
            <w:vAlign w:val="bottom"/>
          </w:tcPr>
          <w:p w14:paraId="6B050704" w14:textId="29338D58"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176A176D"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686EA3D9" w14:textId="424EFEF5"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7790A315" w14:textId="697ED3EB"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Sirius</w:t>
            </w:r>
          </w:p>
        </w:tc>
        <w:tc>
          <w:tcPr>
            <w:tcW w:w="2005" w:type="dxa"/>
            <w:tcBorders>
              <w:top w:val="single" w:sz="4" w:space="0" w:color="auto"/>
              <w:left w:val="single" w:sz="4" w:space="0" w:color="auto"/>
              <w:bottom w:val="single" w:sz="4" w:space="0" w:color="auto"/>
              <w:right w:val="single" w:sz="4" w:space="0" w:color="auto"/>
            </w:tcBorders>
            <w:noWrap/>
            <w:vAlign w:val="bottom"/>
          </w:tcPr>
          <w:p w14:paraId="02CD4203" w14:textId="01FE5AB3"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76364B60"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22BE9289" w14:textId="43B4316D"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040854FC" w14:textId="52B4FEFF"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SOFRAGI</w:t>
            </w:r>
          </w:p>
        </w:tc>
        <w:tc>
          <w:tcPr>
            <w:tcW w:w="2005" w:type="dxa"/>
            <w:tcBorders>
              <w:top w:val="single" w:sz="4" w:space="0" w:color="auto"/>
              <w:left w:val="single" w:sz="4" w:space="0" w:color="auto"/>
              <w:bottom w:val="single" w:sz="4" w:space="0" w:color="auto"/>
              <w:right w:val="single" w:sz="4" w:space="0" w:color="auto"/>
            </w:tcBorders>
            <w:noWrap/>
            <w:vAlign w:val="bottom"/>
          </w:tcPr>
          <w:p w14:paraId="4EB0F866" w14:textId="25D7F386"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22730247"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0BF0C6D6" w14:textId="4F824EBC"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2F08A954" w14:textId="499F952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Swen Capital Partners</w:t>
            </w:r>
          </w:p>
        </w:tc>
        <w:tc>
          <w:tcPr>
            <w:tcW w:w="2005" w:type="dxa"/>
            <w:tcBorders>
              <w:top w:val="single" w:sz="4" w:space="0" w:color="auto"/>
              <w:left w:val="single" w:sz="4" w:space="0" w:color="auto"/>
              <w:bottom w:val="single" w:sz="4" w:space="0" w:color="auto"/>
              <w:right w:val="single" w:sz="4" w:space="0" w:color="auto"/>
            </w:tcBorders>
            <w:noWrap/>
            <w:vAlign w:val="bottom"/>
          </w:tcPr>
          <w:p w14:paraId="7A54CE15" w14:textId="115A4F92"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75C15D52"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4B80D6AB" w14:textId="3C3ED210"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28B83FFB" w14:textId="559E67B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Tikehau Investment Management</w:t>
            </w:r>
          </w:p>
        </w:tc>
        <w:tc>
          <w:tcPr>
            <w:tcW w:w="2005" w:type="dxa"/>
            <w:tcBorders>
              <w:top w:val="single" w:sz="4" w:space="0" w:color="auto"/>
              <w:left w:val="single" w:sz="4" w:space="0" w:color="auto"/>
              <w:bottom w:val="single" w:sz="4" w:space="0" w:color="auto"/>
              <w:right w:val="single" w:sz="4" w:space="0" w:color="auto"/>
            </w:tcBorders>
            <w:noWrap/>
            <w:vAlign w:val="bottom"/>
          </w:tcPr>
          <w:p w14:paraId="3F7B3C34" w14:textId="0C093C5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5EEBB4B2"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4E2B458F" w14:textId="166F4243"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6D1869DF" w14:textId="2A93D474" w:rsidR="00886BB4" w:rsidRPr="00A74D23" w:rsidRDefault="00886BB4" w:rsidP="009D6EE5">
            <w:pPr>
              <w:spacing w:line="22" w:lineRule="atLeast"/>
              <w:jc w:val="both"/>
              <w:rPr>
                <w:rFonts w:asciiTheme="minorHAnsi" w:hAnsiTheme="minorHAnsi" w:cs="Open Sans"/>
                <w:color w:val="000000"/>
                <w:sz w:val="20"/>
                <w:szCs w:val="20"/>
                <w:lang w:val="fr-FR" w:eastAsia="fr-FR"/>
              </w:rPr>
            </w:pPr>
            <w:r w:rsidRPr="00A74D23">
              <w:rPr>
                <w:rFonts w:asciiTheme="minorHAnsi" w:hAnsiTheme="minorHAnsi" w:cs="Open Sans"/>
                <w:color w:val="000000"/>
                <w:sz w:val="20"/>
                <w:szCs w:val="20"/>
                <w:lang w:val="fr-FR"/>
              </w:rPr>
              <w:t>UBS (Lux) BS Convert Global (EUR)</w:t>
            </w:r>
          </w:p>
        </w:tc>
        <w:tc>
          <w:tcPr>
            <w:tcW w:w="2005" w:type="dxa"/>
            <w:tcBorders>
              <w:top w:val="single" w:sz="4" w:space="0" w:color="auto"/>
              <w:left w:val="single" w:sz="4" w:space="0" w:color="auto"/>
              <w:bottom w:val="single" w:sz="4" w:space="0" w:color="auto"/>
              <w:right w:val="single" w:sz="4" w:space="0" w:color="auto"/>
            </w:tcBorders>
            <w:noWrap/>
            <w:vAlign w:val="bottom"/>
          </w:tcPr>
          <w:p w14:paraId="5CA27191" w14:textId="2F969115"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8</w:t>
            </w:r>
          </w:p>
        </w:tc>
      </w:tr>
      <w:tr w:rsidR="00886BB4" w:rsidRPr="00A74D23" w14:paraId="704F648D"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7A185441" w14:textId="7F99E0A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126535AE" w14:textId="014774B9"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 xml:space="preserve"> Natural Capital Fund SCSp</w:t>
            </w:r>
          </w:p>
        </w:tc>
        <w:tc>
          <w:tcPr>
            <w:tcW w:w="2005" w:type="dxa"/>
            <w:tcBorders>
              <w:top w:val="single" w:sz="4" w:space="0" w:color="auto"/>
              <w:left w:val="single" w:sz="4" w:space="0" w:color="auto"/>
              <w:bottom w:val="single" w:sz="4" w:space="0" w:color="auto"/>
              <w:right w:val="single" w:sz="4" w:space="0" w:color="auto"/>
            </w:tcBorders>
            <w:noWrap/>
            <w:vAlign w:val="bottom"/>
          </w:tcPr>
          <w:p w14:paraId="4FC9159F" w14:textId="471515D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9</w:t>
            </w:r>
          </w:p>
        </w:tc>
      </w:tr>
      <w:tr w:rsidR="00886BB4" w:rsidRPr="00A74D23" w14:paraId="5E7374CD"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7B89751A" w14:textId="002523B3"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635E6DB0" w14:textId="125D2BB9" w:rsidR="00886BB4" w:rsidRPr="00A74D23" w:rsidRDefault="00886BB4" w:rsidP="009D6EE5">
            <w:pPr>
              <w:spacing w:line="22" w:lineRule="atLeast"/>
              <w:jc w:val="both"/>
              <w:rPr>
                <w:rFonts w:asciiTheme="minorHAnsi" w:hAnsiTheme="minorHAnsi" w:cs="Open Sans"/>
                <w:color w:val="000000"/>
                <w:sz w:val="20"/>
                <w:szCs w:val="20"/>
                <w:lang w:val="fr-FR" w:eastAsia="fr-FR"/>
              </w:rPr>
            </w:pPr>
            <w:r w:rsidRPr="00A74D23">
              <w:rPr>
                <w:rFonts w:asciiTheme="minorHAnsi" w:hAnsiTheme="minorHAnsi" w:cs="Open Sans"/>
                <w:color w:val="000000"/>
                <w:sz w:val="20"/>
                <w:szCs w:val="20"/>
                <w:lang w:val="fr-FR"/>
              </w:rPr>
              <w:t>Abeille La Fabrique Emploi Dynamique</w:t>
            </w:r>
          </w:p>
        </w:tc>
        <w:tc>
          <w:tcPr>
            <w:tcW w:w="2005" w:type="dxa"/>
            <w:tcBorders>
              <w:top w:val="single" w:sz="4" w:space="0" w:color="auto"/>
              <w:left w:val="single" w:sz="4" w:space="0" w:color="auto"/>
              <w:bottom w:val="single" w:sz="4" w:space="0" w:color="auto"/>
              <w:right w:val="single" w:sz="4" w:space="0" w:color="auto"/>
            </w:tcBorders>
            <w:noWrap/>
            <w:vAlign w:val="bottom"/>
          </w:tcPr>
          <w:p w14:paraId="38A2F3E5" w14:textId="43F1B128"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9</w:t>
            </w:r>
          </w:p>
        </w:tc>
      </w:tr>
      <w:tr w:rsidR="00886BB4" w:rsidRPr="00A74D23" w14:paraId="5F1171F9"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163211F4" w14:textId="5E0B9D68"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19E770BF" w14:textId="154EF55C" w:rsidR="00886BB4" w:rsidRPr="00A74D23" w:rsidRDefault="00886BB4" w:rsidP="009D6EE5">
            <w:pPr>
              <w:spacing w:line="22" w:lineRule="atLeast"/>
              <w:jc w:val="both"/>
              <w:rPr>
                <w:rFonts w:asciiTheme="minorHAnsi" w:hAnsiTheme="minorHAnsi" w:cs="Open Sans"/>
                <w:color w:val="000000"/>
                <w:sz w:val="20"/>
                <w:szCs w:val="20"/>
                <w:lang w:val="fr-FR" w:eastAsia="fr-FR"/>
              </w:rPr>
            </w:pPr>
            <w:r w:rsidRPr="00A74D23">
              <w:rPr>
                <w:rFonts w:asciiTheme="minorHAnsi" w:hAnsiTheme="minorHAnsi" w:cs="Open Sans"/>
                <w:color w:val="000000"/>
                <w:sz w:val="20"/>
                <w:szCs w:val="20"/>
                <w:lang w:val="fr-FR"/>
              </w:rPr>
              <w:t>Abeille La Fabrique Impact ISR</w:t>
            </w:r>
          </w:p>
        </w:tc>
        <w:tc>
          <w:tcPr>
            <w:tcW w:w="2005" w:type="dxa"/>
            <w:tcBorders>
              <w:top w:val="single" w:sz="4" w:space="0" w:color="auto"/>
              <w:left w:val="single" w:sz="4" w:space="0" w:color="auto"/>
              <w:bottom w:val="single" w:sz="4" w:space="0" w:color="auto"/>
              <w:right w:val="single" w:sz="4" w:space="0" w:color="auto"/>
            </w:tcBorders>
            <w:noWrap/>
            <w:vAlign w:val="bottom"/>
          </w:tcPr>
          <w:p w14:paraId="5EDCFE37" w14:textId="3212FDD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9</w:t>
            </w:r>
          </w:p>
        </w:tc>
      </w:tr>
      <w:tr w:rsidR="00886BB4" w:rsidRPr="00A74D23" w14:paraId="04BF6D30"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4B865640" w14:textId="32BDC2A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7BA7BB4D" w14:textId="6A0C2ED7"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AFER Actions Emploi Dynamique</w:t>
            </w:r>
          </w:p>
        </w:tc>
        <w:tc>
          <w:tcPr>
            <w:tcW w:w="2005" w:type="dxa"/>
            <w:tcBorders>
              <w:top w:val="single" w:sz="4" w:space="0" w:color="auto"/>
              <w:left w:val="single" w:sz="4" w:space="0" w:color="auto"/>
              <w:bottom w:val="single" w:sz="4" w:space="0" w:color="auto"/>
              <w:right w:val="single" w:sz="4" w:space="0" w:color="auto"/>
            </w:tcBorders>
            <w:noWrap/>
            <w:vAlign w:val="bottom"/>
          </w:tcPr>
          <w:p w14:paraId="6CC961F2" w14:textId="43C0E55B"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9</w:t>
            </w:r>
          </w:p>
        </w:tc>
      </w:tr>
      <w:tr w:rsidR="00886BB4" w:rsidRPr="00A74D23" w14:paraId="7F632EFD"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123BD809" w14:textId="6583862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1CDB9E00" w14:textId="5784B03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ALLIANCE FOR IMPACT FPCI FACTO</w:t>
            </w:r>
          </w:p>
        </w:tc>
        <w:tc>
          <w:tcPr>
            <w:tcW w:w="2005" w:type="dxa"/>
            <w:tcBorders>
              <w:top w:val="single" w:sz="4" w:space="0" w:color="auto"/>
              <w:left w:val="single" w:sz="4" w:space="0" w:color="auto"/>
              <w:bottom w:val="single" w:sz="4" w:space="0" w:color="auto"/>
              <w:right w:val="single" w:sz="4" w:space="0" w:color="auto"/>
            </w:tcBorders>
            <w:noWrap/>
            <w:vAlign w:val="bottom"/>
          </w:tcPr>
          <w:p w14:paraId="3049197A" w14:textId="71437B3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9</w:t>
            </w:r>
          </w:p>
        </w:tc>
      </w:tr>
      <w:tr w:rsidR="00886BB4" w:rsidRPr="00A74D23" w14:paraId="5E4FC92E"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3F57F55D" w14:textId="74E9F32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2C6CC1EF" w14:textId="78B0A11C"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ALLIANCE FOR IMPACT FPCI INVES</w:t>
            </w:r>
          </w:p>
        </w:tc>
        <w:tc>
          <w:tcPr>
            <w:tcW w:w="2005" w:type="dxa"/>
            <w:tcBorders>
              <w:top w:val="single" w:sz="4" w:space="0" w:color="auto"/>
              <w:left w:val="single" w:sz="4" w:space="0" w:color="auto"/>
              <w:bottom w:val="single" w:sz="4" w:space="0" w:color="auto"/>
              <w:right w:val="single" w:sz="4" w:space="0" w:color="auto"/>
            </w:tcBorders>
            <w:noWrap/>
            <w:vAlign w:val="bottom"/>
          </w:tcPr>
          <w:p w14:paraId="6358BCCC" w14:textId="46D8E19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9</w:t>
            </w:r>
          </w:p>
        </w:tc>
      </w:tr>
      <w:tr w:rsidR="00886BB4" w:rsidRPr="00A74D23" w14:paraId="48A04207"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7E49D186" w14:textId="618B5B04"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70F7F25F" w14:textId="028835C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BLUE OCEAN FPS</w:t>
            </w:r>
          </w:p>
        </w:tc>
        <w:tc>
          <w:tcPr>
            <w:tcW w:w="2005" w:type="dxa"/>
            <w:tcBorders>
              <w:top w:val="single" w:sz="4" w:space="0" w:color="auto"/>
              <w:left w:val="single" w:sz="4" w:space="0" w:color="auto"/>
              <w:bottom w:val="single" w:sz="4" w:space="0" w:color="auto"/>
              <w:right w:val="single" w:sz="4" w:space="0" w:color="auto"/>
            </w:tcBorders>
            <w:noWrap/>
            <w:vAlign w:val="bottom"/>
          </w:tcPr>
          <w:p w14:paraId="731A078B" w14:textId="739DC838"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9</w:t>
            </w:r>
          </w:p>
        </w:tc>
      </w:tr>
      <w:tr w:rsidR="00886BB4" w:rsidRPr="00A74D23" w14:paraId="793D30FA"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67375A23" w14:textId="0CFF4582"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5189D677" w14:textId="1A4EE85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CAPENERGIE 5 SLP</w:t>
            </w:r>
          </w:p>
        </w:tc>
        <w:tc>
          <w:tcPr>
            <w:tcW w:w="2005" w:type="dxa"/>
            <w:tcBorders>
              <w:top w:val="single" w:sz="4" w:space="0" w:color="auto"/>
              <w:left w:val="single" w:sz="4" w:space="0" w:color="auto"/>
              <w:bottom w:val="single" w:sz="4" w:space="0" w:color="auto"/>
              <w:right w:val="single" w:sz="4" w:space="0" w:color="auto"/>
            </w:tcBorders>
            <w:noWrap/>
            <w:vAlign w:val="bottom"/>
          </w:tcPr>
          <w:p w14:paraId="2FF586B2" w14:textId="57B0E4A1"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9</w:t>
            </w:r>
          </w:p>
        </w:tc>
      </w:tr>
      <w:tr w:rsidR="00886BB4" w:rsidRPr="00A74D23" w14:paraId="33B53136"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36C85408" w14:textId="11AD365E"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3E4C88F4" w14:textId="057EBFCD" w:rsidR="00886BB4" w:rsidRPr="00A74D23" w:rsidRDefault="00886BB4" w:rsidP="009D6EE5">
            <w:pPr>
              <w:spacing w:line="22" w:lineRule="atLeast"/>
              <w:jc w:val="both"/>
              <w:rPr>
                <w:rFonts w:asciiTheme="minorHAnsi" w:hAnsiTheme="minorHAnsi" w:cs="Open Sans"/>
                <w:color w:val="000000"/>
                <w:sz w:val="20"/>
                <w:szCs w:val="20"/>
                <w:lang w:val="fr-FR" w:eastAsia="fr-FR"/>
              </w:rPr>
            </w:pPr>
            <w:r w:rsidRPr="00A74D23">
              <w:rPr>
                <w:rFonts w:asciiTheme="minorHAnsi" w:hAnsiTheme="minorHAnsi" w:cs="Open Sans"/>
                <w:color w:val="000000"/>
                <w:sz w:val="20"/>
                <w:szCs w:val="20"/>
                <w:lang w:val="fr-FR"/>
              </w:rPr>
              <w:t>CI IV US AIV Non-QFPF SCSp</w:t>
            </w:r>
          </w:p>
        </w:tc>
        <w:tc>
          <w:tcPr>
            <w:tcW w:w="2005" w:type="dxa"/>
            <w:tcBorders>
              <w:top w:val="single" w:sz="4" w:space="0" w:color="auto"/>
              <w:left w:val="single" w:sz="4" w:space="0" w:color="auto"/>
              <w:bottom w:val="single" w:sz="4" w:space="0" w:color="auto"/>
              <w:right w:val="single" w:sz="4" w:space="0" w:color="auto"/>
            </w:tcBorders>
            <w:noWrap/>
            <w:vAlign w:val="bottom"/>
          </w:tcPr>
          <w:p w14:paraId="192ECE83" w14:textId="4EE782E4"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9</w:t>
            </w:r>
          </w:p>
        </w:tc>
      </w:tr>
      <w:tr w:rsidR="00886BB4" w:rsidRPr="00A74D23" w14:paraId="323D7C47"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0F0A7DD1" w14:textId="6A0C30F4"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20896D5B" w14:textId="52EB13C8" w:rsidR="00886BB4" w:rsidRPr="00A74D23" w:rsidRDefault="00886BB4" w:rsidP="009D6EE5">
            <w:pPr>
              <w:spacing w:line="22" w:lineRule="atLeast"/>
              <w:jc w:val="both"/>
              <w:rPr>
                <w:rFonts w:asciiTheme="minorHAnsi" w:hAnsiTheme="minorHAnsi" w:cs="Open Sans"/>
                <w:color w:val="000000"/>
                <w:sz w:val="20"/>
                <w:szCs w:val="20"/>
                <w:lang w:val="fr-FR" w:eastAsia="fr-FR"/>
              </w:rPr>
            </w:pPr>
            <w:r w:rsidRPr="00A74D23">
              <w:rPr>
                <w:rFonts w:asciiTheme="minorHAnsi" w:hAnsiTheme="minorHAnsi" w:cs="Open Sans"/>
                <w:color w:val="000000"/>
                <w:sz w:val="20"/>
                <w:szCs w:val="20"/>
                <w:lang w:val="fr-FR"/>
              </w:rPr>
              <w:t>CITIZEN CAPITAL III FONDS D EN</w:t>
            </w:r>
          </w:p>
        </w:tc>
        <w:tc>
          <w:tcPr>
            <w:tcW w:w="2005" w:type="dxa"/>
            <w:tcBorders>
              <w:top w:val="single" w:sz="4" w:space="0" w:color="auto"/>
              <w:left w:val="single" w:sz="4" w:space="0" w:color="auto"/>
              <w:bottom w:val="single" w:sz="4" w:space="0" w:color="auto"/>
              <w:right w:val="single" w:sz="4" w:space="0" w:color="auto"/>
            </w:tcBorders>
            <w:noWrap/>
            <w:vAlign w:val="bottom"/>
          </w:tcPr>
          <w:p w14:paraId="5334F8E6" w14:textId="2D3BC33A" w:rsidR="00886BB4" w:rsidRPr="00A74D23" w:rsidRDefault="00886BB4" w:rsidP="009D6EE5">
            <w:pPr>
              <w:spacing w:line="22" w:lineRule="atLeast"/>
              <w:jc w:val="both"/>
              <w:rPr>
                <w:rFonts w:asciiTheme="minorHAnsi" w:hAnsiTheme="minorHAnsi" w:cs="Open Sans"/>
                <w:color w:val="000000"/>
                <w:sz w:val="20"/>
                <w:szCs w:val="20"/>
                <w:lang w:eastAsia="fr-FR"/>
              </w:rPr>
            </w:pPr>
            <w:r w:rsidRPr="00A74D23">
              <w:rPr>
                <w:rFonts w:asciiTheme="minorHAnsi" w:hAnsiTheme="minorHAnsi" w:cs="Open Sans"/>
                <w:color w:val="000000"/>
                <w:sz w:val="20"/>
                <w:szCs w:val="20"/>
              </w:rPr>
              <w:t>9</w:t>
            </w:r>
          </w:p>
        </w:tc>
      </w:tr>
      <w:tr w:rsidR="00886BB4" w:rsidRPr="00A74D23" w14:paraId="35A48259"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083E4819" w14:textId="52024837"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58608B59" w14:textId="4328A76A"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CLIMATE INFRASTRUCTURE FUND SLP</w:t>
            </w:r>
          </w:p>
        </w:tc>
        <w:tc>
          <w:tcPr>
            <w:tcW w:w="2005" w:type="dxa"/>
            <w:tcBorders>
              <w:top w:val="single" w:sz="4" w:space="0" w:color="auto"/>
              <w:left w:val="single" w:sz="4" w:space="0" w:color="auto"/>
              <w:bottom w:val="single" w:sz="4" w:space="0" w:color="auto"/>
              <w:right w:val="single" w:sz="4" w:space="0" w:color="auto"/>
            </w:tcBorders>
            <w:noWrap/>
            <w:vAlign w:val="bottom"/>
          </w:tcPr>
          <w:p w14:paraId="0ACEABE1" w14:textId="0DEB070E"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9</w:t>
            </w:r>
          </w:p>
        </w:tc>
      </w:tr>
      <w:tr w:rsidR="00886BB4" w:rsidRPr="00A74D23" w14:paraId="1CACBE3E"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71AD07DB" w14:textId="11052AA5"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1613550C" w14:textId="4A6A38E9"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CONQUEST INFRASTRUCTURE SLP</w:t>
            </w:r>
          </w:p>
        </w:tc>
        <w:tc>
          <w:tcPr>
            <w:tcW w:w="2005" w:type="dxa"/>
            <w:tcBorders>
              <w:top w:val="single" w:sz="4" w:space="0" w:color="auto"/>
              <w:left w:val="single" w:sz="4" w:space="0" w:color="auto"/>
              <w:bottom w:val="single" w:sz="4" w:space="0" w:color="auto"/>
              <w:right w:val="single" w:sz="4" w:space="0" w:color="auto"/>
            </w:tcBorders>
            <w:noWrap/>
            <w:vAlign w:val="bottom"/>
          </w:tcPr>
          <w:p w14:paraId="7EB263D4" w14:textId="32837BE7"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9</w:t>
            </w:r>
          </w:p>
        </w:tc>
      </w:tr>
      <w:tr w:rsidR="00886BB4" w:rsidRPr="00A74D23" w14:paraId="7701A33B"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25A3D7C9" w14:textId="4A1B114D"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199A1210" w14:textId="04E66BA1"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Copenhagen Infrastructure Part</w:t>
            </w:r>
          </w:p>
        </w:tc>
        <w:tc>
          <w:tcPr>
            <w:tcW w:w="2005" w:type="dxa"/>
            <w:tcBorders>
              <w:top w:val="single" w:sz="4" w:space="0" w:color="auto"/>
              <w:left w:val="single" w:sz="4" w:space="0" w:color="auto"/>
              <w:bottom w:val="single" w:sz="4" w:space="0" w:color="auto"/>
              <w:right w:val="single" w:sz="4" w:space="0" w:color="auto"/>
            </w:tcBorders>
            <w:noWrap/>
            <w:vAlign w:val="bottom"/>
          </w:tcPr>
          <w:p w14:paraId="46B3B3B3" w14:textId="3AADB551"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9</w:t>
            </w:r>
          </w:p>
        </w:tc>
      </w:tr>
      <w:tr w:rsidR="00886BB4" w:rsidRPr="00A74D23" w14:paraId="0F9BDBD7"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735BB52C" w14:textId="6031172B"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20423C0B" w14:textId="027E223F"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EIFFEL TRANSITION INFRASTRUCTU</w:t>
            </w:r>
          </w:p>
        </w:tc>
        <w:tc>
          <w:tcPr>
            <w:tcW w:w="2005" w:type="dxa"/>
            <w:tcBorders>
              <w:top w:val="single" w:sz="4" w:space="0" w:color="auto"/>
              <w:left w:val="single" w:sz="4" w:space="0" w:color="auto"/>
              <w:bottom w:val="single" w:sz="4" w:space="0" w:color="auto"/>
              <w:right w:val="single" w:sz="4" w:space="0" w:color="auto"/>
            </w:tcBorders>
            <w:noWrap/>
            <w:vAlign w:val="bottom"/>
          </w:tcPr>
          <w:p w14:paraId="28062A92" w14:textId="2A986A61"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9</w:t>
            </w:r>
          </w:p>
        </w:tc>
      </w:tr>
      <w:tr w:rsidR="00886BB4" w:rsidRPr="00A74D23" w14:paraId="704477C6"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5AF947A9" w14:textId="07796B6A"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283F0B91" w14:textId="10493CF8"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EPOPEE INFRA CLIMAT SLP</w:t>
            </w:r>
          </w:p>
        </w:tc>
        <w:tc>
          <w:tcPr>
            <w:tcW w:w="2005" w:type="dxa"/>
            <w:tcBorders>
              <w:top w:val="single" w:sz="4" w:space="0" w:color="auto"/>
              <w:left w:val="single" w:sz="4" w:space="0" w:color="auto"/>
              <w:bottom w:val="single" w:sz="4" w:space="0" w:color="auto"/>
              <w:right w:val="single" w:sz="4" w:space="0" w:color="auto"/>
            </w:tcBorders>
            <w:noWrap/>
            <w:vAlign w:val="bottom"/>
          </w:tcPr>
          <w:p w14:paraId="15AB861B" w14:textId="0460DA9E"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9</w:t>
            </w:r>
          </w:p>
        </w:tc>
      </w:tr>
      <w:tr w:rsidR="00886BB4" w:rsidRPr="00A74D23" w14:paraId="2025C285"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724C81BC" w14:textId="50F4430E"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7C19F4E4" w14:textId="73971912" w:rsidR="00886BB4" w:rsidRPr="00A74D23" w:rsidRDefault="00886BB4" w:rsidP="009D6EE5">
            <w:pPr>
              <w:spacing w:line="22" w:lineRule="atLeast"/>
              <w:jc w:val="both"/>
              <w:rPr>
                <w:rFonts w:asciiTheme="minorHAnsi" w:hAnsiTheme="minorHAnsi" w:cs="Open Sans"/>
                <w:color w:val="000000"/>
                <w:sz w:val="20"/>
                <w:szCs w:val="20"/>
                <w:lang w:val="fr-FR"/>
              </w:rPr>
            </w:pPr>
            <w:r w:rsidRPr="00A74D23">
              <w:rPr>
                <w:rFonts w:asciiTheme="minorHAnsi" w:hAnsiTheme="minorHAnsi" w:cs="Open Sans"/>
                <w:color w:val="000000"/>
                <w:sz w:val="20"/>
                <w:szCs w:val="20"/>
                <w:lang w:val="fr-FR"/>
              </w:rPr>
              <w:t>FONDS NOV SANTE ACTIONS NON CO</w:t>
            </w:r>
          </w:p>
        </w:tc>
        <w:tc>
          <w:tcPr>
            <w:tcW w:w="2005" w:type="dxa"/>
            <w:tcBorders>
              <w:top w:val="single" w:sz="4" w:space="0" w:color="auto"/>
              <w:left w:val="single" w:sz="4" w:space="0" w:color="auto"/>
              <w:bottom w:val="single" w:sz="4" w:space="0" w:color="auto"/>
              <w:right w:val="single" w:sz="4" w:space="0" w:color="auto"/>
            </w:tcBorders>
            <w:noWrap/>
            <w:vAlign w:val="bottom"/>
          </w:tcPr>
          <w:p w14:paraId="0AD4C8BD" w14:textId="3A40F71E"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9</w:t>
            </w:r>
          </w:p>
        </w:tc>
      </w:tr>
      <w:tr w:rsidR="00886BB4" w:rsidRPr="00A74D23" w14:paraId="0AEBFE71"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30EC62A4" w14:textId="4EB7158F"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7790F5F5" w14:textId="00DD2016"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Fonds Objectif Climat Actions 1</w:t>
            </w:r>
          </w:p>
        </w:tc>
        <w:tc>
          <w:tcPr>
            <w:tcW w:w="2005" w:type="dxa"/>
            <w:tcBorders>
              <w:top w:val="single" w:sz="4" w:space="0" w:color="auto"/>
              <w:left w:val="single" w:sz="4" w:space="0" w:color="auto"/>
              <w:bottom w:val="single" w:sz="4" w:space="0" w:color="auto"/>
              <w:right w:val="single" w:sz="4" w:space="0" w:color="auto"/>
            </w:tcBorders>
            <w:noWrap/>
            <w:vAlign w:val="bottom"/>
          </w:tcPr>
          <w:p w14:paraId="0F38A3AE" w14:textId="1BF887F0"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9</w:t>
            </w:r>
          </w:p>
        </w:tc>
      </w:tr>
      <w:tr w:rsidR="00886BB4" w:rsidRPr="00A74D23" w14:paraId="09320E14"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4E58A513" w14:textId="61755F64"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39C1AE02" w14:textId="5F8C900D"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MERIDIAM TRANSITION FIPS</w:t>
            </w:r>
          </w:p>
        </w:tc>
        <w:tc>
          <w:tcPr>
            <w:tcW w:w="2005" w:type="dxa"/>
            <w:tcBorders>
              <w:top w:val="single" w:sz="4" w:space="0" w:color="auto"/>
              <w:left w:val="single" w:sz="4" w:space="0" w:color="auto"/>
              <w:bottom w:val="single" w:sz="4" w:space="0" w:color="auto"/>
              <w:right w:val="single" w:sz="4" w:space="0" w:color="auto"/>
            </w:tcBorders>
            <w:noWrap/>
            <w:vAlign w:val="bottom"/>
          </w:tcPr>
          <w:p w14:paraId="563D4FFA" w14:textId="5D71D23E"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9</w:t>
            </w:r>
          </w:p>
        </w:tc>
      </w:tr>
      <w:tr w:rsidR="00886BB4" w:rsidRPr="00A74D23" w14:paraId="31316574"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7C973AF5" w14:textId="4483535C"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50BDC875" w14:textId="5110AA02"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MIROVA ENERGY TRANSITION 5 SLP</w:t>
            </w:r>
          </w:p>
        </w:tc>
        <w:tc>
          <w:tcPr>
            <w:tcW w:w="2005" w:type="dxa"/>
            <w:tcBorders>
              <w:top w:val="single" w:sz="4" w:space="0" w:color="auto"/>
              <w:left w:val="single" w:sz="4" w:space="0" w:color="auto"/>
              <w:bottom w:val="single" w:sz="4" w:space="0" w:color="auto"/>
              <w:right w:val="single" w:sz="4" w:space="0" w:color="auto"/>
            </w:tcBorders>
            <w:noWrap/>
            <w:vAlign w:val="bottom"/>
          </w:tcPr>
          <w:p w14:paraId="1BC0094C" w14:textId="2B1C603F"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9</w:t>
            </w:r>
          </w:p>
        </w:tc>
      </w:tr>
      <w:tr w:rsidR="00886BB4" w:rsidRPr="00A74D23" w14:paraId="5611D478"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7FF67FC8" w14:textId="484E63FB"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2E9108AE" w14:textId="616BDAF4"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MIROVA EUR</w:t>
            </w:r>
            <w:r w:rsidR="00495330" w:rsidRPr="00A74D23">
              <w:rPr>
                <w:rFonts w:asciiTheme="minorHAnsi" w:hAnsiTheme="minorHAnsi" w:cs="Open Sans"/>
                <w:color w:val="000000"/>
                <w:sz w:val="20"/>
                <w:szCs w:val="20"/>
              </w:rPr>
              <w:t>OFI</w:t>
            </w:r>
            <w:r w:rsidRPr="00A74D23">
              <w:rPr>
                <w:rFonts w:asciiTheme="minorHAnsi" w:hAnsiTheme="minorHAnsi" w:cs="Open Sans"/>
                <w:color w:val="000000"/>
                <w:sz w:val="20"/>
                <w:szCs w:val="20"/>
              </w:rPr>
              <w:t>DEME 4 FPS</w:t>
            </w:r>
          </w:p>
        </w:tc>
        <w:tc>
          <w:tcPr>
            <w:tcW w:w="2005" w:type="dxa"/>
            <w:tcBorders>
              <w:top w:val="single" w:sz="4" w:space="0" w:color="auto"/>
              <w:left w:val="single" w:sz="4" w:space="0" w:color="auto"/>
              <w:bottom w:val="single" w:sz="4" w:space="0" w:color="auto"/>
              <w:right w:val="single" w:sz="4" w:space="0" w:color="auto"/>
            </w:tcBorders>
            <w:noWrap/>
            <w:vAlign w:val="bottom"/>
          </w:tcPr>
          <w:p w14:paraId="0D06B9C8" w14:textId="5A69B3D9"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9</w:t>
            </w:r>
          </w:p>
        </w:tc>
      </w:tr>
      <w:tr w:rsidR="00886BB4" w:rsidRPr="00A74D23" w14:paraId="551AB548"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1B939C2C" w14:textId="0BF3C77B"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08DB0E3E" w14:textId="4DB3DB60"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Mirova SA</w:t>
            </w:r>
          </w:p>
        </w:tc>
        <w:tc>
          <w:tcPr>
            <w:tcW w:w="2005" w:type="dxa"/>
            <w:tcBorders>
              <w:top w:val="single" w:sz="4" w:space="0" w:color="auto"/>
              <w:left w:val="single" w:sz="4" w:space="0" w:color="auto"/>
              <w:bottom w:val="single" w:sz="4" w:space="0" w:color="auto"/>
              <w:right w:val="single" w:sz="4" w:space="0" w:color="auto"/>
            </w:tcBorders>
            <w:noWrap/>
            <w:vAlign w:val="bottom"/>
          </w:tcPr>
          <w:p w14:paraId="56BE1439" w14:textId="2EA17FBD"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9</w:t>
            </w:r>
          </w:p>
        </w:tc>
      </w:tr>
      <w:tr w:rsidR="00886BB4" w:rsidRPr="00A74D23" w14:paraId="7CB9B4F7"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333A2199" w14:textId="2AC5E1CB"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5827A6C0" w14:textId="2EF5EA1F"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PARIS FONDS VERT FCPI</w:t>
            </w:r>
          </w:p>
        </w:tc>
        <w:tc>
          <w:tcPr>
            <w:tcW w:w="2005" w:type="dxa"/>
            <w:tcBorders>
              <w:top w:val="single" w:sz="4" w:space="0" w:color="auto"/>
              <w:left w:val="single" w:sz="4" w:space="0" w:color="auto"/>
              <w:bottom w:val="single" w:sz="4" w:space="0" w:color="auto"/>
              <w:right w:val="single" w:sz="4" w:space="0" w:color="auto"/>
            </w:tcBorders>
            <w:noWrap/>
            <w:vAlign w:val="bottom"/>
          </w:tcPr>
          <w:p w14:paraId="0434E820" w14:textId="090EB74C"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9</w:t>
            </w:r>
          </w:p>
        </w:tc>
      </w:tr>
      <w:tr w:rsidR="00886BB4" w:rsidRPr="00A74D23" w14:paraId="326DE885"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4F52997F" w14:textId="3404D512"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2ED78A9C" w14:textId="0A13D9F6"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QUAERO EUROPEAN INFRASTRUCTUR</w:t>
            </w:r>
          </w:p>
        </w:tc>
        <w:tc>
          <w:tcPr>
            <w:tcW w:w="2005" w:type="dxa"/>
            <w:tcBorders>
              <w:top w:val="single" w:sz="4" w:space="0" w:color="auto"/>
              <w:left w:val="single" w:sz="4" w:space="0" w:color="auto"/>
              <w:bottom w:val="single" w:sz="4" w:space="0" w:color="auto"/>
              <w:right w:val="single" w:sz="4" w:space="0" w:color="auto"/>
            </w:tcBorders>
            <w:noWrap/>
            <w:vAlign w:val="bottom"/>
          </w:tcPr>
          <w:p w14:paraId="1DED449C" w14:textId="4D0E7B86"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9</w:t>
            </w:r>
          </w:p>
        </w:tc>
      </w:tr>
      <w:tr w:rsidR="00886BB4" w:rsidRPr="00A74D23" w14:paraId="3129214E"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4EA76F20" w14:textId="39E58410"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085F0FC5" w14:textId="4F090F74"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RING ALTITUDE GROWTH</w:t>
            </w:r>
          </w:p>
        </w:tc>
        <w:tc>
          <w:tcPr>
            <w:tcW w:w="2005" w:type="dxa"/>
            <w:tcBorders>
              <w:top w:val="single" w:sz="4" w:space="0" w:color="auto"/>
              <w:left w:val="single" w:sz="4" w:space="0" w:color="auto"/>
              <w:bottom w:val="single" w:sz="4" w:space="0" w:color="auto"/>
              <w:right w:val="single" w:sz="4" w:space="0" w:color="auto"/>
            </w:tcBorders>
            <w:noWrap/>
            <w:vAlign w:val="bottom"/>
          </w:tcPr>
          <w:p w14:paraId="41ECB6AF" w14:textId="63308D0F"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9</w:t>
            </w:r>
          </w:p>
        </w:tc>
      </w:tr>
      <w:tr w:rsidR="00886BB4" w:rsidRPr="00A74D23" w14:paraId="3D66B6A2"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17026BE8" w14:textId="08EEEE1D"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52F25B40" w14:textId="1AC963D0"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STARQUEST ISF SOLIDAIRE SAS</w:t>
            </w:r>
          </w:p>
        </w:tc>
        <w:tc>
          <w:tcPr>
            <w:tcW w:w="2005" w:type="dxa"/>
            <w:tcBorders>
              <w:top w:val="single" w:sz="4" w:space="0" w:color="auto"/>
              <w:left w:val="single" w:sz="4" w:space="0" w:color="auto"/>
              <w:bottom w:val="single" w:sz="4" w:space="0" w:color="auto"/>
              <w:right w:val="single" w:sz="4" w:space="0" w:color="auto"/>
            </w:tcBorders>
            <w:noWrap/>
            <w:vAlign w:val="bottom"/>
          </w:tcPr>
          <w:p w14:paraId="36A39A64" w14:textId="14925E2A"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9</w:t>
            </w:r>
          </w:p>
        </w:tc>
      </w:tr>
      <w:tr w:rsidR="00886BB4" w:rsidRPr="00A74D23" w14:paraId="774FCE00" w14:textId="77777777" w:rsidTr="004F2CB6">
        <w:trPr>
          <w:trHeight w:val="287"/>
        </w:trPr>
        <w:tc>
          <w:tcPr>
            <w:tcW w:w="2005" w:type="dxa"/>
            <w:tcBorders>
              <w:top w:val="single" w:sz="4" w:space="0" w:color="auto"/>
              <w:left w:val="single" w:sz="4" w:space="0" w:color="auto"/>
              <w:bottom w:val="single" w:sz="4" w:space="0" w:color="auto"/>
              <w:right w:val="single" w:sz="4" w:space="0" w:color="auto"/>
            </w:tcBorders>
            <w:noWrap/>
            <w:vAlign w:val="bottom"/>
          </w:tcPr>
          <w:p w14:paraId="2FA22A76" w14:textId="691F9BBA"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OPC</w:t>
            </w:r>
          </w:p>
        </w:tc>
        <w:tc>
          <w:tcPr>
            <w:tcW w:w="5197" w:type="dxa"/>
            <w:tcBorders>
              <w:top w:val="single" w:sz="4" w:space="0" w:color="auto"/>
              <w:left w:val="single" w:sz="4" w:space="0" w:color="auto"/>
              <w:bottom w:val="single" w:sz="4" w:space="0" w:color="auto"/>
              <w:right w:val="single" w:sz="4" w:space="0" w:color="auto"/>
            </w:tcBorders>
            <w:noWrap/>
            <w:vAlign w:val="bottom"/>
          </w:tcPr>
          <w:p w14:paraId="7B43B0B4" w14:textId="1C0C46D9"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SWEN IMPACT FD FOR TRANSITION2</w:t>
            </w:r>
          </w:p>
        </w:tc>
        <w:tc>
          <w:tcPr>
            <w:tcW w:w="2005" w:type="dxa"/>
            <w:tcBorders>
              <w:top w:val="single" w:sz="4" w:space="0" w:color="auto"/>
              <w:left w:val="single" w:sz="4" w:space="0" w:color="auto"/>
              <w:bottom w:val="single" w:sz="4" w:space="0" w:color="auto"/>
              <w:right w:val="single" w:sz="4" w:space="0" w:color="auto"/>
            </w:tcBorders>
            <w:noWrap/>
            <w:vAlign w:val="bottom"/>
          </w:tcPr>
          <w:p w14:paraId="6EDEE04D" w14:textId="0476C4B7" w:rsidR="00886BB4" w:rsidRPr="00A74D23" w:rsidRDefault="00886BB4"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9</w:t>
            </w:r>
          </w:p>
        </w:tc>
      </w:tr>
      <w:tr w:rsidR="00886BB4" w:rsidRPr="00A74D23" w14:paraId="1CB74E13" w14:textId="77777777" w:rsidTr="004F2CB6">
        <w:trPr>
          <w:trHeight w:val="287"/>
        </w:trPr>
        <w:tc>
          <w:tcPr>
            <w:tcW w:w="2005" w:type="dxa"/>
            <w:tcBorders>
              <w:top w:val="single" w:sz="4" w:space="0" w:color="auto"/>
            </w:tcBorders>
            <w:noWrap/>
            <w:vAlign w:val="bottom"/>
          </w:tcPr>
          <w:p w14:paraId="7940FFC9" w14:textId="69F6C583" w:rsidR="00886BB4" w:rsidRPr="00A74D23" w:rsidRDefault="00886BB4" w:rsidP="009D6EE5">
            <w:pPr>
              <w:spacing w:line="22" w:lineRule="atLeast"/>
              <w:jc w:val="both"/>
              <w:rPr>
                <w:rFonts w:asciiTheme="minorHAnsi" w:hAnsiTheme="minorHAnsi" w:cs="Open Sans"/>
                <w:color w:val="000000"/>
                <w:sz w:val="20"/>
                <w:szCs w:val="20"/>
              </w:rPr>
            </w:pPr>
          </w:p>
        </w:tc>
        <w:tc>
          <w:tcPr>
            <w:tcW w:w="5197" w:type="dxa"/>
            <w:tcBorders>
              <w:top w:val="single" w:sz="4" w:space="0" w:color="auto"/>
            </w:tcBorders>
            <w:noWrap/>
            <w:vAlign w:val="bottom"/>
          </w:tcPr>
          <w:p w14:paraId="4DA1AF6A" w14:textId="3D07A94D" w:rsidR="00886BB4" w:rsidRPr="00A74D23" w:rsidRDefault="00886BB4" w:rsidP="009D6EE5">
            <w:pPr>
              <w:spacing w:line="22" w:lineRule="atLeast"/>
              <w:jc w:val="both"/>
              <w:rPr>
                <w:rFonts w:asciiTheme="minorHAnsi" w:hAnsiTheme="minorHAnsi" w:cs="Open Sans"/>
                <w:color w:val="000000"/>
                <w:sz w:val="20"/>
                <w:szCs w:val="20"/>
              </w:rPr>
            </w:pPr>
          </w:p>
        </w:tc>
        <w:tc>
          <w:tcPr>
            <w:tcW w:w="2005" w:type="dxa"/>
            <w:tcBorders>
              <w:top w:val="single" w:sz="4" w:space="0" w:color="auto"/>
            </w:tcBorders>
            <w:noWrap/>
            <w:vAlign w:val="bottom"/>
          </w:tcPr>
          <w:p w14:paraId="4ED356D7" w14:textId="107D969C" w:rsidR="00886BB4" w:rsidRPr="00A74D23" w:rsidRDefault="00886BB4" w:rsidP="009D6EE5">
            <w:pPr>
              <w:spacing w:line="22" w:lineRule="atLeast"/>
              <w:jc w:val="both"/>
              <w:rPr>
                <w:rFonts w:asciiTheme="minorHAnsi" w:hAnsiTheme="minorHAnsi" w:cs="Open Sans"/>
                <w:color w:val="000000"/>
                <w:sz w:val="20"/>
                <w:szCs w:val="20"/>
              </w:rPr>
            </w:pPr>
          </w:p>
        </w:tc>
      </w:tr>
      <w:tr w:rsidR="00886BB4" w:rsidRPr="00A74D23" w14:paraId="2D1D872E" w14:textId="77777777" w:rsidTr="00205B2F">
        <w:trPr>
          <w:trHeight w:val="287"/>
        </w:trPr>
        <w:tc>
          <w:tcPr>
            <w:tcW w:w="2005" w:type="dxa"/>
            <w:noWrap/>
            <w:vAlign w:val="bottom"/>
          </w:tcPr>
          <w:p w14:paraId="54B1E90B" w14:textId="6733DEBD" w:rsidR="00886BB4" w:rsidRPr="00A74D23" w:rsidRDefault="00886BB4" w:rsidP="009D6EE5">
            <w:pPr>
              <w:spacing w:line="22" w:lineRule="atLeast"/>
              <w:jc w:val="both"/>
              <w:rPr>
                <w:rFonts w:asciiTheme="minorHAnsi" w:hAnsiTheme="minorHAnsi" w:cs="Open Sans"/>
                <w:color w:val="000000"/>
                <w:sz w:val="20"/>
                <w:szCs w:val="20"/>
              </w:rPr>
            </w:pPr>
          </w:p>
        </w:tc>
        <w:tc>
          <w:tcPr>
            <w:tcW w:w="5197" w:type="dxa"/>
            <w:noWrap/>
            <w:vAlign w:val="bottom"/>
          </w:tcPr>
          <w:p w14:paraId="48462762" w14:textId="29EF9500" w:rsidR="00886BB4" w:rsidRPr="00A74D23" w:rsidRDefault="00886BB4" w:rsidP="009D6EE5">
            <w:pPr>
              <w:spacing w:line="22" w:lineRule="atLeast"/>
              <w:jc w:val="both"/>
              <w:rPr>
                <w:rFonts w:asciiTheme="minorHAnsi" w:hAnsiTheme="minorHAnsi" w:cs="Open Sans"/>
                <w:color w:val="000000"/>
                <w:sz w:val="20"/>
                <w:szCs w:val="20"/>
              </w:rPr>
            </w:pPr>
          </w:p>
        </w:tc>
        <w:tc>
          <w:tcPr>
            <w:tcW w:w="2005" w:type="dxa"/>
            <w:noWrap/>
            <w:vAlign w:val="bottom"/>
          </w:tcPr>
          <w:p w14:paraId="4661B304" w14:textId="3B042AED" w:rsidR="00886BB4" w:rsidRPr="00A74D23" w:rsidRDefault="00886BB4" w:rsidP="009D6EE5">
            <w:pPr>
              <w:spacing w:line="22" w:lineRule="atLeast"/>
              <w:jc w:val="both"/>
              <w:rPr>
                <w:rFonts w:asciiTheme="minorHAnsi" w:hAnsiTheme="minorHAnsi" w:cs="Open Sans"/>
                <w:color w:val="000000"/>
                <w:sz w:val="20"/>
                <w:szCs w:val="20"/>
              </w:rPr>
            </w:pPr>
          </w:p>
        </w:tc>
      </w:tr>
      <w:tr w:rsidR="00886BB4" w:rsidRPr="00A74D23" w14:paraId="3D208955" w14:textId="77777777" w:rsidTr="00205B2F">
        <w:trPr>
          <w:trHeight w:val="287"/>
        </w:trPr>
        <w:tc>
          <w:tcPr>
            <w:tcW w:w="2005" w:type="dxa"/>
            <w:noWrap/>
            <w:vAlign w:val="bottom"/>
          </w:tcPr>
          <w:p w14:paraId="3C8A0665" w14:textId="74949DC2" w:rsidR="00886BB4" w:rsidRPr="00A74D23" w:rsidRDefault="00886BB4" w:rsidP="009D6EE5">
            <w:pPr>
              <w:spacing w:line="22" w:lineRule="atLeast"/>
              <w:jc w:val="both"/>
              <w:rPr>
                <w:rFonts w:asciiTheme="minorHAnsi" w:hAnsiTheme="minorHAnsi" w:cs="Open Sans"/>
                <w:color w:val="000000"/>
                <w:sz w:val="20"/>
                <w:szCs w:val="20"/>
              </w:rPr>
            </w:pPr>
          </w:p>
        </w:tc>
        <w:tc>
          <w:tcPr>
            <w:tcW w:w="5197" w:type="dxa"/>
            <w:noWrap/>
            <w:vAlign w:val="bottom"/>
          </w:tcPr>
          <w:p w14:paraId="16243459" w14:textId="0E191DB0" w:rsidR="00886BB4" w:rsidRPr="00A74D23" w:rsidRDefault="00886BB4" w:rsidP="009D6EE5">
            <w:pPr>
              <w:spacing w:line="22" w:lineRule="atLeast"/>
              <w:jc w:val="both"/>
              <w:rPr>
                <w:rFonts w:asciiTheme="minorHAnsi" w:hAnsiTheme="minorHAnsi" w:cs="Open Sans"/>
                <w:color w:val="000000"/>
                <w:sz w:val="20"/>
                <w:szCs w:val="20"/>
              </w:rPr>
            </w:pPr>
          </w:p>
        </w:tc>
        <w:tc>
          <w:tcPr>
            <w:tcW w:w="2005" w:type="dxa"/>
            <w:noWrap/>
            <w:vAlign w:val="bottom"/>
          </w:tcPr>
          <w:p w14:paraId="05F90424" w14:textId="4BF4EC46" w:rsidR="00886BB4" w:rsidRPr="00A74D23" w:rsidRDefault="00886BB4" w:rsidP="009D6EE5">
            <w:pPr>
              <w:spacing w:line="22" w:lineRule="atLeast"/>
              <w:jc w:val="both"/>
              <w:rPr>
                <w:rFonts w:asciiTheme="minorHAnsi" w:hAnsiTheme="minorHAnsi" w:cs="Open Sans"/>
                <w:color w:val="000000"/>
                <w:sz w:val="20"/>
                <w:szCs w:val="20"/>
              </w:rPr>
            </w:pPr>
          </w:p>
        </w:tc>
      </w:tr>
      <w:tr w:rsidR="00886BB4" w:rsidRPr="00A74D23" w14:paraId="55A5CB90" w14:textId="77777777" w:rsidTr="00205B2F">
        <w:trPr>
          <w:trHeight w:val="287"/>
        </w:trPr>
        <w:tc>
          <w:tcPr>
            <w:tcW w:w="2005" w:type="dxa"/>
            <w:noWrap/>
            <w:vAlign w:val="bottom"/>
          </w:tcPr>
          <w:p w14:paraId="2C3003D6" w14:textId="5602BD52" w:rsidR="00886BB4" w:rsidRPr="00A74D23" w:rsidRDefault="00886BB4" w:rsidP="009D6EE5">
            <w:pPr>
              <w:spacing w:line="22" w:lineRule="atLeast"/>
              <w:jc w:val="both"/>
              <w:rPr>
                <w:rFonts w:asciiTheme="minorHAnsi" w:hAnsiTheme="minorHAnsi" w:cs="Open Sans"/>
                <w:color w:val="000000"/>
                <w:sz w:val="20"/>
                <w:szCs w:val="20"/>
              </w:rPr>
            </w:pPr>
          </w:p>
        </w:tc>
        <w:tc>
          <w:tcPr>
            <w:tcW w:w="5197" w:type="dxa"/>
            <w:noWrap/>
            <w:vAlign w:val="bottom"/>
          </w:tcPr>
          <w:p w14:paraId="490FFF5C" w14:textId="1C071023" w:rsidR="00886BB4" w:rsidRPr="00A74D23" w:rsidRDefault="00886BB4" w:rsidP="009D6EE5">
            <w:pPr>
              <w:spacing w:line="22" w:lineRule="atLeast"/>
              <w:jc w:val="both"/>
              <w:rPr>
                <w:rFonts w:asciiTheme="minorHAnsi" w:hAnsiTheme="minorHAnsi" w:cs="Open Sans"/>
                <w:color w:val="000000"/>
                <w:sz w:val="20"/>
                <w:szCs w:val="20"/>
              </w:rPr>
            </w:pPr>
          </w:p>
        </w:tc>
        <w:tc>
          <w:tcPr>
            <w:tcW w:w="2005" w:type="dxa"/>
            <w:noWrap/>
            <w:vAlign w:val="bottom"/>
          </w:tcPr>
          <w:p w14:paraId="05C4455E" w14:textId="04751DDB" w:rsidR="00886BB4" w:rsidRPr="00A74D23" w:rsidRDefault="00886BB4" w:rsidP="009D6EE5">
            <w:pPr>
              <w:spacing w:line="22" w:lineRule="atLeast"/>
              <w:jc w:val="both"/>
              <w:rPr>
                <w:rFonts w:asciiTheme="minorHAnsi" w:hAnsiTheme="minorHAnsi" w:cs="Open Sans"/>
                <w:color w:val="000000"/>
                <w:sz w:val="20"/>
                <w:szCs w:val="20"/>
              </w:rPr>
            </w:pPr>
          </w:p>
        </w:tc>
      </w:tr>
      <w:tr w:rsidR="00886BB4" w:rsidRPr="00A74D23" w14:paraId="0FB3B6FE" w14:textId="77777777" w:rsidTr="00205B2F">
        <w:trPr>
          <w:trHeight w:val="287"/>
        </w:trPr>
        <w:tc>
          <w:tcPr>
            <w:tcW w:w="2005" w:type="dxa"/>
            <w:noWrap/>
            <w:vAlign w:val="bottom"/>
          </w:tcPr>
          <w:p w14:paraId="37691228" w14:textId="2FF3F161" w:rsidR="00886BB4" w:rsidRPr="00A74D23" w:rsidRDefault="00886BB4" w:rsidP="009D6EE5">
            <w:pPr>
              <w:spacing w:line="22" w:lineRule="atLeast"/>
              <w:jc w:val="both"/>
              <w:rPr>
                <w:rFonts w:asciiTheme="minorHAnsi" w:hAnsiTheme="minorHAnsi" w:cs="Open Sans"/>
                <w:color w:val="000000"/>
                <w:sz w:val="20"/>
                <w:szCs w:val="20"/>
              </w:rPr>
            </w:pPr>
          </w:p>
        </w:tc>
        <w:tc>
          <w:tcPr>
            <w:tcW w:w="5197" w:type="dxa"/>
            <w:noWrap/>
            <w:vAlign w:val="bottom"/>
          </w:tcPr>
          <w:p w14:paraId="54EA52EF" w14:textId="3F0B4F74" w:rsidR="00886BB4" w:rsidRPr="00A74D23" w:rsidRDefault="00886BB4" w:rsidP="009D6EE5">
            <w:pPr>
              <w:spacing w:line="22" w:lineRule="atLeast"/>
              <w:jc w:val="both"/>
              <w:rPr>
                <w:rFonts w:asciiTheme="minorHAnsi" w:hAnsiTheme="minorHAnsi" w:cs="Open Sans"/>
                <w:color w:val="000000"/>
                <w:sz w:val="20"/>
                <w:szCs w:val="20"/>
              </w:rPr>
            </w:pPr>
          </w:p>
        </w:tc>
        <w:tc>
          <w:tcPr>
            <w:tcW w:w="2005" w:type="dxa"/>
            <w:noWrap/>
            <w:vAlign w:val="bottom"/>
          </w:tcPr>
          <w:p w14:paraId="3C7C82D3" w14:textId="4225CBE1" w:rsidR="00886BB4" w:rsidRPr="00A74D23" w:rsidRDefault="00886BB4" w:rsidP="009D6EE5">
            <w:pPr>
              <w:spacing w:line="22" w:lineRule="atLeast"/>
              <w:jc w:val="both"/>
              <w:rPr>
                <w:rFonts w:asciiTheme="minorHAnsi" w:hAnsiTheme="minorHAnsi" w:cs="Open Sans"/>
                <w:color w:val="000000"/>
                <w:sz w:val="20"/>
                <w:szCs w:val="20"/>
              </w:rPr>
            </w:pPr>
          </w:p>
        </w:tc>
      </w:tr>
      <w:tr w:rsidR="00886BB4" w:rsidRPr="00A74D23" w14:paraId="23101280" w14:textId="77777777" w:rsidTr="00205B2F">
        <w:trPr>
          <w:trHeight w:val="287"/>
        </w:trPr>
        <w:tc>
          <w:tcPr>
            <w:tcW w:w="2005" w:type="dxa"/>
            <w:noWrap/>
            <w:vAlign w:val="bottom"/>
          </w:tcPr>
          <w:p w14:paraId="2B4F1394" w14:textId="7F1004FD" w:rsidR="00886BB4" w:rsidRPr="00A74D23" w:rsidRDefault="00886BB4" w:rsidP="009D6EE5">
            <w:pPr>
              <w:spacing w:line="22" w:lineRule="atLeast"/>
              <w:jc w:val="both"/>
              <w:rPr>
                <w:rFonts w:asciiTheme="minorHAnsi" w:hAnsiTheme="minorHAnsi" w:cs="Open Sans"/>
                <w:color w:val="000000"/>
                <w:sz w:val="20"/>
                <w:szCs w:val="20"/>
              </w:rPr>
            </w:pPr>
          </w:p>
        </w:tc>
        <w:tc>
          <w:tcPr>
            <w:tcW w:w="5197" w:type="dxa"/>
            <w:noWrap/>
            <w:vAlign w:val="bottom"/>
          </w:tcPr>
          <w:p w14:paraId="13AED3EF" w14:textId="10DCBB74" w:rsidR="00886BB4" w:rsidRPr="00A74D23" w:rsidRDefault="00886BB4" w:rsidP="009D6EE5">
            <w:pPr>
              <w:spacing w:line="22" w:lineRule="atLeast"/>
              <w:jc w:val="both"/>
              <w:rPr>
                <w:rFonts w:asciiTheme="minorHAnsi" w:hAnsiTheme="minorHAnsi" w:cs="Open Sans"/>
                <w:color w:val="000000"/>
                <w:sz w:val="20"/>
                <w:szCs w:val="20"/>
              </w:rPr>
            </w:pPr>
          </w:p>
        </w:tc>
        <w:tc>
          <w:tcPr>
            <w:tcW w:w="2005" w:type="dxa"/>
            <w:noWrap/>
            <w:vAlign w:val="bottom"/>
          </w:tcPr>
          <w:p w14:paraId="35053005" w14:textId="3C7FE0B8" w:rsidR="00886BB4" w:rsidRPr="00A74D23" w:rsidRDefault="00886BB4" w:rsidP="009D6EE5">
            <w:pPr>
              <w:spacing w:line="22" w:lineRule="atLeast"/>
              <w:jc w:val="both"/>
              <w:rPr>
                <w:rFonts w:asciiTheme="minorHAnsi" w:hAnsiTheme="minorHAnsi" w:cs="Open Sans"/>
                <w:color w:val="000000"/>
                <w:sz w:val="20"/>
                <w:szCs w:val="20"/>
              </w:rPr>
            </w:pPr>
          </w:p>
        </w:tc>
      </w:tr>
      <w:tr w:rsidR="00886BB4" w:rsidRPr="00A74D23" w14:paraId="0275851E" w14:textId="77777777" w:rsidTr="00205B2F">
        <w:trPr>
          <w:trHeight w:val="287"/>
        </w:trPr>
        <w:tc>
          <w:tcPr>
            <w:tcW w:w="2005" w:type="dxa"/>
            <w:noWrap/>
            <w:vAlign w:val="bottom"/>
          </w:tcPr>
          <w:p w14:paraId="0B720E66" w14:textId="1BD33393" w:rsidR="00886BB4" w:rsidRPr="00A74D23" w:rsidRDefault="00886BB4" w:rsidP="009D6EE5">
            <w:pPr>
              <w:spacing w:line="22" w:lineRule="atLeast"/>
              <w:jc w:val="both"/>
              <w:rPr>
                <w:rFonts w:asciiTheme="minorHAnsi" w:hAnsiTheme="minorHAnsi" w:cs="Open Sans"/>
                <w:color w:val="000000"/>
                <w:sz w:val="20"/>
                <w:szCs w:val="20"/>
              </w:rPr>
            </w:pPr>
          </w:p>
        </w:tc>
        <w:tc>
          <w:tcPr>
            <w:tcW w:w="5197" w:type="dxa"/>
            <w:noWrap/>
            <w:vAlign w:val="bottom"/>
          </w:tcPr>
          <w:p w14:paraId="319F1C7F" w14:textId="1C12E476" w:rsidR="00886BB4" w:rsidRPr="00A74D23" w:rsidRDefault="00886BB4" w:rsidP="009D6EE5">
            <w:pPr>
              <w:spacing w:line="22" w:lineRule="atLeast"/>
              <w:jc w:val="both"/>
              <w:rPr>
                <w:rFonts w:asciiTheme="minorHAnsi" w:hAnsiTheme="minorHAnsi" w:cs="Open Sans"/>
                <w:color w:val="000000"/>
                <w:sz w:val="20"/>
                <w:szCs w:val="20"/>
              </w:rPr>
            </w:pPr>
          </w:p>
        </w:tc>
        <w:tc>
          <w:tcPr>
            <w:tcW w:w="2005" w:type="dxa"/>
            <w:noWrap/>
            <w:vAlign w:val="bottom"/>
          </w:tcPr>
          <w:p w14:paraId="40150BE1" w14:textId="249C526D" w:rsidR="00886BB4" w:rsidRPr="00A74D23" w:rsidRDefault="00886BB4" w:rsidP="009D6EE5">
            <w:pPr>
              <w:spacing w:line="22" w:lineRule="atLeast"/>
              <w:jc w:val="both"/>
              <w:rPr>
                <w:rFonts w:asciiTheme="minorHAnsi" w:hAnsiTheme="minorHAnsi" w:cs="Open Sans"/>
                <w:color w:val="000000"/>
                <w:sz w:val="20"/>
                <w:szCs w:val="20"/>
              </w:rPr>
            </w:pPr>
          </w:p>
        </w:tc>
      </w:tr>
      <w:tr w:rsidR="00886BB4" w:rsidRPr="00A74D23" w14:paraId="705779F6" w14:textId="77777777" w:rsidTr="00205B2F">
        <w:trPr>
          <w:trHeight w:val="287"/>
        </w:trPr>
        <w:tc>
          <w:tcPr>
            <w:tcW w:w="2005" w:type="dxa"/>
            <w:noWrap/>
            <w:vAlign w:val="bottom"/>
          </w:tcPr>
          <w:p w14:paraId="394F843D" w14:textId="544273D1" w:rsidR="00886BB4" w:rsidRPr="00A74D23" w:rsidRDefault="00886BB4" w:rsidP="009D6EE5">
            <w:pPr>
              <w:spacing w:line="22" w:lineRule="atLeast"/>
              <w:jc w:val="both"/>
              <w:rPr>
                <w:rFonts w:asciiTheme="minorHAnsi" w:hAnsiTheme="minorHAnsi" w:cs="Open Sans"/>
                <w:color w:val="000000"/>
                <w:sz w:val="20"/>
                <w:szCs w:val="20"/>
              </w:rPr>
            </w:pPr>
          </w:p>
        </w:tc>
        <w:tc>
          <w:tcPr>
            <w:tcW w:w="5197" w:type="dxa"/>
            <w:noWrap/>
            <w:vAlign w:val="bottom"/>
          </w:tcPr>
          <w:p w14:paraId="3A90E7A9" w14:textId="7143E203" w:rsidR="00886BB4" w:rsidRPr="00A74D23" w:rsidRDefault="00886BB4" w:rsidP="009D6EE5">
            <w:pPr>
              <w:spacing w:line="22" w:lineRule="atLeast"/>
              <w:jc w:val="both"/>
              <w:rPr>
                <w:rFonts w:asciiTheme="minorHAnsi" w:hAnsiTheme="minorHAnsi" w:cs="Open Sans"/>
                <w:color w:val="000000"/>
                <w:sz w:val="20"/>
                <w:szCs w:val="20"/>
              </w:rPr>
            </w:pPr>
          </w:p>
        </w:tc>
        <w:tc>
          <w:tcPr>
            <w:tcW w:w="2005" w:type="dxa"/>
            <w:noWrap/>
            <w:vAlign w:val="bottom"/>
          </w:tcPr>
          <w:p w14:paraId="64140D84" w14:textId="106E446E" w:rsidR="00886BB4" w:rsidRPr="00A74D23" w:rsidRDefault="00886BB4" w:rsidP="009D6EE5">
            <w:pPr>
              <w:spacing w:line="22" w:lineRule="atLeast"/>
              <w:jc w:val="both"/>
              <w:rPr>
                <w:rFonts w:asciiTheme="minorHAnsi" w:hAnsiTheme="minorHAnsi" w:cs="Open Sans"/>
                <w:color w:val="000000"/>
                <w:sz w:val="20"/>
                <w:szCs w:val="20"/>
              </w:rPr>
            </w:pPr>
          </w:p>
        </w:tc>
      </w:tr>
      <w:tr w:rsidR="00886BB4" w:rsidRPr="00A74D23" w14:paraId="6DC3D553" w14:textId="77777777" w:rsidTr="00205B2F">
        <w:trPr>
          <w:trHeight w:val="287"/>
        </w:trPr>
        <w:tc>
          <w:tcPr>
            <w:tcW w:w="2005" w:type="dxa"/>
            <w:noWrap/>
            <w:vAlign w:val="bottom"/>
          </w:tcPr>
          <w:p w14:paraId="65F7E8DC" w14:textId="7F997B03" w:rsidR="00886BB4" w:rsidRPr="00A74D23" w:rsidRDefault="00886BB4" w:rsidP="009D6EE5">
            <w:pPr>
              <w:spacing w:line="22" w:lineRule="atLeast"/>
              <w:jc w:val="both"/>
              <w:rPr>
                <w:rFonts w:asciiTheme="minorHAnsi" w:hAnsiTheme="minorHAnsi" w:cs="Open Sans"/>
                <w:color w:val="000000"/>
                <w:sz w:val="20"/>
                <w:szCs w:val="20"/>
              </w:rPr>
            </w:pPr>
          </w:p>
        </w:tc>
        <w:tc>
          <w:tcPr>
            <w:tcW w:w="5197" w:type="dxa"/>
            <w:noWrap/>
            <w:vAlign w:val="bottom"/>
          </w:tcPr>
          <w:p w14:paraId="72AD303D" w14:textId="0CD918CF" w:rsidR="00886BB4" w:rsidRPr="00A74D23" w:rsidRDefault="00886BB4" w:rsidP="009D6EE5">
            <w:pPr>
              <w:spacing w:line="22" w:lineRule="atLeast"/>
              <w:jc w:val="both"/>
              <w:rPr>
                <w:rFonts w:asciiTheme="minorHAnsi" w:hAnsiTheme="minorHAnsi" w:cs="Open Sans"/>
                <w:color w:val="000000"/>
                <w:sz w:val="20"/>
                <w:szCs w:val="20"/>
              </w:rPr>
            </w:pPr>
          </w:p>
        </w:tc>
        <w:tc>
          <w:tcPr>
            <w:tcW w:w="2005" w:type="dxa"/>
            <w:noWrap/>
            <w:vAlign w:val="bottom"/>
          </w:tcPr>
          <w:p w14:paraId="792078B6" w14:textId="1461F3F7" w:rsidR="00886BB4" w:rsidRPr="00A74D23" w:rsidRDefault="00886BB4" w:rsidP="009D6EE5">
            <w:pPr>
              <w:spacing w:line="22" w:lineRule="atLeast"/>
              <w:jc w:val="both"/>
              <w:rPr>
                <w:rFonts w:asciiTheme="minorHAnsi" w:hAnsiTheme="minorHAnsi" w:cs="Open Sans"/>
                <w:color w:val="000000"/>
                <w:sz w:val="20"/>
                <w:szCs w:val="20"/>
              </w:rPr>
            </w:pPr>
          </w:p>
        </w:tc>
      </w:tr>
      <w:tr w:rsidR="00886BB4" w:rsidRPr="00A74D23" w14:paraId="1A051650" w14:textId="77777777" w:rsidTr="00205B2F">
        <w:trPr>
          <w:trHeight w:val="287"/>
        </w:trPr>
        <w:tc>
          <w:tcPr>
            <w:tcW w:w="2005" w:type="dxa"/>
            <w:noWrap/>
            <w:vAlign w:val="bottom"/>
          </w:tcPr>
          <w:p w14:paraId="051D9376" w14:textId="75EDD2F5" w:rsidR="00886BB4" w:rsidRPr="00A74D23" w:rsidRDefault="00886BB4" w:rsidP="009D6EE5">
            <w:pPr>
              <w:spacing w:line="22" w:lineRule="atLeast"/>
              <w:jc w:val="both"/>
              <w:rPr>
                <w:rFonts w:asciiTheme="minorHAnsi" w:hAnsiTheme="minorHAnsi" w:cs="Open Sans"/>
                <w:color w:val="000000"/>
                <w:sz w:val="20"/>
                <w:szCs w:val="20"/>
              </w:rPr>
            </w:pPr>
          </w:p>
        </w:tc>
        <w:tc>
          <w:tcPr>
            <w:tcW w:w="5197" w:type="dxa"/>
            <w:noWrap/>
            <w:vAlign w:val="bottom"/>
          </w:tcPr>
          <w:p w14:paraId="5AAEC9CB" w14:textId="3185D29E" w:rsidR="00886BB4" w:rsidRPr="00A74D23" w:rsidRDefault="00886BB4" w:rsidP="009D6EE5">
            <w:pPr>
              <w:spacing w:line="22" w:lineRule="atLeast"/>
              <w:jc w:val="both"/>
              <w:rPr>
                <w:rFonts w:asciiTheme="minorHAnsi" w:hAnsiTheme="minorHAnsi" w:cs="Open Sans"/>
                <w:color w:val="000000"/>
                <w:sz w:val="20"/>
                <w:szCs w:val="20"/>
              </w:rPr>
            </w:pPr>
          </w:p>
        </w:tc>
        <w:tc>
          <w:tcPr>
            <w:tcW w:w="2005" w:type="dxa"/>
            <w:noWrap/>
            <w:vAlign w:val="bottom"/>
          </w:tcPr>
          <w:p w14:paraId="7E8045DC" w14:textId="3E111CAC" w:rsidR="00886BB4" w:rsidRPr="00A74D23" w:rsidRDefault="00886BB4" w:rsidP="009D6EE5">
            <w:pPr>
              <w:spacing w:line="22" w:lineRule="atLeast"/>
              <w:jc w:val="both"/>
              <w:rPr>
                <w:rFonts w:asciiTheme="minorHAnsi" w:hAnsiTheme="minorHAnsi" w:cs="Open Sans"/>
                <w:color w:val="000000"/>
                <w:sz w:val="20"/>
                <w:szCs w:val="20"/>
              </w:rPr>
            </w:pPr>
          </w:p>
        </w:tc>
      </w:tr>
      <w:tr w:rsidR="00886BB4" w:rsidRPr="00A74D23" w14:paraId="50066FA7" w14:textId="77777777" w:rsidTr="00205B2F">
        <w:trPr>
          <w:trHeight w:val="287"/>
        </w:trPr>
        <w:tc>
          <w:tcPr>
            <w:tcW w:w="2005" w:type="dxa"/>
            <w:noWrap/>
            <w:vAlign w:val="bottom"/>
          </w:tcPr>
          <w:p w14:paraId="2AFD02F8" w14:textId="0C6F0E54" w:rsidR="00886BB4" w:rsidRPr="00A74D23" w:rsidRDefault="00886BB4" w:rsidP="009D6EE5">
            <w:pPr>
              <w:spacing w:line="22" w:lineRule="atLeast"/>
              <w:jc w:val="both"/>
              <w:rPr>
                <w:rFonts w:asciiTheme="minorHAnsi" w:hAnsiTheme="minorHAnsi" w:cs="Open Sans"/>
                <w:color w:val="000000"/>
                <w:sz w:val="20"/>
                <w:szCs w:val="20"/>
              </w:rPr>
            </w:pPr>
          </w:p>
        </w:tc>
        <w:tc>
          <w:tcPr>
            <w:tcW w:w="5197" w:type="dxa"/>
            <w:noWrap/>
            <w:vAlign w:val="bottom"/>
          </w:tcPr>
          <w:p w14:paraId="4767BE88" w14:textId="36DE6254" w:rsidR="00886BB4" w:rsidRPr="00A74D23" w:rsidRDefault="00886BB4" w:rsidP="009D6EE5">
            <w:pPr>
              <w:spacing w:line="22" w:lineRule="atLeast"/>
              <w:jc w:val="both"/>
              <w:rPr>
                <w:rFonts w:asciiTheme="minorHAnsi" w:hAnsiTheme="minorHAnsi" w:cs="Open Sans"/>
                <w:color w:val="000000"/>
                <w:sz w:val="20"/>
                <w:szCs w:val="20"/>
              </w:rPr>
            </w:pPr>
          </w:p>
        </w:tc>
        <w:tc>
          <w:tcPr>
            <w:tcW w:w="2005" w:type="dxa"/>
            <w:noWrap/>
            <w:vAlign w:val="bottom"/>
          </w:tcPr>
          <w:p w14:paraId="72054A75" w14:textId="3FC2FFDC" w:rsidR="00886BB4" w:rsidRPr="00A74D23" w:rsidRDefault="00886BB4" w:rsidP="009D6EE5">
            <w:pPr>
              <w:spacing w:line="22" w:lineRule="atLeast"/>
              <w:jc w:val="both"/>
              <w:rPr>
                <w:rFonts w:asciiTheme="minorHAnsi" w:hAnsiTheme="minorHAnsi" w:cs="Open Sans"/>
                <w:color w:val="000000"/>
                <w:sz w:val="20"/>
                <w:szCs w:val="20"/>
              </w:rPr>
            </w:pPr>
          </w:p>
        </w:tc>
      </w:tr>
      <w:tr w:rsidR="00886BB4" w:rsidRPr="00A74D23" w14:paraId="15562E48" w14:textId="77777777" w:rsidTr="00205B2F">
        <w:trPr>
          <w:trHeight w:val="287"/>
        </w:trPr>
        <w:tc>
          <w:tcPr>
            <w:tcW w:w="2005" w:type="dxa"/>
            <w:noWrap/>
            <w:vAlign w:val="bottom"/>
          </w:tcPr>
          <w:p w14:paraId="6C641619" w14:textId="503D2220" w:rsidR="00886BB4" w:rsidRPr="00A74D23" w:rsidRDefault="00886BB4" w:rsidP="009D6EE5">
            <w:pPr>
              <w:spacing w:line="22" w:lineRule="atLeast"/>
              <w:jc w:val="both"/>
              <w:rPr>
                <w:rFonts w:asciiTheme="minorHAnsi" w:hAnsiTheme="minorHAnsi" w:cs="Open Sans"/>
                <w:color w:val="000000"/>
                <w:sz w:val="20"/>
                <w:szCs w:val="20"/>
              </w:rPr>
            </w:pPr>
          </w:p>
        </w:tc>
        <w:tc>
          <w:tcPr>
            <w:tcW w:w="5197" w:type="dxa"/>
            <w:noWrap/>
            <w:vAlign w:val="bottom"/>
          </w:tcPr>
          <w:p w14:paraId="56B0A1A2" w14:textId="6921C987" w:rsidR="00886BB4" w:rsidRPr="00A74D23" w:rsidRDefault="00886BB4" w:rsidP="009D6EE5">
            <w:pPr>
              <w:spacing w:line="22" w:lineRule="atLeast"/>
              <w:jc w:val="both"/>
              <w:rPr>
                <w:rFonts w:asciiTheme="minorHAnsi" w:hAnsiTheme="minorHAnsi" w:cs="Open Sans"/>
                <w:color w:val="000000"/>
                <w:sz w:val="20"/>
                <w:szCs w:val="20"/>
              </w:rPr>
            </w:pPr>
          </w:p>
        </w:tc>
        <w:tc>
          <w:tcPr>
            <w:tcW w:w="2005" w:type="dxa"/>
            <w:noWrap/>
            <w:vAlign w:val="bottom"/>
          </w:tcPr>
          <w:p w14:paraId="5135BB10" w14:textId="1B856FE1" w:rsidR="00886BB4" w:rsidRPr="00A74D23" w:rsidRDefault="00886BB4" w:rsidP="009D6EE5">
            <w:pPr>
              <w:spacing w:line="22" w:lineRule="atLeast"/>
              <w:jc w:val="both"/>
              <w:rPr>
                <w:rFonts w:asciiTheme="minorHAnsi" w:hAnsiTheme="minorHAnsi" w:cs="Open Sans"/>
                <w:color w:val="000000"/>
                <w:sz w:val="20"/>
                <w:szCs w:val="20"/>
              </w:rPr>
            </w:pPr>
          </w:p>
        </w:tc>
      </w:tr>
      <w:tr w:rsidR="00886BB4" w:rsidRPr="00A74D23" w14:paraId="4D99297D" w14:textId="77777777" w:rsidTr="00205B2F">
        <w:trPr>
          <w:trHeight w:val="287"/>
        </w:trPr>
        <w:tc>
          <w:tcPr>
            <w:tcW w:w="2005" w:type="dxa"/>
            <w:noWrap/>
            <w:vAlign w:val="bottom"/>
          </w:tcPr>
          <w:p w14:paraId="67B16131" w14:textId="7BA7C351" w:rsidR="00886BB4" w:rsidRPr="00A74D23" w:rsidRDefault="00886BB4" w:rsidP="009D6EE5">
            <w:pPr>
              <w:spacing w:line="22" w:lineRule="atLeast"/>
              <w:jc w:val="both"/>
              <w:rPr>
                <w:rFonts w:asciiTheme="minorHAnsi" w:hAnsiTheme="minorHAnsi" w:cs="Open Sans"/>
                <w:color w:val="000000"/>
                <w:sz w:val="20"/>
                <w:szCs w:val="20"/>
              </w:rPr>
            </w:pPr>
          </w:p>
        </w:tc>
        <w:tc>
          <w:tcPr>
            <w:tcW w:w="5197" w:type="dxa"/>
            <w:noWrap/>
            <w:vAlign w:val="bottom"/>
          </w:tcPr>
          <w:p w14:paraId="1AEA7B15" w14:textId="0DC9394C" w:rsidR="00886BB4" w:rsidRPr="00A74D23" w:rsidRDefault="00886BB4" w:rsidP="009D6EE5">
            <w:pPr>
              <w:spacing w:line="22" w:lineRule="atLeast"/>
              <w:jc w:val="both"/>
              <w:rPr>
                <w:rFonts w:asciiTheme="minorHAnsi" w:hAnsiTheme="minorHAnsi" w:cs="Open Sans"/>
                <w:color w:val="000000"/>
                <w:sz w:val="20"/>
                <w:szCs w:val="20"/>
              </w:rPr>
            </w:pPr>
          </w:p>
        </w:tc>
        <w:tc>
          <w:tcPr>
            <w:tcW w:w="2005" w:type="dxa"/>
            <w:noWrap/>
            <w:vAlign w:val="bottom"/>
          </w:tcPr>
          <w:p w14:paraId="308085C8" w14:textId="5452F68C" w:rsidR="00886BB4" w:rsidRPr="00A74D23" w:rsidRDefault="00886BB4" w:rsidP="009D6EE5">
            <w:pPr>
              <w:spacing w:line="22" w:lineRule="atLeast"/>
              <w:jc w:val="both"/>
              <w:rPr>
                <w:rFonts w:asciiTheme="minorHAnsi" w:hAnsiTheme="minorHAnsi" w:cs="Open Sans"/>
                <w:color w:val="000000"/>
                <w:sz w:val="20"/>
                <w:szCs w:val="20"/>
              </w:rPr>
            </w:pPr>
          </w:p>
        </w:tc>
      </w:tr>
      <w:tr w:rsidR="00886BB4" w:rsidRPr="00A74D23" w14:paraId="04DA51AD" w14:textId="77777777" w:rsidTr="00205B2F">
        <w:trPr>
          <w:trHeight w:val="287"/>
        </w:trPr>
        <w:tc>
          <w:tcPr>
            <w:tcW w:w="2005" w:type="dxa"/>
            <w:noWrap/>
            <w:vAlign w:val="bottom"/>
          </w:tcPr>
          <w:p w14:paraId="4145AFE7" w14:textId="1429A041" w:rsidR="00886BB4" w:rsidRPr="00A74D23" w:rsidRDefault="00886BB4" w:rsidP="009D6EE5">
            <w:pPr>
              <w:spacing w:line="22" w:lineRule="atLeast"/>
              <w:jc w:val="both"/>
              <w:rPr>
                <w:rFonts w:asciiTheme="minorHAnsi" w:hAnsiTheme="minorHAnsi" w:cs="Open Sans"/>
                <w:color w:val="000000"/>
                <w:sz w:val="20"/>
                <w:szCs w:val="20"/>
              </w:rPr>
            </w:pPr>
          </w:p>
        </w:tc>
        <w:tc>
          <w:tcPr>
            <w:tcW w:w="5197" w:type="dxa"/>
            <w:noWrap/>
            <w:vAlign w:val="bottom"/>
          </w:tcPr>
          <w:p w14:paraId="2979FE19" w14:textId="1A7BA304" w:rsidR="00886BB4" w:rsidRPr="00A74D23" w:rsidRDefault="00886BB4" w:rsidP="009D6EE5">
            <w:pPr>
              <w:spacing w:line="22" w:lineRule="atLeast"/>
              <w:jc w:val="both"/>
              <w:rPr>
                <w:rFonts w:asciiTheme="minorHAnsi" w:hAnsiTheme="minorHAnsi" w:cs="Open Sans"/>
                <w:color w:val="000000"/>
                <w:sz w:val="20"/>
                <w:szCs w:val="20"/>
              </w:rPr>
            </w:pPr>
          </w:p>
        </w:tc>
        <w:tc>
          <w:tcPr>
            <w:tcW w:w="2005" w:type="dxa"/>
            <w:noWrap/>
            <w:vAlign w:val="bottom"/>
          </w:tcPr>
          <w:p w14:paraId="4815BC01" w14:textId="6DFCE8CB" w:rsidR="00886BB4" w:rsidRPr="00A74D23" w:rsidRDefault="00886BB4" w:rsidP="009D6EE5">
            <w:pPr>
              <w:spacing w:line="22" w:lineRule="atLeast"/>
              <w:jc w:val="both"/>
              <w:rPr>
                <w:rFonts w:asciiTheme="minorHAnsi" w:hAnsiTheme="minorHAnsi" w:cs="Open Sans"/>
                <w:color w:val="000000"/>
                <w:sz w:val="20"/>
                <w:szCs w:val="20"/>
              </w:rPr>
            </w:pPr>
          </w:p>
        </w:tc>
      </w:tr>
      <w:tr w:rsidR="004F2CB6" w:rsidRPr="00A74D23" w14:paraId="4B1C4057" w14:textId="77777777" w:rsidTr="004F2CB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0"/>
        </w:trPr>
        <w:tc>
          <w:tcPr>
            <w:tcW w:w="2005" w:type="dxa"/>
            <w:shd w:val="clear" w:color="auto" w:fill="D57B1D" w:themeFill="accent3"/>
            <w:noWrap/>
            <w:vAlign w:val="center"/>
            <w:hideMark/>
          </w:tcPr>
          <w:p w14:paraId="4923D10A" w14:textId="68690972" w:rsidR="004F2CB6" w:rsidRPr="00A74D23" w:rsidRDefault="004F2CB6" w:rsidP="009D6EE5">
            <w:pPr>
              <w:spacing w:line="22" w:lineRule="atLeast"/>
              <w:jc w:val="both"/>
              <w:rPr>
                <w:rFonts w:asciiTheme="minorHAnsi" w:hAnsiTheme="minorHAnsi" w:cs="Open Sans"/>
                <w:b/>
                <w:bCs/>
                <w:color w:val="FFFFFF"/>
                <w:sz w:val="20"/>
                <w:szCs w:val="20"/>
              </w:rPr>
            </w:pPr>
            <w:r w:rsidRPr="00A74D23">
              <w:rPr>
                <w:rFonts w:asciiTheme="minorHAnsi" w:hAnsiTheme="minorHAnsi" w:cs="Open Sans"/>
                <w:b/>
                <w:bCs/>
                <w:color w:val="FFFFFF"/>
                <w:sz w:val="20"/>
                <w:szCs w:val="20"/>
                <w:lang w:val="fr-FR"/>
              </w:rPr>
              <w:t>Classe d'actif</w:t>
            </w:r>
          </w:p>
        </w:tc>
        <w:tc>
          <w:tcPr>
            <w:tcW w:w="5197" w:type="dxa"/>
            <w:shd w:val="clear" w:color="auto" w:fill="D57B1D" w:themeFill="accent3"/>
            <w:noWrap/>
            <w:vAlign w:val="center"/>
            <w:hideMark/>
          </w:tcPr>
          <w:p w14:paraId="7E174592" w14:textId="2481C84B" w:rsidR="004F2CB6" w:rsidRPr="00A74D23" w:rsidRDefault="004F2CB6" w:rsidP="009D6EE5">
            <w:pPr>
              <w:spacing w:line="22" w:lineRule="atLeast"/>
              <w:jc w:val="both"/>
              <w:rPr>
                <w:rFonts w:asciiTheme="minorHAnsi" w:hAnsiTheme="minorHAnsi" w:cs="Open Sans"/>
                <w:b/>
                <w:bCs/>
                <w:color w:val="FFFFFF"/>
                <w:sz w:val="20"/>
                <w:szCs w:val="20"/>
              </w:rPr>
            </w:pPr>
            <w:r w:rsidRPr="00A74D23">
              <w:rPr>
                <w:rFonts w:asciiTheme="minorHAnsi" w:hAnsiTheme="minorHAnsi" w:cs="Open Sans"/>
                <w:b/>
                <w:bCs/>
                <w:color w:val="FFFFFF"/>
                <w:sz w:val="20"/>
                <w:szCs w:val="20"/>
                <w:lang w:val="fr-FR"/>
              </w:rPr>
              <w:t>Libellé portefeuille</w:t>
            </w:r>
          </w:p>
        </w:tc>
        <w:tc>
          <w:tcPr>
            <w:tcW w:w="2005" w:type="dxa"/>
            <w:shd w:val="clear" w:color="auto" w:fill="D57B1D" w:themeFill="accent3"/>
            <w:noWrap/>
            <w:vAlign w:val="center"/>
            <w:hideMark/>
          </w:tcPr>
          <w:p w14:paraId="5DD4E32E" w14:textId="37F6AA1B" w:rsidR="004F2CB6" w:rsidRPr="00A74D23" w:rsidRDefault="004F2CB6" w:rsidP="009D6EE5">
            <w:pPr>
              <w:spacing w:line="22" w:lineRule="atLeast"/>
              <w:jc w:val="both"/>
              <w:rPr>
                <w:rFonts w:asciiTheme="minorHAnsi" w:hAnsiTheme="minorHAnsi" w:cs="Open Sans"/>
                <w:b/>
                <w:bCs/>
                <w:color w:val="FFFFFF"/>
                <w:sz w:val="20"/>
                <w:szCs w:val="20"/>
              </w:rPr>
            </w:pPr>
            <w:r w:rsidRPr="00A74D23">
              <w:rPr>
                <w:rFonts w:asciiTheme="minorHAnsi" w:hAnsiTheme="minorHAnsi" w:cs="Open Sans"/>
                <w:b/>
                <w:bCs/>
                <w:color w:val="FFFFFF"/>
                <w:sz w:val="20"/>
                <w:szCs w:val="20"/>
                <w:lang w:val="fr-FR"/>
              </w:rPr>
              <w:t>Classification SFDR</w:t>
            </w:r>
          </w:p>
        </w:tc>
      </w:tr>
      <w:tr w:rsidR="00205B2F" w:rsidRPr="00A74D23" w14:paraId="3680E6F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5DD214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F5241D6"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Amundi Fds Em Mkts Eq Foc A EUR C</w:t>
            </w:r>
          </w:p>
        </w:tc>
        <w:tc>
          <w:tcPr>
            <w:tcW w:w="2005" w:type="dxa"/>
            <w:noWrap/>
            <w:hideMark/>
          </w:tcPr>
          <w:p w14:paraId="71B48C8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089FD30"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A28B72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706C92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AB Emerging Market Corp Debt A2 EUR H</w:t>
            </w:r>
          </w:p>
        </w:tc>
        <w:tc>
          <w:tcPr>
            <w:tcW w:w="2005" w:type="dxa"/>
            <w:noWrap/>
            <w:hideMark/>
          </w:tcPr>
          <w:p w14:paraId="3A5EC3C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7157F8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8C30E5A"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E0A6C7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Aberdeen EM Corporate Bond Fund K Acc H EUR</w:t>
            </w:r>
          </w:p>
        </w:tc>
        <w:tc>
          <w:tcPr>
            <w:tcW w:w="2005" w:type="dxa"/>
            <w:noWrap/>
            <w:hideMark/>
          </w:tcPr>
          <w:p w14:paraId="50EFB59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71F317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ECB1213"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F81322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abrdn-Japan Sustainable Eqty S Acc HEUR</w:t>
            </w:r>
          </w:p>
        </w:tc>
        <w:tc>
          <w:tcPr>
            <w:tcW w:w="2005" w:type="dxa"/>
            <w:noWrap/>
            <w:hideMark/>
          </w:tcPr>
          <w:p w14:paraId="5A6EC8E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D14810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2B9AEB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870B8C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2029 IG</w:t>
            </w:r>
          </w:p>
        </w:tc>
        <w:tc>
          <w:tcPr>
            <w:tcW w:w="2005" w:type="dxa"/>
            <w:noWrap/>
            <w:hideMark/>
          </w:tcPr>
          <w:p w14:paraId="376DDF1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0D588E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6A68CD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E75B66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2030 IG</w:t>
            </w:r>
          </w:p>
        </w:tc>
        <w:tc>
          <w:tcPr>
            <w:tcW w:w="2005" w:type="dxa"/>
            <w:noWrap/>
            <w:hideMark/>
          </w:tcPr>
          <w:p w14:paraId="24E42E6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A5B722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AF1CB13"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9088AD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Actions Amérique</w:t>
            </w:r>
          </w:p>
        </w:tc>
        <w:tc>
          <w:tcPr>
            <w:tcW w:w="2005" w:type="dxa"/>
            <w:noWrap/>
            <w:hideMark/>
          </w:tcPr>
          <w:p w14:paraId="47C34C8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ABA7D5C"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137AC0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FCF11D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Actions Euro A</w:t>
            </w:r>
          </w:p>
        </w:tc>
        <w:tc>
          <w:tcPr>
            <w:tcW w:w="2005" w:type="dxa"/>
            <w:noWrap/>
            <w:hideMark/>
          </w:tcPr>
          <w:p w14:paraId="65EC064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3CA5DC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F67ED8A"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110AD0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Actions PME Classic</w:t>
            </w:r>
          </w:p>
        </w:tc>
        <w:tc>
          <w:tcPr>
            <w:tcW w:w="2005" w:type="dxa"/>
            <w:noWrap/>
            <w:hideMark/>
          </w:tcPr>
          <w:p w14:paraId="57CB0D4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EA6E96F"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57C591C"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E735B6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Avenir Senior</w:t>
            </w:r>
          </w:p>
        </w:tc>
        <w:tc>
          <w:tcPr>
            <w:tcW w:w="2005" w:type="dxa"/>
            <w:noWrap/>
            <w:hideMark/>
          </w:tcPr>
          <w:p w14:paraId="1A85EB7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F64A60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455F97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14F9E7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Convertibles</w:t>
            </w:r>
          </w:p>
        </w:tc>
        <w:tc>
          <w:tcPr>
            <w:tcW w:w="2005" w:type="dxa"/>
            <w:noWrap/>
            <w:hideMark/>
          </w:tcPr>
          <w:p w14:paraId="167F5EC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869B1FA"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342464A"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08F665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Diversifié ISR</w:t>
            </w:r>
          </w:p>
        </w:tc>
        <w:tc>
          <w:tcPr>
            <w:tcW w:w="2005" w:type="dxa"/>
            <w:noWrap/>
            <w:hideMark/>
          </w:tcPr>
          <w:p w14:paraId="7856E3A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6777845"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9DD91F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435C23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Euro High Yield C/D</w:t>
            </w:r>
          </w:p>
        </w:tc>
        <w:tc>
          <w:tcPr>
            <w:tcW w:w="2005" w:type="dxa"/>
            <w:noWrap/>
            <w:hideMark/>
          </w:tcPr>
          <w:p w14:paraId="2D6994A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4BDA314"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04DC71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2DC410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Experimmo ISR</w:t>
            </w:r>
          </w:p>
        </w:tc>
        <w:tc>
          <w:tcPr>
            <w:tcW w:w="2005" w:type="dxa"/>
            <w:noWrap/>
            <w:hideMark/>
          </w:tcPr>
          <w:p w14:paraId="06B8A5C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7D33B40"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A262EE7"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5E2187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2030 IG</w:t>
            </w:r>
          </w:p>
        </w:tc>
        <w:tc>
          <w:tcPr>
            <w:tcW w:w="2005" w:type="dxa"/>
            <w:noWrap/>
            <w:hideMark/>
          </w:tcPr>
          <w:p w14:paraId="1DD1E1E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6DBF479"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D94B6CE"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D35CB4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Act PME</w:t>
            </w:r>
          </w:p>
        </w:tc>
        <w:tc>
          <w:tcPr>
            <w:tcW w:w="2005" w:type="dxa"/>
            <w:noWrap/>
            <w:hideMark/>
          </w:tcPr>
          <w:p w14:paraId="43C4902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152266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F3EB5E7"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3D520A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Actions Amérique</w:t>
            </w:r>
          </w:p>
        </w:tc>
        <w:tc>
          <w:tcPr>
            <w:tcW w:w="2005" w:type="dxa"/>
            <w:noWrap/>
            <w:hideMark/>
          </w:tcPr>
          <w:p w14:paraId="6251A5C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B03351C"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798061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E2ECE6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Actions Biodiversité</w:t>
            </w:r>
          </w:p>
        </w:tc>
        <w:tc>
          <w:tcPr>
            <w:tcW w:w="2005" w:type="dxa"/>
            <w:noWrap/>
            <w:hideMark/>
          </w:tcPr>
          <w:p w14:paraId="04B1908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52187A5"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5193C61"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42E1A7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Actions Euro</w:t>
            </w:r>
          </w:p>
        </w:tc>
        <w:tc>
          <w:tcPr>
            <w:tcW w:w="2005" w:type="dxa"/>
            <w:noWrap/>
            <w:hideMark/>
          </w:tcPr>
          <w:p w14:paraId="17BA678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8AF76CC"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25D9F3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CB26F8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Actions Japon</w:t>
            </w:r>
          </w:p>
        </w:tc>
        <w:tc>
          <w:tcPr>
            <w:tcW w:w="2005" w:type="dxa"/>
            <w:noWrap/>
            <w:hideMark/>
          </w:tcPr>
          <w:p w14:paraId="146E5B4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49CD0B9"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E6D5411"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33ECF7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Avenir Senior</w:t>
            </w:r>
          </w:p>
        </w:tc>
        <w:tc>
          <w:tcPr>
            <w:tcW w:w="2005" w:type="dxa"/>
            <w:noWrap/>
            <w:hideMark/>
          </w:tcPr>
          <w:p w14:paraId="0BAADAE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C804BD4"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F0005E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EEF275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Big Data</w:t>
            </w:r>
          </w:p>
        </w:tc>
        <w:tc>
          <w:tcPr>
            <w:tcW w:w="2005" w:type="dxa"/>
            <w:noWrap/>
            <w:hideMark/>
          </w:tcPr>
          <w:p w14:paraId="77C505E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B584135"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0E9E6D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849DCB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Blockchain Global Equity</w:t>
            </w:r>
          </w:p>
        </w:tc>
        <w:tc>
          <w:tcPr>
            <w:tcW w:w="2005" w:type="dxa"/>
            <w:noWrap/>
            <w:hideMark/>
          </w:tcPr>
          <w:p w14:paraId="74A50FB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6B56E0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3CA7FC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A94899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Climat</w:t>
            </w:r>
          </w:p>
        </w:tc>
        <w:tc>
          <w:tcPr>
            <w:tcW w:w="2005" w:type="dxa"/>
            <w:noWrap/>
            <w:hideMark/>
          </w:tcPr>
          <w:p w14:paraId="7F6F950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7AB0D5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94B1B2C"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15E40F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Crédit Court</w:t>
            </w:r>
          </w:p>
        </w:tc>
        <w:tc>
          <w:tcPr>
            <w:tcW w:w="2005" w:type="dxa"/>
            <w:noWrap/>
            <w:hideMark/>
          </w:tcPr>
          <w:p w14:paraId="57EF701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A7B4D2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82AF821"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37DCEB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Credit Financials</w:t>
            </w:r>
          </w:p>
        </w:tc>
        <w:tc>
          <w:tcPr>
            <w:tcW w:w="2005" w:type="dxa"/>
            <w:noWrap/>
            <w:hideMark/>
          </w:tcPr>
          <w:p w14:paraId="4C6F722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482DC64"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74BF590"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8185CB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Crédit Flexible</w:t>
            </w:r>
          </w:p>
        </w:tc>
        <w:tc>
          <w:tcPr>
            <w:tcW w:w="2005" w:type="dxa"/>
            <w:noWrap/>
            <w:hideMark/>
          </w:tcPr>
          <w:p w14:paraId="39A9DCA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DDACCE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B4DCD7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2D0C9C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Diversifié Durable</w:t>
            </w:r>
          </w:p>
        </w:tc>
        <w:tc>
          <w:tcPr>
            <w:tcW w:w="2005" w:type="dxa"/>
            <w:noWrap/>
            <w:hideMark/>
          </w:tcPr>
          <w:p w14:paraId="3ED9353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D61A24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DF4936A"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AC811E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Euro High Yield</w:t>
            </w:r>
          </w:p>
        </w:tc>
        <w:tc>
          <w:tcPr>
            <w:tcW w:w="2005" w:type="dxa"/>
            <w:noWrap/>
            <w:hideMark/>
          </w:tcPr>
          <w:p w14:paraId="18631D2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011BF52"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59C54F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9745E4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Flexible Monde</w:t>
            </w:r>
          </w:p>
        </w:tc>
        <w:tc>
          <w:tcPr>
            <w:tcW w:w="2005" w:type="dxa"/>
            <w:noWrap/>
            <w:hideMark/>
          </w:tcPr>
          <w:p w14:paraId="7051756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E17A160"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3E56A9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337908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Glob Sov</w:t>
            </w:r>
          </w:p>
        </w:tc>
        <w:tc>
          <w:tcPr>
            <w:tcW w:w="2005" w:type="dxa"/>
            <w:noWrap/>
            <w:hideMark/>
          </w:tcPr>
          <w:p w14:paraId="15B078D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99CD759"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B96A33C"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D0119F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Grandes Marques</w:t>
            </w:r>
          </w:p>
        </w:tc>
        <w:tc>
          <w:tcPr>
            <w:tcW w:w="2005" w:type="dxa"/>
            <w:noWrap/>
            <w:hideMark/>
          </w:tcPr>
          <w:p w14:paraId="6E4D615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4BE48F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0FE2B6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1D3DF7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High Yield 2029</w:t>
            </w:r>
          </w:p>
        </w:tc>
        <w:tc>
          <w:tcPr>
            <w:tcW w:w="2005" w:type="dxa"/>
            <w:noWrap/>
            <w:hideMark/>
          </w:tcPr>
          <w:p w14:paraId="2831ACC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17837D4"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302E950"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1BD8AA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Liquidités</w:t>
            </w:r>
          </w:p>
        </w:tc>
        <w:tc>
          <w:tcPr>
            <w:tcW w:w="2005" w:type="dxa"/>
            <w:noWrap/>
            <w:hideMark/>
          </w:tcPr>
          <w:p w14:paraId="5F7BF52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8C15CF4"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C029103"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982077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Patrimoine</w:t>
            </w:r>
          </w:p>
        </w:tc>
        <w:tc>
          <w:tcPr>
            <w:tcW w:w="2005" w:type="dxa"/>
            <w:noWrap/>
            <w:hideMark/>
          </w:tcPr>
          <w:p w14:paraId="4C6639B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AE7AC71"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D17C1F2"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37861C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Premium</w:t>
            </w:r>
          </w:p>
        </w:tc>
        <w:tc>
          <w:tcPr>
            <w:tcW w:w="2005" w:type="dxa"/>
            <w:noWrap/>
            <w:hideMark/>
          </w:tcPr>
          <w:p w14:paraId="0C4C6C6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0140F7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4CF6303"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3163C9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Valor</w:t>
            </w:r>
          </w:p>
        </w:tc>
        <w:tc>
          <w:tcPr>
            <w:tcW w:w="2005" w:type="dxa"/>
            <w:noWrap/>
            <w:hideMark/>
          </w:tcPr>
          <w:p w14:paraId="771F1FC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A3CF405"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CA1CB74"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606F3B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Hgh Yd 2029</w:t>
            </w:r>
          </w:p>
        </w:tc>
        <w:tc>
          <w:tcPr>
            <w:tcW w:w="2005" w:type="dxa"/>
            <w:noWrap/>
            <w:hideMark/>
          </w:tcPr>
          <w:p w14:paraId="53C07B0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CAB3CC0"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F6A1EF0"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5319CB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High Yield 2027</w:t>
            </w:r>
          </w:p>
        </w:tc>
        <w:tc>
          <w:tcPr>
            <w:tcW w:w="2005" w:type="dxa"/>
            <w:noWrap/>
            <w:hideMark/>
          </w:tcPr>
          <w:p w14:paraId="2B56669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B9321B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0464F91"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46741E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Patrimoine C/D</w:t>
            </w:r>
          </w:p>
        </w:tc>
        <w:tc>
          <w:tcPr>
            <w:tcW w:w="2005" w:type="dxa"/>
            <w:noWrap/>
            <w:hideMark/>
          </w:tcPr>
          <w:p w14:paraId="6857CE5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C83F88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68141F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7CCB4C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Premium R EUR</w:t>
            </w:r>
          </w:p>
        </w:tc>
        <w:tc>
          <w:tcPr>
            <w:tcW w:w="2005" w:type="dxa"/>
            <w:noWrap/>
            <w:hideMark/>
          </w:tcPr>
          <w:p w14:paraId="1340803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A36D89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DE31E00"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D02CB9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Amundi Actions Or PC</w:t>
            </w:r>
          </w:p>
        </w:tc>
        <w:tc>
          <w:tcPr>
            <w:tcW w:w="2005" w:type="dxa"/>
            <w:noWrap/>
            <w:hideMark/>
          </w:tcPr>
          <w:p w14:paraId="1F49B87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E0423D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5200281"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80CED0C"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Amundi Fds Glb Eq Inc Sel A2 EUR C</w:t>
            </w:r>
          </w:p>
        </w:tc>
        <w:tc>
          <w:tcPr>
            <w:tcW w:w="2005" w:type="dxa"/>
            <w:noWrap/>
            <w:hideMark/>
          </w:tcPr>
          <w:p w14:paraId="32EECB9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A5F8AC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FE092E0"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56F810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Amundi Fds US Bond A EUR C</w:t>
            </w:r>
          </w:p>
        </w:tc>
        <w:tc>
          <w:tcPr>
            <w:tcW w:w="2005" w:type="dxa"/>
            <w:noWrap/>
            <w:hideMark/>
          </w:tcPr>
          <w:p w14:paraId="51B6BC3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356A2E4"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E5BFDB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A210DE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Amundi Fds US Bond A EUR H C</w:t>
            </w:r>
          </w:p>
        </w:tc>
        <w:tc>
          <w:tcPr>
            <w:tcW w:w="2005" w:type="dxa"/>
            <w:noWrap/>
            <w:hideMark/>
          </w:tcPr>
          <w:p w14:paraId="411F283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75CC54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DB3E7A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9CB084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Amundi Fds US Eq Fundm Gr A EUR C</w:t>
            </w:r>
          </w:p>
        </w:tc>
        <w:tc>
          <w:tcPr>
            <w:tcW w:w="2005" w:type="dxa"/>
            <w:noWrap/>
            <w:hideMark/>
          </w:tcPr>
          <w:p w14:paraId="0D09430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34704F2"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D08D994"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7900A1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Amundi Fds US Eq Fundm Gr A EUR H C</w:t>
            </w:r>
          </w:p>
        </w:tc>
        <w:tc>
          <w:tcPr>
            <w:tcW w:w="2005" w:type="dxa"/>
            <w:noWrap/>
            <w:hideMark/>
          </w:tcPr>
          <w:p w14:paraId="4BDFC9A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3A4A6F4"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695A17D"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5610FA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Amundi Funds US Bond I2 EUR Hdg (C)</w:t>
            </w:r>
          </w:p>
        </w:tc>
        <w:tc>
          <w:tcPr>
            <w:tcW w:w="2005" w:type="dxa"/>
            <w:noWrap/>
            <w:hideMark/>
          </w:tcPr>
          <w:p w14:paraId="17A1577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88B8B1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EA59FC0"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2EE830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BDL Rempart C</w:t>
            </w:r>
          </w:p>
        </w:tc>
        <w:tc>
          <w:tcPr>
            <w:tcW w:w="2005" w:type="dxa"/>
            <w:noWrap/>
            <w:hideMark/>
          </w:tcPr>
          <w:p w14:paraId="0325B48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E35382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C63C85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B09EAC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BGF Systematic Glbl SmallCap A2</w:t>
            </w:r>
          </w:p>
        </w:tc>
        <w:tc>
          <w:tcPr>
            <w:tcW w:w="2005" w:type="dxa"/>
            <w:noWrap/>
            <w:hideMark/>
          </w:tcPr>
          <w:p w14:paraId="667FC1A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2C94DC1"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AB8F0A2"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3F4725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BGF US Dollar High Yield Bd A2</w:t>
            </w:r>
          </w:p>
        </w:tc>
        <w:tc>
          <w:tcPr>
            <w:tcW w:w="2005" w:type="dxa"/>
            <w:noWrap/>
            <w:hideMark/>
          </w:tcPr>
          <w:p w14:paraId="63D30DE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798BEE2"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FB8C21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DFB22E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BGF US Dollar High Yield Bd A2 EUR H</w:t>
            </w:r>
          </w:p>
        </w:tc>
        <w:tc>
          <w:tcPr>
            <w:tcW w:w="2005" w:type="dxa"/>
            <w:noWrap/>
            <w:hideMark/>
          </w:tcPr>
          <w:p w14:paraId="4675FDD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5978231"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9DFB56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63EE6F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BGF World Healthscience A2</w:t>
            </w:r>
          </w:p>
        </w:tc>
        <w:tc>
          <w:tcPr>
            <w:tcW w:w="2005" w:type="dxa"/>
            <w:noWrap/>
            <w:hideMark/>
          </w:tcPr>
          <w:p w14:paraId="062F749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96D2B72"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06A6F64"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E3FFDC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BGF World Healthscience Fund I2 EUR</w:t>
            </w:r>
          </w:p>
        </w:tc>
        <w:tc>
          <w:tcPr>
            <w:tcW w:w="2005" w:type="dxa"/>
            <w:noWrap/>
            <w:hideMark/>
          </w:tcPr>
          <w:p w14:paraId="47F7D32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0BD5F34"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C28782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7962B6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BGF World Technology A2</w:t>
            </w:r>
          </w:p>
        </w:tc>
        <w:tc>
          <w:tcPr>
            <w:tcW w:w="2005" w:type="dxa"/>
            <w:noWrap/>
            <w:hideMark/>
          </w:tcPr>
          <w:p w14:paraId="570D352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4DE321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BFA2AA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7431D8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BGF World Technology Fund I2 EUR </w:t>
            </w:r>
          </w:p>
        </w:tc>
        <w:tc>
          <w:tcPr>
            <w:tcW w:w="2005" w:type="dxa"/>
            <w:noWrap/>
            <w:hideMark/>
          </w:tcPr>
          <w:p w14:paraId="64D1EF8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6A2972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B35148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E60FC9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BNP Paribas Disrpt Tech Cl C</w:t>
            </w:r>
          </w:p>
        </w:tc>
        <w:tc>
          <w:tcPr>
            <w:tcW w:w="2005" w:type="dxa"/>
            <w:noWrap/>
            <w:hideMark/>
          </w:tcPr>
          <w:p w14:paraId="69C6471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6E81A8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68E4DF2"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C512A8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BNP Paribas US Small Cap Classic H EURC</w:t>
            </w:r>
          </w:p>
        </w:tc>
        <w:tc>
          <w:tcPr>
            <w:tcW w:w="2005" w:type="dxa"/>
            <w:noWrap/>
            <w:hideMark/>
          </w:tcPr>
          <w:p w14:paraId="40D999A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DE639D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14F2AE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52DA2A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BNY Mellon Glb ShrtDtd HY Bd EUR A Acc</w:t>
            </w:r>
          </w:p>
        </w:tc>
        <w:tc>
          <w:tcPr>
            <w:tcW w:w="2005" w:type="dxa"/>
            <w:noWrap/>
            <w:hideMark/>
          </w:tcPr>
          <w:p w14:paraId="12C6C0F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90A9C9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446EDF0"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022E66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BNY Mellon Glb ShrtDtd HY Bd EUR H Acc H</w:t>
            </w:r>
          </w:p>
        </w:tc>
        <w:tc>
          <w:tcPr>
            <w:tcW w:w="2005" w:type="dxa"/>
            <w:noWrap/>
            <w:hideMark/>
          </w:tcPr>
          <w:p w14:paraId="75EEE66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66CDBB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7273C14"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738AD9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Candriam Bds Global Government C EUR Cap</w:t>
            </w:r>
          </w:p>
        </w:tc>
        <w:tc>
          <w:tcPr>
            <w:tcW w:w="2005" w:type="dxa"/>
            <w:noWrap/>
            <w:hideMark/>
          </w:tcPr>
          <w:p w14:paraId="74679FD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C4989B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935F430"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5E5C72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Canopée Equilibre C</w:t>
            </w:r>
          </w:p>
        </w:tc>
        <w:tc>
          <w:tcPr>
            <w:tcW w:w="2005" w:type="dxa"/>
            <w:noWrap/>
            <w:hideMark/>
          </w:tcPr>
          <w:p w14:paraId="5B16FF3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069477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C3610A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12A575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CAP Sante Capim</w:t>
            </w:r>
          </w:p>
        </w:tc>
        <w:tc>
          <w:tcPr>
            <w:tcW w:w="2005" w:type="dxa"/>
            <w:noWrap/>
            <w:hideMark/>
          </w:tcPr>
          <w:p w14:paraId="6066BCE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95C7CEA"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1E6F1B3"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3D34195"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Carmignac Patrimoine A EUR Acc</w:t>
            </w:r>
          </w:p>
        </w:tc>
        <w:tc>
          <w:tcPr>
            <w:tcW w:w="2005" w:type="dxa"/>
            <w:noWrap/>
            <w:hideMark/>
          </w:tcPr>
          <w:p w14:paraId="6A87DDF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670A89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C3111D2"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185860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Carmignac Pf Flexible Bond A EUR Acc</w:t>
            </w:r>
          </w:p>
        </w:tc>
        <w:tc>
          <w:tcPr>
            <w:tcW w:w="2005" w:type="dxa"/>
            <w:noWrap/>
            <w:hideMark/>
          </w:tcPr>
          <w:p w14:paraId="6A735AD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5279395"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B00BBC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63115CA"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Carmignac Sécurité AW EUR Acc</w:t>
            </w:r>
          </w:p>
        </w:tc>
        <w:tc>
          <w:tcPr>
            <w:tcW w:w="2005" w:type="dxa"/>
            <w:noWrap/>
            <w:hideMark/>
          </w:tcPr>
          <w:p w14:paraId="141DC55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0F88B7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A55AF31"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42ED28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Charentes Equicroissance</w:t>
            </w:r>
          </w:p>
        </w:tc>
        <w:tc>
          <w:tcPr>
            <w:tcW w:w="2005" w:type="dxa"/>
            <w:noWrap/>
            <w:hideMark/>
          </w:tcPr>
          <w:p w14:paraId="434E615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5FD3034"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A0C082F"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AA2E1B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CM-AM Convictions Euro RC</w:t>
            </w:r>
          </w:p>
        </w:tc>
        <w:tc>
          <w:tcPr>
            <w:tcW w:w="2005" w:type="dxa"/>
            <w:noWrap/>
            <w:hideMark/>
          </w:tcPr>
          <w:p w14:paraId="65BB1AB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254B5E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D2F248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499A05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CM-AM Global Gold RC</w:t>
            </w:r>
          </w:p>
        </w:tc>
        <w:tc>
          <w:tcPr>
            <w:tcW w:w="2005" w:type="dxa"/>
            <w:noWrap/>
            <w:hideMark/>
          </w:tcPr>
          <w:p w14:paraId="54A829B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D045F6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6D3651E"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6DAEF9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Comgest Growth Europe EUR Acc</w:t>
            </w:r>
          </w:p>
        </w:tc>
        <w:tc>
          <w:tcPr>
            <w:tcW w:w="2005" w:type="dxa"/>
            <w:noWrap/>
            <w:hideMark/>
          </w:tcPr>
          <w:p w14:paraId="5826367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F0795C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BCDBD87"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EECB13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Comgest Monde C</w:t>
            </w:r>
          </w:p>
        </w:tc>
        <w:tc>
          <w:tcPr>
            <w:tcW w:w="2005" w:type="dxa"/>
            <w:noWrap/>
            <w:hideMark/>
          </w:tcPr>
          <w:p w14:paraId="39578EA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736C31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10A8EC0"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D1314EB"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CPR Actions USA Responsable P</w:t>
            </w:r>
          </w:p>
        </w:tc>
        <w:tc>
          <w:tcPr>
            <w:tcW w:w="2005" w:type="dxa"/>
            <w:noWrap/>
            <w:hideMark/>
          </w:tcPr>
          <w:p w14:paraId="40166BE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A59B0A5"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AE7A72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404031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CPR Croissance Dynamique P</w:t>
            </w:r>
          </w:p>
        </w:tc>
        <w:tc>
          <w:tcPr>
            <w:tcW w:w="2005" w:type="dxa"/>
            <w:noWrap/>
            <w:hideMark/>
          </w:tcPr>
          <w:p w14:paraId="18F7829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497041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DDAA953"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89E808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CPR Croissance Réactive P</w:t>
            </w:r>
          </w:p>
        </w:tc>
        <w:tc>
          <w:tcPr>
            <w:tcW w:w="2005" w:type="dxa"/>
            <w:noWrap/>
            <w:hideMark/>
          </w:tcPr>
          <w:p w14:paraId="13B5E82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D37FF2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084D8D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37FC54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CPR Invest - Global Gold Mines R EUR Acc</w:t>
            </w:r>
          </w:p>
        </w:tc>
        <w:tc>
          <w:tcPr>
            <w:tcW w:w="2005" w:type="dxa"/>
            <w:noWrap/>
            <w:hideMark/>
          </w:tcPr>
          <w:p w14:paraId="47C0743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6AEDE1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84487CF"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81AE7B7"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CPR Invest Climate Action A EUR Acc</w:t>
            </w:r>
          </w:p>
        </w:tc>
        <w:tc>
          <w:tcPr>
            <w:tcW w:w="2005" w:type="dxa"/>
            <w:noWrap/>
            <w:hideMark/>
          </w:tcPr>
          <w:p w14:paraId="6B38375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2E35ED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D8BE7A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B43122A"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CPR Invest Euro Strat Autonomy A-EUR-Acc</w:t>
            </w:r>
          </w:p>
        </w:tc>
        <w:tc>
          <w:tcPr>
            <w:tcW w:w="2005" w:type="dxa"/>
            <w:noWrap/>
            <w:hideMark/>
          </w:tcPr>
          <w:p w14:paraId="371CB1F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EAC5999"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7BA345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D7716CB"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CPR Invest Glbl Dsrpt Opp A1 EUR Acc</w:t>
            </w:r>
          </w:p>
        </w:tc>
        <w:tc>
          <w:tcPr>
            <w:tcW w:w="2005" w:type="dxa"/>
            <w:noWrap/>
            <w:hideMark/>
          </w:tcPr>
          <w:p w14:paraId="6CB2492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B8A060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4F5F78F"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B26EC8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CPR Invest Global Resources A EUR Acc</w:t>
            </w:r>
          </w:p>
        </w:tc>
        <w:tc>
          <w:tcPr>
            <w:tcW w:w="2005" w:type="dxa"/>
            <w:noWrap/>
            <w:hideMark/>
          </w:tcPr>
          <w:p w14:paraId="4F4D177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B66577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915ED31"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93968E9"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CPR Invest Hydrogen A EUR Acc</w:t>
            </w:r>
          </w:p>
        </w:tc>
        <w:tc>
          <w:tcPr>
            <w:tcW w:w="2005" w:type="dxa"/>
            <w:noWrap/>
            <w:hideMark/>
          </w:tcPr>
          <w:p w14:paraId="6A7A930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303D0AA"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03662B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1761BA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CPR Silver Age P</w:t>
            </w:r>
          </w:p>
        </w:tc>
        <w:tc>
          <w:tcPr>
            <w:tcW w:w="2005" w:type="dxa"/>
            <w:noWrap/>
            <w:hideMark/>
          </w:tcPr>
          <w:p w14:paraId="0B10150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4D782E2"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468CDC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3ABBBE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DBL Avenir Patrimoine</w:t>
            </w:r>
          </w:p>
        </w:tc>
        <w:tc>
          <w:tcPr>
            <w:tcW w:w="2005" w:type="dxa"/>
            <w:noWrap/>
            <w:hideMark/>
          </w:tcPr>
          <w:p w14:paraId="6E53EDD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21D7B6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AC4D9A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CDF261F"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DNCA Actions Euro PME R</w:t>
            </w:r>
          </w:p>
        </w:tc>
        <w:tc>
          <w:tcPr>
            <w:tcW w:w="2005" w:type="dxa"/>
            <w:noWrap/>
            <w:hideMark/>
          </w:tcPr>
          <w:p w14:paraId="47C66BA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BD7E745"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014EB8C"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D9D49B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DNCA Alpha Bonds AFERGE EUR</w:t>
            </w:r>
          </w:p>
        </w:tc>
        <w:tc>
          <w:tcPr>
            <w:tcW w:w="2005" w:type="dxa"/>
            <w:noWrap/>
            <w:hideMark/>
          </w:tcPr>
          <w:p w14:paraId="362245A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402322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4D031B7"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20FDF5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DNCA Invest Alpha Bonds B EUR</w:t>
            </w:r>
          </w:p>
        </w:tc>
        <w:tc>
          <w:tcPr>
            <w:tcW w:w="2005" w:type="dxa"/>
            <w:noWrap/>
            <w:hideMark/>
          </w:tcPr>
          <w:p w14:paraId="75F71C3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9BD0744"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34A3F90"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275186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DNCA Invest ONE A EUR</w:t>
            </w:r>
          </w:p>
        </w:tc>
        <w:tc>
          <w:tcPr>
            <w:tcW w:w="2005" w:type="dxa"/>
            <w:noWrap/>
            <w:hideMark/>
          </w:tcPr>
          <w:p w14:paraId="713718B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A4D069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3CC983E"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AF9428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DNCA Sérénité Plus C</w:t>
            </w:r>
          </w:p>
        </w:tc>
        <w:tc>
          <w:tcPr>
            <w:tcW w:w="2005" w:type="dxa"/>
            <w:noWrap/>
            <w:hideMark/>
          </w:tcPr>
          <w:p w14:paraId="37797A1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292A80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8039B77"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D6FE35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Dorval Convictions RC</w:t>
            </w:r>
          </w:p>
        </w:tc>
        <w:tc>
          <w:tcPr>
            <w:tcW w:w="2005" w:type="dxa"/>
            <w:noWrap/>
            <w:hideMark/>
          </w:tcPr>
          <w:p w14:paraId="1870986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D9B80D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F456991"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4EFA2A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Dorval Global Conservative RC</w:t>
            </w:r>
          </w:p>
        </w:tc>
        <w:tc>
          <w:tcPr>
            <w:tcW w:w="2005" w:type="dxa"/>
            <w:noWrap/>
            <w:hideMark/>
          </w:tcPr>
          <w:p w14:paraId="5840161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BD2770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1AB6D5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88E47E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DPAM B Bonds Eur Govt L Cap</w:t>
            </w:r>
          </w:p>
        </w:tc>
        <w:tc>
          <w:tcPr>
            <w:tcW w:w="2005" w:type="dxa"/>
            <w:noWrap/>
            <w:hideMark/>
          </w:tcPr>
          <w:p w14:paraId="3569EDB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E41A31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42D1BB1"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18C081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DPAM B Eqs NewGems Sust B Cap</w:t>
            </w:r>
          </w:p>
        </w:tc>
        <w:tc>
          <w:tcPr>
            <w:tcW w:w="2005" w:type="dxa"/>
            <w:noWrap/>
            <w:hideMark/>
          </w:tcPr>
          <w:p w14:paraId="141FAD2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949D24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71B0DA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3E7F7D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DWS Concept Kaldemorgen EUR LC</w:t>
            </w:r>
          </w:p>
        </w:tc>
        <w:tc>
          <w:tcPr>
            <w:tcW w:w="2005" w:type="dxa"/>
            <w:noWrap/>
            <w:hideMark/>
          </w:tcPr>
          <w:p w14:paraId="351BDF1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1C76839"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0153A6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96F1D6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DWS Invest Artificial Intllgnc LC</w:t>
            </w:r>
          </w:p>
        </w:tc>
        <w:tc>
          <w:tcPr>
            <w:tcW w:w="2005" w:type="dxa"/>
            <w:noWrap/>
            <w:hideMark/>
          </w:tcPr>
          <w:p w14:paraId="36C795B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17E9F05"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9F604E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E272CF1"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Echiquier Artificial Intelligence B EUR</w:t>
            </w:r>
          </w:p>
        </w:tc>
        <w:tc>
          <w:tcPr>
            <w:tcW w:w="2005" w:type="dxa"/>
            <w:noWrap/>
            <w:hideMark/>
          </w:tcPr>
          <w:p w14:paraId="6FF412B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D8ACB22"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1A740A1"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8675B1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Echiquier Arty SRI A</w:t>
            </w:r>
          </w:p>
        </w:tc>
        <w:tc>
          <w:tcPr>
            <w:tcW w:w="2005" w:type="dxa"/>
            <w:noWrap/>
            <w:hideMark/>
          </w:tcPr>
          <w:p w14:paraId="701DAD3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2E03D89"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09F9B04"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60A9CC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EdR SICAV Financial Bonds A EUR</w:t>
            </w:r>
          </w:p>
        </w:tc>
        <w:tc>
          <w:tcPr>
            <w:tcW w:w="2005" w:type="dxa"/>
            <w:noWrap/>
            <w:hideMark/>
          </w:tcPr>
          <w:p w14:paraId="702C69B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45E4E15"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FA5A97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1639F2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EdR SICAV Millesima 2030 A</w:t>
            </w:r>
          </w:p>
        </w:tc>
        <w:tc>
          <w:tcPr>
            <w:tcW w:w="2005" w:type="dxa"/>
            <w:noWrap/>
            <w:hideMark/>
          </w:tcPr>
          <w:p w14:paraId="55DCD82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A99C82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0E6284A"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8A45C4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EdRF Bond Allocation A EUR Acc</w:t>
            </w:r>
          </w:p>
        </w:tc>
        <w:tc>
          <w:tcPr>
            <w:tcW w:w="2005" w:type="dxa"/>
            <w:noWrap/>
            <w:hideMark/>
          </w:tcPr>
          <w:p w14:paraId="7473D40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5AC832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8A14E6D"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F4A6A8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EdRF Healthcare A EUR</w:t>
            </w:r>
          </w:p>
        </w:tc>
        <w:tc>
          <w:tcPr>
            <w:tcW w:w="2005" w:type="dxa"/>
            <w:noWrap/>
            <w:hideMark/>
          </w:tcPr>
          <w:p w14:paraId="64E5F9C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63C701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62FBDDE"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093B38F"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Eleva Abs Ret Eurp A1 EUR acc</w:t>
            </w:r>
          </w:p>
        </w:tc>
        <w:tc>
          <w:tcPr>
            <w:tcW w:w="2005" w:type="dxa"/>
            <w:noWrap/>
            <w:hideMark/>
          </w:tcPr>
          <w:p w14:paraId="0D5C3A7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8BB4A3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7A5731A"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13DAE9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Eleva Euroland Selection A2 EUR acc</w:t>
            </w:r>
          </w:p>
        </w:tc>
        <w:tc>
          <w:tcPr>
            <w:tcW w:w="2005" w:type="dxa"/>
            <w:noWrap/>
            <w:hideMark/>
          </w:tcPr>
          <w:p w14:paraId="565FEAB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9DF8B61"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41BDA02"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B873C0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Esperluette Privilège C</w:t>
            </w:r>
          </w:p>
        </w:tc>
        <w:tc>
          <w:tcPr>
            <w:tcW w:w="2005" w:type="dxa"/>
            <w:noWrap/>
            <w:hideMark/>
          </w:tcPr>
          <w:p w14:paraId="4E16559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573838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FF2E12E"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3B56C7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Euodia Dynamique A</w:t>
            </w:r>
          </w:p>
        </w:tc>
        <w:tc>
          <w:tcPr>
            <w:tcW w:w="2005" w:type="dxa"/>
            <w:noWrap/>
            <w:hideMark/>
          </w:tcPr>
          <w:p w14:paraId="220FDBE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5E4C9F9"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B8AD49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80ACEA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Eurose C</w:t>
            </w:r>
          </w:p>
        </w:tc>
        <w:tc>
          <w:tcPr>
            <w:tcW w:w="2005" w:type="dxa"/>
            <w:noWrap/>
            <w:hideMark/>
          </w:tcPr>
          <w:p w14:paraId="41A65A5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5C0EC6F"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5250D6D"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98102B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Fidelity Em Mkts A-Acc-EUR H</w:t>
            </w:r>
          </w:p>
        </w:tc>
        <w:tc>
          <w:tcPr>
            <w:tcW w:w="2005" w:type="dxa"/>
            <w:noWrap/>
            <w:hideMark/>
          </w:tcPr>
          <w:p w14:paraId="3552D4F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9E8316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53B3CF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C9E6CA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Fidelity Global Technology A-Acc-EUR</w:t>
            </w:r>
          </w:p>
        </w:tc>
        <w:tc>
          <w:tcPr>
            <w:tcW w:w="2005" w:type="dxa"/>
            <w:noWrap/>
            <w:hideMark/>
          </w:tcPr>
          <w:p w14:paraId="04BB20D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111B9B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BBBE69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28A85E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Fidelity Target™ 2030 A-Acc-EUR</w:t>
            </w:r>
          </w:p>
        </w:tc>
        <w:tc>
          <w:tcPr>
            <w:tcW w:w="2005" w:type="dxa"/>
            <w:noWrap/>
            <w:hideMark/>
          </w:tcPr>
          <w:p w14:paraId="473FAE6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744F4B1"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00FAD8D"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481DA0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Fidelity Target™ 2035 A-Acc-EUR</w:t>
            </w:r>
          </w:p>
        </w:tc>
        <w:tc>
          <w:tcPr>
            <w:tcW w:w="2005" w:type="dxa"/>
            <w:noWrap/>
            <w:hideMark/>
          </w:tcPr>
          <w:p w14:paraId="0497312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B9CAA0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B6BF022"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6E82D4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Fidelity Target™ 2040 A-Acc-EUR</w:t>
            </w:r>
          </w:p>
        </w:tc>
        <w:tc>
          <w:tcPr>
            <w:tcW w:w="2005" w:type="dxa"/>
            <w:noWrap/>
            <w:hideMark/>
          </w:tcPr>
          <w:p w14:paraId="341DF06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266F2B0"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433F67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882C29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Fidelity Target™ 2045 A-Acc-EUR</w:t>
            </w:r>
          </w:p>
        </w:tc>
        <w:tc>
          <w:tcPr>
            <w:tcW w:w="2005" w:type="dxa"/>
            <w:noWrap/>
            <w:hideMark/>
          </w:tcPr>
          <w:p w14:paraId="6B6FFDC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A523CA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279237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C52DB7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Fidelity Target™ 2050 A-Acc-EUR</w:t>
            </w:r>
          </w:p>
        </w:tc>
        <w:tc>
          <w:tcPr>
            <w:tcW w:w="2005" w:type="dxa"/>
            <w:noWrap/>
            <w:hideMark/>
          </w:tcPr>
          <w:p w14:paraId="11BAE79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90E1851"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FEEAFFC"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2E2290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Fidelity Target™ 2055 A-Acc-EUR</w:t>
            </w:r>
          </w:p>
        </w:tc>
        <w:tc>
          <w:tcPr>
            <w:tcW w:w="2005" w:type="dxa"/>
            <w:noWrap/>
            <w:hideMark/>
          </w:tcPr>
          <w:p w14:paraId="094D645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1447690"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CC7D1AA"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8C3328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Fidelity Target™ 2060 A-Acc-EUR</w:t>
            </w:r>
          </w:p>
        </w:tc>
        <w:tc>
          <w:tcPr>
            <w:tcW w:w="2005" w:type="dxa"/>
            <w:noWrap/>
            <w:hideMark/>
          </w:tcPr>
          <w:p w14:paraId="4375979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3A08A2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A85207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03B713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First Eagle Amundi Resilient Eq AE-C</w:t>
            </w:r>
          </w:p>
        </w:tc>
        <w:tc>
          <w:tcPr>
            <w:tcW w:w="2005" w:type="dxa"/>
            <w:noWrap/>
            <w:hideMark/>
          </w:tcPr>
          <w:p w14:paraId="7373FC3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E79031A"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0E0B37E"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7529A8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Flornoy Convictions V</w:t>
            </w:r>
          </w:p>
        </w:tc>
        <w:tc>
          <w:tcPr>
            <w:tcW w:w="2005" w:type="dxa"/>
            <w:noWrap/>
            <w:hideMark/>
          </w:tcPr>
          <w:p w14:paraId="46FEF7E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65BBE6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378E06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F458EB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Flornoy Valeurs Familiales V</w:t>
            </w:r>
          </w:p>
        </w:tc>
        <w:tc>
          <w:tcPr>
            <w:tcW w:w="2005" w:type="dxa"/>
            <w:noWrap/>
            <w:hideMark/>
          </w:tcPr>
          <w:p w14:paraId="7A81886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B0AC94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8A43230"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E261AD3"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Gay-Lussac Microcaps Europe A FCP</w:t>
            </w:r>
          </w:p>
        </w:tc>
        <w:tc>
          <w:tcPr>
            <w:tcW w:w="2005" w:type="dxa"/>
            <w:noWrap/>
            <w:hideMark/>
          </w:tcPr>
          <w:p w14:paraId="46E0041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9BECD0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7D9064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BD2CF4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Génération Alpha C</w:t>
            </w:r>
          </w:p>
        </w:tc>
        <w:tc>
          <w:tcPr>
            <w:tcW w:w="2005" w:type="dxa"/>
            <w:noWrap/>
            <w:hideMark/>
          </w:tcPr>
          <w:p w14:paraId="516779F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C9B9489"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7CC4647"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2B10F9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Generation EVO C</w:t>
            </w:r>
          </w:p>
        </w:tc>
        <w:tc>
          <w:tcPr>
            <w:tcW w:w="2005" w:type="dxa"/>
            <w:noWrap/>
            <w:hideMark/>
          </w:tcPr>
          <w:p w14:paraId="0DB0398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7A70F7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79E10D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5F9672B"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GS Patrimonial Aggr-P Cap EUR</w:t>
            </w:r>
          </w:p>
        </w:tc>
        <w:tc>
          <w:tcPr>
            <w:tcW w:w="2005" w:type="dxa"/>
            <w:noWrap/>
            <w:hideMark/>
          </w:tcPr>
          <w:p w14:paraId="0BF7ACA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98E4B81"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F09BDD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3C4F15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GS Patrimonial Balanced-P Cap EUR</w:t>
            </w:r>
          </w:p>
        </w:tc>
        <w:tc>
          <w:tcPr>
            <w:tcW w:w="2005" w:type="dxa"/>
            <w:noWrap/>
            <w:hideMark/>
          </w:tcPr>
          <w:p w14:paraId="456B89B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683B9F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2F3658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E8B122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Hegoa RC EUR</w:t>
            </w:r>
          </w:p>
        </w:tc>
        <w:tc>
          <w:tcPr>
            <w:tcW w:w="2005" w:type="dxa"/>
            <w:noWrap/>
            <w:hideMark/>
          </w:tcPr>
          <w:p w14:paraId="38447D3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E2012C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681E130"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FA8F1E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Helium Fund Selection B-EUR</w:t>
            </w:r>
          </w:p>
        </w:tc>
        <w:tc>
          <w:tcPr>
            <w:tcW w:w="2005" w:type="dxa"/>
            <w:noWrap/>
            <w:hideMark/>
          </w:tcPr>
          <w:p w14:paraId="3F5655A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3908B1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F7D177C"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CFADD1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Indépendance AM Europe Small A (C)</w:t>
            </w:r>
          </w:p>
        </w:tc>
        <w:tc>
          <w:tcPr>
            <w:tcW w:w="2005" w:type="dxa"/>
            <w:noWrap/>
            <w:hideMark/>
          </w:tcPr>
          <w:p w14:paraId="1EFFBA0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00B36D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B35B8F1"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704D47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Invesco Euro Bond E EUR Acc</w:t>
            </w:r>
          </w:p>
        </w:tc>
        <w:tc>
          <w:tcPr>
            <w:tcW w:w="2005" w:type="dxa"/>
            <w:noWrap/>
            <w:hideMark/>
          </w:tcPr>
          <w:p w14:paraId="5F58784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CA9D66C"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943203C"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F3860A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Invesco Euro Bond Fund Z Acc EUR</w:t>
            </w:r>
          </w:p>
        </w:tc>
        <w:tc>
          <w:tcPr>
            <w:tcW w:w="2005" w:type="dxa"/>
            <w:noWrap/>
            <w:hideMark/>
          </w:tcPr>
          <w:p w14:paraId="00E0019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A903601"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A93BB8A"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08E54F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Invesco Pan European Hi Inc A EUR Acc</w:t>
            </w:r>
          </w:p>
        </w:tc>
        <w:tc>
          <w:tcPr>
            <w:tcW w:w="2005" w:type="dxa"/>
            <w:noWrap/>
            <w:hideMark/>
          </w:tcPr>
          <w:p w14:paraId="4F5F6AC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FD1FC4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9747272"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3574E1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IVO Emerg Mrts Corp Debt EUR R Acc</w:t>
            </w:r>
          </w:p>
        </w:tc>
        <w:tc>
          <w:tcPr>
            <w:tcW w:w="2005" w:type="dxa"/>
            <w:noWrap/>
            <w:hideMark/>
          </w:tcPr>
          <w:p w14:paraId="775B978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97DE02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5C7F39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2D9438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JPM America Equity A (acc) EUR</w:t>
            </w:r>
          </w:p>
        </w:tc>
        <w:tc>
          <w:tcPr>
            <w:tcW w:w="2005" w:type="dxa"/>
            <w:noWrap/>
            <w:hideMark/>
          </w:tcPr>
          <w:p w14:paraId="44011B3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B9AA811"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D0D037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74B019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JPM America Equity A (acc) EURH</w:t>
            </w:r>
          </w:p>
        </w:tc>
        <w:tc>
          <w:tcPr>
            <w:tcW w:w="2005" w:type="dxa"/>
            <w:noWrap/>
            <w:hideMark/>
          </w:tcPr>
          <w:p w14:paraId="0387CB9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92B3D8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72E54D7"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7798C9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JPM China A-Share Opps A (acc) EUR</w:t>
            </w:r>
          </w:p>
        </w:tc>
        <w:tc>
          <w:tcPr>
            <w:tcW w:w="2005" w:type="dxa"/>
            <w:noWrap/>
            <w:hideMark/>
          </w:tcPr>
          <w:p w14:paraId="6D12E6C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61F799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AE50FF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0A2EE2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JPM Euroland Dynamic A perf (acc) EUR</w:t>
            </w:r>
          </w:p>
        </w:tc>
        <w:tc>
          <w:tcPr>
            <w:tcW w:w="2005" w:type="dxa"/>
            <w:noWrap/>
            <w:hideMark/>
          </w:tcPr>
          <w:p w14:paraId="2596D2B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8740B55"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087B8DF"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1CC0CE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JPM Global Corp Bd A (acc) EUR H</w:t>
            </w:r>
          </w:p>
        </w:tc>
        <w:tc>
          <w:tcPr>
            <w:tcW w:w="2005" w:type="dxa"/>
            <w:noWrap/>
            <w:hideMark/>
          </w:tcPr>
          <w:p w14:paraId="5C17646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D3118A4"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6E360A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C00611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JPM Global Government Bond D (acc) EUR</w:t>
            </w:r>
          </w:p>
        </w:tc>
        <w:tc>
          <w:tcPr>
            <w:tcW w:w="2005" w:type="dxa"/>
            <w:noWrap/>
            <w:hideMark/>
          </w:tcPr>
          <w:p w14:paraId="759917C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274FFF2"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F8AF0A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03FA69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JPM Global Select Equity A (acc) EUR</w:t>
            </w:r>
          </w:p>
        </w:tc>
        <w:tc>
          <w:tcPr>
            <w:tcW w:w="2005" w:type="dxa"/>
            <w:noWrap/>
            <w:hideMark/>
          </w:tcPr>
          <w:p w14:paraId="24E6B9D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786E141"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D8BB2A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352161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Keren Corporate C</w:t>
            </w:r>
          </w:p>
        </w:tc>
        <w:tc>
          <w:tcPr>
            <w:tcW w:w="2005" w:type="dxa"/>
            <w:noWrap/>
            <w:hideMark/>
          </w:tcPr>
          <w:p w14:paraId="4F269DF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0DF8EB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C7C29E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260014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Keren Essentiels C</w:t>
            </w:r>
          </w:p>
        </w:tc>
        <w:tc>
          <w:tcPr>
            <w:tcW w:w="2005" w:type="dxa"/>
            <w:noWrap/>
            <w:hideMark/>
          </w:tcPr>
          <w:p w14:paraId="281D8E0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170FA5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B7213CF"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26EE18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Keren Patrimoine C</w:t>
            </w:r>
          </w:p>
        </w:tc>
        <w:tc>
          <w:tcPr>
            <w:tcW w:w="2005" w:type="dxa"/>
            <w:noWrap/>
            <w:hideMark/>
          </w:tcPr>
          <w:p w14:paraId="42CF2FF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84A7DC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640B7FF"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BDF63A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KS Quant Return C</w:t>
            </w:r>
          </w:p>
        </w:tc>
        <w:tc>
          <w:tcPr>
            <w:tcW w:w="2005" w:type="dxa"/>
            <w:noWrap/>
            <w:hideMark/>
          </w:tcPr>
          <w:p w14:paraId="44003DA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EF30C8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CC8C92F"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DDAF44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Lazard Credit Opportunities RC EUR</w:t>
            </w:r>
          </w:p>
        </w:tc>
        <w:tc>
          <w:tcPr>
            <w:tcW w:w="2005" w:type="dxa"/>
            <w:noWrap/>
            <w:hideMark/>
          </w:tcPr>
          <w:p w14:paraId="53D935D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C03956A"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D33D927"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91E85A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Lazard High Yield 2029 RC EUR</w:t>
            </w:r>
          </w:p>
        </w:tc>
        <w:tc>
          <w:tcPr>
            <w:tcW w:w="2005" w:type="dxa"/>
            <w:noWrap/>
            <w:hideMark/>
          </w:tcPr>
          <w:p w14:paraId="12FA6BB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21454AA"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087CAFE"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48330B1"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Lazard Patrimoine Opport SRI RC EUR</w:t>
            </w:r>
          </w:p>
        </w:tc>
        <w:tc>
          <w:tcPr>
            <w:tcW w:w="2005" w:type="dxa"/>
            <w:noWrap/>
            <w:hideMark/>
          </w:tcPr>
          <w:p w14:paraId="07EFB58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9E34E8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100B5F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3513453"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Lazard Patrimoine SRI RC EUR</w:t>
            </w:r>
          </w:p>
        </w:tc>
        <w:tc>
          <w:tcPr>
            <w:tcW w:w="2005" w:type="dxa"/>
            <w:noWrap/>
            <w:hideMark/>
          </w:tcPr>
          <w:p w14:paraId="5D51101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D0FF7BC"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0493BEE"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48D08F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Lazard Small Caps Euro R</w:t>
            </w:r>
          </w:p>
        </w:tc>
        <w:tc>
          <w:tcPr>
            <w:tcW w:w="2005" w:type="dxa"/>
            <w:noWrap/>
            <w:hideMark/>
          </w:tcPr>
          <w:p w14:paraId="719D5D4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F4BE7D0"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89FAED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103CCF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LF Philosoph 2A C</w:t>
            </w:r>
          </w:p>
        </w:tc>
        <w:tc>
          <w:tcPr>
            <w:tcW w:w="2005" w:type="dxa"/>
            <w:noWrap/>
            <w:hideMark/>
          </w:tcPr>
          <w:p w14:paraId="59DA1B0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D34011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E08CB3D"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269B13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LO Funds All Roads Conservative EUR PA</w:t>
            </w:r>
          </w:p>
        </w:tc>
        <w:tc>
          <w:tcPr>
            <w:tcW w:w="2005" w:type="dxa"/>
            <w:noWrap/>
            <w:hideMark/>
          </w:tcPr>
          <w:p w14:paraId="5BC12EF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DA05C3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F1B9CA2"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154F0A9"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M&amp;G (Lux) Asian A EUR Acc</w:t>
            </w:r>
          </w:p>
        </w:tc>
        <w:tc>
          <w:tcPr>
            <w:tcW w:w="2005" w:type="dxa"/>
            <w:noWrap/>
            <w:hideMark/>
          </w:tcPr>
          <w:p w14:paraId="02A135F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51F5F02"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BFF4E4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C6ADA86"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M&amp;G (Lux) Eurp Strat Val A EUR Acc</w:t>
            </w:r>
          </w:p>
        </w:tc>
        <w:tc>
          <w:tcPr>
            <w:tcW w:w="2005" w:type="dxa"/>
            <w:noWrap/>
            <w:hideMark/>
          </w:tcPr>
          <w:p w14:paraId="0A4E33A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4D4614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F8CC06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5BEA9E7"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M&amp;G (Lux) Glb Dividend A EUR Acc</w:t>
            </w:r>
          </w:p>
        </w:tc>
        <w:tc>
          <w:tcPr>
            <w:tcW w:w="2005" w:type="dxa"/>
            <w:noWrap/>
            <w:hideMark/>
          </w:tcPr>
          <w:p w14:paraId="5E88E55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7FADAD9"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2A4AC9F"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27F22B6"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M&amp;G (Lux) Global Listed Infras A EUR Acc</w:t>
            </w:r>
          </w:p>
        </w:tc>
        <w:tc>
          <w:tcPr>
            <w:tcW w:w="2005" w:type="dxa"/>
            <w:noWrap/>
            <w:hideMark/>
          </w:tcPr>
          <w:p w14:paraId="0263568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409268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DAA88F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254EC7C"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M&amp;G (Lux) Japan A EUR Acc</w:t>
            </w:r>
          </w:p>
        </w:tc>
        <w:tc>
          <w:tcPr>
            <w:tcW w:w="2005" w:type="dxa"/>
            <w:noWrap/>
            <w:hideMark/>
          </w:tcPr>
          <w:p w14:paraId="0F00FD7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8AB2A1A"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E173D5D"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C9A077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M&amp;G (Lux) Optimal Income A EUR Acc</w:t>
            </w:r>
          </w:p>
        </w:tc>
        <w:tc>
          <w:tcPr>
            <w:tcW w:w="2005" w:type="dxa"/>
            <w:noWrap/>
            <w:hideMark/>
          </w:tcPr>
          <w:p w14:paraId="7C1CD1D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3391EE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97B112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14E83D9"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Mandarine Europe Microcap R EUR</w:t>
            </w:r>
          </w:p>
        </w:tc>
        <w:tc>
          <w:tcPr>
            <w:tcW w:w="2005" w:type="dxa"/>
            <w:noWrap/>
            <w:hideMark/>
          </w:tcPr>
          <w:p w14:paraId="1C2504E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FFCC36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16364B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D1C011E"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Mandarine Unique S&amp;M Caps Europe R EUR</w:t>
            </w:r>
          </w:p>
        </w:tc>
        <w:tc>
          <w:tcPr>
            <w:tcW w:w="2005" w:type="dxa"/>
            <w:noWrap/>
            <w:hideMark/>
          </w:tcPr>
          <w:p w14:paraId="6663DC0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5F93CE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EE0E524"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4C35BB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Moneta Long Short A</w:t>
            </w:r>
          </w:p>
        </w:tc>
        <w:tc>
          <w:tcPr>
            <w:tcW w:w="2005" w:type="dxa"/>
            <w:noWrap/>
            <w:hideMark/>
          </w:tcPr>
          <w:p w14:paraId="65A13EF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39BF03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5A26C71"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327151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Moneta Multi Caps C</w:t>
            </w:r>
          </w:p>
        </w:tc>
        <w:tc>
          <w:tcPr>
            <w:tcW w:w="2005" w:type="dxa"/>
            <w:noWrap/>
            <w:hideMark/>
          </w:tcPr>
          <w:p w14:paraId="3D6054A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1990C8A"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05B699E"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DEF7AA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Muzinich Europeyield HEUR Acc A</w:t>
            </w:r>
          </w:p>
        </w:tc>
        <w:tc>
          <w:tcPr>
            <w:tcW w:w="2005" w:type="dxa"/>
            <w:noWrap/>
            <w:hideMark/>
          </w:tcPr>
          <w:p w14:paraId="7740877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1DA273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782C1CD"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E51D41B" w14:textId="77777777" w:rsidR="00205B2F" w:rsidRPr="00A74D23" w:rsidRDefault="00205B2F" w:rsidP="009D6EE5">
            <w:pPr>
              <w:spacing w:line="22" w:lineRule="atLeast"/>
              <w:jc w:val="both"/>
              <w:rPr>
                <w:rFonts w:asciiTheme="minorHAnsi" w:hAnsiTheme="minorHAnsi" w:cs="Open Sans"/>
                <w:color w:val="000000"/>
                <w:lang w:val="de-DE"/>
              </w:rPr>
            </w:pPr>
            <w:r w:rsidRPr="00A74D23">
              <w:rPr>
                <w:rFonts w:asciiTheme="minorHAnsi" w:hAnsiTheme="minorHAnsi" w:cs="Open Sans"/>
                <w:color w:val="000000"/>
                <w:lang w:val="de-DE"/>
              </w:rPr>
              <w:t xml:space="preserve"> Neuberger Berman Glb Eq Mgtrnd EUR</w:t>
            </w:r>
          </w:p>
        </w:tc>
        <w:tc>
          <w:tcPr>
            <w:tcW w:w="2005" w:type="dxa"/>
            <w:noWrap/>
            <w:hideMark/>
          </w:tcPr>
          <w:p w14:paraId="4442CDB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AB8AFBC"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91F44FE"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FA6A03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Norden SRI</w:t>
            </w:r>
          </w:p>
        </w:tc>
        <w:tc>
          <w:tcPr>
            <w:tcW w:w="2005" w:type="dxa"/>
            <w:noWrap/>
            <w:hideMark/>
          </w:tcPr>
          <w:p w14:paraId="365D0C9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827BC24"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A3A7F97"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13D717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Oddo BHF Euro Credit Short Dur CR-EUR</w:t>
            </w:r>
          </w:p>
        </w:tc>
        <w:tc>
          <w:tcPr>
            <w:tcW w:w="2005" w:type="dxa"/>
            <w:noWrap/>
            <w:hideMark/>
          </w:tcPr>
          <w:p w14:paraId="2D3793A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9BE15A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76993F2"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85D8B6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Oddo BHF Exklusiv:PolarisBalCR-EUR</w:t>
            </w:r>
          </w:p>
        </w:tc>
        <w:tc>
          <w:tcPr>
            <w:tcW w:w="2005" w:type="dxa"/>
            <w:noWrap/>
            <w:hideMark/>
          </w:tcPr>
          <w:p w14:paraId="67BA864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59406B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C527D6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3A2372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Oddo BHF Exklusiv:PolarisDynamicCR-EUR</w:t>
            </w:r>
          </w:p>
        </w:tc>
        <w:tc>
          <w:tcPr>
            <w:tcW w:w="2005" w:type="dxa"/>
            <w:noWrap/>
            <w:hideMark/>
          </w:tcPr>
          <w:p w14:paraId="112BBA3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588A2B2"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AD30E9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DE3D52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Oddo BHF Polaris Flexible CR EUR</w:t>
            </w:r>
          </w:p>
        </w:tc>
        <w:tc>
          <w:tcPr>
            <w:tcW w:w="2005" w:type="dxa"/>
            <w:noWrap/>
            <w:hideMark/>
          </w:tcPr>
          <w:p w14:paraId="2876182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12FB6AC"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5D67867"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FD5FD4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Oddo BHF Polaris Moderate CR EUR</w:t>
            </w:r>
          </w:p>
        </w:tc>
        <w:tc>
          <w:tcPr>
            <w:tcW w:w="2005" w:type="dxa"/>
            <w:noWrap/>
            <w:hideMark/>
          </w:tcPr>
          <w:p w14:paraId="0F62825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6BCA470"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E7FC79E"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719B7C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ODDO Euro Credit Short Duration CI-EUR</w:t>
            </w:r>
          </w:p>
        </w:tc>
        <w:tc>
          <w:tcPr>
            <w:tcW w:w="2005" w:type="dxa"/>
            <w:noWrap/>
            <w:hideMark/>
          </w:tcPr>
          <w:p w14:paraId="30AC8D7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CE1E0E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DFD471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89CEE2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ODDO Génération CI-EUR</w:t>
            </w:r>
          </w:p>
        </w:tc>
        <w:tc>
          <w:tcPr>
            <w:tcW w:w="2005" w:type="dxa"/>
            <w:noWrap/>
            <w:hideMark/>
          </w:tcPr>
          <w:p w14:paraId="276871C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93E444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07E7A5A"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F28A695" w14:textId="1660617F"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w:t>
            </w:r>
            <w:r w:rsidR="00495330" w:rsidRPr="00A74D23">
              <w:rPr>
                <w:rFonts w:asciiTheme="minorHAnsi" w:hAnsiTheme="minorHAnsi" w:cs="Open Sans"/>
                <w:color w:val="000000"/>
                <w:lang w:val="fr-FR"/>
              </w:rPr>
              <w:t>Ofi</w:t>
            </w:r>
            <w:r w:rsidRPr="00A74D23">
              <w:rPr>
                <w:rFonts w:asciiTheme="minorHAnsi" w:hAnsiTheme="minorHAnsi" w:cs="Open Sans"/>
                <w:color w:val="000000"/>
                <w:lang w:val="fr-FR"/>
              </w:rPr>
              <w:t xml:space="preserve"> Invest Actions Euro A</w:t>
            </w:r>
          </w:p>
        </w:tc>
        <w:tc>
          <w:tcPr>
            <w:tcW w:w="2005" w:type="dxa"/>
            <w:noWrap/>
            <w:hideMark/>
          </w:tcPr>
          <w:p w14:paraId="558BA4C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ACC499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4CE6902"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D9F25F3" w14:textId="4382CA0A"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w:t>
            </w:r>
            <w:r w:rsidR="00495330" w:rsidRPr="00A74D23">
              <w:rPr>
                <w:rFonts w:asciiTheme="minorHAnsi" w:hAnsiTheme="minorHAnsi" w:cs="Open Sans"/>
                <w:color w:val="000000"/>
                <w:lang w:val="fr-FR"/>
              </w:rPr>
              <w:t>Ofi</w:t>
            </w:r>
            <w:r w:rsidRPr="00A74D23">
              <w:rPr>
                <w:rFonts w:asciiTheme="minorHAnsi" w:hAnsiTheme="minorHAnsi" w:cs="Open Sans"/>
                <w:color w:val="000000"/>
                <w:lang w:val="fr-FR"/>
              </w:rPr>
              <w:t xml:space="preserve"> Invest Actions Japon AH</w:t>
            </w:r>
          </w:p>
        </w:tc>
        <w:tc>
          <w:tcPr>
            <w:tcW w:w="2005" w:type="dxa"/>
            <w:noWrap/>
            <w:hideMark/>
          </w:tcPr>
          <w:p w14:paraId="6D7FCC4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4B7BC1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A30B7B7"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A04E3B6" w14:textId="558F1773"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w:t>
            </w:r>
            <w:r w:rsidR="00495330" w:rsidRPr="00A74D23">
              <w:rPr>
                <w:rFonts w:asciiTheme="minorHAnsi" w:hAnsiTheme="minorHAnsi" w:cs="Open Sans"/>
                <w:color w:val="000000"/>
              </w:rPr>
              <w:t>Ofi</w:t>
            </w:r>
            <w:r w:rsidRPr="00A74D23">
              <w:rPr>
                <w:rFonts w:asciiTheme="minorHAnsi" w:hAnsiTheme="minorHAnsi" w:cs="Open Sans"/>
                <w:color w:val="000000"/>
              </w:rPr>
              <w:t xml:space="preserve"> Invest Alpha Yield C</w:t>
            </w:r>
          </w:p>
        </w:tc>
        <w:tc>
          <w:tcPr>
            <w:tcW w:w="2005" w:type="dxa"/>
            <w:noWrap/>
            <w:hideMark/>
          </w:tcPr>
          <w:p w14:paraId="58A09D1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92B1039"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7B6DF4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DA04702" w14:textId="6824FC51"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w:t>
            </w:r>
            <w:r w:rsidR="00495330" w:rsidRPr="00A74D23">
              <w:rPr>
                <w:rFonts w:asciiTheme="minorHAnsi" w:hAnsiTheme="minorHAnsi" w:cs="Open Sans"/>
                <w:color w:val="000000"/>
              </w:rPr>
              <w:t>Ofi</w:t>
            </w:r>
            <w:r w:rsidRPr="00A74D23">
              <w:rPr>
                <w:rFonts w:asciiTheme="minorHAnsi" w:hAnsiTheme="minorHAnsi" w:cs="Open Sans"/>
                <w:color w:val="000000"/>
              </w:rPr>
              <w:t xml:space="preserve"> Invest Biodiversity Global Equity R</w:t>
            </w:r>
          </w:p>
        </w:tc>
        <w:tc>
          <w:tcPr>
            <w:tcW w:w="2005" w:type="dxa"/>
            <w:noWrap/>
            <w:hideMark/>
          </w:tcPr>
          <w:p w14:paraId="08D11BF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278D8A9"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41A42B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E7DF816" w14:textId="42302BF5"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w:t>
            </w:r>
            <w:r w:rsidR="00495330" w:rsidRPr="00A74D23">
              <w:rPr>
                <w:rFonts w:asciiTheme="minorHAnsi" w:hAnsiTheme="minorHAnsi" w:cs="Open Sans"/>
                <w:color w:val="000000"/>
              </w:rPr>
              <w:t>Ofi</w:t>
            </w:r>
            <w:r w:rsidRPr="00A74D23">
              <w:rPr>
                <w:rFonts w:asciiTheme="minorHAnsi" w:hAnsiTheme="minorHAnsi" w:cs="Open Sans"/>
                <w:color w:val="000000"/>
              </w:rPr>
              <w:t xml:space="preserve"> Invest Convertibles Monde</w:t>
            </w:r>
          </w:p>
        </w:tc>
        <w:tc>
          <w:tcPr>
            <w:tcW w:w="2005" w:type="dxa"/>
            <w:noWrap/>
            <w:hideMark/>
          </w:tcPr>
          <w:p w14:paraId="21A3582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2E05B82"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11C89BC"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EDCCFEE" w14:textId="756134A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w:t>
            </w:r>
            <w:r w:rsidR="00495330" w:rsidRPr="00A74D23">
              <w:rPr>
                <w:rFonts w:asciiTheme="minorHAnsi" w:hAnsiTheme="minorHAnsi" w:cs="Open Sans"/>
                <w:color w:val="000000"/>
              </w:rPr>
              <w:t>Ofi</w:t>
            </w:r>
            <w:r w:rsidRPr="00A74D23">
              <w:rPr>
                <w:rFonts w:asciiTheme="minorHAnsi" w:hAnsiTheme="minorHAnsi" w:cs="Open Sans"/>
                <w:color w:val="000000"/>
              </w:rPr>
              <w:t xml:space="preserve"> Invest Energy Strategic Metals R</w:t>
            </w:r>
          </w:p>
        </w:tc>
        <w:tc>
          <w:tcPr>
            <w:tcW w:w="2005" w:type="dxa"/>
            <w:noWrap/>
            <w:hideMark/>
          </w:tcPr>
          <w:p w14:paraId="7821C71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75C577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4235814"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AF6C68A" w14:textId="5559019A"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w:t>
            </w:r>
            <w:r w:rsidR="00495330" w:rsidRPr="00A74D23">
              <w:rPr>
                <w:rFonts w:asciiTheme="minorHAnsi" w:hAnsiTheme="minorHAnsi" w:cs="Open Sans"/>
                <w:color w:val="000000"/>
                <w:lang w:val="fr-FR"/>
              </w:rPr>
              <w:t>Ofi</w:t>
            </w:r>
            <w:r w:rsidRPr="00A74D23">
              <w:rPr>
                <w:rFonts w:asciiTheme="minorHAnsi" w:hAnsiTheme="minorHAnsi" w:cs="Open Sans"/>
                <w:color w:val="000000"/>
                <w:lang w:val="fr-FR"/>
              </w:rPr>
              <w:t xml:space="preserve"> Invest ESG Actns Clmt Eurp A EURAcc</w:t>
            </w:r>
          </w:p>
        </w:tc>
        <w:tc>
          <w:tcPr>
            <w:tcW w:w="2005" w:type="dxa"/>
            <w:noWrap/>
            <w:hideMark/>
          </w:tcPr>
          <w:p w14:paraId="782B7CB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4724DD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C953C8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44043B7" w14:textId="47158F63"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w:t>
            </w:r>
            <w:r w:rsidR="00495330" w:rsidRPr="00A74D23">
              <w:rPr>
                <w:rFonts w:asciiTheme="minorHAnsi" w:hAnsiTheme="minorHAnsi" w:cs="Open Sans"/>
                <w:color w:val="000000"/>
                <w:lang w:val="fr-FR"/>
              </w:rPr>
              <w:t>Ofi</w:t>
            </w:r>
            <w:r w:rsidRPr="00A74D23">
              <w:rPr>
                <w:rFonts w:asciiTheme="minorHAnsi" w:hAnsiTheme="minorHAnsi" w:cs="Open Sans"/>
                <w:color w:val="000000"/>
                <w:lang w:val="fr-FR"/>
              </w:rPr>
              <w:t xml:space="preserve"> Invest ESG Actns Clmt EurpAFERClInc</w:t>
            </w:r>
          </w:p>
        </w:tc>
        <w:tc>
          <w:tcPr>
            <w:tcW w:w="2005" w:type="dxa"/>
            <w:noWrap/>
            <w:hideMark/>
          </w:tcPr>
          <w:p w14:paraId="2072855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2E82FD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0213F3F"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6841D50" w14:textId="79C340E1"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w:t>
            </w:r>
            <w:r w:rsidR="00495330" w:rsidRPr="00A74D23">
              <w:rPr>
                <w:rFonts w:asciiTheme="minorHAnsi" w:hAnsiTheme="minorHAnsi" w:cs="Open Sans"/>
                <w:color w:val="000000"/>
                <w:lang w:val="fr-FR"/>
              </w:rPr>
              <w:t>Ofi</w:t>
            </w:r>
            <w:r w:rsidRPr="00A74D23">
              <w:rPr>
                <w:rFonts w:asciiTheme="minorHAnsi" w:hAnsiTheme="minorHAnsi" w:cs="Open Sans"/>
                <w:color w:val="000000"/>
                <w:lang w:val="fr-FR"/>
              </w:rPr>
              <w:t xml:space="preserve"> Invest ESG Crédit Bonds Euro 1-3 R</w:t>
            </w:r>
          </w:p>
        </w:tc>
        <w:tc>
          <w:tcPr>
            <w:tcW w:w="2005" w:type="dxa"/>
            <w:noWrap/>
            <w:hideMark/>
          </w:tcPr>
          <w:p w14:paraId="7565869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95CDDF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080D3FA"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950FB7B" w14:textId="686B268B"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w:t>
            </w:r>
            <w:r w:rsidR="00495330" w:rsidRPr="00A74D23">
              <w:rPr>
                <w:rFonts w:asciiTheme="minorHAnsi" w:hAnsiTheme="minorHAnsi" w:cs="Open Sans"/>
                <w:color w:val="000000"/>
                <w:lang w:val="fr-FR"/>
              </w:rPr>
              <w:t>Ofi</w:t>
            </w:r>
            <w:r w:rsidRPr="00A74D23">
              <w:rPr>
                <w:rFonts w:asciiTheme="minorHAnsi" w:hAnsiTheme="minorHAnsi" w:cs="Open Sans"/>
                <w:color w:val="000000"/>
                <w:lang w:val="fr-FR"/>
              </w:rPr>
              <w:t xml:space="preserve"> Invest ESG Liquidités A</w:t>
            </w:r>
          </w:p>
        </w:tc>
        <w:tc>
          <w:tcPr>
            <w:tcW w:w="2005" w:type="dxa"/>
            <w:noWrap/>
            <w:hideMark/>
          </w:tcPr>
          <w:p w14:paraId="12CC797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9E3CFA1"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ABD143F"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2BE667E" w14:textId="6A4CBEE6"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w:t>
            </w:r>
            <w:r w:rsidR="00495330" w:rsidRPr="00A74D23">
              <w:rPr>
                <w:rFonts w:asciiTheme="minorHAnsi" w:hAnsiTheme="minorHAnsi" w:cs="Open Sans"/>
                <w:color w:val="000000"/>
              </w:rPr>
              <w:t>Ofi</w:t>
            </w:r>
            <w:r w:rsidRPr="00A74D23">
              <w:rPr>
                <w:rFonts w:asciiTheme="minorHAnsi" w:hAnsiTheme="minorHAnsi" w:cs="Open Sans"/>
                <w:color w:val="000000"/>
              </w:rPr>
              <w:t xml:space="preserve"> Invest ESG Mid Caps Euro A</w:t>
            </w:r>
          </w:p>
        </w:tc>
        <w:tc>
          <w:tcPr>
            <w:tcW w:w="2005" w:type="dxa"/>
            <w:noWrap/>
            <w:hideMark/>
          </w:tcPr>
          <w:p w14:paraId="2D6EACB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481057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3A1185A"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62FE566" w14:textId="66181E7A"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w:t>
            </w:r>
            <w:r w:rsidR="00495330" w:rsidRPr="00A74D23">
              <w:rPr>
                <w:rFonts w:asciiTheme="minorHAnsi" w:hAnsiTheme="minorHAnsi" w:cs="Open Sans"/>
                <w:color w:val="000000"/>
                <w:lang w:val="fr-FR"/>
              </w:rPr>
              <w:t>Ofi</w:t>
            </w:r>
            <w:r w:rsidRPr="00A74D23">
              <w:rPr>
                <w:rFonts w:asciiTheme="minorHAnsi" w:hAnsiTheme="minorHAnsi" w:cs="Open Sans"/>
                <w:color w:val="000000"/>
                <w:lang w:val="fr-FR"/>
              </w:rPr>
              <w:t xml:space="preserve"> Invest ESG MultiTrack R</w:t>
            </w:r>
          </w:p>
        </w:tc>
        <w:tc>
          <w:tcPr>
            <w:tcW w:w="2005" w:type="dxa"/>
            <w:noWrap/>
            <w:hideMark/>
          </w:tcPr>
          <w:p w14:paraId="0680567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800AED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4BB8CF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A1B6DF8" w14:textId="6FB7453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w:t>
            </w:r>
            <w:r w:rsidR="00495330" w:rsidRPr="00A74D23">
              <w:rPr>
                <w:rFonts w:asciiTheme="minorHAnsi" w:hAnsiTheme="minorHAnsi" w:cs="Open Sans"/>
                <w:color w:val="000000"/>
              </w:rPr>
              <w:t>Ofi</w:t>
            </w:r>
            <w:r w:rsidRPr="00A74D23">
              <w:rPr>
                <w:rFonts w:asciiTheme="minorHAnsi" w:hAnsiTheme="minorHAnsi" w:cs="Open Sans"/>
                <w:color w:val="000000"/>
              </w:rPr>
              <w:t xml:space="preserve"> Invest Euro High Yield R</w:t>
            </w:r>
          </w:p>
        </w:tc>
        <w:tc>
          <w:tcPr>
            <w:tcW w:w="2005" w:type="dxa"/>
            <w:noWrap/>
            <w:hideMark/>
          </w:tcPr>
          <w:p w14:paraId="59568A3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3652B6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D3FCED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3EFB194" w14:textId="1873D439"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w:t>
            </w:r>
            <w:r w:rsidR="00495330" w:rsidRPr="00A74D23">
              <w:rPr>
                <w:rFonts w:asciiTheme="minorHAnsi" w:hAnsiTheme="minorHAnsi" w:cs="Open Sans"/>
                <w:color w:val="000000"/>
              </w:rPr>
              <w:t>Ofi</w:t>
            </w:r>
            <w:r w:rsidRPr="00A74D23">
              <w:rPr>
                <w:rFonts w:asciiTheme="minorHAnsi" w:hAnsiTheme="minorHAnsi" w:cs="Open Sans"/>
                <w:color w:val="000000"/>
              </w:rPr>
              <w:t xml:space="preserve"> Invest Global Sovereign Bonds A</w:t>
            </w:r>
          </w:p>
        </w:tc>
        <w:tc>
          <w:tcPr>
            <w:tcW w:w="2005" w:type="dxa"/>
            <w:noWrap/>
            <w:hideMark/>
          </w:tcPr>
          <w:p w14:paraId="6D7C44B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5E1147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B3EB8E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0484F61" w14:textId="7A6F4283"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w:t>
            </w:r>
            <w:r w:rsidR="00495330" w:rsidRPr="00A74D23">
              <w:rPr>
                <w:rFonts w:asciiTheme="minorHAnsi" w:hAnsiTheme="minorHAnsi" w:cs="Open Sans"/>
                <w:color w:val="000000"/>
                <w:lang w:val="fr-FR"/>
              </w:rPr>
              <w:t>Ofi</w:t>
            </w:r>
            <w:r w:rsidRPr="00A74D23">
              <w:rPr>
                <w:rFonts w:asciiTheme="minorHAnsi" w:hAnsiTheme="minorHAnsi" w:cs="Open Sans"/>
                <w:color w:val="000000"/>
                <w:lang w:val="fr-FR"/>
              </w:rPr>
              <w:t xml:space="preserve"> Invest Grandes Marques A</w:t>
            </w:r>
          </w:p>
        </w:tc>
        <w:tc>
          <w:tcPr>
            <w:tcW w:w="2005" w:type="dxa"/>
            <w:noWrap/>
            <w:hideMark/>
          </w:tcPr>
          <w:p w14:paraId="511A37F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325A11F"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6DB9D2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228E5B7" w14:textId="4FA4BC3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w:t>
            </w:r>
            <w:r w:rsidR="00495330" w:rsidRPr="00A74D23">
              <w:rPr>
                <w:rFonts w:asciiTheme="minorHAnsi" w:hAnsiTheme="minorHAnsi" w:cs="Open Sans"/>
                <w:color w:val="000000"/>
              </w:rPr>
              <w:t>Ofi</w:t>
            </w:r>
            <w:r w:rsidRPr="00A74D23">
              <w:rPr>
                <w:rFonts w:asciiTheme="minorHAnsi" w:hAnsiTheme="minorHAnsi" w:cs="Open Sans"/>
                <w:color w:val="000000"/>
              </w:rPr>
              <w:t xml:space="preserve"> Invest High Yield 2027 A</w:t>
            </w:r>
          </w:p>
        </w:tc>
        <w:tc>
          <w:tcPr>
            <w:tcW w:w="2005" w:type="dxa"/>
            <w:noWrap/>
            <w:hideMark/>
          </w:tcPr>
          <w:p w14:paraId="360183A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289974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5A3063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A3251CF" w14:textId="0065C9D1"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w:t>
            </w:r>
            <w:r w:rsidR="00495330" w:rsidRPr="00A74D23">
              <w:rPr>
                <w:rFonts w:asciiTheme="minorHAnsi" w:hAnsiTheme="minorHAnsi" w:cs="Open Sans"/>
                <w:color w:val="000000"/>
              </w:rPr>
              <w:t>Ofi</w:t>
            </w:r>
            <w:r w:rsidRPr="00A74D23">
              <w:rPr>
                <w:rFonts w:asciiTheme="minorHAnsi" w:hAnsiTheme="minorHAnsi" w:cs="Open Sans"/>
                <w:color w:val="000000"/>
              </w:rPr>
              <w:t xml:space="preserve"> Invest High Yield 2029 A</w:t>
            </w:r>
          </w:p>
        </w:tc>
        <w:tc>
          <w:tcPr>
            <w:tcW w:w="2005" w:type="dxa"/>
            <w:noWrap/>
            <w:hideMark/>
          </w:tcPr>
          <w:p w14:paraId="5779464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E88929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37CC92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53D682E" w14:textId="6DC932DE"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w:t>
            </w:r>
            <w:r w:rsidR="00495330" w:rsidRPr="00A74D23">
              <w:rPr>
                <w:rFonts w:asciiTheme="minorHAnsi" w:hAnsiTheme="minorHAnsi" w:cs="Open Sans"/>
                <w:color w:val="000000"/>
                <w:lang w:val="fr-FR"/>
              </w:rPr>
              <w:t>Ofi</w:t>
            </w:r>
            <w:r w:rsidRPr="00A74D23">
              <w:rPr>
                <w:rFonts w:asciiTheme="minorHAnsi" w:hAnsiTheme="minorHAnsi" w:cs="Open Sans"/>
                <w:color w:val="000000"/>
                <w:lang w:val="fr-FR"/>
              </w:rPr>
              <w:t xml:space="preserve"> Invest Immo Selection EUR</w:t>
            </w:r>
          </w:p>
        </w:tc>
        <w:tc>
          <w:tcPr>
            <w:tcW w:w="2005" w:type="dxa"/>
            <w:noWrap/>
            <w:hideMark/>
          </w:tcPr>
          <w:p w14:paraId="4FD2A17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39193B1"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86D8912"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D3050ED" w14:textId="60E8961E"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w:t>
            </w:r>
            <w:r w:rsidR="00495330" w:rsidRPr="00A74D23">
              <w:rPr>
                <w:rFonts w:asciiTheme="minorHAnsi" w:hAnsiTheme="minorHAnsi" w:cs="Open Sans"/>
                <w:color w:val="000000"/>
                <w:lang w:val="fr-FR"/>
              </w:rPr>
              <w:t>Ofi</w:t>
            </w:r>
            <w:r w:rsidRPr="00A74D23">
              <w:rPr>
                <w:rFonts w:asciiTheme="minorHAnsi" w:hAnsiTheme="minorHAnsi" w:cs="Open Sans"/>
                <w:color w:val="000000"/>
                <w:lang w:val="fr-FR"/>
              </w:rPr>
              <w:t xml:space="preserve"> Invest ISR Actions Europe</w:t>
            </w:r>
          </w:p>
        </w:tc>
        <w:tc>
          <w:tcPr>
            <w:tcW w:w="2005" w:type="dxa"/>
            <w:noWrap/>
            <w:hideMark/>
          </w:tcPr>
          <w:p w14:paraId="219D88B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89529B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2DBB94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25FB9AC" w14:textId="3D1DE899"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w:t>
            </w:r>
            <w:r w:rsidR="00495330" w:rsidRPr="00A74D23">
              <w:rPr>
                <w:rFonts w:asciiTheme="minorHAnsi" w:hAnsiTheme="minorHAnsi" w:cs="Open Sans"/>
                <w:color w:val="000000"/>
                <w:lang w:val="fr-FR"/>
              </w:rPr>
              <w:t>Ofi</w:t>
            </w:r>
            <w:r w:rsidRPr="00A74D23">
              <w:rPr>
                <w:rFonts w:asciiTheme="minorHAnsi" w:hAnsiTheme="minorHAnsi" w:cs="Open Sans"/>
                <w:color w:val="000000"/>
                <w:lang w:val="fr-FR"/>
              </w:rPr>
              <w:t xml:space="preserve"> Invest ISR Crédit Bonds Euro A</w:t>
            </w:r>
          </w:p>
        </w:tc>
        <w:tc>
          <w:tcPr>
            <w:tcW w:w="2005" w:type="dxa"/>
            <w:noWrap/>
            <w:hideMark/>
          </w:tcPr>
          <w:p w14:paraId="5D62F67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F1EC2D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D6F059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73621BC" w14:textId="6D2D6DA4"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w:t>
            </w:r>
            <w:r w:rsidR="00495330" w:rsidRPr="00A74D23">
              <w:rPr>
                <w:rFonts w:asciiTheme="minorHAnsi" w:hAnsiTheme="minorHAnsi" w:cs="Open Sans"/>
                <w:color w:val="000000"/>
                <w:lang w:val="fr-FR"/>
              </w:rPr>
              <w:t>Ofi</w:t>
            </w:r>
            <w:r w:rsidRPr="00A74D23">
              <w:rPr>
                <w:rFonts w:asciiTheme="minorHAnsi" w:hAnsiTheme="minorHAnsi" w:cs="Open Sans"/>
                <w:color w:val="000000"/>
                <w:lang w:val="fr-FR"/>
              </w:rPr>
              <w:t xml:space="preserve"> Invest ISR Croissance Resp A</w:t>
            </w:r>
          </w:p>
        </w:tc>
        <w:tc>
          <w:tcPr>
            <w:tcW w:w="2005" w:type="dxa"/>
            <w:noWrap/>
            <w:hideMark/>
          </w:tcPr>
          <w:p w14:paraId="32B905C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BB6B62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A265487"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B859A62" w14:textId="1D209083"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w:t>
            </w:r>
            <w:r w:rsidR="00495330" w:rsidRPr="00A74D23">
              <w:rPr>
                <w:rFonts w:asciiTheme="minorHAnsi" w:hAnsiTheme="minorHAnsi" w:cs="Open Sans"/>
                <w:color w:val="000000"/>
              </w:rPr>
              <w:t>Ofi</w:t>
            </w:r>
            <w:r w:rsidRPr="00A74D23">
              <w:rPr>
                <w:rFonts w:asciiTheme="minorHAnsi" w:hAnsiTheme="minorHAnsi" w:cs="Open Sans"/>
                <w:color w:val="000000"/>
              </w:rPr>
              <w:t xml:space="preserve"> Invest ISR Experimmo A ISR</w:t>
            </w:r>
          </w:p>
        </w:tc>
        <w:tc>
          <w:tcPr>
            <w:tcW w:w="2005" w:type="dxa"/>
            <w:noWrap/>
            <w:hideMark/>
          </w:tcPr>
          <w:p w14:paraId="1F80653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B1F996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B760C12"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AB9E097" w14:textId="1CD17465"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w:t>
            </w:r>
            <w:r w:rsidR="00495330" w:rsidRPr="00A74D23">
              <w:rPr>
                <w:rFonts w:asciiTheme="minorHAnsi" w:hAnsiTheme="minorHAnsi" w:cs="Open Sans"/>
                <w:color w:val="000000"/>
                <w:lang w:val="fr-FR"/>
              </w:rPr>
              <w:t>Ofi</w:t>
            </w:r>
            <w:r w:rsidRPr="00A74D23">
              <w:rPr>
                <w:rFonts w:asciiTheme="minorHAnsi" w:hAnsiTheme="minorHAnsi" w:cs="Open Sans"/>
                <w:color w:val="000000"/>
                <w:lang w:val="fr-FR"/>
              </w:rPr>
              <w:t xml:space="preserve"> Invest Patrimoine Immobilier EUR</w:t>
            </w:r>
          </w:p>
        </w:tc>
        <w:tc>
          <w:tcPr>
            <w:tcW w:w="2005" w:type="dxa"/>
            <w:noWrap/>
            <w:hideMark/>
          </w:tcPr>
          <w:p w14:paraId="17E9B05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AC079A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64CF86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1E28E83" w14:textId="667C04BD"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w:t>
            </w:r>
            <w:r w:rsidR="00495330" w:rsidRPr="00A74D23">
              <w:rPr>
                <w:rFonts w:asciiTheme="minorHAnsi" w:hAnsiTheme="minorHAnsi" w:cs="Open Sans"/>
                <w:color w:val="000000"/>
              </w:rPr>
              <w:t>Ofi</w:t>
            </w:r>
            <w:r w:rsidRPr="00A74D23">
              <w:rPr>
                <w:rFonts w:asciiTheme="minorHAnsi" w:hAnsiTheme="minorHAnsi" w:cs="Open Sans"/>
                <w:color w:val="000000"/>
              </w:rPr>
              <w:t xml:space="preserve"> Invest Patrimoine Monde</w:t>
            </w:r>
          </w:p>
        </w:tc>
        <w:tc>
          <w:tcPr>
            <w:tcW w:w="2005" w:type="dxa"/>
            <w:noWrap/>
            <w:hideMark/>
          </w:tcPr>
          <w:p w14:paraId="7B82248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17FD530"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507EC6F"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C064654" w14:textId="194ED066"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w:t>
            </w:r>
            <w:r w:rsidR="00495330" w:rsidRPr="00A74D23">
              <w:rPr>
                <w:rFonts w:asciiTheme="minorHAnsi" w:hAnsiTheme="minorHAnsi" w:cs="Open Sans"/>
                <w:color w:val="000000"/>
              </w:rPr>
              <w:t>Ofi</w:t>
            </w:r>
            <w:r w:rsidRPr="00A74D23">
              <w:rPr>
                <w:rFonts w:asciiTheme="minorHAnsi" w:hAnsiTheme="minorHAnsi" w:cs="Open Sans"/>
                <w:color w:val="000000"/>
              </w:rPr>
              <w:t xml:space="preserve"> Invest Precious Metals R</w:t>
            </w:r>
          </w:p>
        </w:tc>
        <w:tc>
          <w:tcPr>
            <w:tcW w:w="2005" w:type="dxa"/>
            <w:noWrap/>
            <w:hideMark/>
          </w:tcPr>
          <w:p w14:paraId="07C4BC7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A34818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0225ABE"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1000FBB" w14:textId="597896D6"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w:t>
            </w:r>
            <w:r w:rsidR="00495330" w:rsidRPr="00A74D23">
              <w:rPr>
                <w:rFonts w:asciiTheme="minorHAnsi" w:hAnsiTheme="minorHAnsi" w:cs="Open Sans"/>
                <w:color w:val="000000"/>
                <w:lang w:val="fr-FR"/>
              </w:rPr>
              <w:t>Ofi</w:t>
            </w:r>
            <w:r w:rsidRPr="00A74D23">
              <w:rPr>
                <w:rFonts w:asciiTheme="minorHAnsi" w:hAnsiTheme="minorHAnsi" w:cs="Open Sans"/>
                <w:color w:val="000000"/>
                <w:lang w:val="fr-FR"/>
              </w:rPr>
              <w:t xml:space="preserve"> Invest Révolution Démograph Monde A</w:t>
            </w:r>
          </w:p>
        </w:tc>
        <w:tc>
          <w:tcPr>
            <w:tcW w:w="2005" w:type="dxa"/>
            <w:noWrap/>
            <w:hideMark/>
          </w:tcPr>
          <w:p w14:paraId="7A68313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E41278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B5A74DC"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841DAB5" w14:textId="58462DD5"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w:t>
            </w:r>
            <w:r w:rsidR="00495330" w:rsidRPr="00A74D23">
              <w:rPr>
                <w:rFonts w:asciiTheme="minorHAnsi" w:hAnsiTheme="minorHAnsi" w:cs="Open Sans"/>
                <w:color w:val="000000"/>
              </w:rPr>
              <w:t>Ofi</w:t>
            </w:r>
            <w:r w:rsidRPr="00A74D23">
              <w:rPr>
                <w:rFonts w:asciiTheme="minorHAnsi" w:hAnsiTheme="minorHAnsi" w:cs="Open Sans"/>
                <w:color w:val="000000"/>
              </w:rPr>
              <w:t xml:space="preserve"> Invest US Equity R EUR</w:t>
            </w:r>
          </w:p>
        </w:tc>
        <w:tc>
          <w:tcPr>
            <w:tcW w:w="2005" w:type="dxa"/>
            <w:noWrap/>
            <w:hideMark/>
          </w:tcPr>
          <w:p w14:paraId="11705A3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A9F57E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496271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F661D9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Omnibond R</w:t>
            </w:r>
          </w:p>
        </w:tc>
        <w:tc>
          <w:tcPr>
            <w:tcW w:w="2005" w:type="dxa"/>
            <w:noWrap/>
            <w:hideMark/>
          </w:tcPr>
          <w:p w14:paraId="1B89A58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DB59365"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DFBED12"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4C28F3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Ostrum Credit Short Dur R/A EUR</w:t>
            </w:r>
          </w:p>
        </w:tc>
        <w:tc>
          <w:tcPr>
            <w:tcW w:w="2005" w:type="dxa"/>
            <w:noWrap/>
            <w:hideMark/>
          </w:tcPr>
          <w:p w14:paraId="16FC723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09AD12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9E4827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E6E54A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Ostrum Credit Ultra Short Plus RE</w:t>
            </w:r>
          </w:p>
        </w:tc>
        <w:tc>
          <w:tcPr>
            <w:tcW w:w="2005" w:type="dxa"/>
            <w:noWrap/>
            <w:hideMark/>
          </w:tcPr>
          <w:p w14:paraId="69B2EF7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5EEF78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E567BDE"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6DABE0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Ostrum SRI Cash Plus R (C) EUR</w:t>
            </w:r>
          </w:p>
        </w:tc>
        <w:tc>
          <w:tcPr>
            <w:tcW w:w="2005" w:type="dxa"/>
            <w:noWrap/>
            <w:hideMark/>
          </w:tcPr>
          <w:p w14:paraId="40B9E0B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16509A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B9B5D4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2560EB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Ostrum SRI Crossover L</w:t>
            </w:r>
          </w:p>
        </w:tc>
        <w:tc>
          <w:tcPr>
            <w:tcW w:w="2005" w:type="dxa"/>
            <w:noWrap/>
            <w:hideMark/>
          </w:tcPr>
          <w:p w14:paraId="3A80270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3D9C91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C2F8C80"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72E05F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Pictet - Global Thematic Opps-P EUR</w:t>
            </w:r>
          </w:p>
        </w:tc>
        <w:tc>
          <w:tcPr>
            <w:tcW w:w="2005" w:type="dxa"/>
            <w:noWrap/>
            <w:hideMark/>
          </w:tcPr>
          <w:p w14:paraId="4BA8553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D6D0A1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504545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224776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Pictet - Robotics P EUR</w:t>
            </w:r>
          </w:p>
        </w:tc>
        <w:tc>
          <w:tcPr>
            <w:tcW w:w="2005" w:type="dxa"/>
            <w:noWrap/>
            <w:hideMark/>
          </w:tcPr>
          <w:p w14:paraId="3C05968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3EBA34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B290C0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0BED25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Pictet Global Thematic Opportunities J EUR </w:t>
            </w:r>
          </w:p>
        </w:tc>
        <w:tc>
          <w:tcPr>
            <w:tcW w:w="2005" w:type="dxa"/>
            <w:noWrap/>
            <w:hideMark/>
          </w:tcPr>
          <w:p w14:paraId="03991C9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32BFCE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1E3B861"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825360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Pictet-Multi Asset Global Opps R EUR</w:t>
            </w:r>
          </w:p>
        </w:tc>
        <w:tc>
          <w:tcPr>
            <w:tcW w:w="2005" w:type="dxa"/>
            <w:noWrap/>
            <w:hideMark/>
          </w:tcPr>
          <w:p w14:paraId="0697A89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5DE3B2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992056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1E6384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Pictet-Premium Brands P EUR</w:t>
            </w:r>
          </w:p>
        </w:tc>
        <w:tc>
          <w:tcPr>
            <w:tcW w:w="2005" w:type="dxa"/>
            <w:noWrap/>
            <w:hideMark/>
          </w:tcPr>
          <w:p w14:paraId="780AEAC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F92A12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99003A3"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4E84E1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Pictet-Security P EUR</w:t>
            </w:r>
          </w:p>
        </w:tc>
        <w:tc>
          <w:tcPr>
            <w:tcW w:w="2005" w:type="dxa"/>
            <w:noWrap/>
            <w:hideMark/>
          </w:tcPr>
          <w:p w14:paraId="4F08CC4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FF1B6B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73D46AF"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4CD888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Porteurs d'Espérance CL</w:t>
            </w:r>
          </w:p>
        </w:tc>
        <w:tc>
          <w:tcPr>
            <w:tcW w:w="2005" w:type="dxa"/>
            <w:noWrap/>
            <w:hideMark/>
          </w:tcPr>
          <w:p w14:paraId="3BFBA4E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DD01A45"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6FB55EF"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31C884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Porteurs d'Espérance FSI-A</w:t>
            </w:r>
          </w:p>
        </w:tc>
        <w:tc>
          <w:tcPr>
            <w:tcW w:w="2005" w:type="dxa"/>
            <w:noWrap/>
            <w:hideMark/>
          </w:tcPr>
          <w:p w14:paraId="58A5704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FC304E5"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38CACCD"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6CDDEE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Primonial Capimmo D.</w:t>
            </w:r>
          </w:p>
        </w:tc>
        <w:tc>
          <w:tcPr>
            <w:tcW w:w="2005" w:type="dxa"/>
            <w:noWrap/>
            <w:hideMark/>
          </w:tcPr>
          <w:p w14:paraId="72EC569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91AB62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79FB2D0"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49BA58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Pythagore</w:t>
            </w:r>
          </w:p>
        </w:tc>
        <w:tc>
          <w:tcPr>
            <w:tcW w:w="2005" w:type="dxa"/>
            <w:noWrap/>
            <w:hideMark/>
          </w:tcPr>
          <w:p w14:paraId="5229652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B5AC4E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0CBC5D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471E61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R-co Conviction Club C EUR</w:t>
            </w:r>
          </w:p>
        </w:tc>
        <w:tc>
          <w:tcPr>
            <w:tcW w:w="2005" w:type="dxa"/>
            <w:noWrap/>
            <w:hideMark/>
          </w:tcPr>
          <w:p w14:paraId="70947BB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AF76C79"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441301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3DE5EC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R-co Conviction Credit Euro F EUR</w:t>
            </w:r>
          </w:p>
        </w:tc>
        <w:tc>
          <w:tcPr>
            <w:tcW w:w="2005" w:type="dxa"/>
            <w:noWrap/>
            <w:hideMark/>
          </w:tcPr>
          <w:p w14:paraId="44E61D1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9620885"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1094BB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CAAFC62"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R-co Étoile C EUR</w:t>
            </w:r>
          </w:p>
        </w:tc>
        <w:tc>
          <w:tcPr>
            <w:tcW w:w="2005" w:type="dxa"/>
            <w:noWrap/>
            <w:hideMark/>
          </w:tcPr>
          <w:p w14:paraId="36A0FEF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83362B0"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0EDB86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AC7F1F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R-co Target 2028 IG C EUR</w:t>
            </w:r>
          </w:p>
        </w:tc>
        <w:tc>
          <w:tcPr>
            <w:tcW w:w="2005" w:type="dxa"/>
            <w:noWrap/>
            <w:hideMark/>
          </w:tcPr>
          <w:p w14:paraId="439AE44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388463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65DC1F1"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5E629B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R-co Target 2029 IG C EUR</w:t>
            </w:r>
          </w:p>
        </w:tc>
        <w:tc>
          <w:tcPr>
            <w:tcW w:w="2005" w:type="dxa"/>
            <w:noWrap/>
            <w:hideMark/>
          </w:tcPr>
          <w:p w14:paraId="49DC4D2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DEA320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DFB0B5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2EEF48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R-co Thematic Blockchain Global Eq C EUR</w:t>
            </w:r>
          </w:p>
        </w:tc>
        <w:tc>
          <w:tcPr>
            <w:tcW w:w="2005" w:type="dxa"/>
            <w:noWrap/>
            <w:hideMark/>
          </w:tcPr>
          <w:p w14:paraId="0426C1E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8E6AAA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C8E38B1"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721CBB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R-co Valor Balanced F EUR</w:t>
            </w:r>
          </w:p>
        </w:tc>
        <w:tc>
          <w:tcPr>
            <w:tcW w:w="2005" w:type="dxa"/>
            <w:noWrap/>
            <w:hideMark/>
          </w:tcPr>
          <w:p w14:paraId="66904CF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1380372"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42E991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AB41D4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R-co Valor C EUR</w:t>
            </w:r>
          </w:p>
        </w:tc>
        <w:tc>
          <w:tcPr>
            <w:tcW w:w="2005" w:type="dxa"/>
            <w:noWrap/>
            <w:hideMark/>
          </w:tcPr>
          <w:p w14:paraId="0AD4651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C58A200"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CE8F432"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FECFC7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Robeco BP US Large Cap Equities D €</w:t>
            </w:r>
          </w:p>
        </w:tc>
        <w:tc>
          <w:tcPr>
            <w:tcW w:w="2005" w:type="dxa"/>
            <w:noWrap/>
            <w:hideMark/>
          </w:tcPr>
          <w:p w14:paraId="419DC34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1B9F545"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F4BD0D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A977EB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Robeco BP US Large Cap Equities DH €</w:t>
            </w:r>
          </w:p>
        </w:tc>
        <w:tc>
          <w:tcPr>
            <w:tcW w:w="2005" w:type="dxa"/>
            <w:noWrap/>
            <w:hideMark/>
          </w:tcPr>
          <w:p w14:paraId="10E58F5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AD7B04A"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603360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43C7BD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Robeco BP US Large Cap Equities FH EUR</w:t>
            </w:r>
          </w:p>
        </w:tc>
        <w:tc>
          <w:tcPr>
            <w:tcW w:w="2005" w:type="dxa"/>
            <w:noWrap/>
            <w:hideMark/>
          </w:tcPr>
          <w:p w14:paraId="3F67C40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0F80435"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F92AA67"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89FE8A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Robeco Global Consumer Trends D EUR</w:t>
            </w:r>
          </w:p>
        </w:tc>
        <w:tc>
          <w:tcPr>
            <w:tcW w:w="2005" w:type="dxa"/>
            <w:noWrap/>
            <w:hideMark/>
          </w:tcPr>
          <w:p w14:paraId="79ACB06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006944C"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5C6464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283410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Robeco QI Emerging Cnsrv Eqs D €</w:t>
            </w:r>
          </w:p>
        </w:tc>
        <w:tc>
          <w:tcPr>
            <w:tcW w:w="2005" w:type="dxa"/>
            <w:noWrap/>
            <w:hideMark/>
          </w:tcPr>
          <w:p w14:paraId="1063642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E079E0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773F6CF"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6D03CD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Schroder ISF Glbl Corp Bd B Acc EUR Hdg</w:t>
            </w:r>
          </w:p>
        </w:tc>
        <w:tc>
          <w:tcPr>
            <w:tcW w:w="2005" w:type="dxa"/>
            <w:noWrap/>
            <w:hideMark/>
          </w:tcPr>
          <w:p w14:paraId="1DB9DAB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2FB47A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5474C31"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B42A3D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Schroder ISF Sust EURO Crdt A Acc EUR</w:t>
            </w:r>
          </w:p>
        </w:tc>
        <w:tc>
          <w:tcPr>
            <w:tcW w:w="2005" w:type="dxa"/>
            <w:noWrap/>
            <w:hideMark/>
          </w:tcPr>
          <w:p w14:paraId="6693E66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B67871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CF88EAA"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685BDB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Schroder Sust Euro Credit C Acc EUR</w:t>
            </w:r>
          </w:p>
        </w:tc>
        <w:tc>
          <w:tcPr>
            <w:tcW w:w="2005" w:type="dxa"/>
            <w:noWrap/>
            <w:hideMark/>
          </w:tcPr>
          <w:p w14:paraId="43CAF00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7B04DA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DB5BCC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017956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Sextant Grand Large A</w:t>
            </w:r>
          </w:p>
        </w:tc>
        <w:tc>
          <w:tcPr>
            <w:tcW w:w="2005" w:type="dxa"/>
            <w:noWrap/>
            <w:hideMark/>
          </w:tcPr>
          <w:p w14:paraId="13CA6C7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C9A97F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1A0B90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DE6C01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Sigma Dynamique</w:t>
            </w:r>
          </w:p>
        </w:tc>
        <w:tc>
          <w:tcPr>
            <w:tcW w:w="2005" w:type="dxa"/>
            <w:noWrap/>
            <w:hideMark/>
          </w:tcPr>
          <w:p w14:paraId="08652DC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6D418B0"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1C5BD8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A05684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Sycomore Allocation Patrimoine R</w:t>
            </w:r>
          </w:p>
        </w:tc>
        <w:tc>
          <w:tcPr>
            <w:tcW w:w="2005" w:type="dxa"/>
            <w:noWrap/>
            <w:hideMark/>
          </w:tcPr>
          <w:p w14:paraId="1C7DF2B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D4E128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1C3EE1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492574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Sycoyield 2030 RC</w:t>
            </w:r>
          </w:p>
        </w:tc>
        <w:tc>
          <w:tcPr>
            <w:tcW w:w="2005" w:type="dxa"/>
            <w:noWrap/>
            <w:hideMark/>
          </w:tcPr>
          <w:p w14:paraId="3D2C087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B1F527F"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72A8A1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6001FD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Thematics Meta R/A EUR</w:t>
            </w:r>
          </w:p>
        </w:tc>
        <w:tc>
          <w:tcPr>
            <w:tcW w:w="2005" w:type="dxa"/>
            <w:noWrap/>
            <w:hideMark/>
          </w:tcPr>
          <w:p w14:paraId="5DD18D1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C974992"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BACBE7D"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D14678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Tikehau Intl Crs Asts R EUR Acc</w:t>
            </w:r>
          </w:p>
        </w:tc>
        <w:tc>
          <w:tcPr>
            <w:tcW w:w="2005" w:type="dxa"/>
            <w:noWrap/>
            <w:hideMark/>
          </w:tcPr>
          <w:p w14:paraId="12D5512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B4F26C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2EE17F0"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319515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Trianon Investissement C EUR</w:t>
            </w:r>
          </w:p>
        </w:tc>
        <w:tc>
          <w:tcPr>
            <w:tcW w:w="2005" w:type="dxa"/>
            <w:noWrap/>
            <w:hideMark/>
          </w:tcPr>
          <w:p w14:paraId="6D5259E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77AD47F"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68FFE9A"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D27576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UBAM Medium Term US Corporate Bd AC EUR</w:t>
            </w:r>
          </w:p>
        </w:tc>
        <w:tc>
          <w:tcPr>
            <w:tcW w:w="2005" w:type="dxa"/>
            <w:noWrap/>
            <w:hideMark/>
          </w:tcPr>
          <w:p w14:paraId="394FDA6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274760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E36EA9F"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BD3B17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UBAM Medium Term US Corporate Bd AHC EUR</w:t>
            </w:r>
          </w:p>
        </w:tc>
        <w:tc>
          <w:tcPr>
            <w:tcW w:w="2005" w:type="dxa"/>
            <w:noWrap/>
            <w:hideMark/>
          </w:tcPr>
          <w:p w14:paraId="734C556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0CDB28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8E1CED3"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9C86963"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Varenne Valeur A EUR Acc</w:t>
            </w:r>
          </w:p>
        </w:tc>
        <w:tc>
          <w:tcPr>
            <w:tcW w:w="2005" w:type="dxa"/>
            <w:noWrap/>
            <w:hideMark/>
          </w:tcPr>
          <w:p w14:paraId="487FFB0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7FEF3E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E47ACD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EBF1B1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abrdn-Future Minerals S Acc HEUR</w:t>
            </w:r>
          </w:p>
        </w:tc>
        <w:tc>
          <w:tcPr>
            <w:tcW w:w="2005" w:type="dxa"/>
            <w:noWrap/>
            <w:hideMark/>
          </w:tcPr>
          <w:p w14:paraId="447FDAF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333A7E1"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ADF4F5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3F38A7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abrdn-Japan Sustainable Eqty S Acc HEUR</w:t>
            </w:r>
          </w:p>
        </w:tc>
        <w:tc>
          <w:tcPr>
            <w:tcW w:w="2005" w:type="dxa"/>
            <w:noWrap/>
            <w:hideMark/>
          </w:tcPr>
          <w:p w14:paraId="211379C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08DB8F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FBC1B62"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E7364B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Amundi EURO High Yield Bond ESG - UCITS</w:t>
            </w:r>
          </w:p>
        </w:tc>
        <w:tc>
          <w:tcPr>
            <w:tcW w:w="2005" w:type="dxa"/>
            <w:noWrap/>
            <w:hideMark/>
          </w:tcPr>
          <w:p w14:paraId="4BEC3A8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794D0F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7FD9B7F"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74320B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Aviva Investors MltStratTrgtRet J € Acc</w:t>
            </w:r>
          </w:p>
        </w:tc>
        <w:tc>
          <w:tcPr>
            <w:tcW w:w="2005" w:type="dxa"/>
            <w:noWrap/>
            <w:hideMark/>
          </w:tcPr>
          <w:p w14:paraId="654AF48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51CC662"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321645A"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313BB9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BGF Systematic Glbl SmallCap A2</w:t>
            </w:r>
          </w:p>
        </w:tc>
        <w:tc>
          <w:tcPr>
            <w:tcW w:w="2005" w:type="dxa"/>
            <w:noWrap/>
            <w:hideMark/>
          </w:tcPr>
          <w:p w14:paraId="07117E0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F5C65B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BF3706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52BC7E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BNP Paribas Disruptive Tech H</w:t>
            </w:r>
          </w:p>
        </w:tc>
        <w:tc>
          <w:tcPr>
            <w:tcW w:w="2005" w:type="dxa"/>
            <w:noWrap/>
            <w:hideMark/>
          </w:tcPr>
          <w:p w14:paraId="3B9FDFE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6C9C3C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6B8344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3B9F37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BNP Paribas Global Abs Return Bond C</w:t>
            </w:r>
          </w:p>
        </w:tc>
        <w:tc>
          <w:tcPr>
            <w:tcW w:w="2005" w:type="dxa"/>
            <w:noWrap/>
            <w:hideMark/>
          </w:tcPr>
          <w:p w14:paraId="7FBED3A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BA91E4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56929C7"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E74616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BNP Paribas US Small Cap Classic H EURC</w:t>
            </w:r>
          </w:p>
        </w:tc>
        <w:tc>
          <w:tcPr>
            <w:tcW w:w="2005" w:type="dxa"/>
            <w:noWrap/>
            <w:hideMark/>
          </w:tcPr>
          <w:p w14:paraId="51C9896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DC9898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1FBEFF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931FD4C"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Carmignac Patrimoine A EUR Acc</w:t>
            </w:r>
          </w:p>
        </w:tc>
        <w:tc>
          <w:tcPr>
            <w:tcW w:w="2005" w:type="dxa"/>
            <w:noWrap/>
            <w:hideMark/>
          </w:tcPr>
          <w:p w14:paraId="2DCF1E4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7FE84AA"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7AE8E1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E8DADB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CPR Croissance Défensive P</w:t>
            </w:r>
          </w:p>
        </w:tc>
        <w:tc>
          <w:tcPr>
            <w:tcW w:w="2005" w:type="dxa"/>
            <w:noWrap/>
            <w:hideMark/>
          </w:tcPr>
          <w:p w14:paraId="5C4F445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EB35302"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A3468A4"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79F313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CPR Croissance Réactive P</w:t>
            </w:r>
          </w:p>
        </w:tc>
        <w:tc>
          <w:tcPr>
            <w:tcW w:w="2005" w:type="dxa"/>
            <w:noWrap/>
            <w:hideMark/>
          </w:tcPr>
          <w:p w14:paraId="713022C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11F7740"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084536A"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F80BB4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CPR Silver Age P</w:t>
            </w:r>
          </w:p>
        </w:tc>
        <w:tc>
          <w:tcPr>
            <w:tcW w:w="2005" w:type="dxa"/>
            <w:noWrap/>
            <w:hideMark/>
          </w:tcPr>
          <w:p w14:paraId="589CC43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900F94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F2E97D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984A2F2"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DNCA Actions Euro PME R</w:t>
            </w:r>
          </w:p>
        </w:tc>
        <w:tc>
          <w:tcPr>
            <w:tcW w:w="2005" w:type="dxa"/>
            <w:noWrap/>
            <w:hideMark/>
          </w:tcPr>
          <w:p w14:paraId="306BF77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FD7030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568E8D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4B9998F"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DNCA Invest Évolutif C EUR</w:t>
            </w:r>
          </w:p>
        </w:tc>
        <w:tc>
          <w:tcPr>
            <w:tcW w:w="2005" w:type="dxa"/>
            <w:noWrap/>
            <w:hideMark/>
          </w:tcPr>
          <w:p w14:paraId="6F44DCC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425546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69D09A0"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1871B4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DNCA Invest ONE A EUR</w:t>
            </w:r>
          </w:p>
        </w:tc>
        <w:tc>
          <w:tcPr>
            <w:tcW w:w="2005" w:type="dxa"/>
            <w:noWrap/>
            <w:hideMark/>
          </w:tcPr>
          <w:p w14:paraId="772EA96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A236D29"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72466B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A8525C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Echiquier Agressor A</w:t>
            </w:r>
          </w:p>
        </w:tc>
        <w:tc>
          <w:tcPr>
            <w:tcW w:w="2005" w:type="dxa"/>
            <w:noWrap/>
            <w:hideMark/>
          </w:tcPr>
          <w:p w14:paraId="31078FC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C9EC45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C1F634A"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B30B38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Echiquier Arty SRI A</w:t>
            </w:r>
          </w:p>
        </w:tc>
        <w:tc>
          <w:tcPr>
            <w:tcW w:w="2005" w:type="dxa"/>
            <w:noWrap/>
            <w:hideMark/>
          </w:tcPr>
          <w:p w14:paraId="0662F00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37DCDA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1DEECE3"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0328B8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EdR SICAV Tricolore Convictions A EUR</w:t>
            </w:r>
          </w:p>
        </w:tc>
        <w:tc>
          <w:tcPr>
            <w:tcW w:w="2005" w:type="dxa"/>
            <w:noWrap/>
            <w:hideMark/>
          </w:tcPr>
          <w:p w14:paraId="1E202D7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9B19B8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C47772E"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CB3EEA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EdRF Bond Allocation A EUR Acc</w:t>
            </w:r>
          </w:p>
        </w:tc>
        <w:tc>
          <w:tcPr>
            <w:tcW w:w="2005" w:type="dxa"/>
            <w:noWrap/>
            <w:hideMark/>
          </w:tcPr>
          <w:p w14:paraId="1DD89AA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649F7FC"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DA7B5D3"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5F7333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EdRF Strategic Emerging A EUR</w:t>
            </w:r>
          </w:p>
        </w:tc>
        <w:tc>
          <w:tcPr>
            <w:tcW w:w="2005" w:type="dxa"/>
            <w:noWrap/>
            <w:hideMark/>
          </w:tcPr>
          <w:p w14:paraId="6773F34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354F894"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EBB7A07"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945459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Ethna-AKTIV R-T</w:t>
            </w:r>
          </w:p>
        </w:tc>
        <w:tc>
          <w:tcPr>
            <w:tcW w:w="2005" w:type="dxa"/>
            <w:noWrap/>
            <w:hideMark/>
          </w:tcPr>
          <w:p w14:paraId="318AC28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2934501"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DD10933"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75AD5A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Fidelity America A-Acc-EUR H</w:t>
            </w:r>
          </w:p>
        </w:tc>
        <w:tc>
          <w:tcPr>
            <w:tcW w:w="2005" w:type="dxa"/>
            <w:noWrap/>
            <w:hideMark/>
          </w:tcPr>
          <w:p w14:paraId="32C31F4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D7C1A6A"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6CAEDE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215E67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Fidelity Em Mkts A-Acc-EUR H</w:t>
            </w:r>
          </w:p>
        </w:tc>
        <w:tc>
          <w:tcPr>
            <w:tcW w:w="2005" w:type="dxa"/>
            <w:noWrap/>
            <w:hideMark/>
          </w:tcPr>
          <w:p w14:paraId="6D37B73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9B877E9"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D0E03C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DB4277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Fidelity World A-Acc-EUR</w:t>
            </w:r>
          </w:p>
        </w:tc>
        <w:tc>
          <w:tcPr>
            <w:tcW w:w="2005" w:type="dxa"/>
            <w:noWrap/>
            <w:hideMark/>
          </w:tcPr>
          <w:p w14:paraId="135AB40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1FEC4B3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4DCEE8C"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AB866F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FIDES Rempart A</w:t>
            </w:r>
          </w:p>
        </w:tc>
        <w:tc>
          <w:tcPr>
            <w:tcW w:w="2005" w:type="dxa"/>
            <w:noWrap/>
            <w:hideMark/>
          </w:tcPr>
          <w:p w14:paraId="4F5235F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C73D5D" w:rsidRPr="00A74D23" w14:paraId="5911BE0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70DA58A" w14:textId="7AD35C88" w:rsidR="00C73D5D" w:rsidRPr="00A74D23" w:rsidRDefault="00C73D5D"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19479F1" w14:textId="77777777" w:rsidR="00C73D5D" w:rsidRPr="00A74D23" w:rsidRDefault="00C73D5D"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FIDES US Select Equity A</w:t>
            </w:r>
          </w:p>
        </w:tc>
        <w:tc>
          <w:tcPr>
            <w:tcW w:w="2005" w:type="dxa"/>
            <w:noWrap/>
            <w:hideMark/>
          </w:tcPr>
          <w:p w14:paraId="68171872" w14:textId="77777777" w:rsidR="00C73D5D" w:rsidRPr="00A74D23" w:rsidRDefault="00C73D5D"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C73D5D" w:rsidRPr="00A74D23" w14:paraId="71A8C1F0"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8B412F9" w14:textId="1991D69A" w:rsidR="00C73D5D" w:rsidRPr="00A74D23" w:rsidRDefault="00C73D5D"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F489AAC" w14:textId="77777777" w:rsidR="00C73D5D" w:rsidRPr="00A74D23" w:rsidRDefault="00C73D5D"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FIDES Valor A</w:t>
            </w:r>
          </w:p>
        </w:tc>
        <w:tc>
          <w:tcPr>
            <w:tcW w:w="2005" w:type="dxa"/>
            <w:noWrap/>
            <w:hideMark/>
          </w:tcPr>
          <w:p w14:paraId="2F628583" w14:textId="77777777" w:rsidR="00C73D5D" w:rsidRPr="00A74D23" w:rsidRDefault="00C73D5D"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6BD627F"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224FBBC"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FDA5CB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JPM Em Mkts Small Cap D (acc) perf EUR</w:t>
            </w:r>
          </w:p>
        </w:tc>
        <w:tc>
          <w:tcPr>
            <w:tcW w:w="2005" w:type="dxa"/>
            <w:noWrap/>
            <w:hideMark/>
          </w:tcPr>
          <w:p w14:paraId="47230D2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5B03D20"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A78723C"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9C3484F"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M&amp;G (Lux) Asian A EUR Acc</w:t>
            </w:r>
          </w:p>
        </w:tc>
        <w:tc>
          <w:tcPr>
            <w:tcW w:w="2005" w:type="dxa"/>
            <w:noWrap/>
            <w:hideMark/>
          </w:tcPr>
          <w:p w14:paraId="23B9B06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D1EAEEA"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525BDD4"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3F0599D"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M&amp;G (Lux) Glb Macro Bd B EUR Acc</w:t>
            </w:r>
          </w:p>
        </w:tc>
        <w:tc>
          <w:tcPr>
            <w:tcW w:w="2005" w:type="dxa"/>
            <w:noWrap/>
            <w:hideMark/>
          </w:tcPr>
          <w:p w14:paraId="76AAAF9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A474162"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D28FB1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83537A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M&amp;G (Lux) Optimal Income A EUR Acc</w:t>
            </w:r>
          </w:p>
        </w:tc>
        <w:tc>
          <w:tcPr>
            <w:tcW w:w="2005" w:type="dxa"/>
            <w:noWrap/>
            <w:hideMark/>
          </w:tcPr>
          <w:p w14:paraId="0CA6138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6E2EAC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AA440AA"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A51A176"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Mandarine Unique S&amp;M Caps Europe R EUR</w:t>
            </w:r>
          </w:p>
        </w:tc>
        <w:tc>
          <w:tcPr>
            <w:tcW w:w="2005" w:type="dxa"/>
            <w:noWrap/>
            <w:hideMark/>
          </w:tcPr>
          <w:p w14:paraId="78ABEE5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771488E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A559B3F"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131C0B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Moneta Multi Caps C</w:t>
            </w:r>
          </w:p>
        </w:tc>
        <w:tc>
          <w:tcPr>
            <w:tcW w:w="2005" w:type="dxa"/>
            <w:noWrap/>
            <w:hideMark/>
          </w:tcPr>
          <w:p w14:paraId="2CBA031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507288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9D5DF8F"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4CEE6DB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Nordea 1 - Stable Return BP EUR</w:t>
            </w:r>
          </w:p>
        </w:tc>
        <w:tc>
          <w:tcPr>
            <w:tcW w:w="2005" w:type="dxa"/>
            <w:noWrap/>
            <w:hideMark/>
          </w:tcPr>
          <w:p w14:paraId="71F37CC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DE08E2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EAA801D"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E018D7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Norden SRI</w:t>
            </w:r>
          </w:p>
        </w:tc>
        <w:tc>
          <w:tcPr>
            <w:tcW w:w="2005" w:type="dxa"/>
            <w:noWrap/>
            <w:hideMark/>
          </w:tcPr>
          <w:p w14:paraId="6C9BBE4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FD5678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ABA4384"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6BCCE28" w14:textId="507BF7EF" w:rsidR="00205B2F" w:rsidRPr="00A74D23" w:rsidRDefault="00495330"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Ofi</w:t>
            </w:r>
            <w:r w:rsidR="00205B2F" w:rsidRPr="00A74D23">
              <w:rPr>
                <w:rFonts w:asciiTheme="minorHAnsi" w:hAnsiTheme="minorHAnsi" w:cs="Open Sans"/>
                <w:color w:val="000000"/>
                <w:lang w:val="fr-FR"/>
              </w:rPr>
              <w:t xml:space="preserve"> Invest Actions Euro A</w:t>
            </w:r>
          </w:p>
        </w:tc>
        <w:tc>
          <w:tcPr>
            <w:tcW w:w="2005" w:type="dxa"/>
            <w:noWrap/>
            <w:hideMark/>
          </w:tcPr>
          <w:p w14:paraId="443DBF0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965038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8F24C11"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25CD25C" w14:textId="33CBA76C" w:rsidR="00205B2F" w:rsidRPr="00A74D23" w:rsidRDefault="00495330"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Ofi</w:t>
            </w:r>
            <w:r w:rsidR="00205B2F" w:rsidRPr="00A74D23">
              <w:rPr>
                <w:rFonts w:asciiTheme="minorHAnsi" w:hAnsiTheme="minorHAnsi" w:cs="Open Sans"/>
                <w:color w:val="000000"/>
                <w:lang w:val="fr-FR"/>
              </w:rPr>
              <w:t xml:space="preserve"> Invest ESG Actns Clmt Eurp A EURAcc</w:t>
            </w:r>
          </w:p>
        </w:tc>
        <w:tc>
          <w:tcPr>
            <w:tcW w:w="2005" w:type="dxa"/>
            <w:noWrap/>
            <w:hideMark/>
          </w:tcPr>
          <w:p w14:paraId="4DFEF76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D12188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34624B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4FB8147" w14:textId="62D266AF" w:rsidR="00205B2F" w:rsidRPr="00A74D23" w:rsidRDefault="00495330"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Ofi</w:t>
            </w:r>
            <w:r w:rsidR="00205B2F" w:rsidRPr="00A74D23">
              <w:rPr>
                <w:rFonts w:asciiTheme="minorHAnsi" w:hAnsiTheme="minorHAnsi" w:cs="Open Sans"/>
                <w:color w:val="000000"/>
                <w:lang w:val="fr-FR"/>
              </w:rPr>
              <w:t xml:space="preserve"> Invest ISR Croissance Resp A</w:t>
            </w:r>
          </w:p>
        </w:tc>
        <w:tc>
          <w:tcPr>
            <w:tcW w:w="2005" w:type="dxa"/>
            <w:noWrap/>
            <w:hideMark/>
          </w:tcPr>
          <w:p w14:paraId="6F9B8A3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9158941"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A44B874"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965352C" w14:textId="4E21B457" w:rsidR="00205B2F" w:rsidRPr="00A74D23" w:rsidRDefault="00495330"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Ofi</w:t>
            </w:r>
            <w:r w:rsidR="00205B2F" w:rsidRPr="00A74D23">
              <w:rPr>
                <w:rFonts w:asciiTheme="minorHAnsi" w:hAnsiTheme="minorHAnsi" w:cs="Open Sans"/>
                <w:color w:val="000000"/>
              </w:rPr>
              <w:t xml:space="preserve"> Invest ISR Experimmo A ISR</w:t>
            </w:r>
          </w:p>
        </w:tc>
        <w:tc>
          <w:tcPr>
            <w:tcW w:w="2005" w:type="dxa"/>
            <w:noWrap/>
            <w:hideMark/>
          </w:tcPr>
          <w:p w14:paraId="7AB5BCB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0A2966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A3F5543"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AB6AC3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Ostrum Europe MinVol R/A EUR</w:t>
            </w:r>
          </w:p>
        </w:tc>
        <w:tc>
          <w:tcPr>
            <w:tcW w:w="2005" w:type="dxa"/>
            <w:noWrap/>
            <w:hideMark/>
          </w:tcPr>
          <w:p w14:paraId="3CFA127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6C9B661"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870B1FA"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668A56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R-co Esis C EUR</w:t>
            </w:r>
          </w:p>
        </w:tc>
        <w:tc>
          <w:tcPr>
            <w:tcW w:w="2005" w:type="dxa"/>
            <w:noWrap/>
            <w:hideMark/>
          </w:tcPr>
          <w:p w14:paraId="279D40B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CEAE50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3667CA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DC9159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Sextant Grand Large A</w:t>
            </w:r>
          </w:p>
        </w:tc>
        <w:tc>
          <w:tcPr>
            <w:tcW w:w="2005" w:type="dxa"/>
            <w:noWrap/>
            <w:hideMark/>
          </w:tcPr>
          <w:p w14:paraId="064D420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491159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A611942"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A12B90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Sextant Optimal Income A</w:t>
            </w:r>
          </w:p>
        </w:tc>
        <w:tc>
          <w:tcPr>
            <w:tcW w:w="2005" w:type="dxa"/>
            <w:noWrap/>
            <w:hideMark/>
          </w:tcPr>
          <w:p w14:paraId="7B519A1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54F289B9"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CF5DC01"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F05FB4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Sextant Regatta 2031 A</w:t>
            </w:r>
          </w:p>
        </w:tc>
        <w:tc>
          <w:tcPr>
            <w:tcW w:w="2005" w:type="dxa"/>
            <w:noWrap/>
            <w:hideMark/>
          </w:tcPr>
          <w:p w14:paraId="73851E9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43E989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79A718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B01EA0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SLF Bond ESG 6M P2  </w:t>
            </w:r>
          </w:p>
        </w:tc>
        <w:tc>
          <w:tcPr>
            <w:tcW w:w="2005" w:type="dxa"/>
            <w:noWrap/>
            <w:hideMark/>
          </w:tcPr>
          <w:p w14:paraId="137D2D4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504216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070C19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0C02E9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Sycomore Allocation Patrimoine R</w:t>
            </w:r>
          </w:p>
        </w:tc>
        <w:tc>
          <w:tcPr>
            <w:tcW w:w="2005" w:type="dxa"/>
            <w:noWrap/>
            <w:hideMark/>
          </w:tcPr>
          <w:p w14:paraId="17C894E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4E832FB4"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A833A74"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7661E2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Sycomore Opportunities R</w:t>
            </w:r>
          </w:p>
        </w:tc>
        <w:tc>
          <w:tcPr>
            <w:tcW w:w="2005" w:type="dxa"/>
            <w:noWrap/>
            <w:hideMark/>
          </w:tcPr>
          <w:p w14:paraId="53A07A5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2DDCB337"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19C9F824"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441383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Sycomore Partners P</w:t>
            </w:r>
          </w:p>
        </w:tc>
        <w:tc>
          <w:tcPr>
            <w:tcW w:w="2005" w:type="dxa"/>
            <w:noWrap/>
            <w:hideMark/>
          </w:tcPr>
          <w:p w14:paraId="0515BC1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9AEB5D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6D4130F"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10EBE44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Templeton Asian Growth N(acc)EUR</w:t>
            </w:r>
          </w:p>
        </w:tc>
        <w:tc>
          <w:tcPr>
            <w:tcW w:w="2005" w:type="dxa"/>
            <w:noWrap/>
            <w:hideMark/>
          </w:tcPr>
          <w:p w14:paraId="44A0D8E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13F559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E83E135"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463AD1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Templeton Emerging Mkts Bd A(acc)EUR-H1</w:t>
            </w:r>
          </w:p>
        </w:tc>
        <w:tc>
          <w:tcPr>
            <w:tcW w:w="2005" w:type="dxa"/>
            <w:noWrap/>
            <w:hideMark/>
          </w:tcPr>
          <w:p w14:paraId="0EF4D29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6707E1CC"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5C2D220"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E03FAC8"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Templeton Global Ttl Ret N(acc)EUR-H1</w:t>
            </w:r>
          </w:p>
        </w:tc>
        <w:tc>
          <w:tcPr>
            <w:tcW w:w="2005" w:type="dxa"/>
            <w:noWrap/>
            <w:hideMark/>
          </w:tcPr>
          <w:p w14:paraId="69B8865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32D67231"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46E2F8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222B89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Tikehau Intl Crs Asts R EUR Acc</w:t>
            </w:r>
          </w:p>
        </w:tc>
        <w:tc>
          <w:tcPr>
            <w:tcW w:w="2005" w:type="dxa"/>
            <w:noWrap/>
            <w:hideMark/>
          </w:tcPr>
          <w:p w14:paraId="090F810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8</w:t>
            </w:r>
          </w:p>
        </w:tc>
      </w:tr>
      <w:tr w:rsidR="00205B2F" w:rsidRPr="00A74D23" w14:paraId="0961F91A"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7E7A18C"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C2D6E0F"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Abeille La Fabrique Impact ISR RC</w:t>
            </w:r>
          </w:p>
        </w:tc>
        <w:tc>
          <w:tcPr>
            <w:tcW w:w="2005" w:type="dxa"/>
            <w:noWrap/>
            <w:hideMark/>
          </w:tcPr>
          <w:p w14:paraId="35E410B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4A9B6BBC"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E9E0BE7"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03B4BE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Actions Emploi R</w:t>
            </w:r>
          </w:p>
        </w:tc>
        <w:tc>
          <w:tcPr>
            <w:tcW w:w="2005" w:type="dxa"/>
            <w:noWrap/>
            <w:hideMark/>
          </w:tcPr>
          <w:p w14:paraId="5DDB8C1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2A8BE8D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780E96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7871A0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Actions Environnement R</w:t>
            </w:r>
          </w:p>
        </w:tc>
        <w:tc>
          <w:tcPr>
            <w:tcW w:w="2005" w:type="dxa"/>
            <w:noWrap/>
            <w:hideMark/>
          </w:tcPr>
          <w:p w14:paraId="54FDE01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6136470B"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470694E"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784B01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Actions Environnement</w:t>
            </w:r>
          </w:p>
        </w:tc>
        <w:tc>
          <w:tcPr>
            <w:tcW w:w="2005" w:type="dxa"/>
            <w:noWrap/>
            <w:hideMark/>
          </w:tcPr>
          <w:p w14:paraId="3863A17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56BB442D"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A5051A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65959A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Green Bonds</w:t>
            </w:r>
          </w:p>
        </w:tc>
        <w:tc>
          <w:tcPr>
            <w:tcW w:w="2005" w:type="dxa"/>
            <w:noWrap/>
            <w:hideMark/>
          </w:tcPr>
          <w:p w14:paraId="5CD0F10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5837ED6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93359BF"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206E7B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Afer Génération Impact Social</w:t>
            </w:r>
          </w:p>
        </w:tc>
        <w:tc>
          <w:tcPr>
            <w:tcW w:w="2005" w:type="dxa"/>
            <w:noWrap/>
            <w:hideMark/>
          </w:tcPr>
          <w:p w14:paraId="0DF3ACC6"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37020F1C"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49AD76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346DF49"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BNP Aqua Privilège</w:t>
            </w:r>
          </w:p>
        </w:tc>
        <w:tc>
          <w:tcPr>
            <w:tcW w:w="2005" w:type="dxa"/>
            <w:noWrap/>
            <w:hideMark/>
          </w:tcPr>
          <w:p w14:paraId="00F0F56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77A753DA"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50A7798"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D9AE00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BNP Paribas Aqua Classic</w:t>
            </w:r>
          </w:p>
        </w:tc>
        <w:tc>
          <w:tcPr>
            <w:tcW w:w="2005" w:type="dxa"/>
            <w:noWrap/>
            <w:hideMark/>
          </w:tcPr>
          <w:p w14:paraId="19915645"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541BE7C9"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948DAA3"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AF8969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BNP Paribas Smart Food Cl Cap</w:t>
            </w:r>
          </w:p>
        </w:tc>
        <w:tc>
          <w:tcPr>
            <w:tcW w:w="2005" w:type="dxa"/>
            <w:noWrap/>
            <w:hideMark/>
          </w:tcPr>
          <w:p w14:paraId="1DB56CC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3AA7F77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D97F8C3"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A2F3C8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Candriam Equities L Oncology CH EUR Cap</w:t>
            </w:r>
          </w:p>
        </w:tc>
        <w:tc>
          <w:tcPr>
            <w:tcW w:w="2005" w:type="dxa"/>
            <w:noWrap/>
            <w:hideMark/>
          </w:tcPr>
          <w:p w14:paraId="6131481A"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0ECC3800"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58CD9141"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14A629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Candriam Sst Bd Euro Corp C € Acc</w:t>
            </w:r>
          </w:p>
        </w:tc>
        <w:tc>
          <w:tcPr>
            <w:tcW w:w="2005" w:type="dxa"/>
            <w:noWrap/>
            <w:hideMark/>
          </w:tcPr>
          <w:p w14:paraId="7DB473D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4DD805DE"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B8D2374"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095EF9D"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Candriam Sst Bd Glbl Hi Yld C € Acc</w:t>
            </w:r>
          </w:p>
        </w:tc>
        <w:tc>
          <w:tcPr>
            <w:tcW w:w="2005" w:type="dxa"/>
            <w:noWrap/>
            <w:hideMark/>
          </w:tcPr>
          <w:p w14:paraId="1315FEA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1F0FF79F"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736604E0"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BD60B33"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Carmignac Emergents A EUR Acc</w:t>
            </w:r>
          </w:p>
        </w:tc>
        <w:tc>
          <w:tcPr>
            <w:tcW w:w="2005" w:type="dxa"/>
            <w:noWrap/>
            <w:hideMark/>
          </w:tcPr>
          <w:p w14:paraId="4D7866E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4E06A518"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29B4A7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A85219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Mandarine Global Transition R</w:t>
            </w:r>
          </w:p>
        </w:tc>
        <w:tc>
          <w:tcPr>
            <w:tcW w:w="2005" w:type="dxa"/>
            <w:noWrap/>
            <w:hideMark/>
          </w:tcPr>
          <w:p w14:paraId="406717BE"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5E59BCF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FF8781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A23D330" w14:textId="51C28FE3"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 xml:space="preserve"> </w:t>
            </w:r>
            <w:r w:rsidR="00495330" w:rsidRPr="00A74D23">
              <w:rPr>
                <w:rFonts w:asciiTheme="minorHAnsi" w:hAnsiTheme="minorHAnsi" w:cs="Open Sans"/>
                <w:color w:val="000000"/>
                <w:lang w:val="fr-FR"/>
              </w:rPr>
              <w:t>Ofi</w:t>
            </w:r>
            <w:r w:rsidRPr="00A74D23">
              <w:rPr>
                <w:rFonts w:asciiTheme="minorHAnsi" w:hAnsiTheme="minorHAnsi" w:cs="Open Sans"/>
                <w:color w:val="000000"/>
                <w:lang w:val="fr-FR"/>
              </w:rPr>
              <w:t xml:space="preserve"> Invest ESG Social Foc R-C</w:t>
            </w:r>
          </w:p>
        </w:tc>
        <w:tc>
          <w:tcPr>
            <w:tcW w:w="2005" w:type="dxa"/>
            <w:noWrap/>
            <w:hideMark/>
          </w:tcPr>
          <w:p w14:paraId="3B69A132"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35508E11"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33B2A28D"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712C0C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Pictet - Clean Energy Transition P EUR</w:t>
            </w:r>
          </w:p>
        </w:tc>
        <w:tc>
          <w:tcPr>
            <w:tcW w:w="2005" w:type="dxa"/>
            <w:noWrap/>
            <w:hideMark/>
          </w:tcPr>
          <w:p w14:paraId="55799B8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301F6CF4"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E66FDF6"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029B3C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Pictet Clean Energy Transition J EUR</w:t>
            </w:r>
          </w:p>
        </w:tc>
        <w:tc>
          <w:tcPr>
            <w:tcW w:w="2005" w:type="dxa"/>
            <w:noWrap/>
            <w:hideMark/>
          </w:tcPr>
          <w:p w14:paraId="5AE2212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6EFBCCAA"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0A397F2"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5F08E771"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Pictet Global Sustainable Crdt HP EUR</w:t>
            </w:r>
          </w:p>
        </w:tc>
        <w:tc>
          <w:tcPr>
            <w:tcW w:w="2005" w:type="dxa"/>
            <w:noWrap/>
            <w:hideMark/>
          </w:tcPr>
          <w:p w14:paraId="73A3D3A8"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2B3AC9B6"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4CE780AE"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684074D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Pictet-Timber P EUR</w:t>
            </w:r>
          </w:p>
        </w:tc>
        <w:tc>
          <w:tcPr>
            <w:tcW w:w="2005" w:type="dxa"/>
            <w:noWrap/>
            <w:hideMark/>
          </w:tcPr>
          <w:p w14:paraId="0BCF4FF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36E74E94"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95919F2"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A450FB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Pictet-Water P EUR</w:t>
            </w:r>
          </w:p>
        </w:tc>
        <w:tc>
          <w:tcPr>
            <w:tcW w:w="2005" w:type="dxa"/>
            <w:noWrap/>
            <w:hideMark/>
          </w:tcPr>
          <w:p w14:paraId="0677A450"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3E2784CF"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62BE6279"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3CD4AC93"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Pierre Impact</w:t>
            </w:r>
          </w:p>
        </w:tc>
        <w:tc>
          <w:tcPr>
            <w:tcW w:w="2005" w:type="dxa"/>
            <w:noWrap/>
            <w:hideMark/>
          </w:tcPr>
          <w:p w14:paraId="45ED5D7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61EB9845"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D1EC63B"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0A76E6B"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 xml:space="preserve"> R-co 4Change Green Bonds C EUR</w:t>
            </w:r>
          </w:p>
        </w:tc>
        <w:tc>
          <w:tcPr>
            <w:tcW w:w="2005" w:type="dxa"/>
            <w:noWrap/>
            <w:hideMark/>
          </w:tcPr>
          <w:p w14:paraId="6243E66C"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7960C01C"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63D8382"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20EAD00B"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BNP Paribas Aqua Classic H EUR</w:t>
            </w:r>
          </w:p>
        </w:tc>
        <w:tc>
          <w:tcPr>
            <w:tcW w:w="2005" w:type="dxa"/>
            <w:noWrap/>
            <w:hideMark/>
          </w:tcPr>
          <w:p w14:paraId="6B3C0A37"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14A8E663"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0FB6F42D"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78C21B84"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La Française Credit Innovation RC</w:t>
            </w:r>
          </w:p>
        </w:tc>
        <w:tc>
          <w:tcPr>
            <w:tcW w:w="2005" w:type="dxa"/>
            <w:noWrap/>
            <w:hideMark/>
          </w:tcPr>
          <w:p w14:paraId="49A6877F"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r w:rsidR="00205B2F" w:rsidRPr="00A74D23" w14:paraId="3A8C5454" w14:textId="77777777" w:rsidTr="00205B2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90"/>
        </w:trPr>
        <w:tc>
          <w:tcPr>
            <w:tcW w:w="2005" w:type="dxa"/>
            <w:noWrap/>
            <w:hideMark/>
          </w:tcPr>
          <w:p w14:paraId="2E9B0FE0" w14:textId="77777777" w:rsidR="00205B2F" w:rsidRPr="00A74D23" w:rsidRDefault="00205B2F" w:rsidP="009D6EE5">
            <w:pPr>
              <w:spacing w:line="22" w:lineRule="atLeast"/>
              <w:jc w:val="both"/>
              <w:rPr>
                <w:rFonts w:asciiTheme="minorHAnsi" w:hAnsiTheme="minorHAnsi" w:cs="Open Sans"/>
                <w:color w:val="000000"/>
                <w:sz w:val="20"/>
                <w:szCs w:val="20"/>
              </w:rPr>
            </w:pPr>
            <w:r w:rsidRPr="00A74D23">
              <w:rPr>
                <w:rFonts w:asciiTheme="minorHAnsi" w:hAnsiTheme="minorHAnsi" w:cs="Open Sans"/>
                <w:color w:val="000000"/>
                <w:sz w:val="20"/>
                <w:szCs w:val="20"/>
              </w:rPr>
              <w:t>UC</w:t>
            </w:r>
          </w:p>
        </w:tc>
        <w:tc>
          <w:tcPr>
            <w:tcW w:w="5197" w:type="dxa"/>
            <w:noWrap/>
            <w:hideMark/>
          </w:tcPr>
          <w:p w14:paraId="0DBCC8CA" w14:textId="77777777" w:rsidR="00205B2F" w:rsidRPr="00A74D23" w:rsidRDefault="00205B2F" w:rsidP="009D6EE5">
            <w:pPr>
              <w:spacing w:line="22" w:lineRule="atLeast"/>
              <w:jc w:val="both"/>
              <w:rPr>
                <w:rFonts w:asciiTheme="minorHAnsi" w:hAnsiTheme="minorHAnsi" w:cs="Open Sans"/>
                <w:color w:val="000000"/>
                <w:lang w:val="fr-FR"/>
              </w:rPr>
            </w:pPr>
            <w:r w:rsidRPr="00A74D23">
              <w:rPr>
                <w:rFonts w:asciiTheme="minorHAnsi" w:hAnsiTheme="minorHAnsi" w:cs="Open Sans"/>
                <w:color w:val="000000"/>
                <w:lang w:val="fr-FR"/>
              </w:rPr>
              <w:t>M&amp;G (Lux) Sustainable Allc A EUR Acc</w:t>
            </w:r>
          </w:p>
        </w:tc>
        <w:tc>
          <w:tcPr>
            <w:tcW w:w="2005" w:type="dxa"/>
            <w:noWrap/>
            <w:hideMark/>
          </w:tcPr>
          <w:p w14:paraId="1E6F9AA4" w14:textId="77777777" w:rsidR="00205B2F" w:rsidRPr="00A74D23" w:rsidRDefault="00205B2F" w:rsidP="009D6EE5">
            <w:pPr>
              <w:spacing w:line="22" w:lineRule="atLeast"/>
              <w:jc w:val="both"/>
              <w:rPr>
                <w:rFonts w:asciiTheme="minorHAnsi" w:hAnsiTheme="minorHAnsi" w:cs="Open Sans"/>
                <w:color w:val="000000"/>
              </w:rPr>
            </w:pPr>
            <w:r w:rsidRPr="00A74D23">
              <w:rPr>
                <w:rFonts w:asciiTheme="minorHAnsi" w:hAnsiTheme="minorHAnsi" w:cs="Open Sans"/>
                <w:color w:val="000000"/>
              </w:rPr>
              <w:t>9</w:t>
            </w:r>
          </w:p>
        </w:tc>
      </w:tr>
    </w:tbl>
    <w:p w14:paraId="3EFF018D" w14:textId="77777777" w:rsidR="0028314F" w:rsidRDefault="0028314F" w:rsidP="009D6EE5">
      <w:pPr>
        <w:spacing w:line="22" w:lineRule="atLeast"/>
        <w:jc w:val="both"/>
        <w:rPr>
          <w:rFonts w:asciiTheme="minorHAnsi" w:hAnsiTheme="minorHAnsi" w:cs="Open Sans"/>
          <w:sz w:val="20"/>
        </w:rPr>
      </w:pPr>
    </w:p>
    <w:p w14:paraId="36215AE7" w14:textId="77777777" w:rsidR="005C72F7" w:rsidRDefault="005C72F7" w:rsidP="009D6EE5">
      <w:pPr>
        <w:spacing w:line="22" w:lineRule="atLeast"/>
        <w:jc w:val="both"/>
        <w:rPr>
          <w:rFonts w:asciiTheme="minorHAnsi" w:hAnsiTheme="minorHAnsi" w:cs="Open Sans"/>
          <w:sz w:val="20"/>
        </w:rPr>
      </w:pPr>
    </w:p>
    <w:p w14:paraId="4960EF6E" w14:textId="77777777" w:rsidR="005C72F7" w:rsidRDefault="005C72F7" w:rsidP="009D6EE5">
      <w:pPr>
        <w:spacing w:line="22" w:lineRule="atLeast"/>
        <w:jc w:val="both"/>
        <w:rPr>
          <w:rFonts w:asciiTheme="minorHAnsi" w:hAnsiTheme="minorHAnsi" w:cs="Open Sans"/>
          <w:sz w:val="20"/>
        </w:rPr>
      </w:pPr>
    </w:p>
    <w:p w14:paraId="4CC3E05F" w14:textId="77777777" w:rsidR="005C72F7" w:rsidRDefault="005C72F7" w:rsidP="009D6EE5">
      <w:pPr>
        <w:spacing w:line="22" w:lineRule="atLeast"/>
        <w:jc w:val="both"/>
        <w:rPr>
          <w:rFonts w:asciiTheme="minorHAnsi" w:hAnsiTheme="minorHAnsi" w:cs="Open Sans"/>
          <w:sz w:val="20"/>
        </w:rPr>
      </w:pPr>
    </w:p>
    <w:p w14:paraId="7A40B94C" w14:textId="77777777" w:rsidR="005C72F7" w:rsidRDefault="005C72F7" w:rsidP="009D6EE5">
      <w:pPr>
        <w:spacing w:line="22" w:lineRule="atLeast"/>
        <w:jc w:val="both"/>
        <w:rPr>
          <w:rFonts w:asciiTheme="minorHAnsi" w:hAnsiTheme="minorHAnsi" w:cs="Open Sans"/>
          <w:sz w:val="20"/>
        </w:rPr>
      </w:pPr>
    </w:p>
    <w:p w14:paraId="5C938728" w14:textId="77777777" w:rsidR="005C72F7" w:rsidRDefault="005C72F7" w:rsidP="009D6EE5">
      <w:pPr>
        <w:spacing w:line="22" w:lineRule="atLeast"/>
        <w:jc w:val="both"/>
        <w:rPr>
          <w:rFonts w:asciiTheme="minorHAnsi" w:hAnsiTheme="minorHAnsi" w:cs="Open Sans"/>
          <w:sz w:val="20"/>
        </w:rPr>
      </w:pPr>
    </w:p>
    <w:p w14:paraId="107AE593" w14:textId="77777777" w:rsidR="005C72F7" w:rsidRDefault="005C72F7" w:rsidP="009D6EE5">
      <w:pPr>
        <w:spacing w:line="22" w:lineRule="atLeast"/>
        <w:jc w:val="both"/>
        <w:rPr>
          <w:rFonts w:asciiTheme="minorHAnsi" w:hAnsiTheme="minorHAnsi" w:cs="Open Sans"/>
          <w:sz w:val="20"/>
        </w:rPr>
      </w:pPr>
    </w:p>
    <w:p w14:paraId="26BFF3D9" w14:textId="77777777" w:rsidR="005C72F7" w:rsidRDefault="005C72F7" w:rsidP="009D6EE5">
      <w:pPr>
        <w:spacing w:line="22" w:lineRule="atLeast"/>
        <w:jc w:val="both"/>
        <w:rPr>
          <w:rFonts w:asciiTheme="minorHAnsi" w:hAnsiTheme="minorHAnsi" w:cs="Open Sans"/>
          <w:sz w:val="20"/>
        </w:rPr>
      </w:pPr>
    </w:p>
    <w:p w14:paraId="262B6F3D" w14:textId="77777777" w:rsidR="005C72F7" w:rsidRDefault="005C72F7" w:rsidP="009D6EE5">
      <w:pPr>
        <w:spacing w:line="22" w:lineRule="atLeast"/>
        <w:jc w:val="both"/>
        <w:rPr>
          <w:rFonts w:asciiTheme="minorHAnsi" w:hAnsiTheme="minorHAnsi" w:cs="Open Sans"/>
          <w:sz w:val="20"/>
        </w:rPr>
      </w:pPr>
    </w:p>
    <w:p w14:paraId="0A421E6F" w14:textId="77777777" w:rsidR="005C72F7" w:rsidRDefault="005C72F7" w:rsidP="009D6EE5">
      <w:pPr>
        <w:spacing w:line="22" w:lineRule="atLeast"/>
        <w:jc w:val="both"/>
        <w:rPr>
          <w:rFonts w:asciiTheme="minorHAnsi" w:hAnsiTheme="minorHAnsi" w:cs="Open Sans"/>
          <w:sz w:val="20"/>
        </w:rPr>
      </w:pPr>
    </w:p>
    <w:p w14:paraId="0F363C83" w14:textId="77777777" w:rsidR="005C72F7" w:rsidRDefault="005C72F7" w:rsidP="009D6EE5">
      <w:pPr>
        <w:spacing w:line="22" w:lineRule="atLeast"/>
        <w:jc w:val="both"/>
        <w:rPr>
          <w:rFonts w:asciiTheme="minorHAnsi" w:hAnsiTheme="minorHAnsi" w:cs="Open Sans"/>
          <w:sz w:val="20"/>
        </w:rPr>
      </w:pPr>
    </w:p>
    <w:p w14:paraId="010B6956" w14:textId="77777777" w:rsidR="005C72F7" w:rsidRPr="00A74D23" w:rsidRDefault="005C72F7" w:rsidP="009D6EE5">
      <w:pPr>
        <w:spacing w:line="22" w:lineRule="atLeast"/>
        <w:jc w:val="both"/>
        <w:rPr>
          <w:rFonts w:asciiTheme="minorHAnsi" w:hAnsiTheme="minorHAnsi" w:cs="Open Sans"/>
          <w:sz w:val="20"/>
        </w:rPr>
      </w:pPr>
    </w:p>
    <w:p w14:paraId="19F829EE" w14:textId="63DA14E5" w:rsidR="0028314F" w:rsidRPr="00A74D23" w:rsidRDefault="0028314F" w:rsidP="009D6EE5">
      <w:pPr>
        <w:pStyle w:val="Style3"/>
        <w:spacing w:line="22" w:lineRule="atLeast"/>
        <w:jc w:val="both"/>
        <w:rPr>
          <w:rFonts w:asciiTheme="minorHAnsi" w:hAnsiTheme="minorHAnsi" w:cs="Open Sans"/>
        </w:rPr>
      </w:pPr>
      <w:r w:rsidRPr="00A74D23">
        <w:rPr>
          <w:rFonts w:asciiTheme="minorHAnsi" w:hAnsiTheme="minorHAnsi" w:cs="Open Sans"/>
        </w:rPr>
        <w:t>Méthodologie de notation ESG sur l’immobilier</w:t>
      </w:r>
    </w:p>
    <w:p w14:paraId="3E216AFB" w14:textId="77777777" w:rsidR="00B20E70" w:rsidRPr="00A74D23" w:rsidRDefault="00B20E70" w:rsidP="009D6EE5">
      <w:pPr>
        <w:spacing w:line="22" w:lineRule="atLeast"/>
        <w:jc w:val="both"/>
        <w:rPr>
          <w:rFonts w:asciiTheme="minorHAnsi" w:hAnsiTheme="minorHAnsi"/>
          <w:sz w:val="20"/>
          <w:lang w:val="fr-FR"/>
        </w:rPr>
      </w:pPr>
      <w:r w:rsidRPr="00A74D23">
        <w:rPr>
          <w:rFonts w:asciiTheme="minorHAnsi" w:hAnsiTheme="minorHAnsi"/>
          <w:sz w:val="20"/>
          <w:lang w:val="fr-FR"/>
        </w:rPr>
        <w:t xml:space="preserve">Avant tout projet d’acquisition ou de restructuration, de rénovation, d’extension d’un projet déjà en portefeuille, une analyse ESG approfondie est effectuée. Préalable au passage en comité d’investissement, l’évaluation s’effectue en plusieurs temps. Une première analyse est menée sur la base des données récoltées lors de la première visite de l’actif ainsi que sur la base de la plaquette commerciale de ce dernier. Sur la base de cette première analyse est déterminée la logique d’investissement : logique « Best-in-class » pour un actif ayant déjà de bonnes performances ESG dans sa catégorie ou logique « Best-in-progress » pour les bâtiments qui nécessitent une remise à niveau de leur performance ESG. </w:t>
      </w:r>
    </w:p>
    <w:p w14:paraId="2311F128" w14:textId="77777777" w:rsidR="00B20E70" w:rsidRPr="00A74D23" w:rsidRDefault="00B20E70" w:rsidP="009D6EE5">
      <w:pPr>
        <w:spacing w:line="22" w:lineRule="atLeast"/>
        <w:jc w:val="both"/>
        <w:rPr>
          <w:rFonts w:asciiTheme="minorHAnsi" w:hAnsiTheme="minorHAnsi"/>
          <w:sz w:val="20"/>
          <w:lang w:val="fr-FR"/>
        </w:rPr>
      </w:pPr>
    </w:p>
    <w:p w14:paraId="025D5A6F" w14:textId="77777777" w:rsidR="00B20E70" w:rsidRPr="00A74D23" w:rsidRDefault="00B20E70" w:rsidP="009D6EE5">
      <w:pPr>
        <w:spacing w:line="22" w:lineRule="atLeast"/>
        <w:jc w:val="both"/>
        <w:rPr>
          <w:rFonts w:asciiTheme="minorHAnsi" w:hAnsiTheme="minorHAnsi"/>
          <w:b/>
          <w:bCs/>
          <w:sz w:val="20"/>
          <w:lang w:val="fr-FR"/>
        </w:rPr>
      </w:pPr>
      <w:r w:rsidRPr="00A74D23">
        <w:rPr>
          <w:rFonts w:asciiTheme="minorHAnsi" w:hAnsiTheme="minorHAnsi"/>
          <w:b/>
          <w:bCs/>
          <w:sz w:val="20"/>
          <w:lang w:val="fr-FR"/>
        </w:rPr>
        <w:t>Processus de gestion de la performance ESG pour les actifs immobiliers</w:t>
      </w:r>
    </w:p>
    <w:p w14:paraId="52631210" w14:textId="77777777" w:rsidR="00B20E70" w:rsidRPr="00A74D23" w:rsidRDefault="00B20E70" w:rsidP="009D6EE5">
      <w:pPr>
        <w:spacing w:line="22" w:lineRule="atLeast"/>
        <w:jc w:val="both"/>
        <w:rPr>
          <w:rFonts w:asciiTheme="minorHAnsi" w:hAnsiTheme="minorHAnsi"/>
          <w:sz w:val="20"/>
        </w:rPr>
      </w:pPr>
      <w:r w:rsidRPr="00A74D23">
        <w:rPr>
          <w:rFonts w:asciiTheme="minorHAnsi" w:hAnsiTheme="minorHAnsi"/>
          <w:noProof/>
          <w:sz w:val="20"/>
        </w:rPr>
        <w:drawing>
          <wp:inline distT="0" distB="0" distL="0" distR="0" wp14:anchorId="1DF5660D" wp14:editId="6A58B638">
            <wp:extent cx="5294792" cy="1852478"/>
            <wp:effectExtent l="0" t="0" r="1270" b="0"/>
            <wp:docPr id="1366334104" name="Image 1366334104" descr="Une image contenant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diagramme&#10;&#10;Description générée automatiquement"/>
                    <pic:cNvPicPr/>
                  </pic:nvPicPr>
                  <pic:blipFill>
                    <a:blip r:embed="rId124"/>
                    <a:stretch>
                      <a:fillRect/>
                    </a:stretch>
                  </pic:blipFill>
                  <pic:spPr>
                    <a:xfrm>
                      <a:off x="0" y="0"/>
                      <a:ext cx="5311943" cy="1858479"/>
                    </a:xfrm>
                    <a:prstGeom prst="rect">
                      <a:avLst/>
                    </a:prstGeom>
                  </pic:spPr>
                </pic:pic>
              </a:graphicData>
            </a:graphic>
          </wp:inline>
        </w:drawing>
      </w:r>
    </w:p>
    <w:p w14:paraId="3DB8E36E" w14:textId="77777777" w:rsidR="00B20E70" w:rsidRPr="00A74D23" w:rsidRDefault="00B20E70" w:rsidP="009D6EE5">
      <w:pPr>
        <w:spacing w:line="22" w:lineRule="atLeast"/>
        <w:jc w:val="both"/>
        <w:rPr>
          <w:rFonts w:asciiTheme="minorHAnsi" w:hAnsiTheme="minorHAnsi"/>
          <w:i/>
          <w:iCs/>
          <w:sz w:val="20"/>
          <w:lang w:val="fr-FR"/>
        </w:rPr>
      </w:pPr>
      <w:r w:rsidRPr="00A74D23">
        <w:rPr>
          <w:rFonts w:asciiTheme="minorHAnsi" w:hAnsiTheme="minorHAnsi"/>
          <w:i/>
          <w:iCs/>
          <w:sz w:val="20"/>
          <w:lang w:val="fr-FR"/>
        </w:rPr>
        <w:t>Source : Abeille Assurances</w:t>
      </w:r>
    </w:p>
    <w:p w14:paraId="78F9C7DA" w14:textId="77777777" w:rsidR="00B20E70" w:rsidRPr="00A74D23" w:rsidRDefault="00B20E70" w:rsidP="009D6EE5">
      <w:pPr>
        <w:spacing w:line="22" w:lineRule="atLeast"/>
        <w:jc w:val="both"/>
        <w:rPr>
          <w:rFonts w:asciiTheme="minorHAnsi" w:hAnsiTheme="minorHAnsi"/>
          <w:sz w:val="20"/>
          <w:lang w:val="fr-FR"/>
        </w:rPr>
      </w:pPr>
    </w:p>
    <w:p w14:paraId="6807B374" w14:textId="77777777" w:rsidR="00E16291" w:rsidRPr="00A74D23" w:rsidRDefault="00B20E70" w:rsidP="009D6EE5">
      <w:pPr>
        <w:spacing w:line="22" w:lineRule="atLeast"/>
        <w:jc w:val="both"/>
        <w:rPr>
          <w:rFonts w:asciiTheme="minorHAnsi" w:hAnsiTheme="minorHAnsi" w:cstheme="minorHAnsi"/>
          <w:sz w:val="20"/>
          <w:szCs w:val="20"/>
          <w:lang w:val="fr-FR"/>
        </w:rPr>
      </w:pPr>
      <w:r w:rsidRPr="00A74D23">
        <w:rPr>
          <w:rFonts w:asciiTheme="minorHAnsi" w:hAnsiTheme="minorHAnsi"/>
          <w:sz w:val="20"/>
          <w:lang w:val="fr-FR"/>
        </w:rPr>
        <w:t>Une deuxième analyse plus approfondie permet de sortir le score ESG de l’actif et d’éventuellement fixer les montants d’investissement (« </w:t>
      </w:r>
      <w:r w:rsidR="00E16291" w:rsidRPr="00A74D23">
        <w:rPr>
          <w:rFonts w:asciiTheme="minorHAnsi" w:hAnsiTheme="minorHAnsi" w:cstheme="minorHAnsi"/>
          <w:sz w:val="20"/>
          <w:szCs w:val="20"/>
          <w:lang w:val="fr-FR"/>
        </w:rPr>
        <w:t xml:space="preserve">Pour les </w:t>
      </w:r>
      <w:r w:rsidR="00E16291" w:rsidRPr="00A74D23">
        <w:rPr>
          <w:rFonts w:asciiTheme="minorHAnsi" w:hAnsiTheme="minorHAnsi" w:cstheme="minorHAnsi"/>
          <w:b/>
          <w:bCs/>
          <w:sz w:val="20"/>
          <w:szCs w:val="20"/>
          <w:lang w:val="fr-FR"/>
        </w:rPr>
        <w:t>actifs en exploitation</w:t>
      </w:r>
      <w:r w:rsidR="00E16291" w:rsidRPr="00A74D23">
        <w:rPr>
          <w:rFonts w:asciiTheme="minorHAnsi" w:hAnsiTheme="minorHAnsi" w:cstheme="minorHAnsi"/>
          <w:sz w:val="20"/>
          <w:szCs w:val="20"/>
          <w:lang w:val="fr-FR"/>
        </w:rPr>
        <w:t>, les aspects suivants sont évalués :</w:t>
      </w:r>
    </w:p>
    <w:p w14:paraId="4545A50C" w14:textId="77777777" w:rsidR="00E16291" w:rsidRPr="00A74D23" w:rsidRDefault="00E16291" w:rsidP="009D6EE5">
      <w:pPr>
        <w:spacing w:line="22" w:lineRule="atLeast"/>
        <w:jc w:val="both"/>
        <w:rPr>
          <w:rFonts w:asciiTheme="minorHAnsi" w:hAnsiTheme="minorHAnsi" w:cstheme="minorHAnsi"/>
          <w:sz w:val="20"/>
          <w:szCs w:val="20"/>
          <w:lang w:val="fr-FR"/>
        </w:rPr>
      </w:pPr>
    </w:p>
    <w:tbl>
      <w:tblPr>
        <w:tblW w:w="10218" w:type="dxa"/>
        <w:tblLook w:val="04A0" w:firstRow="1" w:lastRow="0" w:firstColumn="1" w:lastColumn="0" w:noHBand="0" w:noVBand="1"/>
      </w:tblPr>
      <w:tblGrid>
        <w:gridCol w:w="5393"/>
        <w:gridCol w:w="4825"/>
      </w:tblGrid>
      <w:tr w:rsidR="00E16291" w:rsidRPr="00A74D23" w14:paraId="5D645A5F" w14:textId="77777777" w:rsidTr="00E16291">
        <w:trPr>
          <w:trHeight w:val="406"/>
        </w:trPr>
        <w:tc>
          <w:tcPr>
            <w:tcW w:w="10218" w:type="dxa"/>
            <w:gridSpan w:val="2"/>
            <w:tcBorders>
              <w:top w:val="single" w:sz="4" w:space="0" w:color="auto"/>
              <w:left w:val="single" w:sz="4" w:space="0" w:color="auto"/>
              <w:bottom w:val="single" w:sz="4" w:space="0" w:color="auto"/>
              <w:right w:val="single" w:sz="4" w:space="0" w:color="auto"/>
            </w:tcBorders>
            <w:shd w:val="clear" w:color="000000" w:fill="4EA72E"/>
            <w:vAlign w:val="center"/>
            <w:hideMark/>
          </w:tcPr>
          <w:p w14:paraId="0A7C4B60" w14:textId="77777777" w:rsidR="00E16291" w:rsidRPr="00A74D23" w:rsidRDefault="00E16291" w:rsidP="009D6EE5">
            <w:pPr>
              <w:spacing w:line="22" w:lineRule="atLeast"/>
              <w:jc w:val="both"/>
              <w:rPr>
                <w:rFonts w:asciiTheme="minorHAnsi" w:hAnsiTheme="minorHAnsi" w:cstheme="minorHAnsi"/>
                <w:sz w:val="20"/>
                <w:szCs w:val="20"/>
              </w:rPr>
            </w:pPr>
            <w:r w:rsidRPr="00A74D23">
              <w:rPr>
                <w:rFonts w:asciiTheme="minorHAnsi" w:hAnsiTheme="minorHAnsi" w:cstheme="minorHAnsi"/>
                <w:sz w:val="20"/>
                <w:szCs w:val="20"/>
              </w:rPr>
              <w:t>Environnement</w:t>
            </w:r>
          </w:p>
        </w:tc>
      </w:tr>
      <w:tr w:rsidR="00E16291" w:rsidRPr="00A74D23" w14:paraId="79F833F1" w14:textId="77777777" w:rsidTr="00E16291">
        <w:trPr>
          <w:trHeight w:val="82"/>
        </w:trPr>
        <w:tc>
          <w:tcPr>
            <w:tcW w:w="5393" w:type="dxa"/>
            <w:tcBorders>
              <w:top w:val="single" w:sz="4" w:space="0" w:color="auto"/>
              <w:left w:val="single" w:sz="4" w:space="0" w:color="auto"/>
              <w:bottom w:val="nil"/>
              <w:right w:val="nil"/>
            </w:tcBorders>
            <w:shd w:val="clear" w:color="000000" w:fill="F2F2F2"/>
            <w:vAlign w:val="center"/>
          </w:tcPr>
          <w:p w14:paraId="6DEBC6B3"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Intensité Energétique EF</w:t>
            </w:r>
          </w:p>
        </w:tc>
        <w:tc>
          <w:tcPr>
            <w:tcW w:w="4825" w:type="dxa"/>
            <w:tcBorders>
              <w:top w:val="single" w:sz="4" w:space="0" w:color="auto"/>
              <w:left w:val="nil"/>
              <w:bottom w:val="nil"/>
              <w:right w:val="single" w:sz="4" w:space="0" w:color="auto"/>
            </w:tcBorders>
            <w:shd w:val="clear" w:color="000000" w:fill="F2F2F2"/>
            <w:vAlign w:val="center"/>
          </w:tcPr>
          <w:p w14:paraId="0932B937"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Fluide Frigorigène</w:t>
            </w:r>
          </w:p>
        </w:tc>
      </w:tr>
      <w:tr w:rsidR="00E16291" w:rsidRPr="00A74D23" w14:paraId="162E8821" w14:textId="77777777" w:rsidTr="00E16291">
        <w:trPr>
          <w:trHeight w:val="94"/>
        </w:trPr>
        <w:tc>
          <w:tcPr>
            <w:tcW w:w="5393" w:type="dxa"/>
            <w:tcBorders>
              <w:top w:val="nil"/>
              <w:left w:val="single" w:sz="4" w:space="0" w:color="auto"/>
              <w:bottom w:val="nil"/>
              <w:right w:val="nil"/>
            </w:tcBorders>
            <w:shd w:val="clear" w:color="000000" w:fill="FFFFFF"/>
            <w:vAlign w:val="center"/>
          </w:tcPr>
          <w:p w14:paraId="41ED90E6"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Intensité Energétique EP</w:t>
            </w:r>
          </w:p>
        </w:tc>
        <w:tc>
          <w:tcPr>
            <w:tcW w:w="4825" w:type="dxa"/>
            <w:tcBorders>
              <w:top w:val="nil"/>
              <w:left w:val="nil"/>
              <w:bottom w:val="nil"/>
              <w:right w:val="single" w:sz="4" w:space="0" w:color="auto"/>
            </w:tcBorders>
            <w:shd w:val="clear" w:color="000000" w:fill="FFFFFF"/>
            <w:vAlign w:val="center"/>
          </w:tcPr>
          <w:p w14:paraId="51DC9435"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Certification Environnementale</w:t>
            </w:r>
          </w:p>
        </w:tc>
      </w:tr>
      <w:tr w:rsidR="00E16291" w:rsidRPr="00A74D23" w14:paraId="02EFA437" w14:textId="77777777" w:rsidTr="00E16291">
        <w:trPr>
          <w:trHeight w:val="94"/>
        </w:trPr>
        <w:tc>
          <w:tcPr>
            <w:tcW w:w="5393" w:type="dxa"/>
            <w:tcBorders>
              <w:top w:val="nil"/>
              <w:left w:val="single" w:sz="4" w:space="0" w:color="auto"/>
              <w:bottom w:val="nil"/>
              <w:right w:val="nil"/>
            </w:tcBorders>
            <w:shd w:val="clear" w:color="000000" w:fill="F2F2F2"/>
            <w:vAlign w:val="center"/>
          </w:tcPr>
          <w:p w14:paraId="1229096C"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Etiquette DPE / EPC</w:t>
            </w:r>
          </w:p>
        </w:tc>
        <w:tc>
          <w:tcPr>
            <w:tcW w:w="4825" w:type="dxa"/>
            <w:tcBorders>
              <w:top w:val="nil"/>
              <w:left w:val="nil"/>
              <w:bottom w:val="nil"/>
              <w:right w:val="single" w:sz="4" w:space="0" w:color="auto"/>
            </w:tcBorders>
            <w:shd w:val="clear" w:color="000000" w:fill="F2F2F2"/>
            <w:vAlign w:val="center"/>
          </w:tcPr>
          <w:p w14:paraId="4B5B26E3"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Consommation d'eau</w:t>
            </w:r>
          </w:p>
        </w:tc>
      </w:tr>
      <w:tr w:rsidR="00E16291" w:rsidRPr="00A74D23" w14:paraId="6B90CA3A" w14:textId="77777777" w:rsidTr="00E16291">
        <w:trPr>
          <w:trHeight w:val="94"/>
        </w:trPr>
        <w:tc>
          <w:tcPr>
            <w:tcW w:w="5393" w:type="dxa"/>
            <w:tcBorders>
              <w:top w:val="nil"/>
              <w:left w:val="single" w:sz="4" w:space="0" w:color="auto"/>
              <w:bottom w:val="nil"/>
              <w:right w:val="nil"/>
            </w:tcBorders>
            <w:shd w:val="clear" w:color="000000" w:fill="FFFFFF"/>
            <w:vAlign w:val="center"/>
          </w:tcPr>
          <w:p w14:paraId="3E7B8BFA"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Trajectoire énergétique</w:t>
            </w:r>
          </w:p>
        </w:tc>
        <w:tc>
          <w:tcPr>
            <w:tcW w:w="4825" w:type="dxa"/>
            <w:tcBorders>
              <w:top w:val="nil"/>
              <w:left w:val="nil"/>
              <w:bottom w:val="nil"/>
              <w:right w:val="single" w:sz="4" w:space="0" w:color="auto"/>
            </w:tcBorders>
            <w:shd w:val="clear" w:color="000000" w:fill="FFFFFF"/>
            <w:vAlign w:val="center"/>
          </w:tcPr>
          <w:p w14:paraId="24B5BFEE"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Equipements Hydro économes</w:t>
            </w:r>
          </w:p>
        </w:tc>
      </w:tr>
      <w:tr w:rsidR="00E16291" w:rsidRPr="00A74D23" w14:paraId="6589192C" w14:textId="77777777" w:rsidTr="00E16291">
        <w:trPr>
          <w:trHeight w:val="94"/>
        </w:trPr>
        <w:tc>
          <w:tcPr>
            <w:tcW w:w="5393" w:type="dxa"/>
            <w:tcBorders>
              <w:top w:val="nil"/>
              <w:left w:val="single" w:sz="4" w:space="0" w:color="auto"/>
              <w:bottom w:val="nil"/>
              <w:right w:val="nil"/>
            </w:tcBorders>
            <w:shd w:val="clear" w:color="000000" w:fill="F2F2F2"/>
            <w:vAlign w:val="center"/>
          </w:tcPr>
          <w:p w14:paraId="2CAAF8D3"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 xml:space="preserve">Audit Energétique et Energy Management </w:t>
            </w:r>
          </w:p>
        </w:tc>
        <w:tc>
          <w:tcPr>
            <w:tcW w:w="4825" w:type="dxa"/>
            <w:tcBorders>
              <w:top w:val="nil"/>
              <w:left w:val="nil"/>
              <w:bottom w:val="nil"/>
              <w:right w:val="single" w:sz="4" w:space="0" w:color="auto"/>
            </w:tcBorders>
            <w:shd w:val="clear" w:color="000000" w:fill="F2F2F2"/>
            <w:vAlign w:val="center"/>
          </w:tcPr>
          <w:p w14:paraId="361883E8"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 xml:space="preserve">Déchets - Tri sélectif </w:t>
            </w:r>
          </w:p>
        </w:tc>
      </w:tr>
      <w:tr w:rsidR="00E16291" w:rsidRPr="00601C93" w14:paraId="71B7A192" w14:textId="77777777" w:rsidTr="00E16291">
        <w:trPr>
          <w:trHeight w:val="94"/>
        </w:trPr>
        <w:tc>
          <w:tcPr>
            <w:tcW w:w="5393" w:type="dxa"/>
            <w:tcBorders>
              <w:top w:val="nil"/>
              <w:left w:val="single" w:sz="4" w:space="0" w:color="auto"/>
              <w:bottom w:val="nil"/>
              <w:right w:val="nil"/>
            </w:tcBorders>
            <w:shd w:val="clear" w:color="000000" w:fill="FFFFFF"/>
            <w:vAlign w:val="center"/>
          </w:tcPr>
          <w:p w14:paraId="5797882C"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Pilotage de la Performance Energétique du bâtiment</w:t>
            </w:r>
          </w:p>
        </w:tc>
        <w:tc>
          <w:tcPr>
            <w:tcW w:w="4825" w:type="dxa"/>
            <w:tcBorders>
              <w:top w:val="nil"/>
              <w:left w:val="nil"/>
              <w:bottom w:val="nil"/>
              <w:right w:val="single" w:sz="4" w:space="0" w:color="auto"/>
            </w:tcBorders>
            <w:shd w:val="clear" w:color="000000" w:fill="FFFFFF"/>
            <w:vAlign w:val="center"/>
          </w:tcPr>
          <w:p w14:paraId="6B4FDBFE"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Déchets - Gestion des déchets par un prestataire</w:t>
            </w:r>
          </w:p>
        </w:tc>
      </w:tr>
      <w:tr w:rsidR="00E16291" w:rsidRPr="00A74D23" w14:paraId="778AB86B" w14:textId="77777777" w:rsidTr="00E16291">
        <w:trPr>
          <w:trHeight w:val="94"/>
        </w:trPr>
        <w:tc>
          <w:tcPr>
            <w:tcW w:w="5393" w:type="dxa"/>
            <w:tcBorders>
              <w:top w:val="nil"/>
              <w:left w:val="single" w:sz="4" w:space="0" w:color="auto"/>
              <w:bottom w:val="nil"/>
              <w:right w:val="nil"/>
            </w:tcBorders>
            <w:shd w:val="clear" w:color="000000" w:fill="F2F2F2"/>
            <w:vAlign w:val="center"/>
          </w:tcPr>
          <w:p w14:paraId="2CBE5973"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Energie verte (contrat ou réseau urbain)</w:t>
            </w:r>
          </w:p>
        </w:tc>
        <w:tc>
          <w:tcPr>
            <w:tcW w:w="4825" w:type="dxa"/>
            <w:tcBorders>
              <w:top w:val="nil"/>
              <w:left w:val="nil"/>
              <w:bottom w:val="nil"/>
              <w:right w:val="single" w:sz="4" w:space="0" w:color="auto"/>
            </w:tcBorders>
            <w:shd w:val="clear" w:color="000000" w:fill="F2F2F2"/>
            <w:vAlign w:val="center"/>
          </w:tcPr>
          <w:p w14:paraId="1D7A4A8D"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Biodiversité - Taux de Végétalisation</w:t>
            </w:r>
          </w:p>
        </w:tc>
      </w:tr>
      <w:tr w:rsidR="00E16291" w:rsidRPr="00A74D23" w14:paraId="5005B9A1" w14:textId="77777777" w:rsidTr="00E16291">
        <w:trPr>
          <w:trHeight w:val="94"/>
        </w:trPr>
        <w:tc>
          <w:tcPr>
            <w:tcW w:w="5393" w:type="dxa"/>
            <w:tcBorders>
              <w:top w:val="nil"/>
              <w:left w:val="single" w:sz="4" w:space="0" w:color="auto"/>
              <w:bottom w:val="nil"/>
              <w:right w:val="nil"/>
            </w:tcBorders>
            <w:shd w:val="clear" w:color="000000" w:fill="FFFFFF"/>
            <w:vAlign w:val="center"/>
          </w:tcPr>
          <w:p w14:paraId="1FD1DFBA"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Energie Renouvelable</w:t>
            </w:r>
          </w:p>
        </w:tc>
        <w:tc>
          <w:tcPr>
            <w:tcW w:w="4825" w:type="dxa"/>
            <w:tcBorders>
              <w:top w:val="nil"/>
              <w:left w:val="nil"/>
              <w:bottom w:val="nil"/>
              <w:right w:val="single" w:sz="4" w:space="0" w:color="auto"/>
            </w:tcBorders>
            <w:shd w:val="clear" w:color="000000" w:fill="FFFFFF"/>
            <w:vAlign w:val="center"/>
          </w:tcPr>
          <w:p w14:paraId="5180A9FA"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Biodiversité - Dispositifs Ecologiques Installés</w:t>
            </w:r>
          </w:p>
        </w:tc>
      </w:tr>
      <w:tr w:rsidR="00E16291" w:rsidRPr="00601C93" w14:paraId="314D6AA6" w14:textId="77777777" w:rsidTr="00E16291">
        <w:trPr>
          <w:trHeight w:val="94"/>
        </w:trPr>
        <w:tc>
          <w:tcPr>
            <w:tcW w:w="5393" w:type="dxa"/>
            <w:tcBorders>
              <w:top w:val="nil"/>
              <w:left w:val="single" w:sz="4" w:space="0" w:color="auto"/>
              <w:bottom w:val="nil"/>
              <w:right w:val="nil"/>
            </w:tcBorders>
            <w:shd w:val="clear" w:color="000000" w:fill="F2F2F2"/>
            <w:vAlign w:val="center"/>
          </w:tcPr>
          <w:p w14:paraId="06AF3F37"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Intensité Carbone</w:t>
            </w:r>
          </w:p>
        </w:tc>
        <w:tc>
          <w:tcPr>
            <w:tcW w:w="4825" w:type="dxa"/>
            <w:tcBorders>
              <w:top w:val="nil"/>
              <w:left w:val="nil"/>
              <w:bottom w:val="nil"/>
              <w:right w:val="single" w:sz="4" w:space="0" w:color="auto"/>
            </w:tcBorders>
            <w:shd w:val="clear" w:color="000000" w:fill="F2F2F2"/>
            <w:vAlign w:val="center"/>
          </w:tcPr>
          <w:p w14:paraId="0C18DFC6"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Biodiversité - Gestion Ecologique des Espaces Verts</w:t>
            </w:r>
          </w:p>
        </w:tc>
      </w:tr>
      <w:tr w:rsidR="00E16291" w:rsidRPr="00A74D23" w14:paraId="2813DDF1" w14:textId="77777777" w:rsidTr="00E16291">
        <w:trPr>
          <w:trHeight w:val="406"/>
        </w:trPr>
        <w:tc>
          <w:tcPr>
            <w:tcW w:w="5393" w:type="dxa"/>
            <w:tcBorders>
              <w:top w:val="nil"/>
              <w:left w:val="single" w:sz="4" w:space="0" w:color="auto"/>
              <w:bottom w:val="single" w:sz="4" w:space="0" w:color="auto"/>
              <w:right w:val="nil"/>
            </w:tcBorders>
            <w:shd w:val="clear" w:color="000000" w:fill="FFFFFF"/>
            <w:vAlign w:val="center"/>
          </w:tcPr>
          <w:p w14:paraId="0201333B"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Trajectoire Carbone (CRREM, SBTi)</w:t>
            </w:r>
          </w:p>
        </w:tc>
        <w:tc>
          <w:tcPr>
            <w:tcW w:w="4825" w:type="dxa"/>
            <w:tcBorders>
              <w:top w:val="nil"/>
              <w:left w:val="nil"/>
              <w:bottom w:val="single" w:sz="4" w:space="0" w:color="auto"/>
              <w:right w:val="single" w:sz="4" w:space="0" w:color="auto"/>
            </w:tcBorders>
            <w:shd w:val="clear" w:color="000000" w:fill="FFFFFF"/>
            <w:vAlign w:val="center"/>
          </w:tcPr>
          <w:p w14:paraId="03171882"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Biodiversité - Audit Ecologique</w:t>
            </w:r>
          </w:p>
        </w:tc>
      </w:tr>
    </w:tbl>
    <w:p w14:paraId="1D361F32" w14:textId="77777777" w:rsidR="00E16291" w:rsidRPr="00A74D23" w:rsidRDefault="00E16291" w:rsidP="009D6EE5">
      <w:pPr>
        <w:pStyle w:val="Heading1Text"/>
        <w:spacing w:after="0" w:line="22" w:lineRule="atLeast"/>
        <w:ind w:left="0"/>
        <w:jc w:val="both"/>
        <w:rPr>
          <w:rFonts w:cstheme="minorHAnsi"/>
          <w:color w:val="auto"/>
          <w:sz w:val="20"/>
          <w:szCs w:val="20"/>
        </w:rPr>
      </w:pPr>
    </w:p>
    <w:tbl>
      <w:tblPr>
        <w:tblW w:w="10190" w:type="dxa"/>
        <w:tblLook w:val="04A0" w:firstRow="1" w:lastRow="0" w:firstColumn="1" w:lastColumn="0" w:noHBand="0" w:noVBand="1"/>
      </w:tblPr>
      <w:tblGrid>
        <w:gridCol w:w="5379"/>
        <w:gridCol w:w="4811"/>
      </w:tblGrid>
      <w:tr w:rsidR="00E16291" w:rsidRPr="00A74D23" w14:paraId="5B05DADC" w14:textId="77777777" w:rsidTr="00E16291">
        <w:trPr>
          <w:trHeight w:val="352"/>
        </w:trPr>
        <w:tc>
          <w:tcPr>
            <w:tcW w:w="5379"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40577949" w14:textId="77777777" w:rsidR="00E16291" w:rsidRPr="00A74D23" w:rsidRDefault="00E16291" w:rsidP="009D6EE5">
            <w:pPr>
              <w:spacing w:line="22" w:lineRule="atLeast"/>
              <w:jc w:val="both"/>
              <w:rPr>
                <w:rFonts w:asciiTheme="minorHAnsi" w:hAnsiTheme="minorHAnsi" w:cstheme="minorHAnsi"/>
                <w:sz w:val="20"/>
                <w:szCs w:val="20"/>
              </w:rPr>
            </w:pPr>
            <w:r w:rsidRPr="00A74D23">
              <w:rPr>
                <w:rFonts w:asciiTheme="minorHAnsi" w:hAnsiTheme="minorHAnsi" w:cstheme="minorHAnsi"/>
                <w:sz w:val="20"/>
                <w:szCs w:val="20"/>
              </w:rPr>
              <w:t>Social</w:t>
            </w:r>
          </w:p>
        </w:tc>
        <w:tc>
          <w:tcPr>
            <w:tcW w:w="4811" w:type="dxa"/>
            <w:tcBorders>
              <w:top w:val="single" w:sz="4" w:space="0" w:color="auto"/>
              <w:left w:val="single" w:sz="4" w:space="0" w:color="auto"/>
              <w:bottom w:val="single" w:sz="4" w:space="0" w:color="auto"/>
              <w:right w:val="single" w:sz="4" w:space="0" w:color="auto"/>
            </w:tcBorders>
            <w:shd w:val="clear" w:color="000000" w:fill="83CCEB"/>
            <w:vAlign w:val="center"/>
            <w:hideMark/>
          </w:tcPr>
          <w:p w14:paraId="76D4C13B" w14:textId="77777777" w:rsidR="00E16291" w:rsidRPr="00A74D23" w:rsidRDefault="00E16291" w:rsidP="009D6EE5">
            <w:pPr>
              <w:spacing w:line="22" w:lineRule="atLeast"/>
              <w:jc w:val="both"/>
              <w:rPr>
                <w:rFonts w:asciiTheme="minorHAnsi" w:hAnsiTheme="minorHAnsi" w:cstheme="minorHAnsi"/>
                <w:sz w:val="20"/>
                <w:szCs w:val="20"/>
              </w:rPr>
            </w:pPr>
            <w:r w:rsidRPr="00A74D23">
              <w:rPr>
                <w:rFonts w:asciiTheme="minorHAnsi" w:hAnsiTheme="minorHAnsi" w:cstheme="minorHAnsi"/>
                <w:sz w:val="20"/>
                <w:szCs w:val="20"/>
              </w:rPr>
              <w:t>Gouvernance</w:t>
            </w:r>
          </w:p>
        </w:tc>
      </w:tr>
      <w:tr w:rsidR="00E16291" w:rsidRPr="00601C93" w14:paraId="0A7DFEED" w14:textId="77777777" w:rsidTr="00E16291">
        <w:trPr>
          <w:trHeight w:val="72"/>
        </w:trPr>
        <w:tc>
          <w:tcPr>
            <w:tcW w:w="5379" w:type="dxa"/>
            <w:tcBorders>
              <w:top w:val="single" w:sz="4" w:space="0" w:color="auto"/>
              <w:left w:val="single" w:sz="4" w:space="0" w:color="auto"/>
              <w:bottom w:val="nil"/>
              <w:right w:val="single" w:sz="4" w:space="0" w:color="auto"/>
            </w:tcBorders>
            <w:shd w:val="clear" w:color="000000" w:fill="F2F2F2"/>
            <w:vAlign w:val="center"/>
          </w:tcPr>
          <w:p w14:paraId="0AAA0F74"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Accessibilité PMR</w:t>
            </w:r>
          </w:p>
        </w:tc>
        <w:tc>
          <w:tcPr>
            <w:tcW w:w="4811" w:type="dxa"/>
            <w:tcBorders>
              <w:top w:val="single" w:sz="4" w:space="0" w:color="auto"/>
              <w:left w:val="nil"/>
              <w:bottom w:val="nil"/>
              <w:right w:val="single" w:sz="4" w:space="0" w:color="auto"/>
            </w:tcBorders>
            <w:shd w:val="clear" w:color="000000" w:fill="F2F2F2"/>
            <w:vAlign w:val="center"/>
          </w:tcPr>
          <w:p w14:paraId="391F8D56"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Gestion de la chaîne d'approvisionnement</w:t>
            </w:r>
          </w:p>
        </w:tc>
      </w:tr>
      <w:tr w:rsidR="00E16291" w:rsidRPr="00A74D23" w14:paraId="475F69F0" w14:textId="77777777" w:rsidTr="00E16291">
        <w:trPr>
          <w:trHeight w:val="352"/>
        </w:trPr>
        <w:tc>
          <w:tcPr>
            <w:tcW w:w="5379" w:type="dxa"/>
            <w:tcBorders>
              <w:top w:val="nil"/>
              <w:left w:val="single" w:sz="4" w:space="0" w:color="auto"/>
              <w:bottom w:val="nil"/>
              <w:right w:val="single" w:sz="4" w:space="0" w:color="auto"/>
            </w:tcBorders>
            <w:shd w:val="clear" w:color="000000" w:fill="FFFFFF"/>
            <w:vAlign w:val="center"/>
          </w:tcPr>
          <w:p w14:paraId="1EA9860B"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Mobilité - Distance des transports</w:t>
            </w:r>
          </w:p>
        </w:tc>
        <w:tc>
          <w:tcPr>
            <w:tcW w:w="4811" w:type="dxa"/>
            <w:tcBorders>
              <w:top w:val="nil"/>
              <w:left w:val="nil"/>
              <w:bottom w:val="nil"/>
              <w:right w:val="single" w:sz="4" w:space="0" w:color="auto"/>
            </w:tcBorders>
            <w:shd w:val="clear" w:color="000000" w:fill="FFFFFF"/>
            <w:vAlign w:val="center"/>
          </w:tcPr>
          <w:p w14:paraId="68881375"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Résilience au changement climatique</w:t>
            </w:r>
          </w:p>
        </w:tc>
      </w:tr>
      <w:tr w:rsidR="00E16291" w:rsidRPr="00601C93" w14:paraId="5A8AB285" w14:textId="77777777" w:rsidTr="00E16291">
        <w:trPr>
          <w:trHeight w:val="83"/>
        </w:trPr>
        <w:tc>
          <w:tcPr>
            <w:tcW w:w="5379" w:type="dxa"/>
            <w:tcBorders>
              <w:top w:val="nil"/>
              <w:left w:val="single" w:sz="4" w:space="0" w:color="auto"/>
              <w:bottom w:val="nil"/>
              <w:right w:val="single" w:sz="4" w:space="0" w:color="auto"/>
            </w:tcBorders>
            <w:shd w:val="clear" w:color="000000" w:fill="F2F2F2"/>
            <w:vAlign w:val="center"/>
          </w:tcPr>
          <w:p w14:paraId="326FEE63"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Mobilité douce - Facilité d'accès aux cyclistes</w:t>
            </w:r>
          </w:p>
        </w:tc>
        <w:tc>
          <w:tcPr>
            <w:tcW w:w="4811" w:type="dxa"/>
            <w:tcBorders>
              <w:top w:val="nil"/>
              <w:left w:val="nil"/>
              <w:bottom w:val="nil"/>
              <w:right w:val="single" w:sz="4" w:space="0" w:color="auto"/>
            </w:tcBorders>
            <w:shd w:val="clear" w:color="000000" w:fill="F2F2F2"/>
            <w:vAlign w:val="center"/>
          </w:tcPr>
          <w:p w14:paraId="0B190969"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Relation Parties Prenantes - Réunions locataires</w:t>
            </w:r>
          </w:p>
        </w:tc>
      </w:tr>
      <w:tr w:rsidR="00E16291" w:rsidRPr="00601C93" w14:paraId="6EB33507" w14:textId="77777777" w:rsidTr="00E16291">
        <w:trPr>
          <w:trHeight w:val="83"/>
        </w:trPr>
        <w:tc>
          <w:tcPr>
            <w:tcW w:w="5379" w:type="dxa"/>
            <w:tcBorders>
              <w:top w:val="nil"/>
              <w:left w:val="single" w:sz="4" w:space="0" w:color="auto"/>
              <w:bottom w:val="nil"/>
              <w:right w:val="single" w:sz="4" w:space="0" w:color="auto"/>
            </w:tcBorders>
            <w:shd w:val="clear" w:color="000000" w:fill="FFFFFF"/>
            <w:vAlign w:val="center"/>
          </w:tcPr>
          <w:p w14:paraId="15EF8D0F"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Mobilité - Bornes de recharges électriques</w:t>
            </w:r>
          </w:p>
        </w:tc>
        <w:tc>
          <w:tcPr>
            <w:tcW w:w="4811" w:type="dxa"/>
            <w:tcBorders>
              <w:top w:val="nil"/>
              <w:left w:val="nil"/>
              <w:bottom w:val="nil"/>
              <w:right w:val="single" w:sz="4" w:space="0" w:color="auto"/>
            </w:tcBorders>
            <w:shd w:val="clear" w:color="000000" w:fill="FFFFFF"/>
            <w:vAlign w:val="center"/>
          </w:tcPr>
          <w:p w14:paraId="22032BC7"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Relation Locataires - Sensibilisation des occupants finaux</w:t>
            </w:r>
          </w:p>
        </w:tc>
      </w:tr>
      <w:tr w:rsidR="00E16291" w:rsidRPr="00601C93" w14:paraId="4A78B765" w14:textId="77777777" w:rsidTr="00E16291">
        <w:trPr>
          <w:trHeight w:val="83"/>
        </w:trPr>
        <w:tc>
          <w:tcPr>
            <w:tcW w:w="5379" w:type="dxa"/>
            <w:tcBorders>
              <w:top w:val="nil"/>
              <w:left w:val="single" w:sz="4" w:space="0" w:color="auto"/>
              <w:bottom w:val="nil"/>
              <w:right w:val="single" w:sz="4" w:space="0" w:color="auto"/>
            </w:tcBorders>
            <w:shd w:val="clear" w:color="000000" w:fill="F2F2F2"/>
            <w:vAlign w:val="center"/>
          </w:tcPr>
          <w:p w14:paraId="6C062F2C"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Mobilité &amp; Services rendus aux occupants</w:t>
            </w:r>
          </w:p>
        </w:tc>
        <w:tc>
          <w:tcPr>
            <w:tcW w:w="4811" w:type="dxa"/>
            <w:tcBorders>
              <w:top w:val="nil"/>
              <w:left w:val="nil"/>
              <w:bottom w:val="nil"/>
              <w:right w:val="single" w:sz="4" w:space="0" w:color="auto"/>
            </w:tcBorders>
            <w:shd w:val="clear" w:color="000000" w:fill="F2F2F2"/>
            <w:vAlign w:val="center"/>
          </w:tcPr>
          <w:p w14:paraId="444C9EE6"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Relation Locataires - Satisfaction des locataires</w:t>
            </w:r>
          </w:p>
        </w:tc>
      </w:tr>
      <w:tr w:rsidR="00E16291" w:rsidRPr="00601C93" w14:paraId="7E0EB892" w14:textId="77777777" w:rsidTr="00E16291">
        <w:trPr>
          <w:trHeight w:val="83"/>
        </w:trPr>
        <w:tc>
          <w:tcPr>
            <w:tcW w:w="5379" w:type="dxa"/>
            <w:tcBorders>
              <w:top w:val="nil"/>
              <w:left w:val="single" w:sz="4" w:space="0" w:color="auto"/>
              <w:bottom w:val="nil"/>
              <w:right w:val="single" w:sz="4" w:space="0" w:color="auto"/>
            </w:tcBorders>
            <w:shd w:val="clear" w:color="000000" w:fill="FFFFFF"/>
            <w:vAlign w:val="center"/>
          </w:tcPr>
          <w:p w14:paraId="14206F5E"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Services rendus aux occupants - Espaces de détente</w:t>
            </w:r>
          </w:p>
        </w:tc>
        <w:tc>
          <w:tcPr>
            <w:tcW w:w="4811" w:type="dxa"/>
            <w:tcBorders>
              <w:top w:val="nil"/>
              <w:left w:val="nil"/>
              <w:bottom w:val="nil"/>
              <w:right w:val="single" w:sz="4" w:space="0" w:color="auto"/>
            </w:tcBorders>
            <w:shd w:val="clear" w:color="000000" w:fill="FFFFFF"/>
            <w:vAlign w:val="center"/>
          </w:tcPr>
          <w:p w14:paraId="3B5D1C2D"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 </w:t>
            </w:r>
          </w:p>
        </w:tc>
      </w:tr>
      <w:tr w:rsidR="00E16291" w:rsidRPr="00A74D23" w14:paraId="4A1AE0FB" w14:textId="77777777" w:rsidTr="00E16291">
        <w:trPr>
          <w:trHeight w:val="83"/>
        </w:trPr>
        <w:tc>
          <w:tcPr>
            <w:tcW w:w="5379" w:type="dxa"/>
            <w:tcBorders>
              <w:top w:val="nil"/>
              <w:left w:val="single" w:sz="4" w:space="0" w:color="auto"/>
              <w:bottom w:val="nil"/>
              <w:right w:val="single" w:sz="4" w:space="0" w:color="auto"/>
            </w:tcBorders>
            <w:shd w:val="clear" w:color="000000" w:fill="F2F2F2"/>
            <w:vAlign w:val="center"/>
          </w:tcPr>
          <w:p w14:paraId="15CBAB28"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Sécurité des occupants</w:t>
            </w:r>
          </w:p>
        </w:tc>
        <w:tc>
          <w:tcPr>
            <w:tcW w:w="4811" w:type="dxa"/>
            <w:tcBorders>
              <w:top w:val="nil"/>
              <w:left w:val="nil"/>
              <w:bottom w:val="nil"/>
              <w:right w:val="single" w:sz="4" w:space="0" w:color="auto"/>
            </w:tcBorders>
            <w:shd w:val="clear" w:color="000000" w:fill="F2F2F2"/>
            <w:vAlign w:val="center"/>
          </w:tcPr>
          <w:p w14:paraId="4171E995"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 </w:t>
            </w:r>
          </w:p>
        </w:tc>
      </w:tr>
      <w:tr w:rsidR="00E16291" w:rsidRPr="00601C93" w14:paraId="28ABB05D" w14:textId="77777777" w:rsidTr="00E16291">
        <w:trPr>
          <w:trHeight w:val="352"/>
        </w:trPr>
        <w:tc>
          <w:tcPr>
            <w:tcW w:w="5379" w:type="dxa"/>
            <w:tcBorders>
              <w:top w:val="nil"/>
              <w:left w:val="single" w:sz="4" w:space="0" w:color="auto"/>
              <w:bottom w:val="nil"/>
              <w:right w:val="single" w:sz="4" w:space="0" w:color="auto"/>
            </w:tcBorders>
            <w:shd w:val="clear" w:color="000000" w:fill="FFFFFF"/>
            <w:vAlign w:val="center"/>
          </w:tcPr>
          <w:p w14:paraId="0435CD96"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Santé &amp; confort des occupants - Confort Thermique</w:t>
            </w:r>
          </w:p>
        </w:tc>
        <w:tc>
          <w:tcPr>
            <w:tcW w:w="4811" w:type="dxa"/>
            <w:tcBorders>
              <w:top w:val="nil"/>
              <w:left w:val="nil"/>
              <w:bottom w:val="nil"/>
              <w:right w:val="single" w:sz="4" w:space="0" w:color="auto"/>
            </w:tcBorders>
            <w:shd w:val="clear" w:color="000000" w:fill="FFFFFF"/>
            <w:vAlign w:val="center"/>
          </w:tcPr>
          <w:p w14:paraId="1F1CA326"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 </w:t>
            </w:r>
          </w:p>
        </w:tc>
      </w:tr>
      <w:tr w:rsidR="00E16291" w:rsidRPr="00601C93" w14:paraId="56DB7F59" w14:textId="77777777" w:rsidTr="00E16291">
        <w:trPr>
          <w:trHeight w:val="83"/>
        </w:trPr>
        <w:tc>
          <w:tcPr>
            <w:tcW w:w="5379" w:type="dxa"/>
            <w:tcBorders>
              <w:top w:val="nil"/>
              <w:left w:val="single" w:sz="4" w:space="0" w:color="auto"/>
              <w:bottom w:val="nil"/>
              <w:right w:val="single" w:sz="4" w:space="0" w:color="auto"/>
            </w:tcBorders>
            <w:shd w:val="clear" w:color="000000" w:fill="F2F2F2"/>
            <w:vAlign w:val="center"/>
          </w:tcPr>
          <w:p w14:paraId="5D99A52B"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Santé &amp; confort des occupants  - Confort Acoustique</w:t>
            </w:r>
          </w:p>
        </w:tc>
        <w:tc>
          <w:tcPr>
            <w:tcW w:w="4811" w:type="dxa"/>
            <w:tcBorders>
              <w:top w:val="nil"/>
              <w:left w:val="nil"/>
              <w:bottom w:val="nil"/>
              <w:right w:val="single" w:sz="4" w:space="0" w:color="auto"/>
            </w:tcBorders>
            <w:shd w:val="clear" w:color="000000" w:fill="F2F2F2"/>
            <w:vAlign w:val="center"/>
          </w:tcPr>
          <w:p w14:paraId="6A62441A"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 </w:t>
            </w:r>
          </w:p>
        </w:tc>
      </w:tr>
      <w:tr w:rsidR="00E16291" w:rsidRPr="00601C93" w14:paraId="7EB0F4AB" w14:textId="77777777" w:rsidTr="00E16291">
        <w:trPr>
          <w:trHeight w:val="83"/>
        </w:trPr>
        <w:tc>
          <w:tcPr>
            <w:tcW w:w="5379" w:type="dxa"/>
            <w:tcBorders>
              <w:top w:val="nil"/>
              <w:left w:val="single" w:sz="4" w:space="0" w:color="auto"/>
              <w:bottom w:val="single" w:sz="4" w:space="0" w:color="auto"/>
              <w:right w:val="single" w:sz="4" w:space="0" w:color="auto"/>
            </w:tcBorders>
            <w:shd w:val="clear" w:color="000000" w:fill="FFFFFF"/>
            <w:vAlign w:val="center"/>
          </w:tcPr>
          <w:p w14:paraId="3DB1545F"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Santé &amp; confort des occupants  - Qualité de l'air intérieur</w:t>
            </w:r>
          </w:p>
        </w:tc>
        <w:tc>
          <w:tcPr>
            <w:tcW w:w="4811" w:type="dxa"/>
            <w:tcBorders>
              <w:top w:val="nil"/>
              <w:left w:val="nil"/>
              <w:bottom w:val="single" w:sz="4" w:space="0" w:color="auto"/>
              <w:right w:val="single" w:sz="4" w:space="0" w:color="auto"/>
            </w:tcBorders>
            <w:shd w:val="clear" w:color="000000" w:fill="FFFFFF"/>
            <w:vAlign w:val="center"/>
          </w:tcPr>
          <w:p w14:paraId="56FE8E96"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 </w:t>
            </w:r>
          </w:p>
        </w:tc>
      </w:tr>
    </w:tbl>
    <w:p w14:paraId="35B957FA" w14:textId="77777777" w:rsidR="00E16291" w:rsidRPr="00A74D23" w:rsidRDefault="00E16291" w:rsidP="009D6EE5">
      <w:pPr>
        <w:spacing w:line="22" w:lineRule="atLeast"/>
        <w:jc w:val="both"/>
        <w:rPr>
          <w:rFonts w:asciiTheme="minorHAnsi" w:hAnsiTheme="minorHAnsi" w:cstheme="minorHAnsi"/>
          <w:sz w:val="18"/>
          <w:szCs w:val="18"/>
          <w:lang w:val="fr-FR"/>
        </w:rPr>
      </w:pPr>
    </w:p>
    <w:p w14:paraId="5D504F21" w14:textId="77777777" w:rsidR="00E16291" w:rsidRPr="00A74D23" w:rsidRDefault="00E16291" w:rsidP="009D6EE5">
      <w:pPr>
        <w:spacing w:line="22" w:lineRule="atLeast"/>
        <w:jc w:val="both"/>
        <w:rPr>
          <w:rFonts w:asciiTheme="minorHAnsi" w:hAnsiTheme="minorHAnsi" w:cstheme="minorHAnsi"/>
          <w:sz w:val="18"/>
          <w:szCs w:val="18"/>
          <w:lang w:val="fr-FR"/>
        </w:rPr>
      </w:pPr>
    </w:p>
    <w:p w14:paraId="5C1D5F86" w14:textId="2270D2B6"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 xml:space="preserve">Pour les </w:t>
      </w:r>
      <w:r w:rsidRPr="00A74D23">
        <w:rPr>
          <w:rFonts w:asciiTheme="minorHAnsi" w:hAnsiTheme="minorHAnsi" w:cstheme="minorHAnsi"/>
          <w:b/>
          <w:bCs/>
          <w:sz w:val="18"/>
          <w:szCs w:val="18"/>
          <w:lang w:val="fr-FR"/>
        </w:rPr>
        <w:t>actifs en</w:t>
      </w:r>
      <w:r w:rsidRPr="00A74D23">
        <w:rPr>
          <w:rFonts w:asciiTheme="minorHAnsi" w:hAnsiTheme="minorHAnsi" w:cstheme="minorHAnsi"/>
          <w:sz w:val="18"/>
          <w:szCs w:val="18"/>
          <w:lang w:val="fr-FR"/>
        </w:rPr>
        <w:t xml:space="preserve"> </w:t>
      </w:r>
      <w:r w:rsidRPr="00A74D23">
        <w:rPr>
          <w:rFonts w:asciiTheme="minorHAnsi" w:hAnsiTheme="minorHAnsi" w:cstheme="minorHAnsi"/>
          <w:b/>
          <w:bCs/>
          <w:sz w:val="18"/>
          <w:szCs w:val="18"/>
          <w:lang w:val="fr-FR"/>
        </w:rPr>
        <w:t>construction ou rénovation</w:t>
      </w:r>
      <w:r w:rsidRPr="00A74D23">
        <w:rPr>
          <w:rFonts w:asciiTheme="minorHAnsi" w:hAnsiTheme="minorHAnsi" w:cstheme="minorHAnsi"/>
          <w:sz w:val="18"/>
          <w:szCs w:val="18"/>
          <w:lang w:val="fr-FR"/>
        </w:rPr>
        <w:t>, les critères suivants sont analysés :</w:t>
      </w:r>
    </w:p>
    <w:tbl>
      <w:tblPr>
        <w:tblW w:w="10191" w:type="dxa"/>
        <w:tblLook w:val="04A0" w:firstRow="1" w:lastRow="0" w:firstColumn="1" w:lastColumn="0" w:noHBand="0" w:noVBand="1"/>
      </w:tblPr>
      <w:tblGrid>
        <w:gridCol w:w="5379"/>
        <w:gridCol w:w="4812"/>
      </w:tblGrid>
      <w:tr w:rsidR="00E16291" w:rsidRPr="00A74D23" w14:paraId="3CDFEA04" w14:textId="77777777" w:rsidTr="00E16291">
        <w:trPr>
          <w:trHeight w:val="564"/>
        </w:trPr>
        <w:tc>
          <w:tcPr>
            <w:tcW w:w="10191" w:type="dxa"/>
            <w:gridSpan w:val="2"/>
            <w:tcBorders>
              <w:top w:val="single" w:sz="4" w:space="0" w:color="auto"/>
              <w:left w:val="single" w:sz="4" w:space="0" w:color="auto"/>
              <w:bottom w:val="single" w:sz="4" w:space="0" w:color="auto"/>
              <w:right w:val="single" w:sz="4" w:space="0" w:color="auto"/>
            </w:tcBorders>
            <w:shd w:val="clear" w:color="000000" w:fill="4EA72E"/>
            <w:vAlign w:val="center"/>
            <w:hideMark/>
          </w:tcPr>
          <w:p w14:paraId="6DE6733D" w14:textId="77777777" w:rsidR="00E16291" w:rsidRPr="00A74D23" w:rsidRDefault="00E16291" w:rsidP="009D6EE5">
            <w:pPr>
              <w:spacing w:line="22" w:lineRule="atLeast"/>
              <w:jc w:val="both"/>
              <w:rPr>
                <w:rFonts w:asciiTheme="minorHAnsi" w:hAnsiTheme="minorHAnsi" w:cstheme="minorHAnsi"/>
                <w:sz w:val="20"/>
                <w:szCs w:val="20"/>
              </w:rPr>
            </w:pPr>
            <w:r w:rsidRPr="00A74D23">
              <w:rPr>
                <w:rFonts w:asciiTheme="minorHAnsi" w:hAnsiTheme="minorHAnsi" w:cstheme="minorHAnsi"/>
                <w:sz w:val="20"/>
                <w:szCs w:val="20"/>
              </w:rPr>
              <w:t>Environnement</w:t>
            </w:r>
          </w:p>
        </w:tc>
      </w:tr>
      <w:tr w:rsidR="00E16291" w:rsidRPr="00A74D23" w14:paraId="02FD42A9" w14:textId="77777777" w:rsidTr="00E16291">
        <w:trPr>
          <w:trHeight w:val="116"/>
        </w:trPr>
        <w:tc>
          <w:tcPr>
            <w:tcW w:w="5379" w:type="dxa"/>
            <w:tcBorders>
              <w:top w:val="single" w:sz="4" w:space="0" w:color="auto"/>
              <w:left w:val="single" w:sz="4" w:space="0" w:color="auto"/>
              <w:bottom w:val="nil"/>
              <w:right w:val="nil"/>
            </w:tcBorders>
            <w:shd w:val="clear" w:color="000000" w:fill="F2F2F2"/>
            <w:vAlign w:val="center"/>
          </w:tcPr>
          <w:p w14:paraId="752162DB"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Intensité Energétique EF</w:t>
            </w:r>
          </w:p>
        </w:tc>
        <w:tc>
          <w:tcPr>
            <w:tcW w:w="4811" w:type="dxa"/>
            <w:tcBorders>
              <w:top w:val="single" w:sz="4" w:space="0" w:color="auto"/>
              <w:left w:val="nil"/>
              <w:bottom w:val="nil"/>
              <w:right w:val="single" w:sz="4" w:space="0" w:color="auto"/>
            </w:tcBorders>
            <w:shd w:val="clear" w:color="000000" w:fill="F2F2F2"/>
            <w:vAlign w:val="center"/>
          </w:tcPr>
          <w:p w14:paraId="1CDA6FBC"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Certification Environnementale</w:t>
            </w:r>
          </w:p>
        </w:tc>
      </w:tr>
      <w:tr w:rsidR="00E16291" w:rsidRPr="00A74D23" w14:paraId="112E6B76" w14:textId="77777777" w:rsidTr="00E16291">
        <w:trPr>
          <w:trHeight w:val="132"/>
        </w:trPr>
        <w:tc>
          <w:tcPr>
            <w:tcW w:w="5379" w:type="dxa"/>
            <w:tcBorders>
              <w:top w:val="nil"/>
              <w:left w:val="single" w:sz="4" w:space="0" w:color="auto"/>
              <w:bottom w:val="nil"/>
              <w:right w:val="nil"/>
            </w:tcBorders>
            <w:shd w:val="clear" w:color="000000" w:fill="FFFFFF"/>
            <w:vAlign w:val="center"/>
          </w:tcPr>
          <w:p w14:paraId="48F30C2F"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Intensité Energétique EP</w:t>
            </w:r>
          </w:p>
        </w:tc>
        <w:tc>
          <w:tcPr>
            <w:tcW w:w="4811" w:type="dxa"/>
            <w:tcBorders>
              <w:top w:val="nil"/>
              <w:left w:val="nil"/>
              <w:bottom w:val="nil"/>
              <w:right w:val="single" w:sz="4" w:space="0" w:color="auto"/>
            </w:tcBorders>
            <w:shd w:val="clear" w:color="000000" w:fill="FFFFFF"/>
            <w:vAlign w:val="center"/>
          </w:tcPr>
          <w:p w14:paraId="2F274929"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Consommations d'eau du chantier</w:t>
            </w:r>
          </w:p>
        </w:tc>
      </w:tr>
      <w:tr w:rsidR="00E16291" w:rsidRPr="00A74D23" w14:paraId="3A5F2C94" w14:textId="77777777" w:rsidTr="00E16291">
        <w:trPr>
          <w:trHeight w:val="132"/>
        </w:trPr>
        <w:tc>
          <w:tcPr>
            <w:tcW w:w="5379" w:type="dxa"/>
            <w:tcBorders>
              <w:top w:val="nil"/>
              <w:left w:val="single" w:sz="4" w:space="0" w:color="auto"/>
              <w:bottom w:val="nil"/>
              <w:right w:val="nil"/>
            </w:tcBorders>
            <w:shd w:val="clear" w:color="000000" w:fill="FFFFFF"/>
            <w:vAlign w:val="center"/>
          </w:tcPr>
          <w:p w14:paraId="3CDD3EDF"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Consommations d’énergie du chantier</w:t>
            </w:r>
          </w:p>
        </w:tc>
        <w:tc>
          <w:tcPr>
            <w:tcW w:w="4811" w:type="dxa"/>
            <w:tcBorders>
              <w:top w:val="nil"/>
              <w:left w:val="nil"/>
              <w:bottom w:val="nil"/>
              <w:right w:val="single" w:sz="4" w:space="0" w:color="auto"/>
            </w:tcBorders>
            <w:shd w:val="clear" w:color="000000" w:fill="FFFFFF"/>
            <w:vAlign w:val="center"/>
          </w:tcPr>
          <w:p w14:paraId="0EC1C2E9"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Equipements Hydro économes</w:t>
            </w:r>
          </w:p>
        </w:tc>
      </w:tr>
      <w:tr w:rsidR="00E16291" w:rsidRPr="00601C93" w14:paraId="1ECF73B7" w14:textId="77777777" w:rsidTr="00E16291">
        <w:trPr>
          <w:trHeight w:val="132"/>
        </w:trPr>
        <w:tc>
          <w:tcPr>
            <w:tcW w:w="5379" w:type="dxa"/>
            <w:tcBorders>
              <w:top w:val="nil"/>
              <w:left w:val="single" w:sz="4" w:space="0" w:color="auto"/>
              <w:bottom w:val="nil"/>
              <w:right w:val="nil"/>
            </w:tcBorders>
            <w:shd w:val="clear" w:color="000000" w:fill="F2F2F2"/>
            <w:vAlign w:val="center"/>
          </w:tcPr>
          <w:p w14:paraId="703DEBA0"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Etiquette DPE / EPC</w:t>
            </w:r>
          </w:p>
        </w:tc>
        <w:tc>
          <w:tcPr>
            <w:tcW w:w="4811" w:type="dxa"/>
            <w:tcBorders>
              <w:top w:val="nil"/>
              <w:left w:val="nil"/>
              <w:bottom w:val="nil"/>
              <w:right w:val="single" w:sz="4" w:space="0" w:color="auto"/>
            </w:tcBorders>
            <w:shd w:val="clear" w:color="000000" w:fill="F2F2F2"/>
            <w:vAlign w:val="center"/>
          </w:tcPr>
          <w:p w14:paraId="12854C5E"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Dispositifs de réduction des consommations d’eau</w:t>
            </w:r>
          </w:p>
        </w:tc>
      </w:tr>
      <w:tr w:rsidR="00E16291" w:rsidRPr="00A74D23" w14:paraId="268A1DD9" w14:textId="77777777" w:rsidTr="00E16291">
        <w:trPr>
          <w:trHeight w:val="132"/>
        </w:trPr>
        <w:tc>
          <w:tcPr>
            <w:tcW w:w="5379" w:type="dxa"/>
            <w:tcBorders>
              <w:top w:val="nil"/>
              <w:left w:val="single" w:sz="4" w:space="0" w:color="auto"/>
              <w:bottom w:val="nil"/>
              <w:right w:val="nil"/>
            </w:tcBorders>
            <w:shd w:val="clear" w:color="000000" w:fill="F2F2F2"/>
            <w:vAlign w:val="center"/>
          </w:tcPr>
          <w:p w14:paraId="1796E47D"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Performance Thermique du bâtiment</w:t>
            </w:r>
          </w:p>
        </w:tc>
        <w:tc>
          <w:tcPr>
            <w:tcW w:w="4811" w:type="dxa"/>
            <w:tcBorders>
              <w:top w:val="nil"/>
              <w:left w:val="nil"/>
              <w:bottom w:val="nil"/>
              <w:right w:val="single" w:sz="4" w:space="0" w:color="auto"/>
            </w:tcBorders>
            <w:shd w:val="clear" w:color="000000" w:fill="F2F2F2"/>
            <w:vAlign w:val="center"/>
          </w:tcPr>
          <w:p w14:paraId="12C83AF2"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Déchets – Local de Stockage</w:t>
            </w:r>
          </w:p>
        </w:tc>
      </w:tr>
      <w:tr w:rsidR="00E16291" w:rsidRPr="00A74D23" w14:paraId="600311E8" w14:textId="77777777" w:rsidTr="00E16291">
        <w:trPr>
          <w:trHeight w:val="132"/>
        </w:trPr>
        <w:tc>
          <w:tcPr>
            <w:tcW w:w="5379" w:type="dxa"/>
            <w:tcBorders>
              <w:top w:val="nil"/>
              <w:left w:val="single" w:sz="4" w:space="0" w:color="auto"/>
              <w:bottom w:val="nil"/>
              <w:right w:val="nil"/>
            </w:tcBorders>
            <w:shd w:val="clear" w:color="000000" w:fill="FFFFFF"/>
            <w:vAlign w:val="center"/>
          </w:tcPr>
          <w:p w14:paraId="1BA7CFB2"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Trajectoire énergétique</w:t>
            </w:r>
          </w:p>
        </w:tc>
        <w:tc>
          <w:tcPr>
            <w:tcW w:w="4811" w:type="dxa"/>
            <w:tcBorders>
              <w:top w:val="nil"/>
              <w:left w:val="nil"/>
              <w:bottom w:val="nil"/>
              <w:right w:val="single" w:sz="4" w:space="0" w:color="auto"/>
            </w:tcBorders>
            <w:shd w:val="clear" w:color="000000" w:fill="FFFFFF"/>
            <w:vAlign w:val="center"/>
          </w:tcPr>
          <w:p w14:paraId="0FD7AC8B"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Déchets – Déchets de chantier</w:t>
            </w:r>
          </w:p>
        </w:tc>
      </w:tr>
      <w:tr w:rsidR="00E16291" w:rsidRPr="00A74D23" w14:paraId="69041D40" w14:textId="77777777" w:rsidTr="00E16291">
        <w:trPr>
          <w:trHeight w:val="132"/>
        </w:trPr>
        <w:tc>
          <w:tcPr>
            <w:tcW w:w="5379" w:type="dxa"/>
            <w:tcBorders>
              <w:top w:val="nil"/>
              <w:left w:val="single" w:sz="4" w:space="0" w:color="auto"/>
              <w:bottom w:val="nil"/>
              <w:right w:val="nil"/>
            </w:tcBorders>
            <w:shd w:val="clear" w:color="000000" w:fill="FFFFFF"/>
            <w:vAlign w:val="center"/>
          </w:tcPr>
          <w:p w14:paraId="70D2E112"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Pilotage de la Performance Energétique du bâtiment</w:t>
            </w:r>
          </w:p>
        </w:tc>
        <w:tc>
          <w:tcPr>
            <w:tcW w:w="4811" w:type="dxa"/>
            <w:tcBorders>
              <w:top w:val="nil"/>
              <w:left w:val="nil"/>
              <w:bottom w:val="nil"/>
              <w:right w:val="single" w:sz="4" w:space="0" w:color="auto"/>
            </w:tcBorders>
            <w:shd w:val="clear" w:color="000000" w:fill="FFFFFF"/>
            <w:vAlign w:val="center"/>
          </w:tcPr>
          <w:p w14:paraId="6511700A"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Matériaux de construction – ACV</w:t>
            </w:r>
          </w:p>
        </w:tc>
      </w:tr>
      <w:tr w:rsidR="00E16291" w:rsidRPr="00601C93" w14:paraId="6C15A87E" w14:textId="77777777" w:rsidTr="00E16291">
        <w:trPr>
          <w:trHeight w:val="132"/>
        </w:trPr>
        <w:tc>
          <w:tcPr>
            <w:tcW w:w="5379" w:type="dxa"/>
            <w:tcBorders>
              <w:top w:val="nil"/>
              <w:left w:val="single" w:sz="4" w:space="0" w:color="auto"/>
              <w:bottom w:val="nil"/>
              <w:right w:val="nil"/>
            </w:tcBorders>
            <w:shd w:val="clear" w:color="000000" w:fill="F2F2F2"/>
            <w:vAlign w:val="center"/>
          </w:tcPr>
          <w:p w14:paraId="5DE3167C"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Approvisionnement en Energie du site</w:t>
            </w:r>
          </w:p>
        </w:tc>
        <w:tc>
          <w:tcPr>
            <w:tcW w:w="4811" w:type="dxa"/>
            <w:tcBorders>
              <w:top w:val="nil"/>
              <w:left w:val="nil"/>
              <w:bottom w:val="nil"/>
              <w:right w:val="single" w:sz="4" w:space="0" w:color="auto"/>
            </w:tcBorders>
            <w:shd w:val="clear" w:color="000000" w:fill="F2F2F2"/>
            <w:vAlign w:val="center"/>
          </w:tcPr>
          <w:p w14:paraId="6BE28503"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Matériaux de construction – Recyclé, bio/géosourcé</w:t>
            </w:r>
          </w:p>
        </w:tc>
      </w:tr>
      <w:tr w:rsidR="00E16291" w:rsidRPr="00A74D23" w14:paraId="7A304DB5" w14:textId="77777777" w:rsidTr="00E16291">
        <w:trPr>
          <w:trHeight w:val="132"/>
        </w:trPr>
        <w:tc>
          <w:tcPr>
            <w:tcW w:w="5379" w:type="dxa"/>
            <w:tcBorders>
              <w:top w:val="nil"/>
              <w:left w:val="single" w:sz="4" w:space="0" w:color="auto"/>
              <w:bottom w:val="nil"/>
              <w:right w:val="nil"/>
            </w:tcBorders>
            <w:shd w:val="clear" w:color="000000" w:fill="FFFFFF"/>
            <w:vAlign w:val="center"/>
          </w:tcPr>
          <w:p w14:paraId="15EDD2E7"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Energie Renouvelable</w:t>
            </w:r>
          </w:p>
        </w:tc>
        <w:tc>
          <w:tcPr>
            <w:tcW w:w="4811" w:type="dxa"/>
            <w:tcBorders>
              <w:top w:val="nil"/>
              <w:left w:val="nil"/>
              <w:bottom w:val="nil"/>
              <w:right w:val="single" w:sz="4" w:space="0" w:color="auto"/>
            </w:tcBorders>
            <w:shd w:val="clear" w:color="000000" w:fill="FFFFFF"/>
            <w:vAlign w:val="center"/>
          </w:tcPr>
          <w:p w14:paraId="5FC09566"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Matériaux de construction - Réemploi</w:t>
            </w:r>
          </w:p>
        </w:tc>
      </w:tr>
      <w:tr w:rsidR="00E16291" w:rsidRPr="00601C93" w14:paraId="4FF86181" w14:textId="77777777" w:rsidTr="00E16291">
        <w:trPr>
          <w:trHeight w:val="132"/>
        </w:trPr>
        <w:tc>
          <w:tcPr>
            <w:tcW w:w="5379" w:type="dxa"/>
            <w:tcBorders>
              <w:top w:val="nil"/>
              <w:left w:val="single" w:sz="4" w:space="0" w:color="auto"/>
              <w:bottom w:val="nil"/>
              <w:right w:val="nil"/>
            </w:tcBorders>
            <w:shd w:val="clear" w:color="000000" w:fill="F2F2F2"/>
            <w:vAlign w:val="center"/>
          </w:tcPr>
          <w:p w14:paraId="2A2208EC"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Intensité Carbone</w:t>
            </w:r>
          </w:p>
        </w:tc>
        <w:tc>
          <w:tcPr>
            <w:tcW w:w="4811" w:type="dxa"/>
            <w:tcBorders>
              <w:top w:val="nil"/>
              <w:left w:val="nil"/>
              <w:bottom w:val="nil"/>
              <w:right w:val="single" w:sz="4" w:space="0" w:color="auto"/>
            </w:tcBorders>
            <w:shd w:val="clear" w:color="000000" w:fill="F2F2F2"/>
            <w:vAlign w:val="center"/>
          </w:tcPr>
          <w:p w14:paraId="76BD1C6C"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Incidences sur l’environnement Et Pollution des Sols</w:t>
            </w:r>
          </w:p>
        </w:tc>
      </w:tr>
      <w:tr w:rsidR="00E16291" w:rsidRPr="00A74D23" w14:paraId="15EBE537" w14:textId="77777777" w:rsidTr="00E16291">
        <w:trPr>
          <w:trHeight w:val="132"/>
        </w:trPr>
        <w:tc>
          <w:tcPr>
            <w:tcW w:w="5379" w:type="dxa"/>
            <w:tcBorders>
              <w:top w:val="nil"/>
              <w:left w:val="single" w:sz="4" w:space="0" w:color="auto"/>
              <w:bottom w:val="nil"/>
              <w:right w:val="nil"/>
            </w:tcBorders>
            <w:shd w:val="clear" w:color="000000" w:fill="FFFFFF"/>
            <w:vAlign w:val="center"/>
          </w:tcPr>
          <w:p w14:paraId="06C17EE3"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Trajectoire Carbone (CRREM, SBTi)</w:t>
            </w:r>
          </w:p>
        </w:tc>
        <w:tc>
          <w:tcPr>
            <w:tcW w:w="4811" w:type="dxa"/>
            <w:tcBorders>
              <w:top w:val="nil"/>
              <w:left w:val="nil"/>
              <w:bottom w:val="nil"/>
              <w:right w:val="single" w:sz="4" w:space="0" w:color="auto"/>
            </w:tcBorders>
            <w:shd w:val="clear" w:color="000000" w:fill="FFFFFF"/>
            <w:vAlign w:val="center"/>
          </w:tcPr>
          <w:p w14:paraId="482D88F4"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Biodiversité - Taux de Végétalisation</w:t>
            </w:r>
          </w:p>
        </w:tc>
      </w:tr>
      <w:tr w:rsidR="00E16291" w:rsidRPr="00A74D23" w14:paraId="781FC2B1" w14:textId="77777777" w:rsidTr="00E16291">
        <w:trPr>
          <w:trHeight w:val="132"/>
        </w:trPr>
        <w:tc>
          <w:tcPr>
            <w:tcW w:w="5379" w:type="dxa"/>
            <w:tcBorders>
              <w:top w:val="nil"/>
              <w:left w:val="single" w:sz="4" w:space="0" w:color="auto"/>
              <w:bottom w:val="nil"/>
              <w:right w:val="nil"/>
            </w:tcBorders>
            <w:shd w:val="clear" w:color="000000" w:fill="F2F2F2"/>
            <w:vAlign w:val="center"/>
          </w:tcPr>
          <w:p w14:paraId="15C52A07"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Temps de Retour Carbone (TRC)</w:t>
            </w:r>
          </w:p>
        </w:tc>
        <w:tc>
          <w:tcPr>
            <w:tcW w:w="4811" w:type="dxa"/>
            <w:tcBorders>
              <w:top w:val="nil"/>
              <w:left w:val="nil"/>
              <w:bottom w:val="nil"/>
              <w:right w:val="single" w:sz="4" w:space="0" w:color="auto"/>
            </w:tcBorders>
            <w:shd w:val="clear" w:color="000000" w:fill="F2F2F2"/>
            <w:vAlign w:val="center"/>
          </w:tcPr>
          <w:p w14:paraId="47EA071D"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Biodiversité - Dispositifs Ecologiques Installés</w:t>
            </w:r>
          </w:p>
        </w:tc>
      </w:tr>
      <w:tr w:rsidR="00E16291" w:rsidRPr="00A74D23" w14:paraId="7B0C0CD0" w14:textId="77777777" w:rsidTr="00E16291">
        <w:trPr>
          <w:trHeight w:val="132"/>
        </w:trPr>
        <w:tc>
          <w:tcPr>
            <w:tcW w:w="5379" w:type="dxa"/>
            <w:tcBorders>
              <w:top w:val="nil"/>
              <w:left w:val="single" w:sz="4" w:space="0" w:color="auto"/>
              <w:bottom w:val="single" w:sz="4" w:space="0" w:color="auto"/>
              <w:right w:val="nil"/>
            </w:tcBorders>
            <w:shd w:val="clear" w:color="000000" w:fill="FFFFFF"/>
            <w:vAlign w:val="center"/>
          </w:tcPr>
          <w:p w14:paraId="757CF45D"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Fluide Frigorigène</w:t>
            </w:r>
          </w:p>
        </w:tc>
        <w:tc>
          <w:tcPr>
            <w:tcW w:w="4811" w:type="dxa"/>
            <w:tcBorders>
              <w:top w:val="nil"/>
              <w:left w:val="nil"/>
              <w:bottom w:val="single" w:sz="4" w:space="0" w:color="auto"/>
              <w:right w:val="single" w:sz="4" w:space="0" w:color="auto"/>
            </w:tcBorders>
            <w:shd w:val="clear" w:color="000000" w:fill="FFFFFF"/>
            <w:vAlign w:val="center"/>
          </w:tcPr>
          <w:p w14:paraId="55B77B8F"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Biodiversité - Audit Ecologique</w:t>
            </w:r>
          </w:p>
        </w:tc>
      </w:tr>
    </w:tbl>
    <w:p w14:paraId="18548F09" w14:textId="77777777" w:rsidR="00E16291" w:rsidRPr="00A74D23" w:rsidRDefault="00E16291" w:rsidP="009D6EE5">
      <w:pPr>
        <w:pStyle w:val="Heading1Text"/>
        <w:spacing w:after="0" w:line="22" w:lineRule="atLeast"/>
        <w:ind w:left="0"/>
        <w:jc w:val="both"/>
        <w:rPr>
          <w:rFonts w:cstheme="minorHAnsi"/>
          <w:color w:val="auto"/>
          <w:sz w:val="20"/>
          <w:szCs w:val="20"/>
        </w:rPr>
      </w:pPr>
    </w:p>
    <w:tbl>
      <w:tblPr>
        <w:tblW w:w="10348" w:type="dxa"/>
        <w:tblLook w:val="04A0" w:firstRow="1" w:lastRow="0" w:firstColumn="1" w:lastColumn="0" w:noHBand="0" w:noVBand="1"/>
      </w:tblPr>
      <w:tblGrid>
        <w:gridCol w:w="4943"/>
        <w:gridCol w:w="5405"/>
      </w:tblGrid>
      <w:tr w:rsidR="00E16291" w:rsidRPr="00A74D23" w14:paraId="305B663F" w14:textId="77777777" w:rsidTr="00E16291">
        <w:trPr>
          <w:trHeight w:val="305"/>
        </w:trPr>
        <w:tc>
          <w:tcPr>
            <w:tcW w:w="4943" w:type="dxa"/>
            <w:tcBorders>
              <w:top w:val="single" w:sz="4" w:space="0" w:color="auto"/>
              <w:left w:val="single" w:sz="4" w:space="0" w:color="auto"/>
              <w:bottom w:val="single" w:sz="4" w:space="0" w:color="auto"/>
              <w:right w:val="single" w:sz="4" w:space="0" w:color="auto"/>
            </w:tcBorders>
            <w:shd w:val="clear" w:color="000000" w:fill="FFC000"/>
            <w:vAlign w:val="center"/>
            <w:hideMark/>
          </w:tcPr>
          <w:p w14:paraId="7F000F54" w14:textId="77777777" w:rsidR="00E16291" w:rsidRPr="00A74D23" w:rsidRDefault="00E16291" w:rsidP="009D6EE5">
            <w:pPr>
              <w:spacing w:line="22" w:lineRule="atLeast"/>
              <w:jc w:val="both"/>
              <w:rPr>
                <w:rFonts w:asciiTheme="minorHAnsi" w:hAnsiTheme="minorHAnsi" w:cstheme="minorHAnsi"/>
                <w:sz w:val="20"/>
                <w:szCs w:val="20"/>
              </w:rPr>
            </w:pPr>
            <w:r w:rsidRPr="00A74D23">
              <w:rPr>
                <w:rFonts w:asciiTheme="minorHAnsi" w:hAnsiTheme="minorHAnsi" w:cstheme="minorHAnsi"/>
                <w:sz w:val="20"/>
                <w:szCs w:val="20"/>
              </w:rPr>
              <w:t>Social</w:t>
            </w:r>
          </w:p>
        </w:tc>
        <w:tc>
          <w:tcPr>
            <w:tcW w:w="5405" w:type="dxa"/>
            <w:tcBorders>
              <w:top w:val="single" w:sz="4" w:space="0" w:color="auto"/>
              <w:left w:val="single" w:sz="4" w:space="0" w:color="auto"/>
              <w:bottom w:val="single" w:sz="4" w:space="0" w:color="auto"/>
              <w:right w:val="single" w:sz="4" w:space="0" w:color="auto"/>
            </w:tcBorders>
            <w:shd w:val="clear" w:color="000000" w:fill="83CCEB"/>
            <w:vAlign w:val="center"/>
            <w:hideMark/>
          </w:tcPr>
          <w:p w14:paraId="4058F929" w14:textId="77777777" w:rsidR="00E16291" w:rsidRPr="00A74D23" w:rsidRDefault="00E16291" w:rsidP="009D6EE5">
            <w:pPr>
              <w:spacing w:line="22" w:lineRule="atLeast"/>
              <w:jc w:val="both"/>
              <w:rPr>
                <w:rFonts w:asciiTheme="minorHAnsi" w:hAnsiTheme="minorHAnsi" w:cstheme="minorHAnsi"/>
                <w:sz w:val="20"/>
                <w:szCs w:val="20"/>
              </w:rPr>
            </w:pPr>
            <w:r w:rsidRPr="00A74D23">
              <w:rPr>
                <w:rFonts w:asciiTheme="minorHAnsi" w:hAnsiTheme="minorHAnsi" w:cstheme="minorHAnsi"/>
                <w:sz w:val="20"/>
                <w:szCs w:val="20"/>
              </w:rPr>
              <w:t>Gouvernance</w:t>
            </w:r>
          </w:p>
        </w:tc>
      </w:tr>
      <w:tr w:rsidR="00E16291" w:rsidRPr="00601C93" w14:paraId="1CACF9C7" w14:textId="77777777" w:rsidTr="00E16291">
        <w:trPr>
          <w:trHeight w:val="62"/>
        </w:trPr>
        <w:tc>
          <w:tcPr>
            <w:tcW w:w="4943" w:type="dxa"/>
            <w:tcBorders>
              <w:top w:val="single" w:sz="4" w:space="0" w:color="auto"/>
              <w:left w:val="single" w:sz="4" w:space="0" w:color="auto"/>
              <w:bottom w:val="nil"/>
              <w:right w:val="single" w:sz="4" w:space="0" w:color="auto"/>
            </w:tcBorders>
            <w:shd w:val="clear" w:color="000000" w:fill="F2F2F2"/>
            <w:vAlign w:val="center"/>
          </w:tcPr>
          <w:p w14:paraId="3D6E5C3F"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Accessibilité PMR</w:t>
            </w:r>
          </w:p>
        </w:tc>
        <w:tc>
          <w:tcPr>
            <w:tcW w:w="5405" w:type="dxa"/>
            <w:tcBorders>
              <w:top w:val="single" w:sz="4" w:space="0" w:color="auto"/>
              <w:left w:val="nil"/>
              <w:bottom w:val="nil"/>
              <w:right w:val="single" w:sz="4" w:space="0" w:color="auto"/>
            </w:tcBorders>
            <w:shd w:val="clear" w:color="000000" w:fill="F2F2F2"/>
            <w:vAlign w:val="center"/>
          </w:tcPr>
          <w:p w14:paraId="4DD5C32A"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Gestion de la chaîne d'approvisionnement</w:t>
            </w:r>
          </w:p>
        </w:tc>
      </w:tr>
      <w:tr w:rsidR="00E16291" w:rsidRPr="00A74D23" w14:paraId="18DEF9CE" w14:textId="77777777" w:rsidTr="00E16291">
        <w:trPr>
          <w:trHeight w:val="70"/>
        </w:trPr>
        <w:tc>
          <w:tcPr>
            <w:tcW w:w="4943" w:type="dxa"/>
            <w:tcBorders>
              <w:top w:val="nil"/>
              <w:left w:val="single" w:sz="4" w:space="0" w:color="auto"/>
              <w:bottom w:val="nil"/>
              <w:right w:val="single" w:sz="4" w:space="0" w:color="auto"/>
            </w:tcBorders>
            <w:shd w:val="clear" w:color="000000" w:fill="FFFFFF"/>
            <w:vAlign w:val="center"/>
          </w:tcPr>
          <w:p w14:paraId="32F700C4"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Mobilité - Distance des transports</w:t>
            </w:r>
          </w:p>
        </w:tc>
        <w:tc>
          <w:tcPr>
            <w:tcW w:w="5405" w:type="dxa"/>
            <w:tcBorders>
              <w:top w:val="nil"/>
              <w:left w:val="nil"/>
              <w:bottom w:val="nil"/>
              <w:right w:val="single" w:sz="4" w:space="0" w:color="auto"/>
            </w:tcBorders>
            <w:shd w:val="clear" w:color="000000" w:fill="FFFFFF"/>
            <w:vAlign w:val="center"/>
          </w:tcPr>
          <w:p w14:paraId="48E51EE4"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Résilience au changement climatique</w:t>
            </w:r>
          </w:p>
        </w:tc>
      </w:tr>
      <w:tr w:rsidR="00E16291" w:rsidRPr="0052796D" w14:paraId="0305B1E7" w14:textId="77777777" w:rsidTr="00E16291">
        <w:trPr>
          <w:trHeight w:val="70"/>
        </w:trPr>
        <w:tc>
          <w:tcPr>
            <w:tcW w:w="4943" w:type="dxa"/>
            <w:tcBorders>
              <w:top w:val="nil"/>
              <w:left w:val="single" w:sz="4" w:space="0" w:color="auto"/>
              <w:bottom w:val="nil"/>
              <w:right w:val="single" w:sz="4" w:space="0" w:color="auto"/>
            </w:tcBorders>
            <w:shd w:val="clear" w:color="000000" w:fill="F2F2F2"/>
            <w:vAlign w:val="center"/>
          </w:tcPr>
          <w:p w14:paraId="3D2219AB"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Mobilité douce - Facilité d'accès aux cyclistes</w:t>
            </w:r>
          </w:p>
        </w:tc>
        <w:tc>
          <w:tcPr>
            <w:tcW w:w="5405" w:type="dxa"/>
            <w:tcBorders>
              <w:top w:val="nil"/>
              <w:left w:val="nil"/>
              <w:bottom w:val="nil"/>
              <w:right w:val="single" w:sz="4" w:space="0" w:color="auto"/>
            </w:tcBorders>
            <w:shd w:val="clear" w:color="000000" w:fill="F2F2F2"/>
            <w:vAlign w:val="center"/>
          </w:tcPr>
          <w:p w14:paraId="603F9A0C"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Ancrage Local - Clause d'insertion sociale dans les marchés de travaux</w:t>
            </w:r>
          </w:p>
        </w:tc>
      </w:tr>
      <w:tr w:rsidR="00E16291" w:rsidRPr="0052796D" w14:paraId="05799925" w14:textId="77777777" w:rsidTr="00E16291">
        <w:trPr>
          <w:trHeight w:val="70"/>
        </w:trPr>
        <w:tc>
          <w:tcPr>
            <w:tcW w:w="4943" w:type="dxa"/>
            <w:tcBorders>
              <w:top w:val="nil"/>
              <w:left w:val="single" w:sz="4" w:space="0" w:color="auto"/>
              <w:bottom w:val="nil"/>
              <w:right w:val="single" w:sz="4" w:space="0" w:color="auto"/>
            </w:tcBorders>
            <w:shd w:val="clear" w:color="000000" w:fill="FFFFFF"/>
            <w:vAlign w:val="center"/>
          </w:tcPr>
          <w:p w14:paraId="0C86A1D8"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Mobilité - Bornes de recharges électriques</w:t>
            </w:r>
          </w:p>
        </w:tc>
        <w:tc>
          <w:tcPr>
            <w:tcW w:w="5405" w:type="dxa"/>
            <w:tcBorders>
              <w:top w:val="nil"/>
              <w:left w:val="nil"/>
              <w:bottom w:val="nil"/>
              <w:right w:val="single" w:sz="4" w:space="0" w:color="auto"/>
            </w:tcBorders>
            <w:shd w:val="clear" w:color="000000" w:fill="FFFFFF"/>
            <w:vAlign w:val="center"/>
          </w:tcPr>
          <w:p w14:paraId="23FB946B"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Ancrage Local - Recours à des compétences locales</w:t>
            </w:r>
          </w:p>
        </w:tc>
      </w:tr>
      <w:tr w:rsidR="00E16291" w:rsidRPr="0052796D" w14:paraId="54383BAA" w14:textId="77777777" w:rsidTr="00E16291">
        <w:trPr>
          <w:trHeight w:val="70"/>
        </w:trPr>
        <w:tc>
          <w:tcPr>
            <w:tcW w:w="4943" w:type="dxa"/>
            <w:tcBorders>
              <w:top w:val="nil"/>
              <w:left w:val="single" w:sz="4" w:space="0" w:color="auto"/>
              <w:bottom w:val="nil"/>
              <w:right w:val="single" w:sz="4" w:space="0" w:color="auto"/>
            </w:tcBorders>
            <w:shd w:val="clear" w:color="000000" w:fill="F2F2F2"/>
            <w:vAlign w:val="center"/>
          </w:tcPr>
          <w:p w14:paraId="24F4C139"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Mobilité &amp; Services rendus aux occupants</w:t>
            </w:r>
          </w:p>
        </w:tc>
        <w:tc>
          <w:tcPr>
            <w:tcW w:w="5405" w:type="dxa"/>
            <w:tcBorders>
              <w:top w:val="nil"/>
              <w:left w:val="nil"/>
              <w:bottom w:val="nil"/>
              <w:right w:val="single" w:sz="4" w:space="0" w:color="auto"/>
            </w:tcBorders>
            <w:shd w:val="clear" w:color="000000" w:fill="F2F2F2"/>
            <w:vAlign w:val="center"/>
          </w:tcPr>
          <w:p w14:paraId="5CA5804F"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Relation Parties Prenantes -  Concertation avec les parties prenantes</w:t>
            </w:r>
          </w:p>
        </w:tc>
      </w:tr>
      <w:tr w:rsidR="00E16291" w:rsidRPr="0052796D" w14:paraId="4D914F76" w14:textId="77777777" w:rsidTr="00E16291">
        <w:trPr>
          <w:trHeight w:val="305"/>
        </w:trPr>
        <w:tc>
          <w:tcPr>
            <w:tcW w:w="4943" w:type="dxa"/>
            <w:tcBorders>
              <w:top w:val="nil"/>
              <w:left w:val="single" w:sz="4" w:space="0" w:color="auto"/>
              <w:bottom w:val="nil"/>
              <w:right w:val="single" w:sz="4" w:space="0" w:color="auto"/>
            </w:tcBorders>
            <w:shd w:val="clear" w:color="000000" w:fill="FFFFFF"/>
            <w:vAlign w:val="center"/>
          </w:tcPr>
          <w:p w14:paraId="0C55CC91"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Services rendus aux occupants - Espaces de détente</w:t>
            </w:r>
          </w:p>
        </w:tc>
        <w:tc>
          <w:tcPr>
            <w:tcW w:w="5405" w:type="dxa"/>
            <w:tcBorders>
              <w:top w:val="nil"/>
              <w:left w:val="nil"/>
              <w:bottom w:val="nil"/>
              <w:right w:val="single" w:sz="4" w:space="0" w:color="auto"/>
            </w:tcBorders>
            <w:shd w:val="clear" w:color="000000" w:fill="FFFFFF"/>
            <w:vAlign w:val="center"/>
          </w:tcPr>
          <w:p w14:paraId="5295880D"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Relations Parties Prenantes  - Sensibilisation des occupants finaux</w:t>
            </w:r>
          </w:p>
        </w:tc>
      </w:tr>
      <w:tr w:rsidR="00E16291" w:rsidRPr="0052796D" w14:paraId="7DC83B34" w14:textId="77777777" w:rsidTr="00E16291">
        <w:trPr>
          <w:trHeight w:val="70"/>
        </w:trPr>
        <w:tc>
          <w:tcPr>
            <w:tcW w:w="4943" w:type="dxa"/>
            <w:tcBorders>
              <w:top w:val="nil"/>
              <w:left w:val="single" w:sz="4" w:space="0" w:color="auto"/>
              <w:bottom w:val="nil"/>
              <w:right w:val="single" w:sz="4" w:space="0" w:color="auto"/>
            </w:tcBorders>
            <w:shd w:val="clear" w:color="000000" w:fill="FFFFFF"/>
            <w:vAlign w:val="center"/>
          </w:tcPr>
          <w:p w14:paraId="5AA23B8E"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Services rendus aux occupants - Connectivité</w:t>
            </w:r>
          </w:p>
        </w:tc>
        <w:tc>
          <w:tcPr>
            <w:tcW w:w="5405" w:type="dxa"/>
            <w:tcBorders>
              <w:top w:val="nil"/>
              <w:left w:val="nil"/>
              <w:bottom w:val="nil"/>
              <w:right w:val="single" w:sz="4" w:space="0" w:color="auto"/>
            </w:tcBorders>
            <w:shd w:val="clear" w:color="000000" w:fill="FFFFFF"/>
            <w:vAlign w:val="center"/>
          </w:tcPr>
          <w:p w14:paraId="1CD3A0B0"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Politique d'Engagement ESG Ofi Invest RE - Respect des Enjeux ESG</w:t>
            </w:r>
          </w:p>
        </w:tc>
      </w:tr>
      <w:tr w:rsidR="00E16291" w:rsidRPr="00A74D23" w14:paraId="62A5617F" w14:textId="77777777" w:rsidTr="00E16291">
        <w:trPr>
          <w:trHeight w:val="70"/>
        </w:trPr>
        <w:tc>
          <w:tcPr>
            <w:tcW w:w="4943" w:type="dxa"/>
            <w:tcBorders>
              <w:top w:val="nil"/>
              <w:left w:val="single" w:sz="4" w:space="0" w:color="auto"/>
              <w:bottom w:val="nil"/>
              <w:right w:val="single" w:sz="4" w:space="0" w:color="auto"/>
            </w:tcBorders>
            <w:shd w:val="clear" w:color="000000" w:fill="F2F2F2"/>
            <w:vAlign w:val="center"/>
          </w:tcPr>
          <w:p w14:paraId="05942DBC"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Sécurité des occupants</w:t>
            </w:r>
          </w:p>
        </w:tc>
        <w:tc>
          <w:tcPr>
            <w:tcW w:w="5405" w:type="dxa"/>
            <w:tcBorders>
              <w:top w:val="nil"/>
              <w:left w:val="nil"/>
              <w:bottom w:val="nil"/>
              <w:right w:val="single" w:sz="4" w:space="0" w:color="auto"/>
            </w:tcBorders>
            <w:shd w:val="clear" w:color="000000" w:fill="F2F2F2"/>
            <w:vAlign w:val="center"/>
          </w:tcPr>
          <w:p w14:paraId="20AB31E2" w14:textId="77777777" w:rsidR="00E16291" w:rsidRPr="00A74D23" w:rsidRDefault="00E16291" w:rsidP="009D6EE5">
            <w:pPr>
              <w:spacing w:line="22" w:lineRule="atLeast"/>
              <w:jc w:val="both"/>
              <w:rPr>
                <w:rFonts w:asciiTheme="minorHAnsi" w:hAnsiTheme="minorHAnsi" w:cstheme="minorHAnsi"/>
                <w:sz w:val="18"/>
                <w:szCs w:val="18"/>
              </w:rPr>
            </w:pPr>
            <w:r w:rsidRPr="00A74D23">
              <w:rPr>
                <w:rFonts w:asciiTheme="minorHAnsi" w:hAnsiTheme="minorHAnsi" w:cstheme="minorHAnsi"/>
                <w:sz w:val="18"/>
                <w:szCs w:val="18"/>
              </w:rPr>
              <w:t> </w:t>
            </w:r>
          </w:p>
        </w:tc>
      </w:tr>
      <w:tr w:rsidR="00E16291" w:rsidRPr="0052796D" w14:paraId="59E7EC66" w14:textId="77777777" w:rsidTr="00E16291">
        <w:trPr>
          <w:trHeight w:val="70"/>
        </w:trPr>
        <w:tc>
          <w:tcPr>
            <w:tcW w:w="4943" w:type="dxa"/>
            <w:tcBorders>
              <w:top w:val="nil"/>
              <w:left w:val="single" w:sz="4" w:space="0" w:color="auto"/>
              <w:bottom w:val="nil"/>
              <w:right w:val="single" w:sz="4" w:space="0" w:color="auto"/>
            </w:tcBorders>
            <w:shd w:val="clear" w:color="000000" w:fill="FFFFFF"/>
            <w:vAlign w:val="center"/>
          </w:tcPr>
          <w:p w14:paraId="7D9A4064"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Santé &amp; confort des occupants - Confort Thermique</w:t>
            </w:r>
          </w:p>
        </w:tc>
        <w:tc>
          <w:tcPr>
            <w:tcW w:w="5405" w:type="dxa"/>
            <w:tcBorders>
              <w:top w:val="nil"/>
              <w:left w:val="nil"/>
              <w:bottom w:val="nil"/>
              <w:right w:val="single" w:sz="4" w:space="0" w:color="auto"/>
            </w:tcBorders>
            <w:shd w:val="clear" w:color="000000" w:fill="FFFFFF"/>
            <w:vAlign w:val="center"/>
          </w:tcPr>
          <w:p w14:paraId="21A534D1"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 </w:t>
            </w:r>
          </w:p>
        </w:tc>
      </w:tr>
      <w:tr w:rsidR="00E16291" w:rsidRPr="0052796D" w14:paraId="7DDECAB8" w14:textId="77777777" w:rsidTr="00E16291">
        <w:trPr>
          <w:trHeight w:val="70"/>
        </w:trPr>
        <w:tc>
          <w:tcPr>
            <w:tcW w:w="4943" w:type="dxa"/>
            <w:tcBorders>
              <w:top w:val="nil"/>
              <w:left w:val="single" w:sz="4" w:space="0" w:color="auto"/>
              <w:bottom w:val="nil"/>
              <w:right w:val="single" w:sz="4" w:space="0" w:color="auto"/>
            </w:tcBorders>
            <w:shd w:val="clear" w:color="000000" w:fill="F2F2F2"/>
            <w:vAlign w:val="center"/>
          </w:tcPr>
          <w:p w14:paraId="3164E0EB"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Santé &amp; confort des occupants  - Confort Acoustique</w:t>
            </w:r>
          </w:p>
        </w:tc>
        <w:tc>
          <w:tcPr>
            <w:tcW w:w="5405" w:type="dxa"/>
            <w:tcBorders>
              <w:top w:val="nil"/>
              <w:left w:val="nil"/>
              <w:bottom w:val="nil"/>
              <w:right w:val="single" w:sz="4" w:space="0" w:color="auto"/>
            </w:tcBorders>
            <w:shd w:val="clear" w:color="000000" w:fill="F2F2F2"/>
            <w:vAlign w:val="center"/>
          </w:tcPr>
          <w:p w14:paraId="06156560"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 </w:t>
            </w:r>
          </w:p>
        </w:tc>
      </w:tr>
      <w:tr w:rsidR="00E16291" w:rsidRPr="0052796D" w14:paraId="72E0695A" w14:textId="77777777" w:rsidTr="00E16291">
        <w:trPr>
          <w:trHeight w:val="70"/>
        </w:trPr>
        <w:tc>
          <w:tcPr>
            <w:tcW w:w="4943" w:type="dxa"/>
            <w:tcBorders>
              <w:top w:val="nil"/>
              <w:left w:val="single" w:sz="4" w:space="0" w:color="auto"/>
              <w:bottom w:val="single" w:sz="4" w:space="0" w:color="auto"/>
              <w:right w:val="single" w:sz="4" w:space="0" w:color="auto"/>
            </w:tcBorders>
            <w:shd w:val="clear" w:color="000000" w:fill="FFFFFF"/>
            <w:vAlign w:val="center"/>
          </w:tcPr>
          <w:p w14:paraId="6713F38C"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Santé &amp; confort des occupants  - Qualité de l'air intérieur</w:t>
            </w:r>
          </w:p>
        </w:tc>
        <w:tc>
          <w:tcPr>
            <w:tcW w:w="5405" w:type="dxa"/>
            <w:tcBorders>
              <w:top w:val="nil"/>
              <w:left w:val="nil"/>
              <w:bottom w:val="single" w:sz="4" w:space="0" w:color="auto"/>
              <w:right w:val="single" w:sz="4" w:space="0" w:color="auto"/>
            </w:tcBorders>
            <w:shd w:val="clear" w:color="000000" w:fill="FFFFFF"/>
            <w:vAlign w:val="center"/>
          </w:tcPr>
          <w:p w14:paraId="037321B2" w14:textId="77777777" w:rsidR="00E16291" w:rsidRPr="00A74D23" w:rsidRDefault="00E16291" w:rsidP="009D6EE5">
            <w:pPr>
              <w:spacing w:line="22" w:lineRule="atLeast"/>
              <w:jc w:val="both"/>
              <w:rPr>
                <w:rFonts w:asciiTheme="minorHAnsi" w:hAnsiTheme="minorHAnsi" w:cstheme="minorHAnsi"/>
                <w:sz w:val="18"/>
                <w:szCs w:val="18"/>
                <w:lang w:val="fr-FR"/>
              </w:rPr>
            </w:pPr>
            <w:r w:rsidRPr="00A74D23">
              <w:rPr>
                <w:rFonts w:asciiTheme="minorHAnsi" w:hAnsiTheme="minorHAnsi" w:cstheme="minorHAnsi"/>
                <w:sz w:val="18"/>
                <w:szCs w:val="18"/>
                <w:lang w:val="fr-FR"/>
              </w:rPr>
              <w:t> </w:t>
            </w:r>
          </w:p>
        </w:tc>
      </w:tr>
    </w:tbl>
    <w:p w14:paraId="26368AAC" w14:textId="77777777" w:rsidR="00E16291" w:rsidRPr="00A74D23" w:rsidRDefault="00E16291" w:rsidP="009D6EE5">
      <w:pPr>
        <w:spacing w:line="22" w:lineRule="atLeast"/>
        <w:jc w:val="both"/>
        <w:rPr>
          <w:rFonts w:asciiTheme="minorHAnsi" w:hAnsiTheme="minorHAnsi" w:cstheme="minorHAnsi"/>
          <w:sz w:val="20"/>
          <w:szCs w:val="20"/>
          <w:lang w:val="fr-FR"/>
        </w:rPr>
      </w:pPr>
    </w:p>
    <w:p w14:paraId="1572AE65" w14:textId="77777777" w:rsidR="00E16291" w:rsidRPr="00A74D23" w:rsidRDefault="00E16291" w:rsidP="009D6EE5">
      <w:pPr>
        <w:spacing w:line="22" w:lineRule="atLeast"/>
        <w:jc w:val="both"/>
        <w:rPr>
          <w:rFonts w:asciiTheme="minorHAnsi" w:hAnsiTheme="minorHAnsi" w:cstheme="minorHAnsi"/>
          <w:sz w:val="20"/>
          <w:szCs w:val="20"/>
          <w:lang w:val="fr-FR"/>
        </w:rPr>
      </w:pPr>
      <w:r w:rsidRPr="00A74D23">
        <w:rPr>
          <w:rFonts w:asciiTheme="minorHAnsi" w:hAnsiTheme="minorHAnsi" w:cstheme="minorHAnsi"/>
          <w:sz w:val="20"/>
          <w:szCs w:val="20"/>
          <w:lang w:val="fr-FR"/>
        </w:rPr>
        <w:t xml:space="preserve"> La prise en compte de ces critères est différenciée en fonction du secteur (logistique, bureau, résidentiel, commerce…) et du pays.</w:t>
      </w:r>
    </w:p>
    <w:p w14:paraId="2174EEAF" w14:textId="6B991E39" w:rsidR="00B20E70" w:rsidRPr="00A74D23" w:rsidRDefault="00B20E70" w:rsidP="009D6EE5">
      <w:pPr>
        <w:spacing w:line="22" w:lineRule="atLeast"/>
        <w:jc w:val="both"/>
        <w:rPr>
          <w:rFonts w:asciiTheme="minorHAnsi" w:hAnsiTheme="minorHAnsi"/>
          <w:sz w:val="20"/>
          <w:lang w:val="fr-FR"/>
        </w:rPr>
      </w:pPr>
      <w:r w:rsidRPr="00A74D23">
        <w:rPr>
          <w:rFonts w:asciiTheme="minorHAnsi" w:hAnsiTheme="minorHAnsi"/>
          <w:sz w:val="20"/>
          <w:lang w:val="fr-FR"/>
        </w:rPr>
        <w:t>CAPEX verts ») à engager afin d’une mise à niveau sur les critères ESG.</w:t>
      </w:r>
    </w:p>
    <w:p w14:paraId="47106B90" w14:textId="51C376BB" w:rsidR="0028314F" w:rsidRPr="00A74D23" w:rsidRDefault="0028314F" w:rsidP="009D6EE5">
      <w:pPr>
        <w:spacing w:line="22" w:lineRule="atLeast"/>
        <w:jc w:val="both"/>
        <w:rPr>
          <w:rFonts w:asciiTheme="minorHAnsi" w:hAnsiTheme="minorHAnsi" w:cs="Open Sans"/>
          <w:sz w:val="20"/>
          <w:lang w:val="fr-FR"/>
        </w:rPr>
        <w:sectPr w:rsidR="0028314F" w:rsidRPr="00A74D23" w:rsidSect="00C90A08">
          <w:headerReference w:type="even" r:id="rId125"/>
          <w:headerReference w:type="default" r:id="rId126"/>
          <w:footerReference w:type="even" r:id="rId127"/>
          <w:footerReference w:type="default" r:id="rId128"/>
          <w:headerReference w:type="first" r:id="rId129"/>
          <w:footerReference w:type="first" r:id="rId130"/>
          <w:pgSz w:w="11906" w:h="16838"/>
          <w:pgMar w:top="1276" w:right="991" w:bottom="1417" w:left="993" w:header="397" w:footer="708" w:gutter="0"/>
          <w:cols w:space="708"/>
          <w:titlePg/>
          <w:docGrid w:linePitch="360"/>
        </w:sectPr>
      </w:pPr>
    </w:p>
    <w:tbl>
      <w:tblPr>
        <w:tblW w:w="14897" w:type="dxa"/>
        <w:tblCellMar>
          <w:left w:w="70" w:type="dxa"/>
          <w:right w:w="70" w:type="dxa"/>
        </w:tblCellMar>
        <w:tblLook w:val="04A0" w:firstRow="1" w:lastRow="0" w:firstColumn="1" w:lastColumn="0" w:noHBand="0" w:noVBand="1"/>
      </w:tblPr>
      <w:tblGrid>
        <w:gridCol w:w="4519"/>
        <w:gridCol w:w="1050"/>
        <w:gridCol w:w="1532"/>
        <w:gridCol w:w="1809"/>
        <w:gridCol w:w="1810"/>
        <w:gridCol w:w="4177"/>
      </w:tblGrid>
      <w:tr w:rsidR="00766DDC" w:rsidRPr="0052796D" w14:paraId="16EBDF77" w14:textId="77777777" w:rsidTr="008D3377">
        <w:trPr>
          <w:gridAfter w:val="5"/>
          <w:wAfter w:w="10378" w:type="dxa"/>
          <w:trHeight w:val="336"/>
        </w:trPr>
        <w:tc>
          <w:tcPr>
            <w:tcW w:w="4519" w:type="dxa"/>
            <w:tcBorders>
              <w:top w:val="nil"/>
              <w:left w:val="nil"/>
              <w:bottom w:val="nil"/>
              <w:right w:val="nil"/>
            </w:tcBorders>
            <w:noWrap/>
            <w:vAlign w:val="bottom"/>
            <w:hideMark/>
          </w:tcPr>
          <w:p w14:paraId="212155F8" w14:textId="77777777" w:rsidR="00766DDC" w:rsidRPr="00A74D23" w:rsidRDefault="00766DDC" w:rsidP="009D6EE5">
            <w:pPr>
              <w:spacing w:line="22" w:lineRule="atLeast"/>
              <w:jc w:val="both"/>
              <w:rPr>
                <w:rFonts w:asciiTheme="minorHAnsi" w:hAnsiTheme="minorHAnsi" w:cs="Open Sans"/>
                <w:b/>
                <w:bCs/>
                <w:color w:val="000000"/>
                <w:sz w:val="28"/>
                <w:szCs w:val="28"/>
                <w:lang w:val="fr-FR" w:eastAsia="fr-FR"/>
              </w:rPr>
            </w:pPr>
          </w:p>
        </w:tc>
      </w:tr>
      <w:tr w:rsidR="006B4C50" w:rsidRPr="0052796D" w14:paraId="5DF766A0" w14:textId="77777777" w:rsidTr="000A0311">
        <w:trPr>
          <w:trHeight w:val="336"/>
        </w:trPr>
        <w:tc>
          <w:tcPr>
            <w:tcW w:w="14897" w:type="dxa"/>
            <w:gridSpan w:val="6"/>
            <w:tcBorders>
              <w:top w:val="nil"/>
              <w:left w:val="nil"/>
              <w:bottom w:val="nil"/>
              <w:right w:val="nil"/>
            </w:tcBorders>
            <w:noWrap/>
            <w:vAlign w:val="bottom"/>
            <w:hideMark/>
          </w:tcPr>
          <w:p w14:paraId="5E1EC84F" w14:textId="04208538" w:rsidR="006B4C50" w:rsidRPr="00A74D23" w:rsidRDefault="006B4C50" w:rsidP="009D6EE5">
            <w:pPr>
              <w:spacing w:line="22" w:lineRule="atLeast"/>
              <w:jc w:val="both"/>
              <w:rPr>
                <w:rFonts w:asciiTheme="minorHAnsi" w:hAnsiTheme="minorHAnsi" w:cs="Open Sans"/>
                <w:sz w:val="20"/>
                <w:szCs w:val="20"/>
                <w:lang w:val="fr-FR" w:eastAsia="fr-FR"/>
              </w:rPr>
            </w:pPr>
            <w:r w:rsidRPr="00A74D23">
              <w:rPr>
                <w:rFonts w:asciiTheme="minorHAnsi" w:hAnsiTheme="minorHAnsi" w:cs="Open Sans"/>
                <w:b/>
                <w:bCs/>
                <w:color w:val="000000"/>
                <w:sz w:val="28"/>
                <w:szCs w:val="28"/>
                <w:lang w:val="fr-FR" w:eastAsia="fr-FR"/>
              </w:rPr>
              <w:t>ANNEXE G - Description des principales incidences négatives sur les facteurs de durabilité (Annexe 1 du règlement (UE) 2022/1288)</w:t>
            </w:r>
          </w:p>
        </w:tc>
      </w:tr>
      <w:tr w:rsidR="00766DDC" w:rsidRPr="00A74D23" w14:paraId="6BFD3A3A" w14:textId="77777777" w:rsidTr="008D3377">
        <w:trPr>
          <w:trHeight w:val="281"/>
        </w:trPr>
        <w:tc>
          <w:tcPr>
            <w:tcW w:w="5569" w:type="dxa"/>
            <w:gridSpan w:val="2"/>
            <w:tcBorders>
              <w:top w:val="nil"/>
              <w:left w:val="nil"/>
              <w:bottom w:val="nil"/>
              <w:right w:val="nil"/>
            </w:tcBorders>
            <w:noWrap/>
            <w:vAlign w:val="bottom"/>
            <w:hideMark/>
          </w:tcPr>
          <w:p w14:paraId="7728DF7D" w14:textId="77777777" w:rsidR="00766DDC" w:rsidRPr="00A74D23" w:rsidRDefault="00766DDC" w:rsidP="009D6EE5">
            <w:pPr>
              <w:spacing w:line="22" w:lineRule="atLeast"/>
              <w:jc w:val="both"/>
              <w:rPr>
                <w:rFonts w:asciiTheme="minorHAnsi" w:hAnsiTheme="minorHAnsi" w:cs="Open Sans"/>
                <w:b/>
                <w:bCs/>
                <w:i/>
                <w:iCs/>
                <w:color w:val="000000"/>
                <w:lang w:eastAsia="fr-FR"/>
              </w:rPr>
            </w:pPr>
            <w:r w:rsidRPr="00A74D23">
              <w:rPr>
                <w:rFonts w:asciiTheme="minorHAnsi" w:hAnsiTheme="minorHAnsi" w:cs="Open Sans"/>
                <w:b/>
                <w:bCs/>
                <w:i/>
                <w:iCs/>
                <w:color w:val="000000"/>
                <w:lang w:eastAsia="fr-FR"/>
              </w:rPr>
              <w:t>Tableau 1</w:t>
            </w:r>
          </w:p>
        </w:tc>
        <w:tc>
          <w:tcPr>
            <w:tcW w:w="1532" w:type="dxa"/>
            <w:tcBorders>
              <w:top w:val="nil"/>
              <w:left w:val="nil"/>
              <w:bottom w:val="nil"/>
              <w:right w:val="nil"/>
            </w:tcBorders>
            <w:noWrap/>
            <w:vAlign w:val="bottom"/>
            <w:hideMark/>
          </w:tcPr>
          <w:p w14:paraId="7612B6AB" w14:textId="77777777" w:rsidR="00766DDC" w:rsidRPr="00A74D23" w:rsidRDefault="00766DDC" w:rsidP="009D6EE5">
            <w:pPr>
              <w:spacing w:line="22" w:lineRule="atLeast"/>
              <w:jc w:val="both"/>
              <w:rPr>
                <w:rFonts w:asciiTheme="minorHAnsi" w:hAnsiTheme="minorHAnsi" w:cs="Open Sans"/>
                <w:b/>
                <w:bCs/>
                <w:i/>
                <w:iCs/>
                <w:color w:val="000000"/>
                <w:lang w:eastAsia="fr-FR"/>
              </w:rPr>
            </w:pPr>
          </w:p>
        </w:tc>
        <w:tc>
          <w:tcPr>
            <w:tcW w:w="1809" w:type="dxa"/>
            <w:tcBorders>
              <w:top w:val="nil"/>
              <w:left w:val="nil"/>
              <w:bottom w:val="nil"/>
              <w:right w:val="nil"/>
            </w:tcBorders>
            <w:noWrap/>
            <w:vAlign w:val="bottom"/>
            <w:hideMark/>
          </w:tcPr>
          <w:p w14:paraId="46F6AC7E" w14:textId="77777777" w:rsidR="00766DDC" w:rsidRPr="00A74D23" w:rsidRDefault="00766DDC" w:rsidP="009D6EE5">
            <w:pPr>
              <w:spacing w:line="22" w:lineRule="atLeast"/>
              <w:jc w:val="both"/>
              <w:rPr>
                <w:rFonts w:asciiTheme="minorHAnsi" w:hAnsiTheme="minorHAnsi" w:cs="Open Sans"/>
                <w:sz w:val="20"/>
                <w:szCs w:val="20"/>
                <w:lang w:eastAsia="fr-FR"/>
              </w:rPr>
            </w:pPr>
          </w:p>
        </w:tc>
        <w:tc>
          <w:tcPr>
            <w:tcW w:w="1810" w:type="dxa"/>
            <w:tcBorders>
              <w:top w:val="nil"/>
              <w:left w:val="nil"/>
              <w:bottom w:val="nil"/>
              <w:right w:val="nil"/>
            </w:tcBorders>
            <w:noWrap/>
            <w:vAlign w:val="bottom"/>
            <w:hideMark/>
          </w:tcPr>
          <w:p w14:paraId="518CB0EF" w14:textId="77777777" w:rsidR="00766DDC" w:rsidRPr="00A74D23" w:rsidRDefault="00766DDC" w:rsidP="009D6EE5">
            <w:pPr>
              <w:spacing w:line="22" w:lineRule="atLeast"/>
              <w:jc w:val="both"/>
              <w:rPr>
                <w:rFonts w:asciiTheme="minorHAnsi" w:hAnsiTheme="minorHAnsi" w:cs="Open Sans"/>
                <w:sz w:val="20"/>
                <w:szCs w:val="20"/>
                <w:lang w:eastAsia="fr-FR"/>
              </w:rPr>
            </w:pPr>
          </w:p>
        </w:tc>
        <w:tc>
          <w:tcPr>
            <w:tcW w:w="4177" w:type="dxa"/>
            <w:tcBorders>
              <w:top w:val="nil"/>
              <w:left w:val="nil"/>
              <w:bottom w:val="nil"/>
              <w:right w:val="nil"/>
            </w:tcBorders>
            <w:noWrap/>
            <w:vAlign w:val="bottom"/>
            <w:hideMark/>
          </w:tcPr>
          <w:p w14:paraId="1D6CA4DB" w14:textId="77777777" w:rsidR="00766DDC" w:rsidRPr="00A74D23" w:rsidRDefault="00766DDC" w:rsidP="009D6EE5">
            <w:pPr>
              <w:spacing w:line="22" w:lineRule="atLeast"/>
              <w:jc w:val="both"/>
              <w:rPr>
                <w:rFonts w:asciiTheme="minorHAnsi" w:hAnsiTheme="minorHAnsi" w:cs="Open Sans"/>
                <w:sz w:val="20"/>
                <w:szCs w:val="20"/>
                <w:lang w:eastAsia="fr-FR"/>
              </w:rPr>
            </w:pPr>
          </w:p>
        </w:tc>
      </w:tr>
      <w:tr w:rsidR="00766DDC" w:rsidRPr="00A74D23" w14:paraId="7914705B" w14:textId="77777777" w:rsidTr="008D3377">
        <w:trPr>
          <w:trHeight w:val="268"/>
        </w:trPr>
        <w:tc>
          <w:tcPr>
            <w:tcW w:w="5569" w:type="dxa"/>
            <w:gridSpan w:val="2"/>
            <w:tcBorders>
              <w:top w:val="nil"/>
              <w:left w:val="nil"/>
              <w:bottom w:val="nil"/>
              <w:right w:val="nil"/>
            </w:tcBorders>
            <w:noWrap/>
            <w:vAlign w:val="bottom"/>
            <w:hideMark/>
          </w:tcPr>
          <w:p w14:paraId="6CAFA6A6" w14:textId="77777777" w:rsidR="00766DDC" w:rsidRPr="00A74D23" w:rsidRDefault="00766DDC" w:rsidP="009D6EE5">
            <w:pPr>
              <w:spacing w:line="22" w:lineRule="atLeast"/>
              <w:jc w:val="both"/>
              <w:rPr>
                <w:rFonts w:asciiTheme="minorHAnsi" w:hAnsiTheme="minorHAnsi" w:cs="Open Sans"/>
                <w:sz w:val="20"/>
                <w:szCs w:val="20"/>
                <w:lang w:eastAsia="fr-FR"/>
              </w:rPr>
            </w:pPr>
          </w:p>
        </w:tc>
        <w:tc>
          <w:tcPr>
            <w:tcW w:w="1532" w:type="dxa"/>
            <w:tcBorders>
              <w:top w:val="nil"/>
              <w:left w:val="nil"/>
              <w:bottom w:val="nil"/>
              <w:right w:val="nil"/>
            </w:tcBorders>
            <w:noWrap/>
            <w:vAlign w:val="bottom"/>
            <w:hideMark/>
          </w:tcPr>
          <w:p w14:paraId="29991795" w14:textId="77777777" w:rsidR="00766DDC" w:rsidRPr="00A74D23" w:rsidRDefault="00766DDC" w:rsidP="009D6EE5">
            <w:pPr>
              <w:spacing w:line="22" w:lineRule="atLeast"/>
              <w:jc w:val="both"/>
              <w:rPr>
                <w:rFonts w:asciiTheme="minorHAnsi" w:hAnsiTheme="minorHAnsi" w:cs="Open Sans"/>
                <w:sz w:val="20"/>
                <w:szCs w:val="20"/>
                <w:lang w:eastAsia="fr-FR"/>
              </w:rPr>
            </w:pPr>
          </w:p>
        </w:tc>
        <w:tc>
          <w:tcPr>
            <w:tcW w:w="1809" w:type="dxa"/>
            <w:tcBorders>
              <w:top w:val="nil"/>
              <w:left w:val="nil"/>
              <w:bottom w:val="nil"/>
              <w:right w:val="nil"/>
            </w:tcBorders>
            <w:noWrap/>
            <w:vAlign w:val="bottom"/>
            <w:hideMark/>
          </w:tcPr>
          <w:p w14:paraId="712A6A8B" w14:textId="77777777" w:rsidR="00766DDC" w:rsidRPr="00A74D23" w:rsidRDefault="00766DDC" w:rsidP="009D6EE5">
            <w:pPr>
              <w:spacing w:line="22" w:lineRule="atLeast"/>
              <w:jc w:val="both"/>
              <w:rPr>
                <w:rFonts w:asciiTheme="minorHAnsi" w:hAnsiTheme="minorHAnsi" w:cs="Open Sans"/>
                <w:sz w:val="20"/>
                <w:szCs w:val="20"/>
                <w:lang w:eastAsia="fr-FR"/>
              </w:rPr>
            </w:pPr>
          </w:p>
        </w:tc>
        <w:tc>
          <w:tcPr>
            <w:tcW w:w="1810" w:type="dxa"/>
            <w:tcBorders>
              <w:top w:val="nil"/>
              <w:left w:val="nil"/>
              <w:bottom w:val="nil"/>
              <w:right w:val="nil"/>
            </w:tcBorders>
            <w:noWrap/>
            <w:vAlign w:val="bottom"/>
            <w:hideMark/>
          </w:tcPr>
          <w:p w14:paraId="3CB53FFC" w14:textId="77777777" w:rsidR="00766DDC" w:rsidRPr="00A74D23" w:rsidRDefault="00766DDC" w:rsidP="009D6EE5">
            <w:pPr>
              <w:spacing w:line="22" w:lineRule="atLeast"/>
              <w:jc w:val="both"/>
              <w:rPr>
                <w:rFonts w:asciiTheme="minorHAnsi" w:hAnsiTheme="minorHAnsi" w:cs="Open Sans"/>
                <w:sz w:val="20"/>
                <w:szCs w:val="20"/>
                <w:lang w:eastAsia="fr-FR"/>
              </w:rPr>
            </w:pPr>
          </w:p>
        </w:tc>
        <w:tc>
          <w:tcPr>
            <w:tcW w:w="4177" w:type="dxa"/>
            <w:tcBorders>
              <w:top w:val="nil"/>
              <w:left w:val="nil"/>
              <w:bottom w:val="nil"/>
              <w:right w:val="nil"/>
            </w:tcBorders>
            <w:noWrap/>
            <w:vAlign w:val="bottom"/>
            <w:hideMark/>
          </w:tcPr>
          <w:p w14:paraId="10647620" w14:textId="77777777" w:rsidR="00766DDC" w:rsidRPr="00A74D23" w:rsidRDefault="00766DDC" w:rsidP="009D6EE5">
            <w:pPr>
              <w:spacing w:line="22" w:lineRule="atLeast"/>
              <w:jc w:val="both"/>
              <w:rPr>
                <w:rFonts w:asciiTheme="minorHAnsi" w:hAnsiTheme="minorHAnsi" w:cs="Open Sans"/>
                <w:sz w:val="20"/>
                <w:szCs w:val="20"/>
                <w:lang w:eastAsia="fr-FR"/>
              </w:rPr>
            </w:pPr>
          </w:p>
        </w:tc>
      </w:tr>
      <w:tr w:rsidR="00766DDC" w:rsidRPr="0052796D" w14:paraId="6B79B2C1" w14:textId="77777777" w:rsidTr="008D3377">
        <w:trPr>
          <w:trHeight w:val="268"/>
        </w:trPr>
        <w:tc>
          <w:tcPr>
            <w:tcW w:w="5569" w:type="dxa"/>
            <w:gridSpan w:val="2"/>
            <w:tcBorders>
              <w:top w:val="nil"/>
              <w:left w:val="nil"/>
              <w:bottom w:val="nil"/>
              <w:right w:val="nil"/>
            </w:tcBorders>
            <w:vAlign w:val="center"/>
            <w:hideMark/>
          </w:tcPr>
          <w:p w14:paraId="20273EE2" w14:textId="77777777" w:rsidR="00766DDC" w:rsidRPr="00A74D23" w:rsidRDefault="00766DDC" w:rsidP="009D6EE5">
            <w:pPr>
              <w:spacing w:line="22" w:lineRule="atLeast"/>
              <w:jc w:val="both"/>
              <w:rPr>
                <w:rFonts w:asciiTheme="minorHAnsi" w:hAnsiTheme="minorHAnsi" w:cs="Open Sans"/>
                <w:b/>
                <w:bCs/>
                <w:color w:val="000000"/>
                <w:lang w:val="fr-FR" w:eastAsia="fr-FR"/>
              </w:rPr>
            </w:pPr>
            <w:r w:rsidRPr="00A74D23">
              <w:rPr>
                <w:rFonts w:asciiTheme="minorHAnsi" w:hAnsiTheme="minorHAnsi" w:cs="Open Sans"/>
                <w:b/>
                <w:bCs/>
                <w:color w:val="000000"/>
                <w:lang w:val="fr-FR" w:eastAsia="fr-FR"/>
              </w:rPr>
              <w:t>Tableau 1.1 - Indicateurs applicables aux investissements dans des sociétés</w:t>
            </w:r>
          </w:p>
        </w:tc>
        <w:tc>
          <w:tcPr>
            <w:tcW w:w="1532" w:type="dxa"/>
            <w:tcBorders>
              <w:top w:val="nil"/>
              <w:left w:val="nil"/>
              <w:bottom w:val="nil"/>
              <w:right w:val="nil"/>
            </w:tcBorders>
            <w:vAlign w:val="center"/>
            <w:hideMark/>
          </w:tcPr>
          <w:p w14:paraId="1CA42644" w14:textId="77777777" w:rsidR="00766DDC" w:rsidRPr="00A74D23" w:rsidRDefault="00766DDC" w:rsidP="009D6EE5">
            <w:pPr>
              <w:spacing w:line="22" w:lineRule="atLeast"/>
              <w:jc w:val="both"/>
              <w:rPr>
                <w:rFonts w:asciiTheme="minorHAnsi" w:hAnsiTheme="minorHAnsi" w:cs="Open Sans"/>
                <w:b/>
                <w:bCs/>
                <w:color w:val="000000"/>
                <w:lang w:val="fr-FR" w:eastAsia="fr-FR"/>
              </w:rPr>
            </w:pPr>
          </w:p>
        </w:tc>
        <w:tc>
          <w:tcPr>
            <w:tcW w:w="1809" w:type="dxa"/>
            <w:tcBorders>
              <w:top w:val="nil"/>
              <w:left w:val="nil"/>
              <w:bottom w:val="nil"/>
              <w:right w:val="nil"/>
            </w:tcBorders>
            <w:vAlign w:val="center"/>
            <w:hideMark/>
          </w:tcPr>
          <w:p w14:paraId="605CC117" w14:textId="77777777" w:rsidR="00766DDC" w:rsidRPr="00A74D23" w:rsidRDefault="00766DDC" w:rsidP="009D6EE5">
            <w:pPr>
              <w:spacing w:line="22" w:lineRule="atLeast"/>
              <w:jc w:val="both"/>
              <w:rPr>
                <w:rFonts w:asciiTheme="minorHAnsi" w:hAnsiTheme="minorHAnsi" w:cs="Open Sans"/>
                <w:sz w:val="20"/>
                <w:szCs w:val="20"/>
                <w:lang w:val="fr-FR" w:eastAsia="fr-FR"/>
              </w:rPr>
            </w:pPr>
          </w:p>
        </w:tc>
        <w:tc>
          <w:tcPr>
            <w:tcW w:w="1810" w:type="dxa"/>
            <w:tcBorders>
              <w:top w:val="nil"/>
              <w:left w:val="nil"/>
              <w:bottom w:val="nil"/>
              <w:right w:val="nil"/>
            </w:tcBorders>
            <w:vAlign w:val="center"/>
            <w:hideMark/>
          </w:tcPr>
          <w:p w14:paraId="7D36B93B" w14:textId="77777777" w:rsidR="00766DDC" w:rsidRPr="00A74D23" w:rsidRDefault="00766DDC" w:rsidP="009D6EE5">
            <w:pPr>
              <w:spacing w:line="22" w:lineRule="atLeast"/>
              <w:jc w:val="both"/>
              <w:rPr>
                <w:rFonts w:asciiTheme="minorHAnsi" w:hAnsiTheme="minorHAnsi" w:cs="Open Sans"/>
                <w:sz w:val="20"/>
                <w:szCs w:val="20"/>
                <w:lang w:val="fr-FR" w:eastAsia="fr-FR"/>
              </w:rPr>
            </w:pPr>
          </w:p>
        </w:tc>
        <w:tc>
          <w:tcPr>
            <w:tcW w:w="4177" w:type="dxa"/>
            <w:tcBorders>
              <w:top w:val="nil"/>
              <w:left w:val="nil"/>
              <w:bottom w:val="nil"/>
              <w:right w:val="nil"/>
            </w:tcBorders>
            <w:vAlign w:val="center"/>
            <w:hideMark/>
          </w:tcPr>
          <w:p w14:paraId="376CFEDA" w14:textId="77777777" w:rsidR="00766DDC" w:rsidRPr="00A74D23" w:rsidRDefault="00766DDC" w:rsidP="009D6EE5">
            <w:pPr>
              <w:spacing w:line="22" w:lineRule="atLeast"/>
              <w:jc w:val="both"/>
              <w:rPr>
                <w:rFonts w:asciiTheme="minorHAnsi" w:hAnsiTheme="minorHAnsi" w:cs="Open Sans"/>
                <w:sz w:val="20"/>
                <w:szCs w:val="20"/>
                <w:lang w:val="fr-FR" w:eastAsia="fr-FR"/>
              </w:rPr>
            </w:pPr>
          </w:p>
        </w:tc>
      </w:tr>
      <w:tr w:rsidR="00766DDC" w:rsidRPr="0052796D" w14:paraId="470B46F2" w14:textId="77777777" w:rsidTr="008D3377">
        <w:trPr>
          <w:trHeight w:val="430"/>
        </w:trPr>
        <w:tc>
          <w:tcPr>
            <w:tcW w:w="5569" w:type="dxa"/>
            <w:gridSpan w:val="2"/>
            <w:tcBorders>
              <w:top w:val="nil"/>
              <w:left w:val="nil"/>
              <w:bottom w:val="nil"/>
              <w:right w:val="nil"/>
            </w:tcBorders>
            <w:noWrap/>
            <w:vAlign w:val="bottom"/>
            <w:hideMark/>
          </w:tcPr>
          <w:p w14:paraId="36CB93D8" w14:textId="77777777" w:rsidR="00766DDC" w:rsidRPr="00A74D23" w:rsidRDefault="00766DDC" w:rsidP="009D6EE5">
            <w:pPr>
              <w:spacing w:line="22" w:lineRule="atLeast"/>
              <w:jc w:val="both"/>
              <w:rPr>
                <w:rFonts w:asciiTheme="minorHAnsi" w:hAnsiTheme="minorHAnsi" w:cs="Open Sans"/>
                <w:sz w:val="20"/>
                <w:szCs w:val="20"/>
                <w:lang w:val="fr-FR" w:eastAsia="fr-FR"/>
              </w:rPr>
            </w:pPr>
          </w:p>
        </w:tc>
        <w:tc>
          <w:tcPr>
            <w:tcW w:w="1532" w:type="dxa"/>
            <w:vMerge w:val="restart"/>
            <w:tcBorders>
              <w:top w:val="nil"/>
              <w:left w:val="nil"/>
              <w:bottom w:val="single" w:sz="4" w:space="0" w:color="000000"/>
              <w:right w:val="single" w:sz="4" w:space="0" w:color="auto"/>
            </w:tcBorders>
            <w:vAlign w:val="center"/>
            <w:hideMark/>
          </w:tcPr>
          <w:p w14:paraId="3AF39784" w14:textId="77777777" w:rsidR="00766DDC" w:rsidRPr="00A74D23" w:rsidRDefault="00766DDC" w:rsidP="009D6EE5">
            <w:pPr>
              <w:spacing w:line="22" w:lineRule="atLeast"/>
              <w:jc w:val="both"/>
              <w:rPr>
                <w:rFonts w:asciiTheme="minorHAnsi" w:hAnsiTheme="minorHAnsi" w:cs="Open Sans"/>
                <w:b/>
                <w:bCs/>
                <w:color w:val="000000"/>
                <w:sz w:val="18"/>
                <w:szCs w:val="18"/>
                <w:lang w:val="fr-FR" w:eastAsia="fr-FR"/>
              </w:rPr>
            </w:pPr>
            <w:r w:rsidRPr="00A74D23">
              <w:rPr>
                <w:rFonts w:asciiTheme="minorHAnsi" w:hAnsiTheme="minorHAnsi" w:cs="Open Sans"/>
                <w:b/>
                <w:bCs/>
                <w:color w:val="000000"/>
                <w:sz w:val="18"/>
                <w:szCs w:val="18"/>
                <w:lang w:val="fr-FR" w:eastAsia="fr-FR"/>
              </w:rPr>
              <w:t> </w:t>
            </w:r>
          </w:p>
        </w:tc>
        <w:tc>
          <w:tcPr>
            <w:tcW w:w="1809" w:type="dxa"/>
            <w:tcBorders>
              <w:top w:val="single" w:sz="4" w:space="0" w:color="auto"/>
              <w:left w:val="nil"/>
              <w:bottom w:val="single" w:sz="4" w:space="0" w:color="auto"/>
              <w:right w:val="single" w:sz="4" w:space="0" w:color="auto"/>
            </w:tcBorders>
            <w:vAlign w:val="center"/>
            <w:hideMark/>
          </w:tcPr>
          <w:p w14:paraId="2E0878D3" w14:textId="77777777" w:rsidR="00766DDC" w:rsidRPr="00A74D23" w:rsidRDefault="00766DDC" w:rsidP="009D6EE5">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Incidence [année n]</w:t>
            </w:r>
          </w:p>
        </w:tc>
        <w:tc>
          <w:tcPr>
            <w:tcW w:w="1810" w:type="dxa"/>
            <w:tcBorders>
              <w:top w:val="single" w:sz="4" w:space="0" w:color="auto"/>
              <w:left w:val="nil"/>
              <w:bottom w:val="single" w:sz="4" w:space="0" w:color="auto"/>
              <w:right w:val="single" w:sz="4" w:space="0" w:color="auto"/>
            </w:tcBorders>
            <w:vAlign w:val="center"/>
            <w:hideMark/>
          </w:tcPr>
          <w:p w14:paraId="7C817B0D" w14:textId="51A4F263" w:rsidR="00766DDC" w:rsidRPr="00A74D23" w:rsidRDefault="003C04F4" w:rsidP="009D6EE5">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Incidence [année n-1]</w:t>
            </w:r>
          </w:p>
        </w:tc>
        <w:tc>
          <w:tcPr>
            <w:tcW w:w="4177" w:type="dxa"/>
            <w:tcBorders>
              <w:top w:val="single" w:sz="4" w:space="0" w:color="auto"/>
              <w:left w:val="nil"/>
              <w:bottom w:val="single" w:sz="4" w:space="0" w:color="auto"/>
              <w:right w:val="single" w:sz="4" w:space="0" w:color="auto"/>
            </w:tcBorders>
            <w:vAlign w:val="center"/>
            <w:hideMark/>
          </w:tcPr>
          <w:p w14:paraId="0E5AA8D2" w14:textId="77777777" w:rsidR="00766DDC" w:rsidRPr="00A74D23" w:rsidRDefault="00766DDC" w:rsidP="009D6EE5">
            <w:pPr>
              <w:spacing w:line="22" w:lineRule="atLeast"/>
              <w:jc w:val="both"/>
              <w:rPr>
                <w:rFonts w:asciiTheme="minorHAnsi" w:hAnsiTheme="minorHAnsi" w:cs="Open Sans"/>
                <w:b/>
                <w:bCs/>
                <w:color w:val="000000"/>
                <w:sz w:val="18"/>
                <w:szCs w:val="18"/>
                <w:lang w:val="fr-FR" w:eastAsia="fr-FR"/>
              </w:rPr>
            </w:pPr>
            <w:r w:rsidRPr="00A74D23">
              <w:rPr>
                <w:rFonts w:asciiTheme="minorHAnsi" w:hAnsiTheme="minorHAnsi" w:cs="Open Sans"/>
                <w:b/>
                <w:bCs/>
                <w:color w:val="000000"/>
                <w:sz w:val="18"/>
                <w:szCs w:val="18"/>
                <w:lang w:val="fr-FR" w:eastAsia="fr-FR"/>
              </w:rPr>
              <w:t xml:space="preserve">Mesures prises, mesures prévues et cibles définies pour la période de référence suivante </w:t>
            </w:r>
          </w:p>
        </w:tc>
      </w:tr>
      <w:tr w:rsidR="00766DDC" w:rsidRPr="00A74D23" w14:paraId="78879489" w14:textId="77777777" w:rsidTr="005C27A0">
        <w:trPr>
          <w:trHeight w:val="268"/>
        </w:trPr>
        <w:tc>
          <w:tcPr>
            <w:tcW w:w="5569" w:type="dxa"/>
            <w:gridSpan w:val="2"/>
            <w:tcBorders>
              <w:top w:val="nil"/>
              <w:left w:val="nil"/>
              <w:bottom w:val="nil"/>
              <w:right w:val="nil"/>
            </w:tcBorders>
            <w:vAlign w:val="center"/>
            <w:hideMark/>
          </w:tcPr>
          <w:p w14:paraId="16AD96C5" w14:textId="77777777" w:rsidR="00766DDC" w:rsidRPr="00A74D23" w:rsidRDefault="00766DDC" w:rsidP="009D6EE5">
            <w:pPr>
              <w:spacing w:line="22" w:lineRule="atLeast"/>
              <w:jc w:val="both"/>
              <w:rPr>
                <w:rFonts w:asciiTheme="minorHAnsi" w:hAnsiTheme="minorHAnsi" w:cs="Open Sans"/>
                <w:b/>
                <w:bCs/>
                <w:color w:val="000000"/>
                <w:sz w:val="18"/>
                <w:szCs w:val="18"/>
                <w:lang w:val="fr-FR" w:eastAsia="fr-FR"/>
              </w:rPr>
            </w:pPr>
          </w:p>
        </w:tc>
        <w:tc>
          <w:tcPr>
            <w:tcW w:w="1532" w:type="dxa"/>
            <w:vMerge/>
            <w:tcBorders>
              <w:top w:val="nil"/>
              <w:left w:val="nil"/>
              <w:bottom w:val="single" w:sz="4" w:space="0" w:color="000000"/>
              <w:right w:val="single" w:sz="4" w:space="0" w:color="auto"/>
            </w:tcBorders>
            <w:vAlign w:val="center"/>
            <w:hideMark/>
          </w:tcPr>
          <w:p w14:paraId="1C7DC9C7" w14:textId="77777777" w:rsidR="00766DDC" w:rsidRPr="00A74D23" w:rsidRDefault="00766DDC" w:rsidP="009D6EE5">
            <w:pPr>
              <w:spacing w:line="22" w:lineRule="atLeast"/>
              <w:jc w:val="both"/>
              <w:rPr>
                <w:rFonts w:asciiTheme="minorHAnsi" w:hAnsiTheme="minorHAnsi" w:cs="Open Sans"/>
                <w:b/>
                <w:bCs/>
                <w:color w:val="000000"/>
                <w:sz w:val="18"/>
                <w:szCs w:val="18"/>
                <w:lang w:val="fr-FR" w:eastAsia="fr-FR"/>
              </w:rPr>
            </w:pPr>
          </w:p>
        </w:tc>
        <w:tc>
          <w:tcPr>
            <w:tcW w:w="1809" w:type="dxa"/>
            <w:tcBorders>
              <w:top w:val="nil"/>
              <w:left w:val="nil"/>
              <w:bottom w:val="single" w:sz="4" w:space="0" w:color="auto"/>
              <w:right w:val="single" w:sz="4" w:space="0" w:color="auto"/>
            </w:tcBorders>
            <w:shd w:val="clear" w:color="auto" w:fill="D57B1D" w:themeFill="accent3"/>
            <w:vAlign w:val="center"/>
            <w:hideMark/>
          </w:tcPr>
          <w:p w14:paraId="20B29257" w14:textId="77777777" w:rsidR="00766DDC" w:rsidRPr="00A74D23" w:rsidRDefault="00766DDC" w:rsidP="009D6EE5">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0010</w:t>
            </w:r>
          </w:p>
        </w:tc>
        <w:tc>
          <w:tcPr>
            <w:tcW w:w="1810" w:type="dxa"/>
            <w:tcBorders>
              <w:top w:val="nil"/>
              <w:left w:val="nil"/>
              <w:bottom w:val="single" w:sz="4" w:space="0" w:color="auto"/>
              <w:right w:val="single" w:sz="4" w:space="0" w:color="auto"/>
            </w:tcBorders>
            <w:shd w:val="clear" w:color="auto" w:fill="D57B1D" w:themeFill="accent3"/>
            <w:vAlign w:val="center"/>
            <w:hideMark/>
          </w:tcPr>
          <w:p w14:paraId="3639B982" w14:textId="731DE4FC" w:rsidR="00766DDC" w:rsidRPr="00A74D23" w:rsidRDefault="00766DDC" w:rsidP="009D6EE5">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00</w:t>
            </w:r>
            <w:r w:rsidR="003C04F4" w:rsidRPr="00A74D23">
              <w:rPr>
                <w:rFonts w:asciiTheme="minorHAnsi" w:hAnsiTheme="minorHAnsi" w:cs="Open Sans"/>
                <w:b/>
                <w:bCs/>
                <w:color w:val="FFFFFF"/>
                <w:sz w:val="18"/>
                <w:szCs w:val="18"/>
                <w:lang w:eastAsia="fr-FR"/>
              </w:rPr>
              <w:t>20</w:t>
            </w:r>
          </w:p>
        </w:tc>
        <w:tc>
          <w:tcPr>
            <w:tcW w:w="4177" w:type="dxa"/>
            <w:tcBorders>
              <w:top w:val="nil"/>
              <w:left w:val="nil"/>
              <w:bottom w:val="single" w:sz="4" w:space="0" w:color="auto"/>
              <w:right w:val="single" w:sz="4" w:space="0" w:color="auto"/>
            </w:tcBorders>
            <w:shd w:val="clear" w:color="auto" w:fill="D57B1D" w:themeFill="accent3"/>
            <w:vAlign w:val="center"/>
            <w:hideMark/>
          </w:tcPr>
          <w:p w14:paraId="5F8E7E13" w14:textId="77777777" w:rsidR="00766DDC" w:rsidRPr="00A74D23" w:rsidRDefault="00766DDC" w:rsidP="009D6EE5">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0040</w:t>
            </w:r>
          </w:p>
        </w:tc>
      </w:tr>
      <w:tr w:rsidR="00766DDC" w:rsidRPr="0052796D" w14:paraId="686D945E" w14:textId="77777777" w:rsidTr="008D3377">
        <w:trPr>
          <w:trHeight w:val="268"/>
        </w:trPr>
        <w:tc>
          <w:tcPr>
            <w:tcW w:w="5569" w:type="dxa"/>
            <w:gridSpan w:val="2"/>
            <w:tcBorders>
              <w:top w:val="single" w:sz="4" w:space="0" w:color="auto"/>
              <w:left w:val="single" w:sz="4" w:space="0" w:color="auto"/>
              <w:bottom w:val="single" w:sz="4" w:space="0" w:color="auto"/>
              <w:right w:val="single" w:sz="4" w:space="0" w:color="auto"/>
            </w:tcBorders>
            <w:vAlign w:val="center"/>
            <w:hideMark/>
          </w:tcPr>
          <w:p w14:paraId="045A52B8" w14:textId="77777777" w:rsidR="00766DDC" w:rsidRPr="00A74D23" w:rsidRDefault="00766DDC" w:rsidP="009D6EE5">
            <w:pPr>
              <w:spacing w:line="22" w:lineRule="atLeast"/>
              <w:jc w:val="both"/>
              <w:rPr>
                <w:rFonts w:asciiTheme="minorHAnsi" w:hAnsiTheme="minorHAnsi" w:cs="Open Sans"/>
                <w:b/>
                <w:bCs/>
                <w:i/>
                <w:iCs/>
                <w:color w:val="000000"/>
                <w:sz w:val="18"/>
                <w:szCs w:val="18"/>
                <w:lang w:val="fr-FR" w:eastAsia="fr-FR"/>
              </w:rPr>
            </w:pPr>
            <w:r w:rsidRPr="00A74D23">
              <w:rPr>
                <w:rFonts w:asciiTheme="minorHAnsi" w:hAnsiTheme="minorHAnsi" w:cs="Open Sans"/>
                <w:b/>
                <w:bCs/>
                <w:i/>
                <w:iCs/>
                <w:color w:val="000000"/>
                <w:sz w:val="18"/>
                <w:szCs w:val="18"/>
                <w:lang w:val="fr-FR" w:eastAsia="fr-FR"/>
              </w:rPr>
              <w:t xml:space="preserve">Indicateurs climatiques et autres indicateurs relatifs à l'environnement </w:t>
            </w:r>
          </w:p>
        </w:tc>
        <w:tc>
          <w:tcPr>
            <w:tcW w:w="1532" w:type="dxa"/>
            <w:tcBorders>
              <w:top w:val="nil"/>
              <w:left w:val="nil"/>
              <w:bottom w:val="single" w:sz="4" w:space="0" w:color="auto"/>
              <w:right w:val="single" w:sz="4" w:space="0" w:color="auto"/>
            </w:tcBorders>
            <w:shd w:val="clear" w:color="000000" w:fill="BFBFBF"/>
            <w:vAlign w:val="center"/>
            <w:hideMark/>
          </w:tcPr>
          <w:p w14:paraId="18241591" w14:textId="77777777" w:rsidR="00766DDC" w:rsidRPr="00A74D23" w:rsidRDefault="00766DDC" w:rsidP="009D6EE5">
            <w:pPr>
              <w:spacing w:line="22" w:lineRule="atLeast"/>
              <w:jc w:val="both"/>
              <w:rPr>
                <w:rFonts w:asciiTheme="minorHAnsi" w:hAnsiTheme="minorHAnsi" w:cs="Open Sans"/>
                <w:i/>
                <w:iCs/>
                <w:color w:val="000000"/>
                <w:sz w:val="18"/>
                <w:szCs w:val="18"/>
                <w:lang w:val="fr-FR" w:eastAsia="fr-FR"/>
              </w:rPr>
            </w:pPr>
            <w:r w:rsidRPr="00A74D23">
              <w:rPr>
                <w:rFonts w:asciiTheme="minorHAnsi" w:hAnsiTheme="minorHAnsi" w:cs="Open Sans"/>
                <w:i/>
                <w:iCs/>
                <w:color w:val="000000"/>
                <w:sz w:val="18"/>
                <w:szCs w:val="18"/>
                <w:lang w:val="fr-FR"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3B5C2269" w14:textId="77777777" w:rsidR="00766DDC" w:rsidRPr="00A74D23" w:rsidRDefault="00766DDC" w:rsidP="009D6EE5">
            <w:pPr>
              <w:spacing w:line="22" w:lineRule="atLeast"/>
              <w:jc w:val="both"/>
              <w:rPr>
                <w:rFonts w:asciiTheme="minorHAnsi" w:hAnsiTheme="minorHAnsi" w:cs="Open Sans"/>
                <w:i/>
                <w:iCs/>
                <w:color w:val="000000"/>
                <w:sz w:val="18"/>
                <w:szCs w:val="18"/>
                <w:lang w:val="fr-FR" w:eastAsia="fr-FR"/>
              </w:rPr>
            </w:pPr>
            <w:r w:rsidRPr="00A74D23">
              <w:rPr>
                <w:rFonts w:asciiTheme="minorHAnsi" w:hAnsiTheme="minorHAnsi" w:cs="Open Sans"/>
                <w:i/>
                <w:iCs/>
                <w:color w:val="000000"/>
                <w:sz w:val="18"/>
                <w:szCs w:val="18"/>
                <w:lang w:val="fr-FR"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2E158B66" w14:textId="77777777" w:rsidR="00766DDC" w:rsidRPr="00A74D23" w:rsidRDefault="00766DDC" w:rsidP="009D6EE5">
            <w:pPr>
              <w:spacing w:line="22" w:lineRule="atLeast"/>
              <w:jc w:val="both"/>
              <w:rPr>
                <w:rFonts w:asciiTheme="minorHAnsi" w:hAnsiTheme="minorHAnsi" w:cs="Open Sans"/>
                <w:i/>
                <w:iCs/>
                <w:color w:val="000000"/>
                <w:sz w:val="18"/>
                <w:szCs w:val="18"/>
                <w:lang w:val="fr-FR" w:eastAsia="fr-FR"/>
              </w:rPr>
            </w:pPr>
            <w:r w:rsidRPr="00A74D23">
              <w:rPr>
                <w:rFonts w:asciiTheme="minorHAnsi" w:hAnsiTheme="minorHAnsi" w:cs="Open Sans"/>
                <w:i/>
                <w:iCs/>
                <w:color w:val="000000"/>
                <w:sz w:val="18"/>
                <w:szCs w:val="18"/>
                <w:lang w:val="fr-FR"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0B91837A" w14:textId="77777777" w:rsidR="00766DDC" w:rsidRPr="00A74D23" w:rsidRDefault="00766DDC" w:rsidP="009D6EE5">
            <w:pPr>
              <w:spacing w:line="22" w:lineRule="atLeast"/>
              <w:jc w:val="both"/>
              <w:rPr>
                <w:rFonts w:asciiTheme="minorHAnsi" w:hAnsiTheme="minorHAnsi" w:cs="Open Sans"/>
                <w:i/>
                <w:iCs/>
                <w:color w:val="000000"/>
                <w:sz w:val="18"/>
                <w:szCs w:val="18"/>
                <w:lang w:val="fr-FR" w:eastAsia="fr-FR"/>
              </w:rPr>
            </w:pPr>
            <w:r w:rsidRPr="00A74D23">
              <w:rPr>
                <w:rFonts w:asciiTheme="minorHAnsi" w:hAnsiTheme="minorHAnsi" w:cs="Open Sans"/>
                <w:i/>
                <w:iCs/>
                <w:color w:val="000000"/>
                <w:sz w:val="18"/>
                <w:szCs w:val="18"/>
                <w:lang w:val="fr-FR" w:eastAsia="fr-FR"/>
              </w:rPr>
              <w:t> </w:t>
            </w:r>
          </w:p>
        </w:tc>
      </w:tr>
      <w:tr w:rsidR="00766DDC" w:rsidRPr="0052796D" w14:paraId="75835B86" w14:textId="77777777" w:rsidTr="008D3377">
        <w:trPr>
          <w:trHeight w:val="268"/>
        </w:trPr>
        <w:tc>
          <w:tcPr>
            <w:tcW w:w="5569" w:type="dxa"/>
            <w:gridSpan w:val="2"/>
            <w:tcBorders>
              <w:top w:val="nil"/>
              <w:left w:val="single" w:sz="4" w:space="0" w:color="auto"/>
              <w:bottom w:val="single" w:sz="4" w:space="0" w:color="auto"/>
              <w:right w:val="single" w:sz="4" w:space="0" w:color="auto"/>
            </w:tcBorders>
            <w:vAlign w:val="center"/>
            <w:hideMark/>
          </w:tcPr>
          <w:p w14:paraId="4EE1CB11" w14:textId="77777777" w:rsidR="00766DDC" w:rsidRPr="00A74D23" w:rsidRDefault="00766DDC" w:rsidP="009D6EE5">
            <w:pPr>
              <w:spacing w:line="22" w:lineRule="atLeast"/>
              <w:ind w:firstLineChars="500" w:firstLine="900"/>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Emissions de gaz à effet de serre </w:t>
            </w:r>
          </w:p>
        </w:tc>
        <w:tc>
          <w:tcPr>
            <w:tcW w:w="1532" w:type="dxa"/>
            <w:tcBorders>
              <w:top w:val="nil"/>
              <w:left w:val="nil"/>
              <w:bottom w:val="single" w:sz="4" w:space="0" w:color="auto"/>
              <w:right w:val="single" w:sz="4" w:space="0" w:color="auto"/>
            </w:tcBorders>
            <w:shd w:val="clear" w:color="000000" w:fill="BFBFBF"/>
            <w:vAlign w:val="center"/>
            <w:hideMark/>
          </w:tcPr>
          <w:p w14:paraId="47381AC0" w14:textId="77777777" w:rsidR="00766DDC" w:rsidRPr="00A74D23" w:rsidRDefault="00766DDC" w:rsidP="009D6EE5">
            <w:pPr>
              <w:spacing w:line="22" w:lineRule="atLeast"/>
              <w:jc w:val="both"/>
              <w:rPr>
                <w:rFonts w:asciiTheme="minorHAnsi" w:hAnsiTheme="minorHAnsi" w:cs="Open Sans"/>
                <w:b/>
                <w:bCs/>
                <w:color w:val="000000"/>
                <w:sz w:val="18"/>
                <w:szCs w:val="18"/>
                <w:lang w:val="fr-FR" w:eastAsia="fr-FR"/>
              </w:rPr>
            </w:pPr>
            <w:r w:rsidRPr="00A74D23">
              <w:rPr>
                <w:rFonts w:asciiTheme="minorHAnsi" w:hAnsiTheme="minorHAnsi" w:cs="Open Sans"/>
                <w:b/>
                <w:bCs/>
                <w:color w:val="000000"/>
                <w:sz w:val="18"/>
                <w:szCs w:val="18"/>
                <w:lang w:val="fr-FR"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4E670DD8" w14:textId="77777777" w:rsidR="00766DDC" w:rsidRPr="00A74D23" w:rsidRDefault="00766DDC" w:rsidP="009D6EE5">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05A628E7" w14:textId="77777777" w:rsidR="00766DDC" w:rsidRPr="00A74D23" w:rsidRDefault="00766DDC" w:rsidP="009D6EE5">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527BE169" w14:textId="77777777" w:rsidR="00766DDC" w:rsidRPr="00A74D23" w:rsidRDefault="00766DDC" w:rsidP="009D6EE5">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r>
      <w:tr w:rsidR="00766DDC" w:rsidRPr="00A74D23" w14:paraId="51E561B7" w14:textId="77777777" w:rsidTr="008D3377">
        <w:trPr>
          <w:trHeight w:val="268"/>
        </w:trPr>
        <w:tc>
          <w:tcPr>
            <w:tcW w:w="5569" w:type="dxa"/>
            <w:gridSpan w:val="2"/>
            <w:tcBorders>
              <w:top w:val="nil"/>
              <w:left w:val="single" w:sz="4" w:space="0" w:color="auto"/>
              <w:bottom w:val="single" w:sz="4" w:space="0" w:color="auto"/>
              <w:right w:val="single" w:sz="4" w:space="0" w:color="auto"/>
            </w:tcBorders>
            <w:vAlign w:val="center"/>
            <w:hideMark/>
          </w:tcPr>
          <w:p w14:paraId="4B5B107A" w14:textId="77777777" w:rsidR="00766DDC" w:rsidRPr="00A74D23" w:rsidRDefault="00766DDC" w:rsidP="009D6EE5">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 xml:space="preserve">1. Emissions de GES </w:t>
            </w:r>
          </w:p>
        </w:tc>
        <w:tc>
          <w:tcPr>
            <w:tcW w:w="1532" w:type="dxa"/>
            <w:tcBorders>
              <w:top w:val="nil"/>
              <w:left w:val="nil"/>
              <w:bottom w:val="single" w:sz="4" w:space="0" w:color="auto"/>
              <w:right w:val="single" w:sz="4" w:space="0" w:color="auto"/>
            </w:tcBorders>
            <w:shd w:val="clear" w:color="000000" w:fill="BFBFBF"/>
            <w:vAlign w:val="center"/>
            <w:hideMark/>
          </w:tcPr>
          <w:p w14:paraId="7F93E844" w14:textId="77777777" w:rsidR="00766DDC" w:rsidRPr="00A74D23" w:rsidRDefault="00766DDC" w:rsidP="009D6EE5">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684271A3" w14:textId="5320E63B" w:rsidR="00766DDC" w:rsidRPr="00A74D23" w:rsidRDefault="00766DDC" w:rsidP="009D6EE5">
            <w:pPr>
              <w:spacing w:line="22" w:lineRule="atLeast"/>
              <w:jc w:val="both"/>
              <w:rPr>
                <w:rFonts w:asciiTheme="minorHAnsi" w:hAnsiTheme="minorHAnsi" w:cs="Open Sans"/>
                <w:b/>
                <w:bCs/>
                <w:color w:val="000000" w:themeColor="text1"/>
                <w:sz w:val="18"/>
                <w:szCs w:val="18"/>
                <w:lang w:eastAsia="fr-FR"/>
              </w:rPr>
            </w:pPr>
          </w:p>
        </w:tc>
        <w:tc>
          <w:tcPr>
            <w:tcW w:w="1810" w:type="dxa"/>
            <w:tcBorders>
              <w:top w:val="nil"/>
              <w:left w:val="nil"/>
              <w:bottom w:val="single" w:sz="4" w:space="0" w:color="auto"/>
              <w:right w:val="single" w:sz="4" w:space="0" w:color="auto"/>
            </w:tcBorders>
            <w:shd w:val="clear" w:color="000000" w:fill="BFBFBF"/>
            <w:vAlign w:val="center"/>
            <w:hideMark/>
          </w:tcPr>
          <w:p w14:paraId="39B86361" w14:textId="77777777" w:rsidR="00766DDC" w:rsidRPr="00A74D23" w:rsidRDefault="00766DDC" w:rsidP="009D6EE5">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71C9483E" w14:textId="77777777" w:rsidR="00766DDC" w:rsidRPr="00A74D23" w:rsidRDefault="00766DDC" w:rsidP="009D6EE5">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 </w:t>
            </w:r>
          </w:p>
        </w:tc>
      </w:tr>
      <w:tr w:rsidR="00843902" w:rsidRPr="0052796D" w14:paraId="7B8FF752" w14:textId="77777777" w:rsidTr="00843902">
        <w:trPr>
          <w:trHeight w:val="418"/>
        </w:trPr>
        <w:tc>
          <w:tcPr>
            <w:tcW w:w="5569" w:type="dxa"/>
            <w:gridSpan w:val="2"/>
            <w:tcBorders>
              <w:top w:val="nil"/>
              <w:left w:val="single" w:sz="4" w:space="0" w:color="auto"/>
              <w:bottom w:val="single" w:sz="4" w:space="0" w:color="auto"/>
              <w:right w:val="single" w:sz="4" w:space="0" w:color="auto"/>
            </w:tcBorders>
            <w:vAlign w:val="center"/>
            <w:hideMark/>
          </w:tcPr>
          <w:p w14:paraId="67E29899"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Emissions de GES de niveau 1 en tonnes d'équivalents CO2</w:t>
            </w:r>
          </w:p>
        </w:tc>
        <w:tc>
          <w:tcPr>
            <w:tcW w:w="1532" w:type="dxa"/>
            <w:tcBorders>
              <w:top w:val="nil"/>
              <w:left w:val="nil"/>
              <w:bottom w:val="single" w:sz="4" w:space="0" w:color="auto"/>
              <w:right w:val="single" w:sz="4" w:space="0" w:color="auto"/>
            </w:tcBorders>
            <w:shd w:val="clear" w:color="auto" w:fill="D57B1D" w:themeFill="accent3"/>
            <w:vAlign w:val="center"/>
            <w:hideMark/>
          </w:tcPr>
          <w:p w14:paraId="7B050DBB"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0010</w:t>
            </w:r>
          </w:p>
        </w:tc>
        <w:tc>
          <w:tcPr>
            <w:tcW w:w="1809" w:type="dxa"/>
            <w:tcBorders>
              <w:top w:val="single" w:sz="8" w:space="0" w:color="auto"/>
              <w:left w:val="single" w:sz="4" w:space="0" w:color="auto"/>
              <w:bottom w:val="single" w:sz="4" w:space="0" w:color="auto"/>
              <w:right w:val="single" w:sz="4" w:space="0" w:color="auto"/>
            </w:tcBorders>
            <w:vAlign w:val="center"/>
          </w:tcPr>
          <w:p w14:paraId="0BECAB35" w14:textId="11BF792E" w:rsidR="00843902" w:rsidRPr="00843902" w:rsidRDefault="00843902" w:rsidP="00843902">
            <w:pPr>
              <w:spacing w:line="22" w:lineRule="atLeast"/>
              <w:rPr>
                <w:rFonts w:asciiTheme="minorHAnsi" w:hAnsiTheme="minorHAnsi" w:cs="Open Sans"/>
                <w:color w:val="000000" w:themeColor="text1"/>
                <w:sz w:val="18"/>
                <w:szCs w:val="18"/>
                <w:lang w:eastAsia="fr-FR"/>
              </w:rPr>
            </w:pPr>
            <w:r w:rsidRPr="00843902">
              <w:rPr>
                <w:rFonts w:asciiTheme="minorHAnsi" w:hAnsiTheme="minorHAnsi"/>
                <w:sz w:val="18"/>
                <w:szCs w:val="18"/>
              </w:rPr>
              <w:t>35 223</w:t>
            </w:r>
          </w:p>
        </w:tc>
        <w:tc>
          <w:tcPr>
            <w:tcW w:w="1810" w:type="dxa"/>
            <w:tcBorders>
              <w:top w:val="nil"/>
              <w:left w:val="nil"/>
              <w:bottom w:val="single" w:sz="4" w:space="0" w:color="auto"/>
              <w:right w:val="single" w:sz="4" w:space="0" w:color="auto"/>
            </w:tcBorders>
            <w:vAlign w:val="center"/>
            <w:hideMark/>
          </w:tcPr>
          <w:p w14:paraId="30C94F4F" w14:textId="62BF922C" w:rsidR="00843902" w:rsidRPr="00843902" w:rsidRDefault="00843902" w:rsidP="00843902">
            <w:pPr>
              <w:spacing w:line="22" w:lineRule="atLeast"/>
              <w:rPr>
                <w:rFonts w:asciiTheme="minorHAnsi" w:hAnsiTheme="minorHAnsi" w:cs="Open Sans"/>
                <w:color w:val="000000"/>
                <w:sz w:val="18"/>
                <w:szCs w:val="18"/>
                <w:lang w:eastAsia="fr-FR"/>
              </w:rPr>
            </w:pPr>
            <w:r w:rsidRPr="00843902">
              <w:rPr>
                <w:rFonts w:asciiTheme="minorHAnsi" w:hAnsiTheme="minorHAnsi" w:cs="Calibri"/>
                <w:sz w:val="18"/>
                <w:szCs w:val="18"/>
                <w:lang w:eastAsia="fr-FR"/>
              </w:rPr>
              <w:t>36 967</w:t>
            </w:r>
          </w:p>
        </w:tc>
        <w:tc>
          <w:tcPr>
            <w:tcW w:w="4177" w:type="dxa"/>
            <w:tcBorders>
              <w:top w:val="nil"/>
              <w:left w:val="nil"/>
              <w:bottom w:val="single" w:sz="4" w:space="0" w:color="auto"/>
              <w:right w:val="single" w:sz="4" w:space="0" w:color="auto"/>
            </w:tcBorders>
            <w:vAlign w:val="center"/>
          </w:tcPr>
          <w:p w14:paraId="35F4633D" w14:textId="2110D2BA" w:rsidR="00843902" w:rsidRPr="00A74D23" w:rsidRDefault="00843902" w:rsidP="00843902">
            <w:pPr>
              <w:spacing w:line="22" w:lineRule="atLeast"/>
              <w:jc w:val="both"/>
              <w:rPr>
                <w:rFonts w:asciiTheme="minorHAnsi" w:hAnsiTheme="minorHAnsi" w:cs="Open Sans"/>
                <w:color w:val="000000"/>
                <w:sz w:val="18"/>
                <w:szCs w:val="18"/>
                <w:lang w:val="fr-FR"/>
              </w:rPr>
            </w:pPr>
            <w:r w:rsidRPr="00A74D23">
              <w:rPr>
                <w:rFonts w:asciiTheme="minorHAnsi" w:hAnsiTheme="minorHAnsi" w:cs="Open Sans"/>
                <w:color w:val="000000"/>
                <w:sz w:val="18"/>
                <w:szCs w:val="18"/>
                <w:lang w:val="fr-FR"/>
              </w:rPr>
              <w:t>Nous réduirons les émissions en ligne avec notre objectif de décarbonation à 2025 et à 2030</w:t>
            </w:r>
          </w:p>
        </w:tc>
      </w:tr>
      <w:tr w:rsidR="00843902" w:rsidRPr="0052796D" w14:paraId="48A679EE" w14:textId="77777777" w:rsidTr="00843902">
        <w:trPr>
          <w:trHeight w:val="645"/>
        </w:trPr>
        <w:tc>
          <w:tcPr>
            <w:tcW w:w="5569" w:type="dxa"/>
            <w:gridSpan w:val="2"/>
            <w:tcBorders>
              <w:top w:val="nil"/>
              <w:left w:val="single" w:sz="4" w:space="0" w:color="auto"/>
              <w:bottom w:val="single" w:sz="4" w:space="0" w:color="auto"/>
              <w:right w:val="single" w:sz="4" w:space="0" w:color="auto"/>
            </w:tcBorders>
            <w:vAlign w:val="center"/>
            <w:hideMark/>
          </w:tcPr>
          <w:p w14:paraId="5D0FEEA9"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Emissions de GES de niveau 2 en tonnes d'équivalents CO2</w:t>
            </w:r>
          </w:p>
        </w:tc>
        <w:tc>
          <w:tcPr>
            <w:tcW w:w="1532" w:type="dxa"/>
            <w:tcBorders>
              <w:top w:val="nil"/>
              <w:left w:val="nil"/>
              <w:bottom w:val="single" w:sz="4" w:space="0" w:color="auto"/>
              <w:right w:val="single" w:sz="4" w:space="0" w:color="auto"/>
            </w:tcBorders>
            <w:shd w:val="clear" w:color="auto" w:fill="D57B1D" w:themeFill="accent3"/>
            <w:vAlign w:val="center"/>
            <w:hideMark/>
          </w:tcPr>
          <w:p w14:paraId="4743BC8F"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0020</w:t>
            </w:r>
          </w:p>
        </w:tc>
        <w:tc>
          <w:tcPr>
            <w:tcW w:w="1809" w:type="dxa"/>
            <w:tcBorders>
              <w:top w:val="nil"/>
              <w:left w:val="single" w:sz="4" w:space="0" w:color="auto"/>
              <w:bottom w:val="single" w:sz="4" w:space="0" w:color="auto"/>
              <w:right w:val="single" w:sz="4" w:space="0" w:color="auto"/>
            </w:tcBorders>
            <w:vAlign w:val="center"/>
          </w:tcPr>
          <w:p w14:paraId="0CA59AC3" w14:textId="6C255F57" w:rsidR="00843902" w:rsidRPr="00843902" w:rsidRDefault="00843902" w:rsidP="00843902">
            <w:pPr>
              <w:spacing w:line="22" w:lineRule="atLeast"/>
              <w:rPr>
                <w:rFonts w:asciiTheme="minorHAnsi" w:hAnsiTheme="minorHAnsi" w:cs="Open Sans"/>
                <w:color w:val="000000" w:themeColor="text1"/>
                <w:sz w:val="18"/>
                <w:szCs w:val="18"/>
                <w:lang w:eastAsia="fr-FR"/>
              </w:rPr>
            </w:pPr>
            <w:r w:rsidRPr="00843902">
              <w:rPr>
                <w:rFonts w:asciiTheme="minorHAnsi" w:hAnsiTheme="minorHAnsi"/>
                <w:sz w:val="18"/>
                <w:szCs w:val="18"/>
              </w:rPr>
              <w:t>9 209</w:t>
            </w:r>
          </w:p>
        </w:tc>
        <w:tc>
          <w:tcPr>
            <w:tcW w:w="1810" w:type="dxa"/>
            <w:tcBorders>
              <w:top w:val="nil"/>
              <w:left w:val="nil"/>
              <w:bottom w:val="single" w:sz="4" w:space="0" w:color="auto"/>
              <w:right w:val="single" w:sz="4" w:space="0" w:color="auto"/>
            </w:tcBorders>
            <w:vAlign w:val="center"/>
            <w:hideMark/>
          </w:tcPr>
          <w:p w14:paraId="473C304F" w14:textId="3E662393" w:rsidR="00843902" w:rsidRPr="00843902" w:rsidRDefault="00843902" w:rsidP="00843902">
            <w:pPr>
              <w:spacing w:line="22" w:lineRule="atLeast"/>
              <w:rPr>
                <w:rFonts w:asciiTheme="minorHAnsi" w:hAnsiTheme="minorHAnsi" w:cs="Open Sans"/>
                <w:color w:val="000000"/>
                <w:sz w:val="18"/>
                <w:szCs w:val="18"/>
                <w:lang w:eastAsia="fr-FR"/>
              </w:rPr>
            </w:pPr>
            <w:r w:rsidRPr="00843902">
              <w:rPr>
                <w:rFonts w:asciiTheme="minorHAnsi" w:hAnsiTheme="minorHAnsi" w:cs="Calibri"/>
                <w:sz w:val="18"/>
                <w:szCs w:val="18"/>
                <w:lang w:eastAsia="fr-FR"/>
              </w:rPr>
              <w:t>9 742</w:t>
            </w:r>
          </w:p>
        </w:tc>
        <w:tc>
          <w:tcPr>
            <w:tcW w:w="4177" w:type="dxa"/>
            <w:tcBorders>
              <w:top w:val="nil"/>
              <w:left w:val="nil"/>
              <w:bottom w:val="single" w:sz="4" w:space="0" w:color="auto"/>
              <w:right w:val="single" w:sz="4" w:space="0" w:color="auto"/>
            </w:tcBorders>
            <w:vAlign w:val="center"/>
          </w:tcPr>
          <w:p w14:paraId="6B161167" w14:textId="1D70E990" w:rsidR="00843902" w:rsidRPr="00A74D23" w:rsidRDefault="00843902" w:rsidP="00843902">
            <w:pPr>
              <w:spacing w:line="22" w:lineRule="atLeast"/>
              <w:jc w:val="both"/>
              <w:rPr>
                <w:rFonts w:asciiTheme="minorHAnsi" w:hAnsiTheme="minorHAnsi" w:cs="Open Sans"/>
                <w:color w:val="000000"/>
                <w:sz w:val="18"/>
                <w:szCs w:val="18"/>
                <w:lang w:val="fr-FR"/>
              </w:rPr>
            </w:pPr>
            <w:r w:rsidRPr="00A74D23">
              <w:rPr>
                <w:rFonts w:asciiTheme="minorHAnsi" w:hAnsiTheme="minorHAnsi" w:cs="Open Sans"/>
                <w:color w:val="000000"/>
                <w:sz w:val="18"/>
                <w:szCs w:val="18"/>
                <w:lang w:val="fr-FR"/>
              </w:rPr>
              <w:t>Nous réduirons les émissions en ligne avec notre objectif de décarbonation à 2025 et à 2030</w:t>
            </w:r>
          </w:p>
        </w:tc>
      </w:tr>
      <w:tr w:rsidR="00843902" w:rsidRPr="0052796D" w14:paraId="3F16580D" w14:textId="77777777" w:rsidTr="00843902">
        <w:trPr>
          <w:trHeight w:val="645"/>
        </w:trPr>
        <w:tc>
          <w:tcPr>
            <w:tcW w:w="5569" w:type="dxa"/>
            <w:gridSpan w:val="2"/>
            <w:tcBorders>
              <w:top w:val="nil"/>
              <w:left w:val="single" w:sz="4" w:space="0" w:color="auto"/>
              <w:bottom w:val="single" w:sz="4" w:space="0" w:color="auto"/>
              <w:right w:val="single" w:sz="4" w:space="0" w:color="auto"/>
            </w:tcBorders>
            <w:vAlign w:val="center"/>
            <w:hideMark/>
          </w:tcPr>
          <w:p w14:paraId="35A06D50"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Emissions de GES de niveau 3 en tonnes d'équivalents CO2</w:t>
            </w:r>
          </w:p>
        </w:tc>
        <w:tc>
          <w:tcPr>
            <w:tcW w:w="1532" w:type="dxa"/>
            <w:tcBorders>
              <w:top w:val="nil"/>
              <w:left w:val="nil"/>
              <w:bottom w:val="single" w:sz="4" w:space="0" w:color="auto"/>
              <w:right w:val="single" w:sz="4" w:space="0" w:color="auto"/>
            </w:tcBorders>
            <w:shd w:val="clear" w:color="auto" w:fill="D57B1D" w:themeFill="accent3"/>
            <w:vAlign w:val="center"/>
            <w:hideMark/>
          </w:tcPr>
          <w:p w14:paraId="668E6556"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0030</w:t>
            </w:r>
          </w:p>
        </w:tc>
        <w:tc>
          <w:tcPr>
            <w:tcW w:w="1809" w:type="dxa"/>
            <w:tcBorders>
              <w:top w:val="nil"/>
              <w:left w:val="single" w:sz="4" w:space="0" w:color="auto"/>
              <w:bottom w:val="single" w:sz="4" w:space="0" w:color="auto"/>
              <w:right w:val="single" w:sz="4" w:space="0" w:color="auto"/>
            </w:tcBorders>
            <w:vAlign w:val="center"/>
          </w:tcPr>
          <w:p w14:paraId="7FD274D2" w14:textId="3094886A" w:rsidR="00843902" w:rsidRPr="00843902" w:rsidRDefault="00843902" w:rsidP="00843902">
            <w:pPr>
              <w:spacing w:line="22" w:lineRule="atLeast"/>
              <w:rPr>
                <w:rFonts w:asciiTheme="minorHAnsi" w:hAnsiTheme="minorHAnsi" w:cs="Open Sans"/>
                <w:color w:val="000000" w:themeColor="text1"/>
                <w:sz w:val="18"/>
                <w:szCs w:val="18"/>
                <w:lang w:eastAsia="fr-FR"/>
              </w:rPr>
            </w:pPr>
            <w:r w:rsidRPr="00843902">
              <w:rPr>
                <w:rFonts w:asciiTheme="minorHAnsi" w:hAnsiTheme="minorHAnsi"/>
                <w:sz w:val="18"/>
                <w:szCs w:val="18"/>
              </w:rPr>
              <w:t>378 763</w:t>
            </w:r>
          </w:p>
        </w:tc>
        <w:tc>
          <w:tcPr>
            <w:tcW w:w="1810" w:type="dxa"/>
            <w:tcBorders>
              <w:top w:val="nil"/>
              <w:left w:val="nil"/>
              <w:bottom w:val="single" w:sz="4" w:space="0" w:color="auto"/>
              <w:right w:val="single" w:sz="4" w:space="0" w:color="auto"/>
            </w:tcBorders>
            <w:vAlign w:val="center"/>
            <w:hideMark/>
          </w:tcPr>
          <w:p w14:paraId="5CBEB685" w14:textId="29413C67" w:rsidR="00843902" w:rsidRPr="00843902" w:rsidRDefault="00843902" w:rsidP="00843902">
            <w:pPr>
              <w:spacing w:line="22" w:lineRule="atLeast"/>
              <w:rPr>
                <w:rFonts w:asciiTheme="minorHAnsi" w:hAnsiTheme="minorHAnsi" w:cs="Open Sans"/>
                <w:color w:val="000000"/>
                <w:sz w:val="18"/>
                <w:szCs w:val="18"/>
                <w:lang w:eastAsia="fr-FR"/>
              </w:rPr>
            </w:pPr>
            <w:r w:rsidRPr="00843902">
              <w:rPr>
                <w:rFonts w:asciiTheme="minorHAnsi" w:hAnsiTheme="minorHAnsi" w:cs="Calibri"/>
                <w:sz w:val="18"/>
                <w:szCs w:val="18"/>
                <w:lang w:eastAsia="fr-FR"/>
              </w:rPr>
              <w:t>332 550</w:t>
            </w:r>
          </w:p>
        </w:tc>
        <w:tc>
          <w:tcPr>
            <w:tcW w:w="4177" w:type="dxa"/>
            <w:tcBorders>
              <w:top w:val="nil"/>
              <w:left w:val="nil"/>
              <w:bottom w:val="single" w:sz="4" w:space="0" w:color="auto"/>
              <w:right w:val="single" w:sz="4" w:space="0" w:color="auto"/>
            </w:tcBorders>
            <w:vAlign w:val="center"/>
          </w:tcPr>
          <w:p w14:paraId="1B6CFC43" w14:textId="0FBCF170" w:rsidR="00843902" w:rsidRPr="00A74D23" w:rsidRDefault="00843902" w:rsidP="00843902">
            <w:pPr>
              <w:spacing w:line="22" w:lineRule="atLeast"/>
              <w:jc w:val="both"/>
              <w:rPr>
                <w:rFonts w:asciiTheme="minorHAnsi" w:hAnsiTheme="minorHAnsi" w:cs="Open Sans"/>
                <w:color w:val="000000"/>
                <w:sz w:val="18"/>
                <w:szCs w:val="18"/>
                <w:lang w:val="fr-FR"/>
              </w:rPr>
            </w:pPr>
            <w:r w:rsidRPr="00A74D23">
              <w:rPr>
                <w:rFonts w:asciiTheme="minorHAnsi" w:hAnsiTheme="minorHAnsi" w:cs="Open Sans"/>
                <w:color w:val="000000"/>
                <w:sz w:val="18"/>
                <w:szCs w:val="18"/>
                <w:lang w:val="fr-FR"/>
              </w:rPr>
              <w:t>Nous réduirons les émissions en ligne avec notre objectif de décarbonation à 2025 et à 2030</w:t>
            </w:r>
          </w:p>
        </w:tc>
      </w:tr>
      <w:tr w:rsidR="00843902" w:rsidRPr="00A74D23" w14:paraId="7EAE11F0" w14:textId="77777777" w:rsidTr="00DD0D9C">
        <w:trPr>
          <w:trHeight w:val="268"/>
        </w:trPr>
        <w:tc>
          <w:tcPr>
            <w:tcW w:w="5569" w:type="dxa"/>
            <w:gridSpan w:val="2"/>
            <w:tcBorders>
              <w:top w:val="nil"/>
              <w:left w:val="single" w:sz="4" w:space="0" w:color="auto"/>
              <w:bottom w:val="single" w:sz="4" w:space="0" w:color="auto"/>
              <w:right w:val="single" w:sz="4" w:space="0" w:color="auto"/>
            </w:tcBorders>
            <w:vAlign w:val="center"/>
            <w:hideMark/>
          </w:tcPr>
          <w:p w14:paraId="573CD006" w14:textId="77777777"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 xml:space="preserve">2. Empreinte carbone </w:t>
            </w:r>
          </w:p>
        </w:tc>
        <w:tc>
          <w:tcPr>
            <w:tcW w:w="1532" w:type="dxa"/>
            <w:tcBorders>
              <w:top w:val="nil"/>
              <w:left w:val="nil"/>
              <w:bottom w:val="single" w:sz="4" w:space="0" w:color="auto"/>
              <w:right w:val="single" w:sz="4" w:space="0" w:color="auto"/>
            </w:tcBorders>
            <w:shd w:val="clear" w:color="000000" w:fill="BFBFBF"/>
            <w:vAlign w:val="center"/>
            <w:hideMark/>
          </w:tcPr>
          <w:p w14:paraId="53056632" w14:textId="77777777" w:rsidR="00843902" w:rsidRPr="00A74D23" w:rsidRDefault="00843902" w:rsidP="00843902">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 </w:t>
            </w:r>
          </w:p>
        </w:tc>
        <w:tc>
          <w:tcPr>
            <w:tcW w:w="1809" w:type="dxa"/>
            <w:tcBorders>
              <w:top w:val="nil"/>
              <w:left w:val="nil"/>
              <w:bottom w:val="single" w:sz="4" w:space="0" w:color="auto"/>
              <w:right w:val="single" w:sz="4" w:space="0" w:color="auto"/>
            </w:tcBorders>
            <w:shd w:val="clear" w:color="000000" w:fill="BFBFBF"/>
            <w:vAlign w:val="center"/>
          </w:tcPr>
          <w:p w14:paraId="112E7B36" w14:textId="274977FC" w:rsidR="00843902" w:rsidRPr="00843902" w:rsidRDefault="00843902" w:rsidP="00843902">
            <w:pPr>
              <w:spacing w:line="22" w:lineRule="atLeast"/>
              <w:jc w:val="both"/>
              <w:rPr>
                <w:rFonts w:asciiTheme="minorHAnsi" w:hAnsiTheme="minorHAnsi" w:cs="Open Sans"/>
                <w:b/>
                <w:bCs/>
                <w:color w:val="000000" w:themeColor="text1"/>
                <w:sz w:val="18"/>
                <w:szCs w:val="18"/>
                <w:lang w:eastAsia="fr-FR"/>
              </w:rPr>
            </w:pPr>
          </w:p>
        </w:tc>
        <w:tc>
          <w:tcPr>
            <w:tcW w:w="1810" w:type="dxa"/>
            <w:tcBorders>
              <w:top w:val="nil"/>
              <w:left w:val="nil"/>
              <w:bottom w:val="single" w:sz="4" w:space="0" w:color="auto"/>
              <w:right w:val="single" w:sz="4" w:space="0" w:color="auto"/>
            </w:tcBorders>
            <w:shd w:val="clear" w:color="000000" w:fill="BFBFBF"/>
            <w:vAlign w:val="center"/>
          </w:tcPr>
          <w:p w14:paraId="1C276FB8" w14:textId="693B6974" w:rsidR="00843902" w:rsidRPr="00843902" w:rsidRDefault="00843902" w:rsidP="00843902">
            <w:pPr>
              <w:spacing w:line="22" w:lineRule="atLeast"/>
              <w:jc w:val="both"/>
              <w:rPr>
                <w:rFonts w:asciiTheme="minorHAnsi" w:hAnsiTheme="minorHAnsi" w:cs="Open Sans"/>
                <w:b/>
                <w:bCs/>
                <w:color w:val="FFFFFF"/>
                <w:sz w:val="18"/>
                <w:szCs w:val="18"/>
                <w:lang w:eastAsia="fr-FR"/>
              </w:rPr>
            </w:pPr>
          </w:p>
        </w:tc>
        <w:tc>
          <w:tcPr>
            <w:tcW w:w="4177" w:type="dxa"/>
            <w:tcBorders>
              <w:top w:val="nil"/>
              <w:left w:val="nil"/>
              <w:bottom w:val="single" w:sz="4" w:space="0" w:color="auto"/>
              <w:right w:val="single" w:sz="4" w:space="0" w:color="auto"/>
            </w:tcBorders>
            <w:shd w:val="clear" w:color="000000" w:fill="BFBFBF"/>
            <w:vAlign w:val="center"/>
            <w:hideMark/>
          </w:tcPr>
          <w:p w14:paraId="2FF5AB01"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 </w:t>
            </w:r>
          </w:p>
        </w:tc>
      </w:tr>
      <w:tr w:rsidR="00843902" w:rsidRPr="0052796D" w14:paraId="510A538F" w14:textId="77777777" w:rsidTr="00DD0D9C">
        <w:trPr>
          <w:trHeight w:val="645"/>
        </w:trPr>
        <w:tc>
          <w:tcPr>
            <w:tcW w:w="5569" w:type="dxa"/>
            <w:gridSpan w:val="2"/>
            <w:tcBorders>
              <w:top w:val="nil"/>
              <w:left w:val="single" w:sz="4" w:space="0" w:color="auto"/>
              <w:bottom w:val="single" w:sz="4" w:space="0" w:color="auto"/>
              <w:right w:val="single" w:sz="4" w:space="0" w:color="auto"/>
            </w:tcBorders>
            <w:vAlign w:val="center"/>
            <w:hideMark/>
          </w:tcPr>
          <w:p w14:paraId="76F31673"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Empreinte carbone en tonnes d'équivalents CO2 par millions d'euros investis</w:t>
            </w:r>
          </w:p>
        </w:tc>
        <w:tc>
          <w:tcPr>
            <w:tcW w:w="1532" w:type="dxa"/>
            <w:tcBorders>
              <w:top w:val="nil"/>
              <w:left w:val="nil"/>
              <w:bottom w:val="single" w:sz="4" w:space="0" w:color="auto"/>
              <w:right w:val="single" w:sz="4" w:space="0" w:color="auto"/>
            </w:tcBorders>
            <w:shd w:val="clear" w:color="auto" w:fill="D57B1D" w:themeFill="accent3"/>
            <w:vAlign w:val="center"/>
            <w:hideMark/>
          </w:tcPr>
          <w:p w14:paraId="66B13A21"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0040</w:t>
            </w:r>
          </w:p>
        </w:tc>
        <w:tc>
          <w:tcPr>
            <w:tcW w:w="1809" w:type="dxa"/>
            <w:tcBorders>
              <w:top w:val="nil"/>
              <w:left w:val="nil"/>
              <w:bottom w:val="single" w:sz="4" w:space="0" w:color="auto"/>
              <w:right w:val="single" w:sz="4" w:space="0" w:color="auto"/>
            </w:tcBorders>
            <w:vAlign w:val="center"/>
            <w:hideMark/>
          </w:tcPr>
          <w:p w14:paraId="380FE3AC" w14:textId="6095FE6D" w:rsidR="00843902" w:rsidRPr="00843902" w:rsidRDefault="00843902" w:rsidP="00843902">
            <w:pPr>
              <w:spacing w:after="160" w:line="22" w:lineRule="atLeast"/>
              <w:jc w:val="both"/>
              <w:rPr>
                <w:rFonts w:asciiTheme="minorHAnsi" w:eastAsiaTheme="minorHAnsi" w:hAnsiTheme="minorHAnsi" w:cs="Open Sans"/>
                <w:color w:val="000000" w:themeColor="text1"/>
                <w:sz w:val="18"/>
                <w:szCs w:val="18"/>
              </w:rPr>
            </w:pPr>
            <w:r w:rsidRPr="00843902">
              <w:rPr>
                <w:rFonts w:asciiTheme="minorHAnsi" w:hAnsiTheme="minorHAnsi" w:cs="Open Sans"/>
                <w:color w:val="000000" w:themeColor="text1"/>
                <w:sz w:val="18"/>
                <w:szCs w:val="18"/>
              </w:rPr>
              <w:t>3</w:t>
            </w:r>
            <w:r>
              <w:rPr>
                <w:rFonts w:asciiTheme="minorHAnsi" w:hAnsiTheme="minorHAnsi" w:cs="Open Sans"/>
                <w:color w:val="000000" w:themeColor="text1"/>
                <w:sz w:val="18"/>
                <w:szCs w:val="18"/>
              </w:rPr>
              <w:t>01</w:t>
            </w:r>
          </w:p>
        </w:tc>
        <w:tc>
          <w:tcPr>
            <w:tcW w:w="1810" w:type="dxa"/>
            <w:tcBorders>
              <w:top w:val="nil"/>
              <w:left w:val="nil"/>
              <w:bottom w:val="single" w:sz="4" w:space="0" w:color="auto"/>
              <w:right w:val="single" w:sz="4" w:space="0" w:color="auto"/>
            </w:tcBorders>
            <w:vAlign w:val="center"/>
            <w:hideMark/>
          </w:tcPr>
          <w:p w14:paraId="4FAF7FCC" w14:textId="744509DC" w:rsidR="00843902" w:rsidRPr="00843902" w:rsidRDefault="00843902" w:rsidP="00843902">
            <w:pPr>
              <w:spacing w:line="22" w:lineRule="atLeast"/>
              <w:jc w:val="both"/>
              <w:rPr>
                <w:rFonts w:asciiTheme="minorHAnsi" w:hAnsiTheme="minorHAnsi" w:cs="Open Sans"/>
                <w:color w:val="000000"/>
                <w:sz w:val="18"/>
                <w:szCs w:val="18"/>
                <w:lang w:eastAsia="fr-FR"/>
              </w:rPr>
            </w:pPr>
            <w:r w:rsidRPr="00843902">
              <w:rPr>
                <w:rFonts w:asciiTheme="minorHAnsi" w:hAnsiTheme="minorHAnsi" w:cs="Calibri"/>
                <w:color w:val="000000"/>
                <w:sz w:val="18"/>
                <w:szCs w:val="18"/>
                <w:lang w:eastAsia="fr-FR"/>
              </w:rPr>
              <w:t>303</w:t>
            </w:r>
          </w:p>
        </w:tc>
        <w:tc>
          <w:tcPr>
            <w:tcW w:w="4177" w:type="dxa"/>
            <w:tcBorders>
              <w:top w:val="nil"/>
              <w:left w:val="nil"/>
              <w:bottom w:val="single" w:sz="4" w:space="0" w:color="auto"/>
              <w:right w:val="single" w:sz="4" w:space="0" w:color="auto"/>
            </w:tcBorders>
            <w:vAlign w:val="center"/>
            <w:hideMark/>
          </w:tcPr>
          <w:p w14:paraId="1AC6A08F" w14:textId="30D890DC"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rPr>
              <w:t>Nous réduirons les émissions en ligne avec notre objectif de décarbonation à 2025 et à 2030</w:t>
            </w:r>
          </w:p>
        </w:tc>
      </w:tr>
      <w:tr w:rsidR="00843902" w:rsidRPr="00A605BB" w14:paraId="4A49A5BD" w14:textId="77777777" w:rsidTr="00DD0D9C">
        <w:trPr>
          <w:trHeight w:val="268"/>
        </w:trPr>
        <w:tc>
          <w:tcPr>
            <w:tcW w:w="5569" w:type="dxa"/>
            <w:gridSpan w:val="2"/>
            <w:tcBorders>
              <w:top w:val="nil"/>
              <w:left w:val="single" w:sz="4" w:space="0" w:color="auto"/>
              <w:bottom w:val="single" w:sz="4" w:space="0" w:color="auto"/>
              <w:right w:val="single" w:sz="4" w:space="0" w:color="auto"/>
            </w:tcBorders>
            <w:vAlign w:val="center"/>
            <w:hideMark/>
          </w:tcPr>
          <w:p w14:paraId="143464FA"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3. Intensité de GES des sociétés bénéficiaires des investissements </w:t>
            </w:r>
          </w:p>
        </w:tc>
        <w:tc>
          <w:tcPr>
            <w:tcW w:w="1532" w:type="dxa"/>
            <w:tcBorders>
              <w:top w:val="nil"/>
              <w:left w:val="nil"/>
              <w:bottom w:val="single" w:sz="4" w:space="0" w:color="auto"/>
              <w:right w:val="single" w:sz="4" w:space="0" w:color="auto"/>
            </w:tcBorders>
            <w:shd w:val="clear" w:color="000000" w:fill="BFBFBF"/>
            <w:vAlign w:val="center"/>
            <w:hideMark/>
          </w:tcPr>
          <w:p w14:paraId="39127DFF" w14:textId="77777777" w:rsidR="00843902" w:rsidRPr="00A74D23" w:rsidRDefault="00843902" w:rsidP="00843902">
            <w:pPr>
              <w:spacing w:line="22" w:lineRule="atLeast"/>
              <w:jc w:val="both"/>
              <w:rPr>
                <w:rFonts w:asciiTheme="minorHAnsi" w:hAnsiTheme="minorHAnsi" w:cs="Open Sans"/>
                <w:b/>
                <w:bCs/>
                <w:color w:val="000000"/>
                <w:sz w:val="18"/>
                <w:szCs w:val="18"/>
                <w:lang w:val="fr-FR" w:eastAsia="fr-FR"/>
              </w:rPr>
            </w:pPr>
            <w:r w:rsidRPr="00A74D23">
              <w:rPr>
                <w:rFonts w:asciiTheme="minorHAnsi" w:hAnsiTheme="minorHAnsi" w:cs="Open Sans"/>
                <w:b/>
                <w:bCs/>
                <w:color w:val="000000"/>
                <w:sz w:val="18"/>
                <w:szCs w:val="18"/>
                <w:lang w:val="fr-FR"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15787BCD" w14:textId="109A66EB" w:rsidR="00843902" w:rsidRPr="00843902" w:rsidRDefault="00843902" w:rsidP="00843902">
            <w:pPr>
              <w:spacing w:line="22" w:lineRule="atLeast"/>
              <w:jc w:val="both"/>
              <w:rPr>
                <w:rFonts w:asciiTheme="minorHAnsi" w:hAnsiTheme="minorHAnsi" w:cs="Open Sans"/>
                <w:b/>
                <w:bCs/>
                <w:color w:val="000000" w:themeColor="text1"/>
                <w:sz w:val="18"/>
                <w:szCs w:val="18"/>
                <w:lang w:val="fr-FR" w:eastAsia="fr-FR"/>
              </w:rPr>
            </w:pPr>
          </w:p>
        </w:tc>
        <w:tc>
          <w:tcPr>
            <w:tcW w:w="1810" w:type="dxa"/>
            <w:tcBorders>
              <w:top w:val="nil"/>
              <w:left w:val="nil"/>
              <w:bottom w:val="single" w:sz="4" w:space="0" w:color="auto"/>
              <w:right w:val="single" w:sz="4" w:space="0" w:color="auto"/>
            </w:tcBorders>
            <w:shd w:val="clear" w:color="000000" w:fill="BFBFBF"/>
            <w:vAlign w:val="center"/>
            <w:hideMark/>
          </w:tcPr>
          <w:p w14:paraId="01A7D247" w14:textId="17982AFF" w:rsidR="00843902" w:rsidRPr="00843902" w:rsidRDefault="00843902" w:rsidP="00843902">
            <w:pPr>
              <w:spacing w:line="22" w:lineRule="atLeast"/>
              <w:jc w:val="both"/>
              <w:rPr>
                <w:rFonts w:asciiTheme="minorHAnsi" w:hAnsiTheme="minorHAnsi" w:cs="Open Sans"/>
                <w:b/>
                <w:bCs/>
                <w:color w:val="FFFFFF"/>
                <w:sz w:val="18"/>
                <w:szCs w:val="18"/>
                <w:lang w:val="fr-FR" w:eastAsia="fr-FR"/>
              </w:rPr>
            </w:pPr>
            <w:r w:rsidRPr="00A605BB">
              <w:rPr>
                <w:rFonts w:asciiTheme="minorHAnsi" w:hAnsiTheme="minorHAnsi" w:cs="Calibri"/>
                <w:b/>
                <w:bCs/>
                <w:color w:val="FFFFFF"/>
                <w:sz w:val="18"/>
                <w:szCs w:val="18"/>
                <w:lang w:val="fr-FR"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1E3AA145"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r>
      <w:tr w:rsidR="00843902" w:rsidRPr="00A605BB" w14:paraId="4620A1DA" w14:textId="77777777" w:rsidTr="00DD0D9C">
        <w:trPr>
          <w:trHeight w:val="645"/>
        </w:trPr>
        <w:tc>
          <w:tcPr>
            <w:tcW w:w="5569" w:type="dxa"/>
            <w:gridSpan w:val="2"/>
            <w:tcBorders>
              <w:top w:val="nil"/>
              <w:left w:val="single" w:sz="4" w:space="0" w:color="auto"/>
              <w:bottom w:val="single" w:sz="4" w:space="0" w:color="auto"/>
              <w:right w:val="single" w:sz="4" w:space="0" w:color="auto"/>
            </w:tcBorders>
            <w:vAlign w:val="center"/>
            <w:hideMark/>
          </w:tcPr>
          <w:p w14:paraId="0668288E"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Intensité de GES des sociétés bénéficiaires des investissements en tonnes d'équivalents CO2 par millions d'euros de chiffre d'affaires des sociétés bénéficiaires d'investissements</w:t>
            </w:r>
          </w:p>
        </w:tc>
        <w:tc>
          <w:tcPr>
            <w:tcW w:w="1532" w:type="dxa"/>
            <w:tcBorders>
              <w:top w:val="nil"/>
              <w:left w:val="nil"/>
              <w:bottom w:val="single" w:sz="4" w:space="0" w:color="auto"/>
              <w:right w:val="single" w:sz="4" w:space="0" w:color="auto"/>
            </w:tcBorders>
            <w:shd w:val="clear" w:color="auto" w:fill="D57B1D" w:themeFill="accent3"/>
            <w:vAlign w:val="center"/>
            <w:hideMark/>
          </w:tcPr>
          <w:p w14:paraId="64E88622"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0050</w:t>
            </w:r>
          </w:p>
        </w:tc>
        <w:tc>
          <w:tcPr>
            <w:tcW w:w="1809" w:type="dxa"/>
            <w:tcBorders>
              <w:top w:val="nil"/>
              <w:left w:val="nil"/>
              <w:bottom w:val="single" w:sz="4" w:space="0" w:color="auto"/>
              <w:right w:val="single" w:sz="4" w:space="0" w:color="auto"/>
            </w:tcBorders>
            <w:vAlign w:val="center"/>
          </w:tcPr>
          <w:p w14:paraId="476EA92F" w14:textId="042DB6E7" w:rsidR="00843902" w:rsidRPr="00843902" w:rsidRDefault="00843902" w:rsidP="00843902">
            <w:pPr>
              <w:spacing w:after="160" w:line="22" w:lineRule="atLeast"/>
              <w:jc w:val="both"/>
              <w:rPr>
                <w:rFonts w:asciiTheme="minorHAnsi" w:eastAsiaTheme="minorHAnsi" w:hAnsiTheme="minorHAnsi" w:cs="Open Sans"/>
                <w:color w:val="000000" w:themeColor="text1"/>
                <w:sz w:val="18"/>
                <w:szCs w:val="18"/>
              </w:rPr>
            </w:pPr>
            <w:r w:rsidRPr="00843902">
              <w:rPr>
                <w:rFonts w:asciiTheme="minorHAnsi" w:hAnsiTheme="minorHAnsi" w:cs="Open Sans"/>
                <w:color w:val="000000" w:themeColor="text1"/>
                <w:sz w:val="18"/>
                <w:szCs w:val="18"/>
              </w:rPr>
              <w:t>6</w:t>
            </w:r>
            <w:r>
              <w:rPr>
                <w:rFonts w:asciiTheme="minorHAnsi" w:hAnsiTheme="minorHAnsi" w:cs="Open Sans"/>
                <w:color w:val="000000" w:themeColor="text1"/>
                <w:sz w:val="18"/>
                <w:szCs w:val="18"/>
              </w:rPr>
              <w:t>26</w:t>
            </w:r>
          </w:p>
        </w:tc>
        <w:tc>
          <w:tcPr>
            <w:tcW w:w="1810" w:type="dxa"/>
            <w:tcBorders>
              <w:top w:val="nil"/>
              <w:left w:val="nil"/>
              <w:bottom w:val="single" w:sz="4" w:space="0" w:color="auto"/>
              <w:right w:val="single" w:sz="4" w:space="0" w:color="auto"/>
            </w:tcBorders>
            <w:vAlign w:val="center"/>
          </w:tcPr>
          <w:p w14:paraId="4285233A" w14:textId="3DCFF154" w:rsidR="00843902" w:rsidRPr="00843902" w:rsidRDefault="00843902" w:rsidP="00843902">
            <w:pPr>
              <w:spacing w:line="22" w:lineRule="atLeast"/>
              <w:jc w:val="both"/>
              <w:rPr>
                <w:rFonts w:asciiTheme="minorHAnsi" w:hAnsiTheme="minorHAnsi" w:cs="Open Sans"/>
                <w:color w:val="000000"/>
                <w:sz w:val="18"/>
                <w:szCs w:val="18"/>
                <w:lang w:eastAsia="fr-FR"/>
              </w:rPr>
            </w:pPr>
            <w:r w:rsidRPr="00843902">
              <w:rPr>
                <w:rFonts w:asciiTheme="minorHAnsi" w:hAnsiTheme="minorHAnsi" w:cs="Calibri"/>
                <w:color w:val="000000"/>
                <w:sz w:val="18"/>
                <w:szCs w:val="18"/>
                <w:lang w:eastAsia="fr-FR"/>
              </w:rPr>
              <w:t>671</w:t>
            </w:r>
          </w:p>
        </w:tc>
        <w:tc>
          <w:tcPr>
            <w:tcW w:w="4177" w:type="dxa"/>
            <w:tcBorders>
              <w:top w:val="nil"/>
              <w:left w:val="nil"/>
              <w:bottom w:val="single" w:sz="4" w:space="0" w:color="auto"/>
              <w:right w:val="single" w:sz="4" w:space="0" w:color="auto"/>
            </w:tcBorders>
            <w:vAlign w:val="center"/>
            <w:hideMark/>
          </w:tcPr>
          <w:p w14:paraId="08A53CF8"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Les mesures prévues pour cet indicateur sont constituées de nos stratégies d'investissement relatives aux activités les plus émettrices (charbon, pétrole et gaz).</w:t>
            </w:r>
          </w:p>
        </w:tc>
      </w:tr>
      <w:tr w:rsidR="00843902" w:rsidRPr="00A605BB" w14:paraId="69B8C7B7" w14:textId="77777777" w:rsidTr="00DD0D9C">
        <w:trPr>
          <w:trHeight w:val="268"/>
        </w:trPr>
        <w:tc>
          <w:tcPr>
            <w:tcW w:w="5569" w:type="dxa"/>
            <w:gridSpan w:val="2"/>
            <w:tcBorders>
              <w:top w:val="nil"/>
              <w:left w:val="single" w:sz="4" w:space="0" w:color="auto"/>
              <w:bottom w:val="single" w:sz="4" w:space="0" w:color="auto"/>
              <w:right w:val="single" w:sz="4" w:space="0" w:color="auto"/>
            </w:tcBorders>
            <w:vAlign w:val="center"/>
            <w:hideMark/>
          </w:tcPr>
          <w:p w14:paraId="6CEE0507"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4. Exposition à des sociétés actives dans le secteur des combustibles fossiles</w:t>
            </w:r>
          </w:p>
        </w:tc>
        <w:tc>
          <w:tcPr>
            <w:tcW w:w="1532" w:type="dxa"/>
            <w:tcBorders>
              <w:top w:val="nil"/>
              <w:left w:val="nil"/>
              <w:bottom w:val="single" w:sz="4" w:space="0" w:color="auto"/>
              <w:right w:val="single" w:sz="4" w:space="0" w:color="auto"/>
            </w:tcBorders>
            <w:shd w:val="clear" w:color="000000" w:fill="BFBFBF"/>
            <w:vAlign w:val="center"/>
            <w:hideMark/>
          </w:tcPr>
          <w:p w14:paraId="0243DFC6" w14:textId="77777777" w:rsidR="00843902" w:rsidRPr="00A74D23" w:rsidRDefault="00843902" w:rsidP="00843902">
            <w:pPr>
              <w:spacing w:line="22" w:lineRule="atLeast"/>
              <w:jc w:val="both"/>
              <w:rPr>
                <w:rFonts w:asciiTheme="minorHAnsi" w:hAnsiTheme="minorHAnsi" w:cs="Open Sans"/>
                <w:b/>
                <w:bCs/>
                <w:color w:val="000000"/>
                <w:sz w:val="18"/>
                <w:szCs w:val="18"/>
                <w:lang w:val="fr-FR" w:eastAsia="fr-FR"/>
              </w:rPr>
            </w:pPr>
            <w:r w:rsidRPr="00A74D23">
              <w:rPr>
                <w:rFonts w:asciiTheme="minorHAnsi" w:hAnsiTheme="minorHAnsi" w:cs="Open Sans"/>
                <w:b/>
                <w:bCs/>
                <w:color w:val="000000"/>
                <w:sz w:val="18"/>
                <w:szCs w:val="18"/>
                <w:lang w:val="fr-FR"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00EC56B9" w14:textId="3815F74D" w:rsidR="00843902" w:rsidRPr="00A74D23" w:rsidRDefault="00843902" w:rsidP="00843902">
            <w:pPr>
              <w:spacing w:line="22" w:lineRule="atLeast"/>
              <w:jc w:val="both"/>
              <w:rPr>
                <w:rFonts w:asciiTheme="minorHAnsi" w:hAnsiTheme="minorHAnsi" w:cs="Open Sans"/>
                <w:b/>
                <w:bCs/>
                <w:color w:val="000000" w:themeColor="text1"/>
                <w:sz w:val="18"/>
                <w:szCs w:val="18"/>
                <w:lang w:val="fr-FR" w:eastAsia="fr-FR"/>
              </w:rPr>
            </w:pPr>
          </w:p>
        </w:tc>
        <w:tc>
          <w:tcPr>
            <w:tcW w:w="1810" w:type="dxa"/>
            <w:tcBorders>
              <w:top w:val="nil"/>
              <w:left w:val="nil"/>
              <w:bottom w:val="single" w:sz="4" w:space="0" w:color="auto"/>
              <w:right w:val="single" w:sz="4" w:space="0" w:color="auto"/>
            </w:tcBorders>
            <w:shd w:val="clear" w:color="000000" w:fill="BFBFBF"/>
            <w:vAlign w:val="center"/>
            <w:hideMark/>
          </w:tcPr>
          <w:p w14:paraId="54C42895" w14:textId="6D6A060B"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605BB">
              <w:rPr>
                <w:rFonts w:ascii="Calibri" w:hAnsi="Calibri" w:cs="Calibri"/>
                <w:b/>
                <w:bCs/>
                <w:color w:val="FFFFFF"/>
                <w:sz w:val="18"/>
                <w:szCs w:val="18"/>
                <w:lang w:val="fr-FR"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0455C6D0"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r>
      <w:tr w:rsidR="00843902" w:rsidRPr="00A605BB" w14:paraId="6847CE6C" w14:textId="77777777" w:rsidTr="00DD0D9C">
        <w:trPr>
          <w:trHeight w:val="645"/>
        </w:trPr>
        <w:tc>
          <w:tcPr>
            <w:tcW w:w="5569" w:type="dxa"/>
            <w:gridSpan w:val="2"/>
            <w:tcBorders>
              <w:top w:val="nil"/>
              <w:left w:val="single" w:sz="4" w:space="0" w:color="auto"/>
              <w:bottom w:val="single" w:sz="4" w:space="0" w:color="auto"/>
              <w:right w:val="single" w:sz="4" w:space="0" w:color="auto"/>
            </w:tcBorders>
            <w:vAlign w:val="center"/>
            <w:hideMark/>
          </w:tcPr>
          <w:p w14:paraId="70D2B37C"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Part d'investissement dans des sociétés actives dans le secteur des combustibles fossiles</w:t>
            </w:r>
          </w:p>
        </w:tc>
        <w:tc>
          <w:tcPr>
            <w:tcW w:w="1532" w:type="dxa"/>
            <w:tcBorders>
              <w:top w:val="nil"/>
              <w:left w:val="nil"/>
              <w:bottom w:val="single" w:sz="4" w:space="0" w:color="auto"/>
              <w:right w:val="single" w:sz="4" w:space="0" w:color="auto"/>
            </w:tcBorders>
            <w:shd w:val="clear" w:color="auto" w:fill="D57B1D" w:themeFill="accent3"/>
            <w:vAlign w:val="center"/>
            <w:hideMark/>
          </w:tcPr>
          <w:p w14:paraId="5E3C8D7D"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0060</w:t>
            </w:r>
          </w:p>
        </w:tc>
        <w:tc>
          <w:tcPr>
            <w:tcW w:w="1809" w:type="dxa"/>
            <w:tcBorders>
              <w:top w:val="nil"/>
              <w:left w:val="nil"/>
              <w:bottom w:val="single" w:sz="4" w:space="0" w:color="auto"/>
              <w:right w:val="single" w:sz="4" w:space="0" w:color="auto"/>
            </w:tcBorders>
            <w:vAlign w:val="center"/>
            <w:hideMark/>
          </w:tcPr>
          <w:p w14:paraId="540CCE8C" w14:textId="788B2A75" w:rsidR="00843902" w:rsidRPr="00A74D23" w:rsidRDefault="00843902" w:rsidP="00843902">
            <w:pPr>
              <w:spacing w:line="22" w:lineRule="atLeast"/>
              <w:jc w:val="both"/>
              <w:rPr>
                <w:rFonts w:asciiTheme="minorHAnsi" w:hAnsiTheme="minorHAnsi" w:cs="Open Sans"/>
                <w:color w:val="000000"/>
                <w:sz w:val="18"/>
                <w:szCs w:val="18"/>
                <w:lang w:eastAsia="fr-FR"/>
              </w:rPr>
            </w:pPr>
            <w:r>
              <w:rPr>
                <w:rFonts w:asciiTheme="minorHAnsi" w:hAnsiTheme="minorHAnsi" w:cs="Open Sans"/>
                <w:color w:val="000000"/>
                <w:sz w:val="18"/>
                <w:szCs w:val="18"/>
              </w:rPr>
              <w:t>5,23</w:t>
            </w:r>
            <w:r w:rsidRPr="00A74D23">
              <w:rPr>
                <w:rFonts w:asciiTheme="minorHAnsi" w:hAnsiTheme="minorHAnsi" w:cs="Open Sans"/>
                <w:color w:val="000000"/>
                <w:sz w:val="18"/>
                <w:szCs w:val="18"/>
              </w:rPr>
              <w:t>%</w:t>
            </w:r>
          </w:p>
        </w:tc>
        <w:tc>
          <w:tcPr>
            <w:tcW w:w="1810" w:type="dxa"/>
            <w:tcBorders>
              <w:top w:val="nil"/>
              <w:left w:val="nil"/>
              <w:bottom w:val="single" w:sz="4" w:space="0" w:color="auto"/>
              <w:right w:val="single" w:sz="4" w:space="0" w:color="auto"/>
            </w:tcBorders>
            <w:vAlign w:val="center"/>
            <w:hideMark/>
          </w:tcPr>
          <w:p w14:paraId="230164B0" w14:textId="43E5A3CA" w:rsidR="00843902" w:rsidRPr="00A74D23" w:rsidRDefault="00843902" w:rsidP="00843902">
            <w:pPr>
              <w:spacing w:line="22" w:lineRule="atLeast"/>
              <w:jc w:val="both"/>
              <w:rPr>
                <w:rFonts w:asciiTheme="minorHAnsi" w:hAnsiTheme="minorHAnsi" w:cs="Open Sans"/>
                <w:color w:val="000000"/>
                <w:sz w:val="18"/>
                <w:szCs w:val="18"/>
                <w:lang w:eastAsia="fr-FR"/>
              </w:rPr>
            </w:pPr>
            <w:r>
              <w:rPr>
                <w:rFonts w:ascii="Calibri" w:hAnsi="Calibri" w:cs="Calibri"/>
                <w:color w:val="000000"/>
                <w:sz w:val="18"/>
                <w:szCs w:val="18"/>
                <w:lang w:eastAsia="fr-FR"/>
              </w:rPr>
              <w:t>0,09%</w:t>
            </w:r>
          </w:p>
        </w:tc>
        <w:tc>
          <w:tcPr>
            <w:tcW w:w="4177" w:type="dxa"/>
            <w:tcBorders>
              <w:top w:val="nil"/>
              <w:left w:val="nil"/>
              <w:bottom w:val="single" w:sz="4" w:space="0" w:color="auto"/>
              <w:right w:val="single" w:sz="4" w:space="0" w:color="auto"/>
            </w:tcBorders>
            <w:vAlign w:val="center"/>
            <w:hideMark/>
          </w:tcPr>
          <w:p w14:paraId="078083AA" w14:textId="048FE6CF"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Notre part d'investissement évoluera dans le cadre de notre stratégie d'investissement hydrocarbures et charbon</w:t>
            </w:r>
          </w:p>
        </w:tc>
      </w:tr>
      <w:tr w:rsidR="00843902" w:rsidRPr="00A605BB" w14:paraId="27BB679D" w14:textId="77777777" w:rsidTr="008D3377">
        <w:trPr>
          <w:trHeight w:val="268"/>
        </w:trPr>
        <w:tc>
          <w:tcPr>
            <w:tcW w:w="5569" w:type="dxa"/>
            <w:gridSpan w:val="2"/>
            <w:tcBorders>
              <w:top w:val="nil"/>
              <w:left w:val="single" w:sz="4" w:space="0" w:color="auto"/>
              <w:bottom w:val="single" w:sz="4" w:space="0" w:color="auto"/>
              <w:right w:val="single" w:sz="4" w:space="0" w:color="auto"/>
            </w:tcBorders>
            <w:vAlign w:val="center"/>
            <w:hideMark/>
          </w:tcPr>
          <w:p w14:paraId="25C6F1E2"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5. Part de consommation et de production d'énergie non renouvelable </w:t>
            </w:r>
          </w:p>
        </w:tc>
        <w:tc>
          <w:tcPr>
            <w:tcW w:w="1532" w:type="dxa"/>
            <w:tcBorders>
              <w:top w:val="nil"/>
              <w:left w:val="nil"/>
              <w:bottom w:val="single" w:sz="4" w:space="0" w:color="auto"/>
              <w:right w:val="single" w:sz="4" w:space="0" w:color="auto"/>
            </w:tcBorders>
            <w:shd w:val="clear" w:color="000000" w:fill="BFBFBF"/>
            <w:vAlign w:val="center"/>
            <w:hideMark/>
          </w:tcPr>
          <w:p w14:paraId="5C3A2D1D" w14:textId="77777777" w:rsidR="00843902" w:rsidRPr="00A74D23" w:rsidRDefault="00843902" w:rsidP="00843902">
            <w:pPr>
              <w:spacing w:line="22" w:lineRule="atLeast"/>
              <w:jc w:val="both"/>
              <w:rPr>
                <w:rFonts w:asciiTheme="minorHAnsi" w:hAnsiTheme="minorHAnsi" w:cs="Open Sans"/>
                <w:b/>
                <w:bCs/>
                <w:color w:val="000000"/>
                <w:sz w:val="18"/>
                <w:szCs w:val="18"/>
                <w:lang w:val="fr-FR" w:eastAsia="fr-FR"/>
              </w:rPr>
            </w:pPr>
            <w:r w:rsidRPr="00A74D23">
              <w:rPr>
                <w:rFonts w:asciiTheme="minorHAnsi" w:hAnsiTheme="minorHAnsi" w:cs="Open Sans"/>
                <w:b/>
                <w:bCs/>
                <w:color w:val="000000"/>
                <w:sz w:val="18"/>
                <w:szCs w:val="18"/>
                <w:lang w:val="fr-FR"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3EE18C59"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2F043BD4" w14:textId="571A2D93"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605BB">
              <w:rPr>
                <w:rFonts w:ascii="Calibri" w:hAnsi="Calibri" w:cs="Calibri"/>
                <w:b/>
                <w:bCs/>
                <w:color w:val="FFFFFF"/>
                <w:sz w:val="18"/>
                <w:szCs w:val="18"/>
                <w:lang w:val="fr-FR"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50780743"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r>
      <w:tr w:rsidR="00843902" w:rsidRPr="00A605BB" w14:paraId="4B7044F2" w14:textId="77777777" w:rsidTr="005C27A0">
        <w:trPr>
          <w:trHeight w:val="860"/>
        </w:trPr>
        <w:tc>
          <w:tcPr>
            <w:tcW w:w="5569" w:type="dxa"/>
            <w:gridSpan w:val="2"/>
            <w:tcBorders>
              <w:top w:val="nil"/>
              <w:left w:val="single" w:sz="4" w:space="0" w:color="auto"/>
              <w:bottom w:val="single" w:sz="4" w:space="0" w:color="auto"/>
              <w:right w:val="single" w:sz="4" w:space="0" w:color="auto"/>
            </w:tcBorders>
            <w:vAlign w:val="center"/>
            <w:hideMark/>
          </w:tcPr>
          <w:p w14:paraId="5B82B671"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Part de la consommation et de la production d'énergie des sociétés bénéficiaires d'investissement qui provient de sources d'énergie non renouvelables, par rapport à celle provenant de sources d'énergie renouvelables, exprimée en pourcentage du total des sources d'énergie </w:t>
            </w:r>
          </w:p>
        </w:tc>
        <w:tc>
          <w:tcPr>
            <w:tcW w:w="1532" w:type="dxa"/>
            <w:tcBorders>
              <w:top w:val="nil"/>
              <w:left w:val="nil"/>
              <w:bottom w:val="single" w:sz="4" w:space="0" w:color="auto"/>
              <w:right w:val="single" w:sz="4" w:space="0" w:color="auto"/>
            </w:tcBorders>
            <w:shd w:val="clear" w:color="auto" w:fill="D57B1D" w:themeFill="accent3"/>
            <w:vAlign w:val="center"/>
            <w:hideMark/>
          </w:tcPr>
          <w:p w14:paraId="409E0709"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0070</w:t>
            </w:r>
          </w:p>
        </w:tc>
        <w:tc>
          <w:tcPr>
            <w:tcW w:w="1809" w:type="dxa"/>
            <w:tcBorders>
              <w:top w:val="nil"/>
              <w:left w:val="nil"/>
              <w:bottom w:val="single" w:sz="4" w:space="0" w:color="auto"/>
              <w:right w:val="single" w:sz="4" w:space="0" w:color="auto"/>
            </w:tcBorders>
            <w:vAlign w:val="center"/>
            <w:hideMark/>
          </w:tcPr>
          <w:p w14:paraId="0B791AF7" w14:textId="04734AA0"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Consommation : 52%</w:t>
            </w:r>
          </w:p>
          <w:p w14:paraId="0980B306" w14:textId="343CEFF4"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Production : 1</w:t>
            </w:r>
            <w:r>
              <w:rPr>
                <w:rFonts w:asciiTheme="minorHAnsi" w:hAnsiTheme="minorHAnsi" w:cs="Open Sans"/>
                <w:color w:val="000000"/>
                <w:sz w:val="18"/>
                <w:szCs w:val="18"/>
                <w:lang w:eastAsia="fr-FR"/>
              </w:rPr>
              <w:t>6</w:t>
            </w:r>
            <w:r w:rsidRPr="00A74D23">
              <w:rPr>
                <w:rFonts w:asciiTheme="minorHAnsi" w:hAnsiTheme="minorHAnsi" w:cs="Open Sans"/>
                <w:color w:val="000000"/>
                <w:sz w:val="18"/>
                <w:szCs w:val="18"/>
                <w:lang w:eastAsia="fr-FR"/>
              </w:rPr>
              <w:t>%</w:t>
            </w:r>
          </w:p>
        </w:tc>
        <w:tc>
          <w:tcPr>
            <w:tcW w:w="1810" w:type="dxa"/>
            <w:tcBorders>
              <w:top w:val="nil"/>
              <w:left w:val="nil"/>
              <w:bottom w:val="single" w:sz="4" w:space="0" w:color="auto"/>
              <w:right w:val="single" w:sz="4" w:space="0" w:color="auto"/>
            </w:tcBorders>
            <w:vAlign w:val="center"/>
            <w:hideMark/>
          </w:tcPr>
          <w:p w14:paraId="6FF676C9" w14:textId="77777777" w:rsidR="00843902" w:rsidRDefault="00843902" w:rsidP="00843902">
            <w:pPr>
              <w:jc w:val="both"/>
              <w:rPr>
                <w:rFonts w:ascii="Calibri" w:hAnsi="Calibri" w:cs="Calibri"/>
                <w:color w:val="000000"/>
                <w:sz w:val="18"/>
                <w:szCs w:val="18"/>
                <w:lang w:eastAsia="fr-FR"/>
              </w:rPr>
            </w:pPr>
            <w:r>
              <w:rPr>
                <w:rFonts w:ascii="Calibri" w:hAnsi="Calibri" w:cs="Calibri"/>
                <w:color w:val="000000"/>
                <w:sz w:val="18"/>
                <w:szCs w:val="18"/>
                <w:lang w:eastAsia="fr-FR"/>
              </w:rPr>
              <w:t>Consommation : 57%</w:t>
            </w:r>
          </w:p>
          <w:p w14:paraId="7A734509" w14:textId="5D37EBC3" w:rsidR="00843902" w:rsidRPr="00A74D23" w:rsidRDefault="00843902" w:rsidP="00843902">
            <w:pPr>
              <w:spacing w:line="22" w:lineRule="atLeast"/>
              <w:jc w:val="both"/>
              <w:rPr>
                <w:rFonts w:asciiTheme="minorHAnsi" w:hAnsiTheme="minorHAnsi" w:cs="Open Sans"/>
                <w:color w:val="000000"/>
                <w:sz w:val="18"/>
                <w:szCs w:val="18"/>
              </w:rPr>
            </w:pPr>
            <w:r>
              <w:rPr>
                <w:rFonts w:ascii="Calibri" w:hAnsi="Calibri" w:cs="Calibri"/>
                <w:color w:val="000000"/>
                <w:sz w:val="18"/>
                <w:szCs w:val="18"/>
                <w:lang w:eastAsia="fr-FR"/>
              </w:rPr>
              <w:t>Production : 37%</w:t>
            </w:r>
          </w:p>
        </w:tc>
        <w:tc>
          <w:tcPr>
            <w:tcW w:w="4177" w:type="dxa"/>
            <w:tcBorders>
              <w:top w:val="nil"/>
              <w:left w:val="nil"/>
              <w:bottom w:val="single" w:sz="4" w:space="0" w:color="auto"/>
              <w:right w:val="single" w:sz="4" w:space="0" w:color="auto"/>
            </w:tcBorders>
            <w:vAlign w:val="center"/>
            <w:hideMark/>
          </w:tcPr>
          <w:p w14:paraId="332C7424" w14:textId="766F9544" w:rsidR="00843902" w:rsidRPr="00A74D23" w:rsidRDefault="00843902" w:rsidP="00843902">
            <w:pPr>
              <w:spacing w:line="22" w:lineRule="atLeast"/>
              <w:jc w:val="both"/>
              <w:rPr>
                <w:rFonts w:asciiTheme="minorHAnsi" w:hAnsiTheme="minorHAnsi" w:cs="Open Sans"/>
                <w:color w:val="000000"/>
                <w:sz w:val="18"/>
                <w:szCs w:val="18"/>
                <w:lang w:val="fr-FR"/>
              </w:rPr>
            </w:pPr>
            <w:r w:rsidRPr="00A74D23">
              <w:rPr>
                <w:rFonts w:asciiTheme="minorHAnsi" w:hAnsiTheme="minorHAnsi" w:cs="Open Sans"/>
                <w:color w:val="000000"/>
                <w:sz w:val="18"/>
                <w:szCs w:val="18"/>
                <w:lang w:val="fr-FR"/>
              </w:rPr>
              <w:t xml:space="preserve">Nous réduirons les émissions en ligne avec notre objectif de décarbonation à 2025 et à 2030. </w:t>
            </w:r>
          </w:p>
        </w:tc>
      </w:tr>
      <w:tr w:rsidR="00843902" w:rsidRPr="00A605BB" w14:paraId="0A6B4A87" w14:textId="77777777" w:rsidTr="008D3377">
        <w:trPr>
          <w:trHeight w:val="268"/>
        </w:trPr>
        <w:tc>
          <w:tcPr>
            <w:tcW w:w="5569" w:type="dxa"/>
            <w:gridSpan w:val="2"/>
            <w:tcBorders>
              <w:top w:val="nil"/>
              <w:left w:val="single" w:sz="4" w:space="0" w:color="auto"/>
              <w:bottom w:val="single" w:sz="4" w:space="0" w:color="auto"/>
              <w:right w:val="single" w:sz="4" w:space="0" w:color="auto"/>
            </w:tcBorders>
            <w:vAlign w:val="center"/>
            <w:hideMark/>
          </w:tcPr>
          <w:p w14:paraId="2D11D6C6"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6. Intensité de consommation d'énergie par secteur à fort impact climatique </w:t>
            </w:r>
          </w:p>
        </w:tc>
        <w:tc>
          <w:tcPr>
            <w:tcW w:w="1532" w:type="dxa"/>
            <w:tcBorders>
              <w:top w:val="nil"/>
              <w:left w:val="nil"/>
              <w:bottom w:val="single" w:sz="4" w:space="0" w:color="auto"/>
              <w:right w:val="single" w:sz="4" w:space="0" w:color="auto"/>
            </w:tcBorders>
            <w:shd w:val="clear" w:color="000000" w:fill="BFBFBF"/>
            <w:vAlign w:val="center"/>
            <w:hideMark/>
          </w:tcPr>
          <w:p w14:paraId="2069421F" w14:textId="77777777" w:rsidR="00843902" w:rsidRPr="00A74D23" w:rsidRDefault="00843902" w:rsidP="00843902">
            <w:pPr>
              <w:spacing w:line="22" w:lineRule="atLeast"/>
              <w:jc w:val="both"/>
              <w:rPr>
                <w:rFonts w:asciiTheme="minorHAnsi" w:hAnsiTheme="minorHAnsi" w:cs="Open Sans"/>
                <w:b/>
                <w:bCs/>
                <w:color w:val="000000"/>
                <w:sz w:val="18"/>
                <w:szCs w:val="18"/>
                <w:lang w:val="fr-FR" w:eastAsia="fr-FR"/>
              </w:rPr>
            </w:pPr>
            <w:r w:rsidRPr="00A74D23">
              <w:rPr>
                <w:rFonts w:asciiTheme="minorHAnsi" w:hAnsiTheme="minorHAnsi" w:cs="Open Sans"/>
                <w:b/>
                <w:bCs/>
                <w:color w:val="000000"/>
                <w:sz w:val="18"/>
                <w:szCs w:val="18"/>
                <w:lang w:val="fr-FR"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011A7116"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03FD91FE" w14:textId="0933D2D9"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605BB">
              <w:rPr>
                <w:rFonts w:ascii="Calibri" w:hAnsi="Calibri" w:cs="Calibri"/>
                <w:b/>
                <w:bCs/>
                <w:color w:val="FFFFFF"/>
                <w:sz w:val="18"/>
                <w:szCs w:val="18"/>
                <w:lang w:val="fr-FR"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31D66EF4"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r>
      <w:tr w:rsidR="00843902" w:rsidRPr="00A605BB" w14:paraId="50A6DC1E" w14:textId="77777777" w:rsidTr="005C27A0">
        <w:trPr>
          <w:trHeight w:val="645"/>
        </w:trPr>
        <w:tc>
          <w:tcPr>
            <w:tcW w:w="5569" w:type="dxa"/>
            <w:gridSpan w:val="2"/>
            <w:tcBorders>
              <w:top w:val="nil"/>
              <w:left w:val="single" w:sz="4" w:space="0" w:color="auto"/>
              <w:bottom w:val="single" w:sz="4" w:space="0" w:color="auto"/>
              <w:right w:val="single" w:sz="4" w:space="0" w:color="auto"/>
            </w:tcBorders>
            <w:vAlign w:val="center"/>
            <w:hideMark/>
          </w:tcPr>
          <w:p w14:paraId="5116E63F"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Consommation d'énergie en GWh par million d'euros de chiffre d'affaires des sociétés bénéficiaires d'investissements, par secteur à fort impact climatique</w:t>
            </w:r>
          </w:p>
        </w:tc>
        <w:tc>
          <w:tcPr>
            <w:tcW w:w="1532" w:type="dxa"/>
            <w:tcBorders>
              <w:top w:val="nil"/>
              <w:left w:val="nil"/>
              <w:bottom w:val="single" w:sz="4" w:space="0" w:color="auto"/>
              <w:right w:val="single" w:sz="4" w:space="0" w:color="auto"/>
            </w:tcBorders>
            <w:shd w:val="clear" w:color="auto" w:fill="D57B1D" w:themeFill="accent3"/>
            <w:vAlign w:val="center"/>
            <w:hideMark/>
          </w:tcPr>
          <w:p w14:paraId="768BEA7B"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0080</w:t>
            </w:r>
          </w:p>
        </w:tc>
        <w:tc>
          <w:tcPr>
            <w:tcW w:w="1809" w:type="dxa"/>
            <w:tcBorders>
              <w:top w:val="nil"/>
              <w:left w:val="nil"/>
              <w:bottom w:val="single" w:sz="4" w:space="0" w:color="auto"/>
              <w:right w:val="single" w:sz="4" w:space="0" w:color="auto"/>
            </w:tcBorders>
            <w:vAlign w:val="center"/>
            <w:hideMark/>
          </w:tcPr>
          <w:p w14:paraId="70AF6A97" w14:textId="3D81E286"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rPr>
              <w:t>0,</w:t>
            </w:r>
            <w:r>
              <w:rPr>
                <w:rFonts w:asciiTheme="minorHAnsi" w:hAnsiTheme="minorHAnsi" w:cs="Open Sans"/>
                <w:color w:val="000000"/>
                <w:sz w:val="18"/>
                <w:szCs w:val="18"/>
              </w:rPr>
              <w:t>30</w:t>
            </w:r>
          </w:p>
        </w:tc>
        <w:tc>
          <w:tcPr>
            <w:tcW w:w="1810" w:type="dxa"/>
            <w:tcBorders>
              <w:top w:val="nil"/>
              <w:left w:val="nil"/>
              <w:bottom w:val="single" w:sz="4" w:space="0" w:color="auto"/>
              <w:right w:val="single" w:sz="4" w:space="0" w:color="auto"/>
            </w:tcBorders>
            <w:vAlign w:val="center"/>
            <w:hideMark/>
          </w:tcPr>
          <w:p w14:paraId="4F30E73C" w14:textId="5BC094A9" w:rsidR="00843902" w:rsidRPr="00A74D23" w:rsidRDefault="00843902" w:rsidP="00843902">
            <w:pPr>
              <w:spacing w:line="22" w:lineRule="atLeast"/>
              <w:jc w:val="both"/>
              <w:rPr>
                <w:rFonts w:asciiTheme="minorHAnsi" w:hAnsiTheme="minorHAnsi" w:cs="Open Sans"/>
                <w:color w:val="000000"/>
                <w:sz w:val="18"/>
                <w:szCs w:val="18"/>
                <w:lang w:eastAsia="fr-FR"/>
              </w:rPr>
            </w:pPr>
            <w:r>
              <w:rPr>
                <w:rFonts w:ascii="Calibri" w:hAnsi="Calibri" w:cs="Calibri"/>
                <w:color w:val="000000"/>
                <w:sz w:val="18"/>
                <w:szCs w:val="18"/>
              </w:rPr>
              <w:t>0,51</w:t>
            </w:r>
          </w:p>
        </w:tc>
        <w:tc>
          <w:tcPr>
            <w:tcW w:w="4177" w:type="dxa"/>
            <w:tcBorders>
              <w:top w:val="nil"/>
              <w:left w:val="nil"/>
              <w:bottom w:val="single" w:sz="4" w:space="0" w:color="auto"/>
              <w:right w:val="single" w:sz="4" w:space="0" w:color="auto"/>
            </w:tcBorders>
            <w:vAlign w:val="center"/>
            <w:hideMark/>
          </w:tcPr>
          <w:p w14:paraId="2223C0C4" w14:textId="31BE434C"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Nous réduirons les émissions en ligne avec notre objectif de décarbonation à 2025 et à 2030. </w:t>
            </w:r>
          </w:p>
        </w:tc>
      </w:tr>
      <w:tr w:rsidR="00843902" w:rsidRPr="00A74D23" w14:paraId="195A43FE" w14:textId="77777777" w:rsidTr="008D3377">
        <w:trPr>
          <w:trHeight w:val="268"/>
        </w:trPr>
        <w:tc>
          <w:tcPr>
            <w:tcW w:w="5569" w:type="dxa"/>
            <w:gridSpan w:val="2"/>
            <w:tcBorders>
              <w:top w:val="nil"/>
              <w:left w:val="single" w:sz="4" w:space="0" w:color="auto"/>
              <w:bottom w:val="single" w:sz="4" w:space="0" w:color="auto"/>
              <w:right w:val="single" w:sz="4" w:space="0" w:color="auto"/>
            </w:tcBorders>
            <w:vAlign w:val="center"/>
            <w:hideMark/>
          </w:tcPr>
          <w:p w14:paraId="2C575E97" w14:textId="77777777"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 xml:space="preserve">Biodiversité </w:t>
            </w:r>
          </w:p>
        </w:tc>
        <w:tc>
          <w:tcPr>
            <w:tcW w:w="1532" w:type="dxa"/>
            <w:tcBorders>
              <w:top w:val="nil"/>
              <w:left w:val="nil"/>
              <w:bottom w:val="single" w:sz="4" w:space="0" w:color="auto"/>
              <w:right w:val="single" w:sz="4" w:space="0" w:color="auto"/>
            </w:tcBorders>
            <w:shd w:val="clear" w:color="000000" w:fill="BFBFBF"/>
            <w:vAlign w:val="center"/>
            <w:hideMark/>
          </w:tcPr>
          <w:p w14:paraId="2ED48BB7" w14:textId="77777777" w:rsidR="00843902" w:rsidRPr="00A74D23" w:rsidRDefault="00843902" w:rsidP="00843902">
            <w:pPr>
              <w:spacing w:line="22" w:lineRule="atLeast"/>
              <w:jc w:val="both"/>
              <w:rPr>
                <w:rFonts w:asciiTheme="minorHAnsi" w:hAnsiTheme="minorHAnsi" w:cs="Open Sans"/>
                <w:color w:val="FFFFFF"/>
                <w:sz w:val="18"/>
                <w:szCs w:val="18"/>
                <w:lang w:eastAsia="fr-FR"/>
              </w:rPr>
            </w:pPr>
            <w:r w:rsidRPr="00A74D23">
              <w:rPr>
                <w:rFonts w:asciiTheme="minorHAnsi" w:hAnsiTheme="minorHAnsi" w:cs="Open Sans"/>
                <w:color w:val="FFFFFF"/>
                <w:sz w:val="18"/>
                <w:szCs w:val="18"/>
                <w:lang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2B00C28C"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0D1DB64E" w14:textId="498FB4A3"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0A24A1">
              <w:rPr>
                <w:rFonts w:ascii="Calibri" w:hAnsi="Calibri" w:cs="Calibri"/>
                <w:b/>
                <w:bCs/>
                <w:color w:val="FFFFFF"/>
                <w:sz w:val="18"/>
                <w:szCs w:val="18"/>
                <w:lang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47E78EB3"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 </w:t>
            </w:r>
          </w:p>
        </w:tc>
      </w:tr>
      <w:tr w:rsidR="00843902" w:rsidRPr="00A605BB" w14:paraId="2BE54D77" w14:textId="77777777" w:rsidTr="008D3377">
        <w:trPr>
          <w:trHeight w:val="430"/>
        </w:trPr>
        <w:tc>
          <w:tcPr>
            <w:tcW w:w="5569" w:type="dxa"/>
            <w:gridSpan w:val="2"/>
            <w:tcBorders>
              <w:top w:val="nil"/>
              <w:left w:val="single" w:sz="4" w:space="0" w:color="auto"/>
              <w:bottom w:val="single" w:sz="4" w:space="0" w:color="auto"/>
              <w:right w:val="single" w:sz="4" w:space="0" w:color="auto"/>
            </w:tcBorders>
            <w:vAlign w:val="center"/>
            <w:hideMark/>
          </w:tcPr>
          <w:p w14:paraId="36EF2E62"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7. Activités ayant une incidence négative sur des zones sensibles sur le plan de la biodiversité </w:t>
            </w:r>
          </w:p>
        </w:tc>
        <w:tc>
          <w:tcPr>
            <w:tcW w:w="1532" w:type="dxa"/>
            <w:tcBorders>
              <w:top w:val="nil"/>
              <w:left w:val="nil"/>
              <w:bottom w:val="single" w:sz="4" w:space="0" w:color="auto"/>
              <w:right w:val="single" w:sz="4" w:space="0" w:color="auto"/>
            </w:tcBorders>
            <w:shd w:val="clear" w:color="000000" w:fill="BFBFBF"/>
            <w:vAlign w:val="center"/>
            <w:hideMark/>
          </w:tcPr>
          <w:p w14:paraId="10D3278B" w14:textId="77777777" w:rsidR="00843902" w:rsidRPr="00A74D23" w:rsidRDefault="00843902" w:rsidP="00843902">
            <w:pPr>
              <w:spacing w:line="22" w:lineRule="atLeast"/>
              <w:jc w:val="both"/>
              <w:rPr>
                <w:rFonts w:asciiTheme="minorHAnsi" w:hAnsiTheme="minorHAnsi" w:cs="Open Sans"/>
                <w:color w:val="FFFFFF"/>
                <w:sz w:val="18"/>
                <w:szCs w:val="18"/>
                <w:lang w:val="fr-FR" w:eastAsia="fr-FR"/>
              </w:rPr>
            </w:pPr>
            <w:r w:rsidRPr="00A74D23">
              <w:rPr>
                <w:rFonts w:asciiTheme="minorHAnsi" w:hAnsiTheme="minorHAnsi" w:cs="Open Sans"/>
                <w:color w:val="FFFFFF"/>
                <w:sz w:val="18"/>
                <w:szCs w:val="18"/>
                <w:lang w:val="fr-FR"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0FA0ACFB"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2DE8D020" w14:textId="254C503A"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605BB">
              <w:rPr>
                <w:rFonts w:ascii="Calibri" w:hAnsi="Calibri" w:cs="Calibri"/>
                <w:b/>
                <w:bCs/>
                <w:color w:val="FFFFFF"/>
                <w:sz w:val="18"/>
                <w:szCs w:val="18"/>
                <w:lang w:val="fr-FR"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5785323E"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r>
      <w:tr w:rsidR="00843902" w:rsidRPr="00A605BB" w14:paraId="45B232F5" w14:textId="77777777" w:rsidTr="005C27A0">
        <w:trPr>
          <w:trHeight w:val="860"/>
        </w:trPr>
        <w:tc>
          <w:tcPr>
            <w:tcW w:w="5569" w:type="dxa"/>
            <w:gridSpan w:val="2"/>
            <w:tcBorders>
              <w:top w:val="nil"/>
              <w:left w:val="single" w:sz="4" w:space="0" w:color="auto"/>
              <w:bottom w:val="single" w:sz="4" w:space="0" w:color="auto"/>
              <w:right w:val="single" w:sz="4" w:space="0" w:color="auto"/>
            </w:tcBorders>
            <w:vAlign w:val="center"/>
            <w:hideMark/>
          </w:tcPr>
          <w:p w14:paraId="16D99903"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Part des investissements effectués dans des sociétés ayant des sites/établissements situés dans ou à proximité de zones sensibles sur le plan de la biodiversité, si les activités de ces sociétés ont une incidence négative sur ces zones </w:t>
            </w:r>
          </w:p>
        </w:tc>
        <w:tc>
          <w:tcPr>
            <w:tcW w:w="1532" w:type="dxa"/>
            <w:tcBorders>
              <w:top w:val="nil"/>
              <w:left w:val="nil"/>
              <w:bottom w:val="single" w:sz="4" w:space="0" w:color="auto"/>
              <w:right w:val="single" w:sz="4" w:space="0" w:color="auto"/>
            </w:tcBorders>
            <w:shd w:val="clear" w:color="auto" w:fill="D57B1D" w:themeFill="accent3"/>
            <w:vAlign w:val="center"/>
            <w:hideMark/>
          </w:tcPr>
          <w:p w14:paraId="34CFC635"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0090</w:t>
            </w:r>
          </w:p>
        </w:tc>
        <w:tc>
          <w:tcPr>
            <w:tcW w:w="1809" w:type="dxa"/>
            <w:tcBorders>
              <w:top w:val="nil"/>
              <w:left w:val="nil"/>
              <w:bottom w:val="single" w:sz="4" w:space="0" w:color="auto"/>
              <w:right w:val="single" w:sz="4" w:space="0" w:color="auto"/>
            </w:tcBorders>
            <w:vAlign w:val="center"/>
            <w:hideMark/>
          </w:tcPr>
          <w:p w14:paraId="21F3A8FC" w14:textId="49904A61" w:rsidR="00843902" w:rsidRPr="00A74D23" w:rsidRDefault="00843902" w:rsidP="00843902">
            <w:pPr>
              <w:spacing w:line="22" w:lineRule="atLeast"/>
              <w:jc w:val="both"/>
              <w:rPr>
                <w:rFonts w:asciiTheme="minorHAnsi" w:hAnsiTheme="minorHAnsi" w:cs="Open Sans"/>
                <w:color w:val="000000"/>
                <w:sz w:val="18"/>
                <w:szCs w:val="18"/>
                <w:lang w:eastAsia="fr-FR"/>
              </w:rPr>
            </w:pPr>
            <w:r>
              <w:rPr>
                <w:rFonts w:asciiTheme="minorHAnsi" w:hAnsiTheme="minorHAnsi" w:cs="Open Sans"/>
                <w:color w:val="000000"/>
                <w:sz w:val="18"/>
                <w:szCs w:val="18"/>
                <w:lang w:eastAsia="fr-FR"/>
              </w:rPr>
              <w:t>1,03</w:t>
            </w:r>
            <w:r w:rsidRPr="00A74D23">
              <w:rPr>
                <w:rFonts w:asciiTheme="minorHAnsi" w:hAnsiTheme="minorHAnsi" w:cs="Open Sans"/>
                <w:color w:val="000000"/>
                <w:sz w:val="18"/>
                <w:szCs w:val="18"/>
                <w:lang w:eastAsia="fr-FR"/>
              </w:rPr>
              <w:t>%</w:t>
            </w:r>
          </w:p>
        </w:tc>
        <w:tc>
          <w:tcPr>
            <w:tcW w:w="1810" w:type="dxa"/>
            <w:tcBorders>
              <w:top w:val="nil"/>
              <w:left w:val="nil"/>
              <w:bottom w:val="single" w:sz="4" w:space="0" w:color="auto"/>
              <w:right w:val="single" w:sz="4" w:space="0" w:color="auto"/>
            </w:tcBorders>
            <w:vAlign w:val="center"/>
            <w:hideMark/>
          </w:tcPr>
          <w:p w14:paraId="619CAA39" w14:textId="70CAD8BC" w:rsidR="00843902" w:rsidRPr="00A74D23" w:rsidRDefault="00843902" w:rsidP="00843902">
            <w:pPr>
              <w:spacing w:line="22" w:lineRule="atLeast"/>
              <w:jc w:val="both"/>
              <w:rPr>
                <w:rFonts w:asciiTheme="minorHAnsi" w:hAnsiTheme="minorHAnsi" w:cs="Open Sans"/>
                <w:color w:val="000000"/>
                <w:sz w:val="18"/>
                <w:szCs w:val="18"/>
                <w:lang w:eastAsia="fr-FR"/>
              </w:rPr>
            </w:pPr>
            <w:r>
              <w:rPr>
                <w:rFonts w:ascii="Calibri" w:hAnsi="Calibri" w:cs="Calibri"/>
                <w:color w:val="000000"/>
                <w:sz w:val="18"/>
                <w:szCs w:val="18"/>
                <w:lang w:eastAsia="fr-FR"/>
              </w:rPr>
              <w:t>1,0%</w:t>
            </w:r>
          </w:p>
        </w:tc>
        <w:tc>
          <w:tcPr>
            <w:tcW w:w="4177" w:type="dxa"/>
            <w:tcBorders>
              <w:top w:val="nil"/>
              <w:left w:val="nil"/>
              <w:bottom w:val="single" w:sz="4" w:space="0" w:color="auto"/>
              <w:right w:val="single" w:sz="4" w:space="0" w:color="auto"/>
            </w:tcBorders>
            <w:vAlign w:val="center"/>
            <w:hideMark/>
          </w:tcPr>
          <w:p w14:paraId="523B3D79" w14:textId="0CD27E7E"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Les mesures prévues pour cet indicateur sont constituées de nos stratégies d'investissement relatives à la protection de la biodiversité</w:t>
            </w:r>
          </w:p>
        </w:tc>
      </w:tr>
      <w:tr w:rsidR="00843902" w:rsidRPr="00A74D23" w14:paraId="0AC720E3" w14:textId="77777777" w:rsidTr="008D3377">
        <w:trPr>
          <w:trHeight w:val="268"/>
        </w:trPr>
        <w:tc>
          <w:tcPr>
            <w:tcW w:w="5569" w:type="dxa"/>
            <w:gridSpan w:val="2"/>
            <w:tcBorders>
              <w:top w:val="nil"/>
              <w:left w:val="single" w:sz="4" w:space="0" w:color="auto"/>
              <w:bottom w:val="single" w:sz="4" w:space="0" w:color="auto"/>
              <w:right w:val="single" w:sz="4" w:space="0" w:color="auto"/>
            </w:tcBorders>
            <w:vAlign w:val="center"/>
            <w:hideMark/>
          </w:tcPr>
          <w:p w14:paraId="6059BF56" w14:textId="2A9CF5D3"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 xml:space="preserve">Eau </w:t>
            </w:r>
          </w:p>
        </w:tc>
        <w:tc>
          <w:tcPr>
            <w:tcW w:w="1532" w:type="dxa"/>
            <w:tcBorders>
              <w:top w:val="nil"/>
              <w:left w:val="nil"/>
              <w:bottom w:val="single" w:sz="4" w:space="0" w:color="auto"/>
              <w:right w:val="single" w:sz="4" w:space="0" w:color="auto"/>
            </w:tcBorders>
            <w:shd w:val="clear" w:color="000000" w:fill="BFBFBF"/>
            <w:noWrap/>
            <w:vAlign w:val="bottom"/>
            <w:hideMark/>
          </w:tcPr>
          <w:p w14:paraId="6E0E3A61" w14:textId="77777777"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32E289E9"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78781B0D" w14:textId="09E64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0A24A1">
              <w:rPr>
                <w:rFonts w:ascii="Calibri" w:hAnsi="Calibri" w:cs="Calibri"/>
                <w:b/>
                <w:bCs/>
                <w:color w:val="FFFFFF"/>
                <w:sz w:val="18"/>
                <w:szCs w:val="18"/>
                <w:lang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32B2A740"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 </w:t>
            </w:r>
          </w:p>
        </w:tc>
      </w:tr>
      <w:tr w:rsidR="00843902" w:rsidRPr="00A74D23" w14:paraId="2C5BCF5F" w14:textId="77777777" w:rsidTr="008D3377">
        <w:trPr>
          <w:trHeight w:val="268"/>
        </w:trPr>
        <w:tc>
          <w:tcPr>
            <w:tcW w:w="5569" w:type="dxa"/>
            <w:gridSpan w:val="2"/>
            <w:tcBorders>
              <w:top w:val="nil"/>
              <w:left w:val="single" w:sz="4" w:space="0" w:color="auto"/>
              <w:bottom w:val="single" w:sz="4" w:space="0" w:color="auto"/>
              <w:right w:val="single" w:sz="4" w:space="0" w:color="auto"/>
            </w:tcBorders>
            <w:vAlign w:val="center"/>
            <w:hideMark/>
          </w:tcPr>
          <w:p w14:paraId="144567C1" w14:textId="77777777"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 xml:space="preserve">8. Rejets dans l'eau </w:t>
            </w:r>
          </w:p>
        </w:tc>
        <w:tc>
          <w:tcPr>
            <w:tcW w:w="1532" w:type="dxa"/>
            <w:tcBorders>
              <w:top w:val="nil"/>
              <w:left w:val="nil"/>
              <w:bottom w:val="single" w:sz="4" w:space="0" w:color="auto"/>
              <w:right w:val="single" w:sz="4" w:space="0" w:color="auto"/>
            </w:tcBorders>
            <w:shd w:val="clear" w:color="000000" w:fill="BFBFBF"/>
            <w:noWrap/>
            <w:vAlign w:val="bottom"/>
            <w:hideMark/>
          </w:tcPr>
          <w:p w14:paraId="45AA0EEF" w14:textId="77777777"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280BCD07"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18849450" w14:textId="3CFBCBB2"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0A24A1">
              <w:rPr>
                <w:rFonts w:ascii="Calibri" w:hAnsi="Calibri" w:cs="Calibri"/>
                <w:b/>
                <w:bCs/>
                <w:color w:val="FFFFFF"/>
                <w:sz w:val="18"/>
                <w:szCs w:val="18"/>
                <w:lang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313A8061"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 </w:t>
            </w:r>
          </w:p>
        </w:tc>
      </w:tr>
      <w:tr w:rsidR="00843902" w:rsidRPr="00A605BB" w14:paraId="7972536B" w14:textId="77777777" w:rsidTr="005C27A0">
        <w:trPr>
          <w:trHeight w:val="430"/>
        </w:trPr>
        <w:tc>
          <w:tcPr>
            <w:tcW w:w="5569" w:type="dxa"/>
            <w:gridSpan w:val="2"/>
            <w:tcBorders>
              <w:top w:val="nil"/>
              <w:left w:val="single" w:sz="4" w:space="0" w:color="auto"/>
              <w:bottom w:val="single" w:sz="4" w:space="0" w:color="auto"/>
              <w:right w:val="single" w:sz="4" w:space="0" w:color="auto"/>
            </w:tcBorders>
            <w:vAlign w:val="center"/>
            <w:hideMark/>
          </w:tcPr>
          <w:p w14:paraId="592F49F3"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Tonnes de rejets dans l'eau provenant des sociétés bénéficiaires d'investissements, par million d'euros investi, en moyenne pondérée</w:t>
            </w:r>
          </w:p>
        </w:tc>
        <w:tc>
          <w:tcPr>
            <w:tcW w:w="1532" w:type="dxa"/>
            <w:tcBorders>
              <w:top w:val="nil"/>
              <w:left w:val="nil"/>
              <w:bottom w:val="single" w:sz="4" w:space="0" w:color="auto"/>
              <w:right w:val="single" w:sz="4" w:space="0" w:color="auto"/>
            </w:tcBorders>
            <w:shd w:val="clear" w:color="auto" w:fill="D57B1D" w:themeFill="accent3"/>
            <w:vAlign w:val="center"/>
            <w:hideMark/>
          </w:tcPr>
          <w:p w14:paraId="0634D256"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0100</w:t>
            </w:r>
          </w:p>
        </w:tc>
        <w:tc>
          <w:tcPr>
            <w:tcW w:w="1809" w:type="dxa"/>
            <w:tcBorders>
              <w:top w:val="nil"/>
              <w:left w:val="nil"/>
              <w:bottom w:val="single" w:sz="4" w:space="0" w:color="auto"/>
              <w:right w:val="single" w:sz="4" w:space="0" w:color="auto"/>
            </w:tcBorders>
            <w:vAlign w:val="center"/>
            <w:hideMark/>
          </w:tcPr>
          <w:p w14:paraId="3375E5AA" w14:textId="54165C94" w:rsidR="00843902" w:rsidRPr="00A74D23" w:rsidRDefault="00843902" w:rsidP="00843902">
            <w:pPr>
              <w:spacing w:line="22" w:lineRule="atLeast"/>
              <w:jc w:val="both"/>
              <w:rPr>
                <w:rFonts w:asciiTheme="minorHAnsi" w:hAnsiTheme="minorHAnsi" w:cs="Open Sans"/>
                <w:color w:val="000000"/>
                <w:sz w:val="18"/>
                <w:szCs w:val="18"/>
                <w:lang w:eastAsia="fr-FR"/>
              </w:rPr>
            </w:pPr>
            <w:r>
              <w:rPr>
                <w:rFonts w:asciiTheme="minorHAnsi" w:hAnsiTheme="minorHAnsi" w:cs="Open Sans"/>
                <w:color w:val="000000"/>
                <w:sz w:val="18"/>
                <w:szCs w:val="18"/>
                <w:lang w:eastAsia="fr-FR"/>
              </w:rPr>
              <w:t>6,22</w:t>
            </w:r>
          </w:p>
        </w:tc>
        <w:tc>
          <w:tcPr>
            <w:tcW w:w="1810" w:type="dxa"/>
            <w:tcBorders>
              <w:top w:val="nil"/>
              <w:left w:val="nil"/>
              <w:bottom w:val="single" w:sz="4" w:space="0" w:color="auto"/>
              <w:right w:val="single" w:sz="4" w:space="0" w:color="auto"/>
            </w:tcBorders>
            <w:vAlign w:val="center"/>
            <w:hideMark/>
          </w:tcPr>
          <w:p w14:paraId="73B92220" w14:textId="11E897ED" w:rsidR="00843902" w:rsidRPr="00A74D23" w:rsidRDefault="00843902" w:rsidP="00843902">
            <w:pPr>
              <w:spacing w:line="22" w:lineRule="atLeast"/>
              <w:jc w:val="both"/>
              <w:rPr>
                <w:rFonts w:asciiTheme="minorHAnsi" w:hAnsiTheme="minorHAnsi" w:cs="Open Sans"/>
                <w:color w:val="000000"/>
                <w:sz w:val="18"/>
                <w:szCs w:val="18"/>
                <w:lang w:eastAsia="fr-FR"/>
              </w:rPr>
            </w:pPr>
            <w:r>
              <w:rPr>
                <w:rFonts w:ascii="Calibri" w:hAnsi="Calibri" w:cs="Calibri"/>
                <w:color w:val="000000"/>
                <w:sz w:val="18"/>
                <w:szCs w:val="18"/>
                <w:lang w:eastAsia="fr-FR"/>
              </w:rPr>
              <w:t>95 653</w:t>
            </w:r>
          </w:p>
        </w:tc>
        <w:tc>
          <w:tcPr>
            <w:tcW w:w="4177" w:type="dxa"/>
            <w:tcBorders>
              <w:top w:val="nil"/>
              <w:left w:val="nil"/>
              <w:bottom w:val="single" w:sz="4" w:space="0" w:color="auto"/>
              <w:right w:val="single" w:sz="4" w:space="0" w:color="auto"/>
            </w:tcBorders>
            <w:vAlign w:val="center"/>
            <w:hideMark/>
          </w:tcPr>
          <w:p w14:paraId="205F0C94" w14:textId="6A108632"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Nous essaierons de réduire cette métrique dans la cadre de nos engagement</w:t>
            </w:r>
            <w:r>
              <w:rPr>
                <w:rFonts w:asciiTheme="minorHAnsi" w:hAnsiTheme="minorHAnsi" w:cs="Open Sans"/>
                <w:color w:val="000000"/>
                <w:sz w:val="18"/>
                <w:szCs w:val="18"/>
                <w:lang w:val="fr-FR" w:eastAsia="fr-FR"/>
              </w:rPr>
              <w:t>s</w:t>
            </w:r>
            <w:r w:rsidRPr="00A74D23">
              <w:rPr>
                <w:rFonts w:asciiTheme="minorHAnsi" w:hAnsiTheme="minorHAnsi" w:cs="Open Sans"/>
                <w:color w:val="000000"/>
                <w:sz w:val="18"/>
                <w:szCs w:val="18"/>
                <w:lang w:val="fr-FR" w:eastAsia="fr-FR"/>
              </w:rPr>
              <w:t xml:space="preserve"> biodiversité</w:t>
            </w:r>
          </w:p>
        </w:tc>
      </w:tr>
      <w:tr w:rsidR="00843902" w:rsidRPr="00A74D23" w14:paraId="7FBA6CF2" w14:textId="77777777" w:rsidTr="008D3377">
        <w:trPr>
          <w:trHeight w:val="268"/>
        </w:trPr>
        <w:tc>
          <w:tcPr>
            <w:tcW w:w="5569" w:type="dxa"/>
            <w:gridSpan w:val="2"/>
            <w:tcBorders>
              <w:top w:val="nil"/>
              <w:left w:val="single" w:sz="4" w:space="0" w:color="auto"/>
              <w:bottom w:val="single" w:sz="4" w:space="0" w:color="auto"/>
              <w:right w:val="single" w:sz="4" w:space="0" w:color="auto"/>
            </w:tcBorders>
            <w:vAlign w:val="center"/>
            <w:hideMark/>
          </w:tcPr>
          <w:p w14:paraId="31F71EEB" w14:textId="77777777"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 xml:space="preserve">Déchets </w:t>
            </w:r>
          </w:p>
        </w:tc>
        <w:tc>
          <w:tcPr>
            <w:tcW w:w="1532" w:type="dxa"/>
            <w:tcBorders>
              <w:top w:val="nil"/>
              <w:left w:val="nil"/>
              <w:bottom w:val="single" w:sz="4" w:space="0" w:color="auto"/>
              <w:right w:val="single" w:sz="4" w:space="0" w:color="auto"/>
            </w:tcBorders>
            <w:shd w:val="clear" w:color="000000" w:fill="BFBFBF"/>
            <w:noWrap/>
            <w:vAlign w:val="bottom"/>
            <w:hideMark/>
          </w:tcPr>
          <w:p w14:paraId="7069D856" w14:textId="77777777"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279D5993"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4C17EBDB" w14:textId="15B36E84"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0A24A1">
              <w:rPr>
                <w:rFonts w:ascii="Calibri" w:hAnsi="Calibri" w:cs="Calibri"/>
                <w:b/>
                <w:bCs/>
                <w:color w:val="FFFFFF"/>
                <w:sz w:val="18"/>
                <w:szCs w:val="18"/>
                <w:lang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4CC0138A"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 </w:t>
            </w:r>
          </w:p>
        </w:tc>
      </w:tr>
      <w:tr w:rsidR="00843902" w:rsidRPr="00A605BB" w14:paraId="17B924D1" w14:textId="77777777" w:rsidTr="008D3377">
        <w:trPr>
          <w:trHeight w:val="268"/>
        </w:trPr>
        <w:tc>
          <w:tcPr>
            <w:tcW w:w="5569" w:type="dxa"/>
            <w:gridSpan w:val="2"/>
            <w:tcBorders>
              <w:top w:val="nil"/>
              <w:left w:val="single" w:sz="4" w:space="0" w:color="auto"/>
              <w:bottom w:val="single" w:sz="4" w:space="0" w:color="auto"/>
              <w:right w:val="single" w:sz="4" w:space="0" w:color="auto"/>
            </w:tcBorders>
            <w:vAlign w:val="center"/>
            <w:hideMark/>
          </w:tcPr>
          <w:p w14:paraId="2DF27B9F" w14:textId="766B43C9"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9. Ratio de déchets dangereux et de déchets radioactifs </w:t>
            </w:r>
          </w:p>
        </w:tc>
        <w:tc>
          <w:tcPr>
            <w:tcW w:w="1532" w:type="dxa"/>
            <w:tcBorders>
              <w:top w:val="nil"/>
              <w:left w:val="nil"/>
              <w:bottom w:val="single" w:sz="4" w:space="0" w:color="auto"/>
              <w:right w:val="single" w:sz="4" w:space="0" w:color="auto"/>
            </w:tcBorders>
            <w:shd w:val="clear" w:color="000000" w:fill="BFBFBF"/>
            <w:noWrap/>
            <w:vAlign w:val="bottom"/>
            <w:hideMark/>
          </w:tcPr>
          <w:p w14:paraId="4A7D5868"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45B558DC"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0D34CF42" w14:textId="5BBC40B6"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605BB">
              <w:rPr>
                <w:rFonts w:ascii="Calibri" w:hAnsi="Calibri" w:cs="Calibri"/>
                <w:b/>
                <w:bCs/>
                <w:color w:val="FFFFFF"/>
                <w:sz w:val="18"/>
                <w:szCs w:val="18"/>
                <w:lang w:val="fr-FR"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3DFFC1C3"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r>
      <w:tr w:rsidR="00843902" w:rsidRPr="00A605BB" w14:paraId="22F6D6D5" w14:textId="77777777" w:rsidTr="005C27A0">
        <w:trPr>
          <w:trHeight w:val="645"/>
        </w:trPr>
        <w:tc>
          <w:tcPr>
            <w:tcW w:w="5569" w:type="dxa"/>
            <w:gridSpan w:val="2"/>
            <w:tcBorders>
              <w:top w:val="nil"/>
              <w:left w:val="single" w:sz="4" w:space="0" w:color="auto"/>
              <w:bottom w:val="single" w:sz="4" w:space="0" w:color="auto"/>
              <w:right w:val="single" w:sz="4" w:space="0" w:color="auto"/>
            </w:tcBorders>
            <w:vAlign w:val="center"/>
            <w:hideMark/>
          </w:tcPr>
          <w:p w14:paraId="34C62AA3"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Tonnes de déchets dangereux et de déchets radioactifs produites par les sociétés bénéficiaires d'investissements, par million d'euros investi, en moyenne pondérée </w:t>
            </w:r>
          </w:p>
        </w:tc>
        <w:tc>
          <w:tcPr>
            <w:tcW w:w="1532" w:type="dxa"/>
            <w:tcBorders>
              <w:top w:val="nil"/>
              <w:left w:val="nil"/>
              <w:bottom w:val="single" w:sz="4" w:space="0" w:color="auto"/>
              <w:right w:val="single" w:sz="4" w:space="0" w:color="auto"/>
            </w:tcBorders>
            <w:shd w:val="clear" w:color="auto" w:fill="D57B1D" w:themeFill="accent3"/>
            <w:vAlign w:val="center"/>
            <w:hideMark/>
          </w:tcPr>
          <w:p w14:paraId="315E7859"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0110</w:t>
            </w:r>
          </w:p>
        </w:tc>
        <w:tc>
          <w:tcPr>
            <w:tcW w:w="1809" w:type="dxa"/>
            <w:tcBorders>
              <w:top w:val="nil"/>
              <w:left w:val="nil"/>
              <w:bottom w:val="single" w:sz="4" w:space="0" w:color="auto"/>
              <w:right w:val="single" w:sz="4" w:space="0" w:color="auto"/>
            </w:tcBorders>
            <w:vAlign w:val="center"/>
            <w:hideMark/>
          </w:tcPr>
          <w:p w14:paraId="103BAC9A" w14:textId="5CE2F131" w:rsidR="00843902" w:rsidRPr="00A74D23" w:rsidRDefault="00843902" w:rsidP="00843902">
            <w:pPr>
              <w:spacing w:line="22" w:lineRule="atLeast"/>
              <w:jc w:val="both"/>
              <w:rPr>
                <w:rFonts w:asciiTheme="minorHAnsi" w:hAnsiTheme="minorHAnsi" w:cs="Open Sans"/>
                <w:color w:val="000000"/>
                <w:sz w:val="18"/>
                <w:szCs w:val="18"/>
                <w:lang w:eastAsia="fr-FR"/>
              </w:rPr>
            </w:pPr>
            <w:r>
              <w:rPr>
                <w:rFonts w:asciiTheme="minorHAnsi" w:hAnsiTheme="minorHAnsi" w:cs="Open Sans"/>
                <w:color w:val="000000"/>
                <w:sz w:val="18"/>
                <w:szCs w:val="18"/>
                <w:lang w:eastAsia="fr-FR"/>
              </w:rPr>
              <w:t>1229</w:t>
            </w:r>
          </w:p>
        </w:tc>
        <w:tc>
          <w:tcPr>
            <w:tcW w:w="1810" w:type="dxa"/>
            <w:tcBorders>
              <w:top w:val="nil"/>
              <w:left w:val="nil"/>
              <w:bottom w:val="single" w:sz="4" w:space="0" w:color="auto"/>
              <w:right w:val="single" w:sz="4" w:space="0" w:color="auto"/>
            </w:tcBorders>
            <w:vAlign w:val="center"/>
            <w:hideMark/>
          </w:tcPr>
          <w:p w14:paraId="6728FBA8" w14:textId="2FA3A938" w:rsidR="00843902" w:rsidRPr="00A74D23" w:rsidRDefault="00843902" w:rsidP="00843902">
            <w:pPr>
              <w:spacing w:line="22" w:lineRule="atLeast"/>
              <w:jc w:val="both"/>
              <w:rPr>
                <w:rFonts w:asciiTheme="minorHAnsi" w:hAnsiTheme="minorHAnsi" w:cs="Open Sans"/>
                <w:color w:val="000000"/>
                <w:sz w:val="18"/>
                <w:szCs w:val="18"/>
                <w:lang w:eastAsia="fr-FR"/>
              </w:rPr>
            </w:pPr>
            <w:r>
              <w:rPr>
                <w:rFonts w:ascii="Calibri" w:hAnsi="Calibri" w:cs="Calibri"/>
                <w:color w:val="000000"/>
                <w:sz w:val="18"/>
                <w:szCs w:val="18"/>
                <w:lang w:eastAsia="fr-FR"/>
              </w:rPr>
              <w:t>1 432</w:t>
            </w:r>
          </w:p>
        </w:tc>
        <w:tc>
          <w:tcPr>
            <w:tcW w:w="4177" w:type="dxa"/>
            <w:tcBorders>
              <w:top w:val="nil"/>
              <w:left w:val="nil"/>
              <w:bottom w:val="single" w:sz="4" w:space="0" w:color="auto"/>
              <w:right w:val="single" w:sz="4" w:space="0" w:color="auto"/>
            </w:tcBorders>
            <w:vAlign w:val="center"/>
            <w:hideMark/>
          </w:tcPr>
          <w:p w14:paraId="2A4B39D8" w14:textId="6DD11FEE"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Nous essaierons de réduire cette métrique dans la cadre de nos engagement biodiversité</w:t>
            </w:r>
          </w:p>
        </w:tc>
      </w:tr>
      <w:tr w:rsidR="00843902" w:rsidRPr="00A605BB" w14:paraId="4D7B8887" w14:textId="77777777" w:rsidTr="008D3377">
        <w:trPr>
          <w:trHeight w:val="268"/>
        </w:trPr>
        <w:tc>
          <w:tcPr>
            <w:tcW w:w="5569" w:type="dxa"/>
            <w:gridSpan w:val="2"/>
            <w:tcBorders>
              <w:top w:val="nil"/>
              <w:left w:val="single" w:sz="4" w:space="0" w:color="auto"/>
              <w:bottom w:val="single" w:sz="4" w:space="0" w:color="auto"/>
              <w:right w:val="single" w:sz="4" w:space="0" w:color="auto"/>
            </w:tcBorders>
            <w:noWrap/>
            <w:vAlign w:val="center"/>
            <w:hideMark/>
          </w:tcPr>
          <w:p w14:paraId="729C682B" w14:textId="77777777" w:rsidR="00843902" w:rsidRPr="00A74D23" w:rsidRDefault="00843902" w:rsidP="00843902">
            <w:pPr>
              <w:spacing w:line="22" w:lineRule="atLeast"/>
              <w:jc w:val="both"/>
              <w:rPr>
                <w:rFonts w:asciiTheme="minorHAnsi" w:hAnsiTheme="minorHAnsi" w:cs="Open Sans"/>
                <w:b/>
                <w:bCs/>
                <w:i/>
                <w:iCs/>
                <w:color w:val="000000"/>
                <w:sz w:val="18"/>
                <w:szCs w:val="18"/>
                <w:lang w:val="fr-FR" w:eastAsia="fr-FR"/>
              </w:rPr>
            </w:pPr>
            <w:r w:rsidRPr="00A74D23">
              <w:rPr>
                <w:rFonts w:asciiTheme="minorHAnsi" w:hAnsiTheme="minorHAnsi" w:cs="Open Sans"/>
                <w:b/>
                <w:bCs/>
                <w:i/>
                <w:iCs/>
                <w:color w:val="000000"/>
                <w:sz w:val="18"/>
                <w:szCs w:val="18"/>
                <w:lang w:val="fr-FR" w:eastAsia="fr-FR"/>
              </w:rPr>
              <w:t xml:space="preserve">Indicateurs liés aux questions sociales, de personnel, de respect des droits de l'Homme et de lutte contre la corruption et les actes de corruption </w:t>
            </w:r>
          </w:p>
        </w:tc>
        <w:tc>
          <w:tcPr>
            <w:tcW w:w="1532" w:type="dxa"/>
            <w:tcBorders>
              <w:top w:val="nil"/>
              <w:left w:val="nil"/>
              <w:bottom w:val="single" w:sz="4" w:space="0" w:color="auto"/>
              <w:right w:val="single" w:sz="4" w:space="0" w:color="auto"/>
            </w:tcBorders>
            <w:noWrap/>
            <w:vAlign w:val="center"/>
            <w:hideMark/>
          </w:tcPr>
          <w:p w14:paraId="75551BB3" w14:textId="77777777" w:rsidR="00843902" w:rsidRPr="00A74D23" w:rsidRDefault="00843902" w:rsidP="00843902">
            <w:pPr>
              <w:spacing w:line="22" w:lineRule="atLeast"/>
              <w:jc w:val="both"/>
              <w:rPr>
                <w:rFonts w:asciiTheme="minorHAnsi" w:hAnsiTheme="minorHAnsi" w:cs="Open Sans"/>
                <w:i/>
                <w:iCs/>
                <w:color w:val="000000"/>
                <w:sz w:val="18"/>
                <w:szCs w:val="18"/>
                <w:lang w:val="fr-FR" w:eastAsia="fr-FR"/>
              </w:rPr>
            </w:pPr>
            <w:r w:rsidRPr="00A74D23">
              <w:rPr>
                <w:rFonts w:asciiTheme="minorHAnsi" w:hAnsiTheme="minorHAnsi" w:cs="Open Sans"/>
                <w:i/>
                <w:iCs/>
                <w:color w:val="000000"/>
                <w:sz w:val="18"/>
                <w:szCs w:val="18"/>
                <w:lang w:val="fr-FR" w:eastAsia="fr-FR"/>
              </w:rPr>
              <w:t> </w:t>
            </w:r>
          </w:p>
        </w:tc>
        <w:tc>
          <w:tcPr>
            <w:tcW w:w="1809" w:type="dxa"/>
            <w:tcBorders>
              <w:top w:val="nil"/>
              <w:left w:val="nil"/>
              <w:bottom w:val="single" w:sz="4" w:space="0" w:color="auto"/>
              <w:right w:val="single" w:sz="4" w:space="0" w:color="auto"/>
            </w:tcBorders>
            <w:noWrap/>
            <w:vAlign w:val="center"/>
            <w:hideMark/>
          </w:tcPr>
          <w:p w14:paraId="5D149963" w14:textId="77777777" w:rsidR="00843902" w:rsidRPr="00A74D23" w:rsidRDefault="00843902" w:rsidP="00843902">
            <w:pPr>
              <w:spacing w:line="22" w:lineRule="atLeast"/>
              <w:jc w:val="both"/>
              <w:rPr>
                <w:rFonts w:asciiTheme="minorHAnsi" w:hAnsiTheme="minorHAnsi" w:cs="Open Sans"/>
                <w:i/>
                <w:iCs/>
                <w:color w:val="000000"/>
                <w:sz w:val="18"/>
                <w:szCs w:val="18"/>
                <w:lang w:val="fr-FR" w:eastAsia="fr-FR"/>
              </w:rPr>
            </w:pPr>
            <w:r w:rsidRPr="00A74D23">
              <w:rPr>
                <w:rFonts w:asciiTheme="minorHAnsi" w:hAnsiTheme="minorHAnsi" w:cs="Open Sans"/>
                <w:i/>
                <w:iCs/>
                <w:color w:val="000000"/>
                <w:sz w:val="18"/>
                <w:szCs w:val="18"/>
                <w:lang w:val="fr-FR" w:eastAsia="fr-FR"/>
              </w:rPr>
              <w:t> </w:t>
            </w:r>
          </w:p>
        </w:tc>
        <w:tc>
          <w:tcPr>
            <w:tcW w:w="1810" w:type="dxa"/>
            <w:tcBorders>
              <w:top w:val="nil"/>
              <w:left w:val="nil"/>
              <w:bottom w:val="single" w:sz="4" w:space="0" w:color="auto"/>
              <w:right w:val="single" w:sz="4" w:space="0" w:color="auto"/>
            </w:tcBorders>
            <w:noWrap/>
            <w:vAlign w:val="center"/>
            <w:hideMark/>
          </w:tcPr>
          <w:p w14:paraId="03608CF9" w14:textId="6AF6773C"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605BB">
              <w:rPr>
                <w:rFonts w:ascii="Calibri" w:hAnsi="Calibri" w:cs="Calibri"/>
                <w:i/>
                <w:iCs/>
                <w:color w:val="000000"/>
                <w:sz w:val="18"/>
                <w:szCs w:val="18"/>
                <w:lang w:val="fr-FR" w:eastAsia="fr-FR"/>
              </w:rPr>
              <w:t> </w:t>
            </w:r>
          </w:p>
        </w:tc>
        <w:tc>
          <w:tcPr>
            <w:tcW w:w="4177" w:type="dxa"/>
            <w:tcBorders>
              <w:top w:val="nil"/>
              <w:left w:val="nil"/>
              <w:bottom w:val="single" w:sz="4" w:space="0" w:color="auto"/>
              <w:right w:val="single" w:sz="4" w:space="0" w:color="auto"/>
            </w:tcBorders>
            <w:noWrap/>
            <w:vAlign w:val="center"/>
            <w:hideMark/>
          </w:tcPr>
          <w:p w14:paraId="2A0CF0B8"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w:t>
            </w:r>
          </w:p>
        </w:tc>
      </w:tr>
      <w:tr w:rsidR="00843902" w:rsidRPr="00A605BB" w14:paraId="59783451" w14:textId="77777777" w:rsidTr="008D3377">
        <w:trPr>
          <w:trHeight w:val="268"/>
        </w:trPr>
        <w:tc>
          <w:tcPr>
            <w:tcW w:w="5569" w:type="dxa"/>
            <w:gridSpan w:val="2"/>
            <w:tcBorders>
              <w:top w:val="nil"/>
              <w:left w:val="single" w:sz="4" w:space="0" w:color="auto"/>
              <w:bottom w:val="single" w:sz="4" w:space="0" w:color="auto"/>
              <w:right w:val="single" w:sz="4" w:space="0" w:color="auto"/>
            </w:tcBorders>
            <w:vAlign w:val="center"/>
            <w:hideMark/>
          </w:tcPr>
          <w:p w14:paraId="17317A0A"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Les questions sociales et de personnel </w:t>
            </w:r>
          </w:p>
        </w:tc>
        <w:tc>
          <w:tcPr>
            <w:tcW w:w="1532" w:type="dxa"/>
            <w:tcBorders>
              <w:top w:val="nil"/>
              <w:left w:val="nil"/>
              <w:bottom w:val="single" w:sz="4" w:space="0" w:color="auto"/>
              <w:right w:val="single" w:sz="4" w:space="0" w:color="auto"/>
            </w:tcBorders>
            <w:shd w:val="clear" w:color="000000" w:fill="BFBFBF"/>
            <w:noWrap/>
            <w:vAlign w:val="center"/>
            <w:hideMark/>
          </w:tcPr>
          <w:p w14:paraId="602380B0" w14:textId="77777777" w:rsidR="00843902" w:rsidRPr="00A74D23" w:rsidRDefault="00843902" w:rsidP="00843902">
            <w:pPr>
              <w:spacing w:line="22" w:lineRule="atLeast"/>
              <w:jc w:val="both"/>
              <w:rPr>
                <w:rFonts w:asciiTheme="minorHAnsi" w:hAnsiTheme="minorHAnsi" w:cs="Open Sans"/>
                <w:i/>
                <w:iCs/>
                <w:color w:val="000000"/>
                <w:sz w:val="18"/>
                <w:szCs w:val="18"/>
                <w:lang w:val="fr-FR" w:eastAsia="fr-FR"/>
              </w:rPr>
            </w:pPr>
            <w:r w:rsidRPr="00A74D23">
              <w:rPr>
                <w:rFonts w:asciiTheme="minorHAnsi" w:hAnsiTheme="minorHAnsi" w:cs="Open Sans"/>
                <w:i/>
                <w:iCs/>
                <w:color w:val="000000"/>
                <w:sz w:val="18"/>
                <w:szCs w:val="18"/>
                <w:lang w:val="fr-FR"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4D0CBC79"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3A5A392F" w14:textId="6F78AE31"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605BB">
              <w:rPr>
                <w:rFonts w:ascii="Calibri" w:hAnsi="Calibri" w:cs="Calibri"/>
                <w:b/>
                <w:bCs/>
                <w:color w:val="FFFFFF"/>
                <w:sz w:val="18"/>
                <w:szCs w:val="18"/>
                <w:lang w:val="fr-FR"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32509BDD"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r>
      <w:tr w:rsidR="00843902" w:rsidRPr="00A605BB" w14:paraId="6536C029" w14:textId="77777777" w:rsidTr="008D3377">
        <w:trPr>
          <w:trHeight w:val="430"/>
        </w:trPr>
        <w:tc>
          <w:tcPr>
            <w:tcW w:w="5569" w:type="dxa"/>
            <w:gridSpan w:val="2"/>
            <w:tcBorders>
              <w:top w:val="nil"/>
              <w:left w:val="single" w:sz="4" w:space="0" w:color="auto"/>
              <w:bottom w:val="single" w:sz="4" w:space="0" w:color="auto"/>
              <w:right w:val="single" w:sz="4" w:space="0" w:color="auto"/>
            </w:tcBorders>
            <w:vAlign w:val="center"/>
            <w:hideMark/>
          </w:tcPr>
          <w:p w14:paraId="737BE8C1"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10. Violations des principes du pacte mondial des Nations Unies et des principes directeurs de l'OCDE pour les entreprises multinationales </w:t>
            </w:r>
          </w:p>
        </w:tc>
        <w:tc>
          <w:tcPr>
            <w:tcW w:w="1532" w:type="dxa"/>
            <w:tcBorders>
              <w:top w:val="nil"/>
              <w:left w:val="nil"/>
              <w:bottom w:val="single" w:sz="4" w:space="0" w:color="auto"/>
              <w:right w:val="single" w:sz="4" w:space="0" w:color="auto"/>
            </w:tcBorders>
            <w:shd w:val="clear" w:color="000000" w:fill="BFBFBF"/>
            <w:noWrap/>
            <w:vAlign w:val="center"/>
            <w:hideMark/>
          </w:tcPr>
          <w:p w14:paraId="739D3271" w14:textId="77777777" w:rsidR="00843902" w:rsidRPr="00A74D23" w:rsidRDefault="00843902" w:rsidP="00843902">
            <w:pPr>
              <w:spacing w:line="22" w:lineRule="atLeast"/>
              <w:jc w:val="both"/>
              <w:rPr>
                <w:rFonts w:asciiTheme="minorHAnsi" w:hAnsiTheme="minorHAnsi" w:cs="Open Sans"/>
                <w:i/>
                <w:iCs/>
                <w:color w:val="000000"/>
                <w:sz w:val="18"/>
                <w:szCs w:val="18"/>
                <w:lang w:val="fr-FR" w:eastAsia="fr-FR"/>
              </w:rPr>
            </w:pPr>
            <w:r w:rsidRPr="00A74D23">
              <w:rPr>
                <w:rFonts w:asciiTheme="minorHAnsi" w:hAnsiTheme="minorHAnsi" w:cs="Open Sans"/>
                <w:i/>
                <w:iCs/>
                <w:color w:val="000000"/>
                <w:sz w:val="18"/>
                <w:szCs w:val="18"/>
                <w:lang w:val="fr-FR"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70A4FC7A"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5DFD67D7" w14:textId="63B250F9"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605BB">
              <w:rPr>
                <w:rFonts w:ascii="Calibri" w:hAnsi="Calibri" w:cs="Calibri"/>
                <w:b/>
                <w:bCs/>
                <w:color w:val="FFFFFF"/>
                <w:sz w:val="18"/>
                <w:szCs w:val="18"/>
                <w:lang w:val="fr-FR"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5D857DC4"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r>
      <w:tr w:rsidR="00843902" w:rsidRPr="00A605BB" w14:paraId="2678675D" w14:textId="77777777" w:rsidTr="005C27A0">
        <w:trPr>
          <w:trHeight w:val="645"/>
        </w:trPr>
        <w:tc>
          <w:tcPr>
            <w:tcW w:w="5569" w:type="dxa"/>
            <w:gridSpan w:val="2"/>
            <w:tcBorders>
              <w:top w:val="nil"/>
              <w:left w:val="single" w:sz="4" w:space="0" w:color="auto"/>
              <w:bottom w:val="single" w:sz="4" w:space="0" w:color="auto"/>
              <w:right w:val="single" w:sz="4" w:space="0" w:color="auto"/>
            </w:tcBorders>
            <w:vAlign w:val="center"/>
            <w:hideMark/>
          </w:tcPr>
          <w:p w14:paraId="0076DDAF"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Part d’investissement dans des sociétés qui ont participé à des violations des principes du Pacte mondial des Nations unies ou des principes directeurs de l’OCDE à l’intention des entreprises multinationales (exprimée en %)</w:t>
            </w:r>
          </w:p>
        </w:tc>
        <w:tc>
          <w:tcPr>
            <w:tcW w:w="1532" w:type="dxa"/>
            <w:tcBorders>
              <w:top w:val="nil"/>
              <w:left w:val="nil"/>
              <w:bottom w:val="single" w:sz="4" w:space="0" w:color="auto"/>
              <w:right w:val="single" w:sz="4" w:space="0" w:color="auto"/>
            </w:tcBorders>
            <w:shd w:val="clear" w:color="auto" w:fill="D57B1D" w:themeFill="accent3"/>
            <w:vAlign w:val="center"/>
            <w:hideMark/>
          </w:tcPr>
          <w:p w14:paraId="6B232E8E"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0120</w:t>
            </w:r>
          </w:p>
        </w:tc>
        <w:tc>
          <w:tcPr>
            <w:tcW w:w="1809" w:type="dxa"/>
            <w:tcBorders>
              <w:top w:val="nil"/>
              <w:left w:val="nil"/>
              <w:bottom w:val="single" w:sz="4" w:space="0" w:color="auto"/>
              <w:right w:val="single" w:sz="4" w:space="0" w:color="auto"/>
            </w:tcBorders>
            <w:vAlign w:val="center"/>
            <w:hideMark/>
          </w:tcPr>
          <w:p w14:paraId="3FBDEF54" w14:textId="3DCAFC3C"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0</w:t>
            </w:r>
            <w:r>
              <w:rPr>
                <w:rFonts w:asciiTheme="minorHAnsi" w:hAnsiTheme="minorHAnsi" w:cs="Open Sans"/>
                <w:color w:val="000000"/>
                <w:sz w:val="18"/>
                <w:szCs w:val="18"/>
                <w:lang w:eastAsia="fr-FR"/>
              </w:rPr>
              <w:t>,3%</w:t>
            </w:r>
          </w:p>
        </w:tc>
        <w:tc>
          <w:tcPr>
            <w:tcW w:w="1810" w:type="dxa"/>
            <w:tcBorders>
              <w:top w:val="nil"/>
              <w:left w:val="nil"/>
              <w:bottom w:val="single" w:sz="4" w:space="0" w:color="auto"/>
              <w:right w:val="single" w:sz="4" w:space="0" w:color="auto"/>
            </w:tcBorders>
            <w:vAlign w:val="center"/>
            <w:hideMark/>
          </w:tcPr>
          <w:p w14:paraId="50B9C9A9" w14:textId="0C0B56DC" w:rsidR="00843902" w:rsidRPr="00A74D23" w:rsidRDefault="00843902" w:rsidP="00843902">
            <w:pPr>
              <w:spacing w:line="22" w:lineRule="atLeast"/>
              <w:jc w:val="both"/>
              <w:rPr>
                <w:rFonts w:asciiTheme="minorHAnsi" w:hAnsiTheme="minorHAnsi" w:cs="Open Sans"/>
                <w:color w:val="000000"/>
                <w:sz w:val="18"/>
                <w:szCs w:val="18"/>
                <w:lang w:eastAsia="fr-FR"/>
              </w:rPr>
            </w:pPr>
            <w:r>
              <w:rPr>
                <w:rFonts w:ascii="Calibri" w:hAnsi="Calibri" w:cs="Calibri"/>
                <w:color w:val="000000"/>
                <w:sz w:val="18"/>
                <w:szCs w:val="18"/>
                <w:lang w:eastAsia="fr-FR"/>
              </w:rPr>
              <w:t>0,0%</w:t>
            </w:r>
          </w:p>
        </w:tc>
        <w:tc>
          <w:tcPr>
            <w:tcW w:w="4177" w:type="dxa"/>
            <w:tcBorders>
              <w:top w:val="nil"/>
              <w:left w:val="nil"/>
              <w:bottom w:val="single" w:sz="4" w:space="0" w:color="auto"/>
              <w:right w:val="single" w:sz="4" w:space="0" w:color="auto"/>
            </w:tcBorders>
            <w:vAlign w:val="center"/>
            <w:hideMark/>
          </w:tcPr>
          <w:p w14:paraId="027A3CBA" w14:textId="40E3490D"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Nous avons des exclusions en place sur les sociétés ne respectant pas le pacte mondial</w:t>
            </w:r>
          </w:p>
        </w:tc>
      </w:tr>
      <w:tr w:rsidR="00843902" w:rsidRPr="00A605BB" w14:paraId="5AC08F48" w14:textId="77777777" w:rsidTr="008D3377">
        <w:trPr>
          <w:trHeight w:val="645"/>
        </w:trPr>
        <w:tc>
          <w:tcPr>
            <w:tcW w:w="5569" w:type="dxa"/>
            <w:gridSpan w:val="2"/>
            <w:tcBorders>
              <w:top w:val="nil"/>
              <w:left w:val="single" w:sz="4" w:space="0" w:color="auto"/>
              <w:bottom w:val="single" w:sz="4" w:space="0" w:color="auto"/>
              <w:right w:val="single" w:sz="4" w:space="0" w:color="auto"/>
            </w:tcBorders>
            <w:vAlign w:val="center"/>
            <w:hideMark/>
          </w:tcPr>
          <w:p w14:paraId="742232AD"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11. Absence de processus et de mécanismes de conformité permettant de contrôler le respect des principes du pacte mondial des Nations Unies et des principes directeurs de l'OCDE à l'intention des entreprises multinationales </w:t>
            </w:r>
          </w:p>
        </w:tc>
        <w:tc>
          <w:tcPr>
            <w:tcW w:w="1532" w:type="dxa"/>
            <w:tcBorders>
              <w:top w:val="nil"/>
              <w:left w:val="nil"/>
              <w:bottom w:val="single" w:sz="4" w:space="0" w:color="auto"/>
              <w:right w:val="single" w:sz="4" w:space="0" w:color="auto"/>
            </w:tcBorders>
            <w:shd w:val="clear" w:color="000000" w:fill="BFBFBF"/>
            <w:vAlign w:val="center"/>
            <w:hideMark/>
          </w:tcPr>
          <w:p w14:paraId="5EFF0A29" w14:textId="77777777" w:rsidR="00843902" w:rsidRPr="00A74D23" w:rsidRDefault="00843902" w:rsidP="00843902">
            <w:pPr>
              <w:spacing w:line="22" w:lineRule="atLeast"/>
              <w:jc w:val="both"/>
              <w:rPr>
                <w:rFonts w:asciiTheme="minorHAnsi" w:hAnsiTheme="minorHAnsi" w:cs="Open Sans"/>
                <w:b/>
                <w:bCs/>
                <w:color w:val="000000"/>
                <w:sz w:val="18"/>
                <w:szCs w:val="18"/>
                <w:lang w:val="fr-FR" w:eastAsia="fr-FR"/>
              </w:rPr>
            </w:pPr>
            <w:r w:rsidRPr="00A74D23">
              <w:rPr>
                <w:rFonts w:asciiTheme="minorHAnsi" w:hAnsiTheme="minorHAnsi" w:cs="Open Sans"/>
                <w:b/>
                <w:bCs/>
                <w:color w:val="000000"/>
                <w:sz w:val="18"/>
                <w:szCs w:val="18"/>
                <w:lang w:val="fr-FR"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7935B5B6"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4DE25E05" w14:textId="417688D6"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605BB">
              <w:rPr>
                <w:rFonts w:ascii="Calibri" w:hAnsi="Calibri" w:cs="Calibri"/>
                <w:b/>
                <w:bCs/>
                <w:color w:val="FFFFFF"/>
                <w:sz w:val="18"/>
                <w:szCs w:val="18"/>
                <w:lang w:val="fr-FR"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003DB7CB"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r>
      <w:tr w:rsidR="00843902" w:rsidRPr="00A605BB" w14:paraId="64DC643C" w14:textId="77777777" w:rsidTr="005C27A0">
        <w:trPr>
          <w:trHeight w:val="1075"/>
        </w:trPr>
        <w:tc>
          <w:tcPr>
            <w:tcW w:w="5569" w:type="dxa"/>
            <w:gridSpan w:val="2"/>
            <w:tcBorders>
              <w:top w:val="nil"/>
              <w:left w:val="single" w:sz="4" w:space="0" w:color="auto"/>
              <w:bottom w:val="single" w:sz="4" w:space="0" w:color="auto"/>
              <w:right w:val="single" w:sz="4" w:space="0" w:color="auto"/>
            </w:tcBorders>
            <w:vAlign w:val="center"/>
            <w:hideMark/>
          </w:tcPr>
          <w:p w14:paraId="2845A144"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Part d’investissement dans des sociétés qui n’ont pas de politique de contrôle du respect des principes du Pacte mondial des Nations unies ou des principes directeurs de l’OCDE à l’intention des entreprises multinationales, ni de mécanismes de traitement des plaintes ou des différents permettant de remédier à de telles violations </w:t>
            </w:r>
          </w:p>
        </w:tc>
        <w:tc>
          <w:tcPr>
            <w:tcW w:w="1532" w:type="dxa"/>
            <w:tcBorders>
              <w:top w:val="nil"/>
              <w:left w:val="nil"/>
              <w:bottom w:val="single" w:sz="4" w:space="0" w:color="auto"/>
              <w:right w:val="single" w:sz="4" w:space="0" w:color="auto"/>
            </w:tcBorders>
            <w:shd w:val="clear" w:color="auto" w:fill="D57B1D" w:themeFill="accent3"/>
            <w:vAlign w:val="center"/>
            <w:hideMark/>
          </w:tcPr>
          <w:p w14:paraId="124862FB"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0130</w:t>
            </w:r>
          </w:p>
        </w:tc>
        <w:tc>
          <w:tcPr>
            <w:tcW w:w="1809" w:type="dxa"/>
            <w:tcBorders>
              <w:top w:val="nil"/>
              <w:left w:val="nil"/>
              <w:bottom w:val="single" w:sz="4" w:space="0" w:color="auto"/>
              <w:right w:val="single" w:sz="4" w:space="0" w:color="auto"/>
            </w:tcBorders>
            <w:vAlign w:val="center"/>
            <w:hideMark/>
          </w:tcPr>
          <w:p w14:paraId="7E09F047" w14:textId="3233035F"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39%</w:t>
            </w:r>
          </w:p>
        </w:tc>
        <w:tc>
          <w:tcPr>
            <w:tcW w:w="1810" w:type="dxa"/>
            <w:tcBorders>
              <w:top w:val="nil"/>
              <w:left w:val="nil"/>
              <w:bottom w:val="single" w:sz="4" w:space="0" w:color="auto"/>
              <w:right w:val="single" w:sz="4" w:space="0" w:color="auto"/>
            </w:tcBorders>
            <w:vAlign w:val="center"/>
            <w:hideMark/>
          </w:tcPr>
          <w:p w14:paraId="4D949670" w14:textId="05A9EE7C" w:rsidR="00843902" w:rsidRPr="00A74D23" w:rsidRDefault="00843902" w:rsidP="00843902">
            <w:pPr>
              <w:spacing w:line="22" w:lineRule="atLeast"/>
              <w:jc w:val="both"/>
              <w:rPr>
                <w:rFonts w:asciiTheme="minorHAnsi" w:hAnsiTheme="minorHAnsi" w:cs="Open Sans"/>
                <w:color w:val="000000"/>
                <w:sz w:val="18"/>
                <w:szCs w:val="18"/>
                <w:lang w:eastAsia="fr-FR"/>
              </w:rPr>
            </w:pPr>
            <w:r>
              <w:rPr>
                <w:rFonts w:ascii="Calibri" w:hAnsi="Calibri" w:cs="Calibri"/>
                <w:color w:val="000000"/>
                <w:sz w:val="18"/>
                <w:szCs w:val="18"/>
                <w:lang w:eastAsia="fr-FR"/>
              </w:rPr>
              <w:t>37%</w:t>
            </w:r>
          </w:p>
        </w:tc>
        <w:tc>
          <w:tcPr>
            <w:tcW w:w="4177" w:type="dxa"/>
            <w:tcBorders>
              <w:top w:val="nil"/>
              <w:left w:val="nil"/>
              <w:bottom w:val="single" w:sz="4" w:space="0" w:color="auto"/>
              <w:right w:val="single" w:sz="4" w:space="0" w:color="auto"/>
            </w:tcBorders>
            <w:vAlign w:val="center"/>
            <w:hideMark/>
          </w:tcPr>
          <w:p w14:paraId="585C37FA" w14:textId="5676FA64"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Nous avons des exclusions en place sur les sociétés ne respectant pas le pacte mondial</w:t>
            </w:r>
          </w:p>
        </w:tc>
      </w:tr>
      <w:tr w:rsidR="00843902" w:rsidRPr="00A605BB" w14:paraId="3391EF6B" w14:textId="77777777" w:rsidTr="008D3377">
        <w:trPr>
          <w:trHeight w:val="268"/>
        </w:trPr>
        <w:tc>
          <w:tcPr>
            <w:tcW w:w="5569" w:type="dxa"/>
            <w:gridSpan w:val="2"/>
            <w:tcBorders>
              <w:top w:val="nil"/>
              <w:left w:val="single" w:sz="4" w:space="0" w:color="auto"/>
              <w:bottom w:val="single" w:sz="4" w:space="0" w:color="auto"/>
              <w:right w:val="single" w:sz="4" w:space="0" w:color="auto"/>
            </w:tcBorders>
            <w:vAlign w:val="center"/>
            <w:hideMark/>
          </w:tcPr>
          <w:p w14:paraId="75FE39A5"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12. Ecart de rémunération entre hommes et femmes non corrigé </w:t>
            </w:r>
          </w:p>
        </w:tc>
        <w:tc>
          <w:tcPr>
            <w:tcW w:w="1532" w:type="dxa"/>
            <w:tcBorders>
              <w:top w:val="nil"/>
              <w:left w:val="nil"/>
              <w:bottom w:val="single" w:sz="4" w:space="0" w:color="auto"/>
              <w:right w:val="single" w:sz="4" w:space="0" w:color="auto"/>
            </w:tcBorders>
            <w:shd w:val="clear" w:color="000000" w:fill="BFBFBF"/>
            <w:vAlign w:val="center"/>
            <w:hideMark/>
          </w:tcPr>
          <w:p w14:paraId="34F665B4" w14:textId="77777777" w:rsidR="00843902" w:rsidRPr="00A74D23" w:rsidRDefault="00843902" w:rsidP="00843902">
            <w:pPr>
              <w:spacing w:line="22" w:lineRule="atLeast"/>
              <w:jc w:val="both"/>
              <w:rPr>
                <w:rFonts w:asciiTheme="minorHAnsi" w:hAnsiTheme="minorHAnsi" w:cs="Open Sans"/>
                <w:b/>
                <w:bCs/>
                <w:color w:val="000000"/>
                <w:sz w:val="18"/>
                <w:szCs w:val="18"/>
                <w:lang w:val="fr-FR" w:eastAsia="fr-FR"/>
              </w:rPr>
            </w:pPr>
            <w:r w:rsidRPr="00A74D23">
              <w:rPr>
                <w:rFonts w:asciiTheme="minorHAnsi" w:hAnsiTheme="minorHAnsi" w:cs="Open Sans"/>
                <w:b/>
                <w:bCs/>
                <w:color w:val="000000"/>
                <w:sz w:val="18"/>
                <w:szCs w:val="18"/>
                <w:lang w:val="fr-FR"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6BA8807B"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0C083FAB" w14:textId="158912BF"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605BB">
              <w:rPr>
                <w:rFonts w:ascii="Calibri" w:hAnsi="Calibri" w:cs="Calibri"/>
                <w:b/>
                <w:bCs/>
                <w:color w:val="FFFFFF"/>
                <w:sz w:val="18"/>
                <w:szCs w:val="18"/>
                <w:lang w:val="fr-FR"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337F3E9E"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r>
      <w:tr w:rsidR="00843902" w:rsidRPr="00A605BB" w14:paraId="50BE2E0A" w14:textId="77777777" w:rsidTr="005C27A0">
        <w:trPr>
          <w:trHeight w:val="430"/>
        </w:trPr>
        <w:tc>
          <w:tcPr>
            <w:tcW w:w="5569" w:type="dxa"/>
            <w:gridSpan w:val="2"/>
            <w:tcBorders>
              <w:top w:val="nil"/>
              <w:left w:val="single" w:sz="4" w:space="0" w:color="auto"/>
              <w:bottom w:val="single" w:sz="4" w:space="0" w:color="auto"/>
              <w:right w:val="single" w:sz="4" w:space="0" w:color="auto"/>
            </w:tcBorders>
            <w:vAlign w:val="center"/>
            <w:hideMark/>
          </w:tcPr>
          <w:p w14:paraId="009AA24F"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Écart de rémunération moyen non corrigé entre les hommes et les femmes au sein des sociétés bénéficiaires des investissements</w:t>
            </w:r>
          </w:p>
        </w:tc>
        <w:tc>
          <w:tcPr>
            <w:tcW w:w="1532" w:type="dxa"/>
            <w:tcBorders>
              <w:top w:val="nil"/>
              <w:left w:val="nil"/>
              <w:bottom w:val="single" w:sz="4" w:space="0" w:color="auto"/>
              <w:right w:val="single" w:sz="4" w:space="0" w:color="auto"/>
            </w:tcBorders>
            <w:shd w:val="clear" w:color="auto" w:fill="D57B1D" w:themeFill="accent3"/>
            <w:vAlign w:val="center"/>
            <w:hideMark/>
          </w:tcPr>
          <w:p w14:paraId="47515A49"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0140</w:t>
            </w:r>
          </w:p>
        </w:tc>
        <w:tc>
          <w:tcPr>
            <w:tcW w:w="1809" w:type="dxa"/>
            <w:tcBorders>
              <w:top w:val="nil"/>
              <w:left w:val="nil"/>
              <w:bottom w:val="single" w:sz="4" w:space="0" w:color="auto"/>
              <w:right w:val="single" w:sz="4" w:space="0" w:color="auto"/>
            </w:tcBorders>
            <w:vAlign w:val="center"/>
            <w:hideMark/>
          </w:tcPr>
          <w:p w14:paraId="17017518" w14:textId="120BB12D"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2</w:t>
            </w:r>
            <w:r>
              <w:rPr>
                <w:rFonts w:asciiTheme="minorHAnsi" w:hAnsiTheme="minorHAnsi" w:cs="Open Sans"/>
                <w:color w:val="000000"/>
                <w:sz w:val="18"/>
                <w:szCs w:val="18"/>
                <w:lang w:eastAsia="fr-FR"/>
              </w:rPr>
              <w:t>3</w:t>
            </w:r>
            <w:r w:rsidRPr="00A74D23">
              <w:rPr>
                <w:rFonts w:asciiTheme="minorHAnsi" w:hAnsiTheme="minorHAnsi" w:cs="Open Sans"/>
                <w:color w:val="000000"/>
                <w:sz w:val="18"/>
                <w:szCs w:val="18"/>
                <w:lang w:eastAsia="fr-FR"/>
              </w:rPr>
              <w:t>%</w:t>
            </w:r>
          </w:p>
        </w:tc>
        <w:tc>
          <w:tcPr>
            <w:tcW w:w="1810" w:type="dxa"/>
            <w:tcBorders>
              <w:top w:val="nil"/>
              <w:left w:val="nil"/>
              <w:bottom w:val="single" w:sz="4" w:space="0" w:color="auto"/>
              <w:right w:val="single" w:sz="4" w:space="0" w:color="auto"/>
            </w:tcBorders>
            <w:vAlign w:val="center"/>
            <w:hideMark/>
          </w:tcPr>
          <w:p w14:paraId="4C7CC9ED" w14:textId="2867AC5E" w:rsidR="00843902" w:rsidRPr="00A74D23" w:rsidRDefault="00843902" w:rsidP="00843902">
            <w:pPr>
              <w:spacing w:line="22" w:lineRule="atLeast"/>
              <w:jc w:val="both"/>
              <w:rPr>
                <w:rFonts w:asciiTheme="minorHAnsi" w:hAnsiTheme="minorHAnsi" w:cs="Open Sans"/>
                <w:color w:val="000000"/>
                <w:sz w:val="18"/>
                <w:szCs w:val="18"/>
                <w:lang w:eastAsia="fr-FR"/>
              </w:rPr>
            </w:pPr>
            <w:r>
              <w:rPr>
                <w:rFonts w:ascii="Calibri" w:hAnsi="Calibri" w:cs="Calibri"/>
                <w:color w:val="000000"/>
                <w:sz w:val="18"/>
                <w:szCs w:val="18"/>
                <w:lang w:eastAsia="fr-FR"/>
              </w:rPr>
              <w:t>15%</w:t>
            </w:r>
          </w:p>
        </w:tc>
        <w:tc>
          <w:tcPr>
            <w:tcW w:w="4177" w:type="dxa"/>
            <w:tcBorders>
              <w:top w:val="nil"/>
              <w:left w:val="nil"/>
              <w:bottom w:val="single" w:sz="4" w:space="0" w:color="auto"/>
              <w:right w:val="single" w:sz="4" w:space="0" w:color="auto"/>
            </w:tcBorders>
            <w:vAlign w:val="center"/>
            <w:hideMark/>
          </w:tcPr>
          <w:p w14:paraId="6A5B6EFF" w14:textId="1F96FFA9"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Cet aspect est pris en compte dans le cadre du score de gouvernance et de nos engagements sur le sujet</w:t>
            </w:r>
          </w:p>
        </w:tc>
      </w:tr>
      <w:tr w:rsidR="00843902" w:rsidRPr="00A605BB" w14:paraId="34DB02D0" w14:textId="77777777" w:rsidTr="008D3377">
        <w:trPr>
          <w:trHeight w:val="268"/>
        </w:trPr>
        <w:tc>
          <w:tcPr>
            <w:tcW w:w="5569" w:type="dxa"/>
            <w:gridSpan w:val="2"/>
            <w:tcBorders>
              <w:top w:val="nil"/>
              <w:left w:val="single" w:sz="4" w:space="0" w:color="auto"/>
              <w:bottom w:val="single" w:sz="4" w:space="0" w:color="auto"/>
              <w:right w:val="single" w:sz="4" w:space="0" w:color="auto"/>
            </w:tcBorders>
            <w:vAlign w:val="center"/>
            <w:hideMark/>
          </w:tcPr>
          <w:p w14:paraId="2AF903B6"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13. Mixité au sein des organes de gouvernance </w:t>
            </w:r>
          </w:p>
        </w:tc>
        <w:tc>
          <w:tcPr>
            <w:tcW w:w="1532" w:type="dxa"/>
            <w:tcBorders>
              <w:top w:val="nil"/>
              <w:left w:val="nil"/>
              <w:bottom w:val="single" w:sz="4" w:space="0" w:color="auto"/>
              <w:right w:val="single" w:sz="4" w:space="0" w:color="auto"/>
            </w:tcBorders>
            <w:shd w:val="clear" w:color="000000" w:fill="BFBFBF"/>
            <w:vAlign w:val="center"/>
            <w:hideMark/>
          </w:tcPr>
          <w:p w14:paraId="2E101AEF" w14:textId="77777777" w:rsidR="00843902" w:rsidRPr="00A74D23" w:rsidRDefault="00843902" w:rsidP="00843902">
            <w:pPr>
              <w:spacing w:line="22" w:lineRule="atLeast"/>
              <w:jc w:val="both"/>
              <w:rPr>
                <w:rFonts w:asciiTheme="minorHAnsi" w:hAnsiTheme="minorHAnsi" w:cs="Open Sans"/>
                <w:b/>
                <w:bCs/>
                <w:color w:val="000000"/>
                <w:sz w:val="18"/>
                <w:szCs w:val="18"/>
                <w:lang w:val="fr-FR" w:eastAsia="fr-FR"/>
              </w:rPr>
            </w:pPr>
            <w:r w:rsidRPr="00A74D23">
              <w:rPr>
                <w:rFonts w:asciiTheme="minorHAnsi" w:hAnsiTheme="minorHAnsi" w:cs="Open Sans"/>
                <w:b/>
                <w:bCs/>
                <w:color w:val="000000"/>
                <w:sz w:val="18"/>
                <w:szCs w:val="18"/>
                <w:lang w:val="fr-FR"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3AE6170B"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5DDF8A8D" w14:textId="07B87E8A"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605BB">
              <w:rPr>
                <w:rFonts w:ascii="Calibri" w:hAnsi="Calibri" w:cs="Calibri"/>
                <w:b/>
                <w:bCs/>
                <w:color w:val="FFFFFF"/>
                <w:sz w:val="18"/>
                <w:szCs w:val="18"/>
                <w:lang w:val="fr-FR"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63D31BB6"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r>
      <w:tr w:rsidR="00843902" w:rsidRPr="00A605BB" w14:paraId="2A5D6321" w14:textId="77777777" w:rsidTr="005C27A0">
        <w:trPr>
          <w:trHeight w:val="430"/>
        </w:trPr>
        <w:tc>
          <w:tcPr>
            <w:tcW w:w="5569" w:type="dxa"/>
            <w:gridSpan w:val="2"/>
            <w:tcBorders>
              <w:top w:val="nil"/>
              <w:left w:val="single" w:sz="4" w:space="0" w:color="auto"/>
              <w:bottom w:val="single" w:sz="4" w:space="0" w:color="auto"/>
              <w:right w:val="single" w:sz="4" w:space="0" w:color="auto"/>
            </w:tcBorders>
            <w:vAlign w:val="center"/>
            <w:hideMark/>
          </w:tcPr>
          <w:p w14:paraId="5107BC67"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Ratio femmes/hommes moyen dans les organes de gouvernance des sociétés concernées, en pourcentage du nombre total de membres</w:t>
            </w:r>
          </w:p>
        </w:tc>
        <w:tc>
          <w:tcPr>
            <w:tcW w:w="1532" w:type="dxa"/>
            <w:tcBorders>
              <w:top w:val="nil"/>
              <w:left w:val="nil"/>
              <w:bottom w:val="single" w:sz="4" w:space="0" w:color="auto"/>
              <w:right w:val="single" w:sz="4" w:space="0" w:color="auto"/>
            </w:tcBorders>
            <w:shd w:val="clear" w:color="auto" w:fill="D57B1D" w:themeFill="accent3"/>
            <w:vAlign w:val="center"/>
            <w:hideMark/>
          </w:tcPr>
          <w:p w14:paraId="30D3A944"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0150</w:t>
            </w:r>
          </w:p>
        </w:tc>
        <w:tc>
          <w:tcPr>
            <w:tcW w:w="1809" w:type="dxa"/>
            <w:tcBorders>
              <w:top w:val="nil"/>
              <w:left w:val="nil"/>
              <w:bottom w:val="single" w:sz="4" w:space="0" w:color="auto"/>
              <w:right w:val="single" w:sz="4" w:space="0" w:color="auto"/>
            </w:tcBorders>
            <w:vAlign w:val="center"/>
            <w:hideMark/>
          </w:tcPr>
          <w:p w14:paraId="4311541E" w14:textId="19B8C2E4"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40%</w:t>
            </w:r>
          </w:p>
        </w:tc>
        <w:tc>
          <w:tcPr>
            <w:tcW w:w="1810" w:type="dxa"/>
            <w:tcBorders>
              <w:top w:val="nil"/>
              <w:left w:val="nil"/>
              <w:bottom w:val="single" w:sz="4" w:space="0" w:color="auto"/>
              <w:right w:val="single" w:sz="4" w:space="0" w:color="auto"/>
            </w:tcBorders>
            <w:vAlign w:val="center"/>
            <w:hideMark/>
          </w:tcPr>
          <w:p w14:paraId="24E85C08" w14:textId="30B0E72C" w:rsidR="00843902" w:rsidRPr="00A74D23" w:rsidRDefault="00843902" w:rsidP="00843902">
            <w:pPr>
              <w:spacing w:line="22" w:lineRule="atLeast"/>
              <w:jc w:val="both"/>
              <w:rPr>
                <w:rFonts w:asciiTheme="minorHAnsi" w:hAnsiTheme="minorHAnsi" w:cs="Open Sans"/>
                <w:color w:val="000000"/>
                <w:sz w:val="18"/>
                <w:szCs w:val="18"/>
                <w:lang w:eastAsia="fr-FR"/>
              </w:rPr>
            </w:pPr>
            <w:r>
              <w:rPr>
                <w:rFonts w:ascii="Calibri" w:hAnsi="Calibri" w:cs="Calibri"/>
                <w:color w:val="000000"/>
                <w:sz w:val="18"/>
                <w:szCs w:val="18"/>
                <w:lang w:eastAsia="fr-FR"/>
              </w:rPr>
              <w:t>40%</w:t>
            </w:r>
          </w:p>
        </w:tc>
        <w:tc>
          <w:tcPr>
            <w:tcW w:w="4177" w:type="dxa"/>
            <w:tcBorders>
              <w:top w:val="nil"/>
              <w:left w:val="nil"/>
              <w:bottom w:val="single" w:sz="4" w:space="0" w:color="auto"/>
              <w:right w:val="single" w:sz="4" w:space="0" w:color="auto"/>
            </w:tcBorders>
            <w:vAlign w:val="center"/>
            <w:hideMark/>
          </w:tcPr>
          <w:p w14:paraId="011F571B" w14:textId="3F6D585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Cette métrique est suivie dans le cadre du score de gouvernance et de nos engagements sur le sujet</w:t>
            </w:r>
          </w:p>
        </w:tc>
      </w:tr>
      <w:tr w:rsidR="00843902" w:rsidRPr="00A605BB" w14:paraId="6C16C508" w14:textId="77777777" w:rsidTr="008D3377">
        <w:trPr>
          <w:trHeight w:val="430"/>
        </w:trPr>
        <w:tc>
          <w:tcPr>
            <w:tcW w:w="5569" w:type="dxa"/>
            <w:gridSpan w:val="2"/>
            <w:tcBorders>
              <w:top w:val="nil"/>
              <w:left w:val="single" w:sz="4" w:space="0" w:color="auto"/>
              <w:bottom w:val="single" w:sz="4" w:space="0" w:color="auto"/>
              <w:right w:val="single" w:sz="4" w:space="0" w:color="auto"/>
            </w:tcBorders>
            <w:vAlign w:val="center"/>
            <w:hideMark/>
          </w:tcPr>
          <w:p w14:paraId="5BB0A4EE"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14. Exposition à des armes controversées (mines antipersonnel, armes à sous-munitions, armes chimiques ou armes biologiques)</w:t>
            </w:r>
          </w:p>
        </w:tc>
        <w:tc>
          <w:tcPr>
            <w:tcW w:w="1532" w:type="dxa"/>
            <w:tcBorders>
              <w:top w:val="nil"/>
              <w:left w:val="nil"/>
              <w:bottom w:val="single" w:sz="4" w:space="0" w:color="auto"/>
              <w:right w:val="single" w:sz="4" w:space="0" w:color="auto"/>
            </w:tcBorders>
            <w:shd w:val="clear" w:color="000000" w:fill="BFBFBF"/>
            <w:vAlign w:val="center"/>
            <w:hideMark/>
          </w:tcPr>
          <w:p w14:paraId="22B42FCB" w14:textId="77777777" w:rsidR="00843902" w:rsidRPr="00A74D23" w:rsidRDefault="00843902" w:rsidP="00843902">
            <w:pPr>
              <w:spacing w:line="22" w:lineRule="atLeast"/>
              <w:jc w:val="both"/>
              <w:rPr>
                <w:rFonts w:asciiTheme="minorHAnsi" w:hAnsiTheme="minorHAnsi" w:cs="Open Sans"/>
                <w:b/>
                <w:bCs/>
                <w:color w:val="000000"/>
                <w:sz w:val="18"/>
                <w:szCs w:val="18"/>
                <w:lang w:val="fr-FR" w:eastAsia="fr-FR"/>
              </w:rPr>
            </w:pPr>
            <w:r w:rsidRPr="00A74D23">
              <w:rPr>
                <w:rFonts w:asciiTheme="minorHAnsi" w:hAnsiTheme="minorHAnsi" w:cs="Open Sans"/>
                <w:b/>
                <w:bCs/>
                <w:color w:val="000000"/>
                <w:sz w:val="18"/>
                <w:szCs w:val="18"/>
                <w:lang w:val="fr-FR"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759A3B23"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5B3C49B1" w14:textId="0353123E"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605BB">
              <w:rPr>
                <w:rFonts w:ascii="Calibri" w:hAnsi="Calibri" w:cs="Calibri"/>
                <w:b/>
                <w:bCs/>
                <w:color w:val="FFFFFF"/>
                <w:sz w:val="18"/>
                <w:szCs w:val="18"/>
                <w:lang w:val="fr-FR"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32E3E6B7" w14:textId="77777777" w:rsidR="00843902" w:rsidRPr="00A74D23" w:rsidRDefault="00843902" w:rsidP="00843902">
            <w:pPr>
              <w:spacing w:line="22" w:lineRule="atLeast"/>
              <w:jc w:val="both"/>
              <w:rPr>
                <w:rFonts w:asciiTheme="minorHAnsi" w:hAnsiTheme="minorHAnsi" w:cs="Open Sans"/>
                <w:b/>
                <w:bCs/>
                <w:color w:val="FFFFFF"/>
                <w:sz w:val="18"/>
                <w:szCs w:val="18"/>
                <w:lang w:val="fr-FR" w:eastAsia="fr-FR"/>
              </w:rPr>
            </w:pPr>
            <w:r w:rsidRPr="00A74D23">
              <w:rPr>
                <w:rFonts w:asciiTheme="minorHAnsi" w:hAnsiTheme="minorHAnsi" w:cs="Open Sans"/>
                <w:b/>
                <w:bCs/>
                <w:color w:val="FFFFFF"/>
                <w:sz w:val="18"/>
                <w:szCs w:val="18"/>
                <w:lang w:val="fr-FR" w:eastAsia="fr-FR"/>
              </w:rPr>
              <w:t> </w:t>
            </w:r>
          </w:p>
        </w:tc>
      </w:tr>
      <w:tr w:rsidR="00843902" w:rsidRPr="00A605BB" w14:paraId="3CEA0986" w14:textId="77777777" w:rsidTr="005C27A0">
        <w:trPr>
          <w:trHeight w:val="430"/>
        </w:trPr>
        <w:tc>
          <w:tcPr>
            <w:tcW w:w="5569" w:type="dxa"/>
            <w:gridSpan w:val="2"/>
            <w:tcBorders>
              <w:top w:val="nil"/>
              <w:left w:val="single" w:sz="4" w:space="0" w:color="auto"/>
              <w:bottom w:val="single" w:sz="4" w:space="0" w:color="auto"/>
              <w:right w:val="single" w:sz="4" w:space="0" w:color="auto"/>
            </w:tcBorders>
            <w:vAlign w:val="center"/>
            <w:hideMark/>
          </w:tcPr>
          <w:p w14:paraId="4091B9D8"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Part d’investissement dans des sociétés qui participent à la fabrication ou à la vente d’armes controversées </w:t>
            </w:r>
          </w:p>
        </w:tc>
        <w:tc>
          <w:tcPr>
            <w:tcW w:w="1532" w:type="dxa"/>
            <w:tcBorders>
              <w:top w:val="nil"/>
              <w:left w:val="nil"/>
              <w:bottom w:val="single" w:sz="4" w:space="0" w:color="auto"/>
              <w:right w:val="single" w:sz="4" w:space="0" w:color="auto"/>
            </w:tcBorders>
            <w:shd w:val="clear" w:color="auto" w:fill="D57B1D" w:themeFill="accent3"/>
            <w:vAlign w:val="center"/>
            <w:hideMark/>
          </w:tcPr>
          <w:p w14:paraId="319369B6"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0160</w:t>
            </w:r>
          </w:p>
        </w:tc>
        <w:tc>
          <w:tcPr>
            <w:tcW w:w="1809" w:type="dxa"/>
            <w:tcBorders>
              <w:top w:val="nil"/>
              <w:left w:val="nil"/>
              <w:bottom w:val="single" w:sz="4" w:space="0" w:color="auto"/>
              <w:right w:val="single" w:sz="4" w:space="0" w:color="auto"/>
            </w:tcBorders>
            <w:vAlign w:val="center"/>
            <w:hideMark/>
          </w:tcPr>
          <w:p w14:paraId="7F4B4793" w14:textId="6598D7EC"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0,3</w:t>
            </w:r>
            <w:r>
              <w:rPr>
                <w:rFonts w:asciiTheme="minorHAnsi" w:hAnsiTheme="minorHAnsi" w:cs="Open Sans"/>
                <w:color w:val="000000"/>
                <w:sz w:val="18"/>
                <w:szCs w:val="18"/>
                <w:lang w:eastAsia="fr-FR"/>
              </w:rPr>
              <w:t>5</w:t>
            </w:r>
            <w:r w:rsidRPr="00A74D23">
              <w:rPr>
                <w:rFonts w:asciiTheme="minorHAnsi" w:hAnsiTheme="minorHAnsi" w:cs="Open Sans"/>
                <w:color w:val="000000"/>
                <w:sz w:val="18"/>
                <w:szCs w:val="18"/>
                <w:lang w:eastAsia="fr-FR"/>
              </w:rPr>
              <w:t>%</w:t>
            </w:r>
          </w:p>
        </w:tc>
        <w:tc>
          <w:tcPr>
            <w:tcW w:w="1810" w:type="dxa"/>
            <w:tcBorders>
              <w:top w:val="nil"/>
              <w:left w:val="nil"/>
              <w:bottom w:val="single" w:sz="4" w:space="0" w:color="auto"/>
              <w:right w:val="single" w:sz="4" w:space="0" w:color="auto"/>
            </w:tcBorders>
            <w:vAlign w:val="center"/>
            <w:hideMark/>
          </w:tcPr>
          <w:p w14:paraId="29420C7D" w14:textId="1202538B" w:rsidR="00843902" w:rsidRPr="00A74D23" w:rsidRDefault="00843902" w:rsidP="00843902">
            <w:pPr>
              <w:spacing w:line="22" w:lineRule="atLeast"/>
              <w:jc w:val="both"/>
              <w:rPr>
                <w:rFonts w:asciiTheme="minorHAnsi" w:hAnsiTheme="minorHAnsi" w:cs="Open Sans"/>
                <w:color w:val="000000"/>
                <w:sz w:val="18"/>
                <w:szCs w:val="18"/>
                <w:lang w:eastAsia="fr-FR"/>
              </w:rPr>
            </w:pPr>
            <w:r w:rsidRPr="000A24A1">
              <w:rPr>
                <w:rFonts w:ascii="Calibri" w:hAnsi="Calibri" w:cs="Calibri"/>
                <w:color w:val="000000"/>
                <w:sz w:val="18"/>
                <w:szCs w:val="18"/>
                <w:lang w:eastAsia="fr-FR"/>
              </w:rPr>
              <w:t>0,0</w:t>
            </w:r>
            <w:r>
              <w:rPr>
                <w:rFonts w:ascii="Calibri" w:hAnsi="Calibri" w:cs="Calibri"/>
                <w:color w:val="000000"/>
                <w:sz w:val="18"/>
                <w:szCs w:val="18"/>
                <w:lang w:eastAsia="fr-FR"/>
              </w:rPr>
              <w:t>%</w:t>
            </w:r>
          </w:p>
        </w:tc>
        <w:tc>
          <w:tcPr>
            <w:tcW w:w="4177" w:type="dxa"/>
            <w:tcBorders>
              <w:top w:val="nil"/>
              <w:left w:val="nil"/>
              <w:bottom w:val="single" w:sz="4" w:space="0" w:color="auto"/>
              <w:right w:val="single" w:sz="4" w:space="0" w:color="auto"/>
            </w:tcBorders>
            <w:vAlign w:val="center"/>
            <w:hideMark/>
          </w:tcPr>
          <w:p w14:paraId="65E5D35A" w14:textId="0D5CEC56"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Notre stratégie d'investissement sur les armes controversées interdit les investissements dans ce secteur</w:t>
            </w:r>
          </w:p>
        </w:tc>
      </w:tr>
      <w:tr w:rsidR="000A3DFE" w:rsidRPr="00A605BB" w14:paraId="344F0B95" w14:textId="77777777" w:rsidTr="008D3377">
        <w:trPr>
          <w:trHeight w:val="268"/>
        </w:trPr>
        <w:tc>
          <w:tcPr>
            <w:tcW w:w="5569" w:type="dxa"/>
            <w:gridSpan w:val="2"/>
            <w:tcBorders>
              <w:top w:val="nil"/>
              <w:left w:val="nil"/>
              <w:bottom w:val="nil"/>
              <w:right w:val="nil"/>
            </w:tcBorders>
            <w:vAlign w:val="center"/>
            <w:hideMark/>
          </w:tcPr>
          <w:p w14:paraId="797C2DBF" w14:textId="77777777" w:rsidR="000A3DFE" w:rsidRPr="00A74D23" w:rsidRDefault="000A3DFE" w:rsidP="009D6EE5">
            <w:pPr>
              <w:spacing w:line="22" w:lineRule="atLeast"/>
              <w:jc w:val="both"/>
              <w:rPr>
                <w:rFonts w:asciiTheme="minorHAnsi" w:hAnsiTheme="minorHAnsi" w:cs="Open Sans"/>
                <w:color w:val="000000"/>
                <w:sz w:val="18"/>
                <w:szCs w:val="18"/>
                <w:lang w:val="fr-FR" w:eastAsia="fr-FR"/>
              </w:rPr>
            </w:pPr>
          </w:p>
        </w:tc>
        <w:tc>
          <w:tcPr>
            <w:tcW w:w="1532" w:type="dxa"/>
            <w:tcBorders>
              <w:top w:val="nil"/>
              <w:left w:val="nil"/>
              <w:bottom w:val="nil"/>
              <w:right w:val="nil"/>
            </w:tcBorders>
            <w:vAlign w:val="center"/>
            <w:hideMark/>
          </w:tcPr>
          <w:p w14:paraId="2BF3F0F3" w14:textId="77777777" w:rsidR="000A3DFE" w:rsidRPr="00A74D23" w:rsidRDefault="000A3DFE" w:rsidP="009D6EE5">
            <w:pPr>
              <w:spacing w:line="22" w:lineRule="atLeast"/>
              <w:jc w:val="both"/>
              <w:rPr>
                <w:rFonts w:asciiTheme="minorHAnsi" w:hAnsiTheme="minorHAnsi" w:cs="Open Sans"/>
                <w:sz w:val="20"/>
                <w:szCs w:val="20"/>
                <w:lang w:val="fr-FR" w:eastAsia="fr-FR"/>
              </w:rPr>
            </w:pPr>
          </w:p>
        </w:tc>
        <w:tc>
          <w:tcPr>
            <w:tcW w:w="1809" w:type="dxa"/>
            <w:tcBorders>
              <w:top w:val="nil"/>
              <w:left w:val="nil"/>
              <w:bottom w:val="nil"/>
              <w:right w:val="nil"/>
            </w:tcBorders>
            <w:vAlign w:val="center"/>
            <w:hideMark/>
          </w:tcPr>
          <w:p w14:paraId="486F57CB" w14:textId="77777777" w:rsidR="000A3DFE" w:rsidRPr="00A74D23" w:rsidRDefault="000A3DFE" w:rsidP="009D6EE5">
            <w:pPr>
              <w:spacing w:line="22" w:lineRule="atLeast"/>
              <w:jc w:val="both"/>
              <w:rPr>
                <w:rFonts w:asciiTheme="minorHAnsi" w:hAnsiTheme="minorHAnsi" w:cs="Open Sans"/>
                <w:sz w:val="20"/>
                <w:szCs w:val="20"/>
                <w:lang w:val="fr-FR" w:eastAsia="fr-FR"/>
              </w:rPr>
            </w:pPr>
          </w:p>
        </w:tc>
        <w:tc>
          <w:tcPr>
            <w:tcW w:w="1810" w:type="dxa"/>
            <w:tcBorders>
              <w:top w:val="nil"/>
              <w:left w:val="nil"/>
              <w:bottom w:val="nil"/>
              <w:right w:val="nil"/>
            </w:tcBorders>
            <w:vAlign w:val="center"/>
            <w:hideMark/>
          </w:tcPr>
          <w:p w14:paraId="627A83C2" w14:textId="77777777" w:rsidR="000A3DFE" w:rsidRPr="00A74D23" w:rsidRDefault="000A3DFE" w:rsidP="009D6EE5">
            <w:pPr>
              <w:spacing w:line="22" w:lineRule="atLeast"/>
              <w:jc w:val="both"/>
              <w:rPr>
                <w:rFonts w:asciiTheme="minorHAnsi" w:hAnsiTheme="minorHAnsi" w:cs="Open Sans"/>
                <w:sz w:val="20"/>
                <w:szCs w:val="20"/>
                <w:lang w:val="fr-FR" w:eastAsia="fr-FR"/>
              </w:rPr>
            </w:pPr>
          </w:p>
        </w:tc>
        <w:tc>
          <w:tcPr>
            <w:tcW w:w="4177" w:type="dxa"/>
            <w:tcBorders>
              <w:top w:val="nil"/>
              <w:left w:val="nil"/>
              <w:bottom w:val="nil"/>
              <w:right w:val="nil"/>
            </w:tcBorders>
            <w:vAlign w:val="center"/>
            <w:hideMark/>
          </w:tcPr>
          <w:p w14:paraId="111D839E" w14:textId="77777777" w:rsidR="000A3DFE" w:rsidRPr="00A74D23" w:rsidRDefault="000A3DFE" w:rsidP="009D6EE5">
            <w:pPr>
              <w:spacing w:line="22" w:lineRule="atLeast"/>
              <w:jc w:val="both"/>
              <w:rPr>
                <w:rFonts w:asciiTheme="minorHAnsi" w:hAnsiTheme="minorHAnsi" w:cs="Open Sans"/>
                <w:sz w:val="20"/>
                <w:szCs w:val="20"/>
                <w:lang w:val="fr-FR" w:eastAsia="fr-FR"/>
              </w:rPr>
            </w:pPr>
          </w:p>
        </w:tc>
      </w:tr>
      <w:tr w:rsidR="000A3DFE" w:rsidRPr="00A605BB" w14:paraId="7003498E" w14:textId="77777777" w:rsidTr="008D3377">
        <w:trPr>
          <w:trHeight w:val="268"/>
        </w:trPr>
        <w:tc>
          <w:tcPr>
            <w:tcW w:w="5569" w:type="dxa"/>
            <w:gridSpan w:val="2"/>
            <w:tcBorders>
              <w:top w:val="nil"/>
              <w:left w:val="nil"/>
              <w:bottom w:val="nil"/>
              <w:right w:val="nil"/>
            </w:tcBorders>
            <w:noWrap/>
            <w:vAlign w:val="center"/>
            <w:hideMark/>
          </w:tcPr>
          <w:p w14:paraId="577C1C08" w14:textId="77777777" w:rsidR="000A3DFE" w:rsidRPr="00A74D23" w:rsidRDefault="000A3DFE" w:rsidP="009D6EE5">
            <w:pPr>
              <w:spacing w:line="22" w:lineRule="atLeast"/>
              <w:jc w:val="both"/>
              <w:rPr>
                <w:rFonts w:asciiTheme="minorHAnsi" w:hAnsiTheme="minorHAnsi" w:cs="Open Sans"/>
                <w:b/>
                <w:bCs/>
                <w:color w:val="000000"/>
                <w:sz w:val="18"/>
                <w:szCs w:val="18"/>
                <w:lang w:val="fr-FR" w:eastAsia="fr-FR"/>
              </w:rPr>
            </w:pPr>
            <w:r w:rsidRPr="00A74D23">
              <w:rPr>
                <w:rFonts w:asciiTheme="minorHAnsi" w:hAnsiTheme="minorHAnsi" w:cs="Open Sans"/>
                <w:b/>
                <w:bCs/>
                <w:color w:val="000000"/>
                <w:sz w:val="18"/>
                <w:szCs w:val="18"/>
                <w:lang w:val="fr-FR" w:eastAsia="fr-FR"/>
              </w:rPr>
              <w:t>Tableau 1.2 - Indicateurs applicables aux investissements dans des émetteurs souverains ou supranationaux</w:t>
            </w:r>
          </w:p>
        </w:tc>
        <w:tc>
          <w:tcPr>
            <w:tcW w:w="1532" w:type="dxa"/>
            <w:tcBorders>
              <w:top w:val="nil"/>
              <w:left w:val="nil"/>
              <w:bottom w:val="nil"/>
              <w:right w:val="nil"/>
            </w:tcBorders>
            <w:vAlign w:val="center"/>
            <w:hideMark/>
          </w:tcPr>
          <w:p w14:paraId="4F4C54FE" w14:textId="77777777" w:rsidR="000A3DFE" w:rsidRPr="00A74D23" w:rsidRDefault="000A3DFE" w:rsidP="009D6EE5">
            <w:pPr>
              <w:spacing w:line="22" w:lineRule="atLeast"/>
              <w:jc w:val="both"/>
              <w:rPr>
                <w:rFonts w:asciiTheme="minorHAnsi" w:hAnsiTheme="minorHAnsi" w:cs="Open Sans"/>
                <w:b/>
                <w:bCs/>
                <w:color w:val="000000"/>
                <w:sz w:val="18"/>
                <w:szCs w:val="18"/>
                <w:lang w:val="fr-FR" w:eastAsia="fr-FR"/>
              </w:rPr>
            </w:pPr>
          </w:p>
        </w:tc>
        <w:tc>
          <w:tcPr>
            <w:tcW w:w="1809" w:type="dxa"/>
            <w:tcBorders>
              <w:top w:val="nil"/>
              <w:left w:val="nil"/>
              <w:bottom w:val="nil"/>
              <w:right w:val="nil"/>
            </w:tcBorders>
            <w:vAlign w:val="center"/>
            <w:hideMark/>
          </w:tcPr>
          <w:p w14:paraId="3E65784E" w14:textId="77777777" w:rsidR="000A3DFE" w:rsidRPr="00A74D23" w:rsidRDefault="000A3DFE" w:rsidP="009D6EE5">
            <w:pPr>
              <w:spacing w:line="22" w:lineRule="atLeast"/>
              <w:jc w:val="both"/>
              <w:rPr>
                <w:rFonts w:asciiTheme="minorHAnsi" w:hAnsiTheme="minorHAnsi" w:cs="Open Sans"/>
                <w:sz w:val="20"/>
                <w:szCs w:val="20"/>
                <w:lang w:val="fr-FR" w:eastAsia="fr-FR"/>
              </w:rPr>
            </w:pPr>
          </w:p>
        </w:tc>
        <w:tc>
          <w:tcPr>
            <w:tcW w:w="1810" w:type="dxa"/>
            <w:tcBorders>
              <w:top w:val="nil"/>
              <w:left w:val="nil"/>
              <w:bottom w:val="nil"/>
              <w:right w:val="nil"/>
            </w:tcBorders>
            <w:vAlign w:val="center"/>
            <w:hideMark/>
          </w:tcPr>
          <w:p w14:paraId="03CEABC7" w14:textId="77777777" w:rsidR="000A3DFE" w:rsidRPr="00A74D23" w:rsidRDefault="000A3DFE" w:rsidP="009D6EE5">
            <w:pPr>
              <w:spacing w:line="22" w:lineRule="atLeast"/>
              <w:jc w:val="both"/>
              <w:rPr>
                <w:rFonts w:asciiTheme="minorHAnsi" w:hAnsiTheme="minorHAnsi" w:cs="Open Sans"/>
                <w:sz w:val="20"/>
                <w:szCs w:val="20"/>
                <w:lang w:val="fr-FR" w:eastAsia="fr-FR"/>
              </w:rPr>
            </w:pPr>
          </w:p>
        </w:tc>
        <w:tc>
          <w:tcPr>
            <w:tcW w:w="4177" w:type="dxa"/>
            <w:tcBorders>
              <w:top w:val="nil"/>
              <w:left w:val="nil"/>
              <w:bottom w:val="nil"/>
              <w:right w:val="nil"/>
            </w:tcBorders>
            <w:vAlign w:val="center"/>
            <w:hideMark/>
          </w:tcPr>
          <w:p w14:paraId="2AA0A5BF" w14:textId="77777777" w:rsidR="000A3DFE" w:rsidRPr="00A74D23" w:rsidRDefault="000A3DFE" w:rsidP="009D6EE5">
            <w:pPr>
              <w:spacing w:line="22" w:lineRule="atLeast"/>
              <w:jc w:val="both"/>
              <w:rPr>
                <w:rFonts w:asciiTheme="minorHAnsi" w:hAnsiTheme="minorHAnsi" w:cs="Open Sans"/>
                <w:sz w:val="20"/>
                <w:szCs w:val="20"/>
                <w:lang w:val="fr-FR" w:eastAsia="fr-FR"/>
              </w:rPr>
            </w:pPr>
          </w:p>
        </w:tc>
      </w:tr>
      <w:tr w:rsidR="00CE348F" w:rsidRPr="00A605BB" w14:paraId="3919CD81" w14:textId="77777777" w:rsidTr="008D3377">
        <w:trPr>
          <w:trHeight w:val="430"/>
        </w:trPr>
        <w:tc>
          <w:tcPr>
            <w:tcW w:w="5569" w:type="dxa"/>
            <w:gridSpan w:val="2"/>
            <w:tcBorders>
              <w:top w:val="nil"/>
              <w:left w:val="nil"/>
              <w:bottom w:val="nil"/>
              <w:right w:val="nil"/>
            </w:tcBorders>
            <w:noWrap/>
            <w:vAlign w:val="bottom"/>
            <w:hideMark/>
          </w:tcPr>
          <w:p w14:paraId="4929BD21" w14:textId="77777777" w:rsidR="00CE348F" w:rsidRPr="00A74D23" w:rsidRDefault="00CE348F" w:rsidP="00CE348F">
            <w:pPr>
              <w:spacing w:line="22" w:lineRule="atLeast"/>
              <w:jc w:val="both"/>
              <w:rPr>
                <w:rFonts w:asciiTheme="minorHAnsi" w:hAnsiTheme="minorHAnsi" w:cs="Open Sans"/>
                <w:sz w:val="20"/>
                <w:szCs w:val="20"/>
                <w:lang w:val="fr-FR" w:eastAsia="fr-FR"/>
              </w:rPr>
            </w:pPr>
          </w:p>
        </w:tc>
        <w:tc>
          <w:tcPr>
            <w:tcW w:w="1532" w:type="dxa"/>
            <w:tcBorders>
              <w:top w:val="nil"/>
              <w:left w:val="nil"/>
              <w:bottom w:val="nil"/>
              <w:right w:val="nil"/>
            </w:tcBorders>
            <w:vAlign w:val="center"/>
            <w:hideMark/>
          </w:tcPr>
          <w:p w14:paraId="61496E3B" w14:textId="77777777" w:rsidR="00CE348F" w:rsidRPr="00A74D23" w:rsidRDefault="00CE348F" w:rsidP="00CE348F">
            <w:pPr>
              <w:spacing w:line="22" w:lineRule="atLeast"/>
              <w:jc w:val="both"/>
              <w:rPr>
                <w:rFonts w:asciiTheme="minorHAnsi" w:hAnsiTheme="minorHAnsi" w:cs="Open Sans"/>
                <w:sz w:val="20"/>
                <w:szCs w:val="20"/>
                <w:lang w:val="fr-FR" w:eastAsia="fr-FR"/>
              </w:rPr>
            </w:pPr>
          </w:p>
        </w:tc>
        <w:tc>
          <w:tcPr>
            <w:tcW w:w="1809" w:type="dxa"/>
            <w:tcBorders>
              <w:top w:val="single" w:sz="4" w:space="0" w:color="auto"/>
              <w:left w:val="single" w:sz="4" w:space="0" w:color="auto"/>
              <w:bottom w:val="single" w:sz="4" w:space="0" w:color="auto"/>
              <w:right w:val="single" w:sz="4" w:space="0" w:color="auto"/>
            </w:tcBorders>
            <w:vAlign w:val="center"/>
            <w:hideMark/>
          </w:tcPr>
          <w:p w14:paraId="5916C611" w14:textId="77777777" w:rsidR="00CE348F" w:rsidRPr="00A74D23" w:rsidRDefault="00CE348F" w:rsidP="00CE348F">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Incidence [année n]</w:t>
            </w:r>
          </w:p>
        </w:tc>
        <w:tc>
          <w:tcPr>
            <w:tcW w:w="1810" w:type="dxa"/>
            <w:tcBorders>
              <w:top w:val="single" w:sz="4" w:space="0" w:color="auto"/>
              <w:left w:val="nil"/>
              <w:bottom w:val="single" w:sz="4" w:space="0" w:color="auto"/>
              <w:right w:val="single" w:sz="4" w:space="0" w:color="auto"/>
            </w:tcBorders>
            <w:vAlign w:val="center"/>
            <w:hideMark/>
          </w:tcPr>
          <w:p w14:paraId="386291E6" w14:textId="76EEAD77" w:rsidR="00CE348F" w:rsidRPr="00A74D23" w:rsidRDefault="00CE348F" w:rsidP="00CE348F">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Incidence [année n-1]</w:t>
            </w:r>
          </w:p>
        </w:tc>
        <w:tc>
          <w:tcPr>
            <w:tcW w:w="4177" w:type="dxa"/>
            <w:tcBorders>
              <w:top w:val="single" w:sz="4" w:space="0" w:color="auto"/>
              <w:left w:val="nil"/>
              <w:bottom w:val="single" w:sz="4" w:space="0" w:color="auto"/>
              <w:right w:val="single" w:sz="4" w:space="0" w:color="auto"/>
            </w:tcBorders>
            <w:vAlign w:val="center"/>
            <w:hideMark/>
          </w:tcPr>
          <w:p w14:paraId="3883F34E" w14:textId="77777777" w:rsidR="00CE348F" w:rsidRPr="00A74D23" w:rsidRDefault="00CE348F" w:rsidP="00CE348F">
            <w:pPr>
              <w:spacing w:line="22" w:lineRule="atLeast"/>
              <w:jc w:val="both"/>
              <w:rPr>
                <w:rFonts w:asciiTheme="minorHAnsi" w:hAnsiTheme="minorHAnsi" w:cs="Open Sans"/>
                <w:b/>
                <w:bCs/>
                <w:color w:val="000000"/>
                <w:sz w:val="18"/>
                <w:szCs w:val="18"/>
                <w:lang w:val="fr-FR" w:eastAsia="fr-FR"/>
              </w:rPr>
            </w:pPr>
            <w:r w:rsidRPr="00A74D23">
              <w:rPr>
                <w:rFonts w:asciiTheme="minorHAnsi" w:hAnsiTheme="minorHAnsi" w:cs="Open Sans"/>
                <w:b/>
                <w:bCs/>
                <w:color w:val="000000"/>
                <w:sz w:val="18"/>
                <w:szCs w:val="18"/>
                <w:lang w:val="fr-FR" w:eastAsia="fr-FR"/>
              </w:rPr>
              <w:t xml:space="preserve">Mesures prises, mesures prévues et cibles définies pour la période de référence suivante </w:t>
            </w:r>
          </w:p>
        </w:tc>
      </w:tr>
      <w:tr w:rsidR="000A3DFE" w:rsidRPr="00A74D23" w14:paraId="6FD2EC27" w14:textId="77777777" w:rsidTr="005C27A0">
        <w:trPr>
          <w:trHeight w:val="268"/>
        </w:trPr>
        <w:tc>
          <w:tcPr>
            <w:tcW w:w="5569" w:type="dxa"/>
            <w:gridSpan w:val="2"/>
            <w:tcBorders>
              <w:top w:val="nil"/>
              <w:left w:val="nil"/>
              <w:bottom w:val="nil"/>
              <w:right w:val="nil"/>
            </w:tcBorders>
            <w:noWrap/>
            <w:vAlign w:val="center"/>
            <w:hideMark/>
          </w:tcPr>
          <w:p w14:paraId="2DEDA35C" w14:textId="77777777" w:rsidR="000A3DFE" w:rsidRPr="00A74D23" w:rsidRDefault="000A3DFE" w:rsidP="009D6EE5">
            <w:pPr>
              <w:spacing w:line="22" w:lineRule="atLeast"/>
              <w:jc w:val="both"/>
              <w:rPr>
                <w:rFonts w:asciiTheme="minorHAnsi" w:hAnsiTheme="minorHAnsi" w:cs="Open Sans"/>
                <w:b/>
                <w:bCs/>
                <w:color w:val="000000"/>
                <w:sz w:val="18"/>
                <w:szCs w:val="18"/>
                <w:lang w:val="fr-FR" w:eastAsia="fr-FR"/>
              </w:rPr>
            </w:pPr>
          </w:p>
        </w:tc>
        <w:tc>
          <w:tcPr>
            <w:tcW w:w="1532" w:type="dxa"/>
            <w:tcBorders>
              <w:top w:val="nil"/>
              <w:left w:val="nil"/>
              <w:bottom w:val="nil"/>
              <w:right w:val="nil"/>
            </w:tcBorders>
            <w:vAlign w:val="center"/>
            <w:hideMark/>
          </w:tcPr>
          <w:p w14:paraId="10A0BD91" w14:textId="77777777" w:rsidR="000A3DFE" w:rsidRPr="00A74D23" w:rsidRDefault="000A3DFE" w:rsidP="009D6EE5">
            <w:pPr>
              <w:spacing w:line="22" w:lineRule="atLeast"/>
              <w:jc w:val="both"/>
              <w:rPr>
                <w:rFonts w:asciiTheme="minorHAnsi" w:hAnsiTheme="minorHAnsi" w:cs="Open Sans"/>
                <w:sz w:val="20"/>
                <w:szCs w:val="20"/>
                <w:lang w:val="fr-FR" w:eastAsia="fr-FR"/>
              </w:rPr>
            </w:pPr>
          </w:p>
        </w:tc>
        <w:tc>
          <w:tcPr>
            <w:tcW w:w="1809" w:type="dxa"/>
            <w:tcBorders>
              <w:top w:val="nil"/>
              <w:left w:val="single" w:sz="4" w:space="0" w:color="auto"/>
              <w:bottom w:val="single" w:sz="4" w:space="0" w:color="auto"/>
              <w:right w:val="nil"/>
            </w:tcBorders>
            <w:shd w:val="clear" w:color="auto" w:fill="D57B1D" w:themeFill="accent3"/>
            <w:vAlign w:val="center"/>
            <w:hideMark/>
          </w:tcPr>
          <w:p w14:paraId="01951F8C" w14:textId="77777777" w:rsidR="000A3DFE" w:rsidRPr="00A74D23" w:rsidRDefault="000A3DFE" w:rsidP="009D6EE5">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0010</w:t>
            </w:r>
          </w:p>
        </w:tc>
        <w:tc>
          <w:tcPr>
            <w:tcW w:w="1810" w:type="dxa"/>
            <w:tcBorders>
              <w:top w:val="nil"/>
              <w:left w:val="nil"/>
              <w:bottom w:val="single" w:sz="4" w:space="0" w:color="auto"/>
              <w:right w:val="single" w:sz="4" w:space="0" w:color="auto"/>
            </w:tcBorders>
            <w:shd w:val="clear" w:color="auto" w:fill="D57B1D" w:themeFill="accent3"/>
            <w:vAlign w:val="center"/>
            <w:hideMark/>
          </w:tcPr>
          <w:p w14:paraId="6DE2D93F" w14:textId="77777777" w:rsidR="000A3DFE" w:rsidRPr="00A74D23" w:rsidRDefault="000A3DFE" w:rsidP="009D6EE5">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0030</w:t>
            </w:r>
          </w:p>
        </w:tc>
        <w:tc>
          <w:tcPr>
            <w:tcW w:w="4177" w:type="dxa"/>
            <w:tcBorders>
              <w:top w:val="nil"/>
              <w:left w:val="nil"/>
              <w:bottom w:val="single" w:sz="4" w:space="0" w:color="auto"/>
              <w:right w:val="single" w:sz="4" w:space="0" w:color="auto"/>
            </w:tcBorders>
            <w:shd w:val="clear" w:color="auto" w:fill="D57B1D" w:themeFill="accent3"/>
            <w:vAlign w:val="center"/>
            <w:hideMark/>
          </w:tcPr>
          <w:p w14:paraId="32B54989" w14:textId="77777777" w:rsidR="000A3DFE" w:rsidRPr="00A74D23" w:rsidRDefault="000A3DFE" w:rsidP="009D6EE5">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0040</w:t>
            </w:r>
          </w:p>
        </w:tc>
      </w:tr>
      <w:tr w:rsidR="000A3DFE" w:rsidRPr="00A74D23" w14:paraId="17EF3884" w14:textId="77777777" w:rsidTr="008D3377">
        <w:trPr>
          <w:trHeight w:val="268"/>
        </w:trPr>
        <w:tc>
          <w:tcPr>
            <w:tcW w:w="5569" w:type="dxa"/>
            <w:gridSpan w:val="2"/>
            <w:tcBorders>
              <w:top w:val="single" w:sz="4" w:space="0" w:color="auto"/>
              <w:left w:val="single" w:sz="4" w:space="0" w:color="auto"/>
              <w:bottom w:val="single" w:sz="4" w:space="0" w:color="auto"/>
              <w:right w:val="single" w:sz="4" w:space="0" w:color="auto"/>
            </w:tcBorders>
            <w:vAlign w:val="center"/>
            <w:hideMark/>
          </w:tcPr>
          <w:p w14:paraId="09BA76C7" w14:textId="77777777" w:rsidR="000A3DFE" w:rsidRPr="00A74D23" w:rsidRDefault="000A3DFE" w:rsidP="009D6EE5">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 xml:space="preserve">Environnement </w:t>
            </w:r>
          </w:p>
        </w:tc>
        <w:tc>
          <w:tcPr>
            <w:tcW w:w="1532" w:type="dxa"/>
            <w:tcBorders>
              <w:top w:val="single" w:sz="4" w:space="0" w:color="auto"/>
              <w:left w:val="nil"/>
              <w:bottom w:val="single" w:sz="4" w:space="0" w:color="auto"/>
              <w:right w:val="single" w:sz="4" w:space="0" w:color="auto"/>
            </w:tcBorders>
            <w:shd w:val="clear" w:color="000000" w:fill="BFBFBF"/>
            <w:vAlign w:val="center"/>
            <w:hideMark/>
          </w:tcPr>
          <w:p w14:paraId="516B6544" w14:textId="77777777" w:rsidR="000A3DFE" w:rsidRPr="00A74D23" w:rsidRDefault="000A3DFE" w:rsidP="009D6EE5">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2018CBA7" w14:textId="77777777" w:rsidR="000A3DFE" w:rsidRPr="00A74D23" w:rsidRDefault="000A3DFE" w:rsidP="009D6EE5">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0C8D5A82" w14:textId="77777777" w:rsidR="000A3DFE" w:rsidRPr="00A74D23" w:rsidRDefault="000A3DFE" w:rsidP="009D6EE5">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25D5D8E9" w14:textId="77777777" w:rsidR="000A3DFE" w:rsidRPr="00A74D23" w:rsidRDefault="000A3DFE" w:rsidP="009D6EE5">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 </w:t>
            </w:r>
          </w:p>
        </w:tc>
      </w:tr>
      <w:tr w:rsidR="000A3DFE" w:rsidRPr="00A74D23" w14:paraId="374DAA99" w14:textId="77777777" w:rsidTr="008D3377">
        <w:trPr>
          <w:trHeight w:val="268"/>
        </w:trPr>
        <w:tc>
          <w:tcPr>
            <w:tcW w:w="5569" w:type="dxa"/>
            <w:gridSpan w:val="2"/>
            <w:tcBorders>
              <w:top w:val="nil"/>
              <w:left w:val="single" w:sz="4" w:space="0" w:color="auto"/>
              <w:bottom w:val="single" w:sz="4" w:space="0" w:color="auto"/>
              <w:right w:val="single" w:sz="4" w:space="0" w:color="auto"/>
            </w:tcBorders>
            <w:vAlign w:val="center"/>
            <w:hideMark/>
          </w:tcPr>
          <w:p w14:paraId="4F57D993" w14:textId="77777777" w:rsidR="000A3DFE" w:rsidRPr="00A74D23" w:rsidRDefault="000A3DFE" w:rsidP="009D6EE5">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 xml:space="preserve">15. Intensité de GES </w:t>
            </w:r>
          </w:p>
        </w:tc>
        <w:tc>
          <w:tcPr>
            <w:tcW w:w="1532" w:type="dxa"/>
            <w:tcBorders>
              <w:top w:val="nil"/>
              <w:left w:val="nil"/>
              <w:bottom w:val="single" w:sz="4" w:space="0" w:color="auto"/>
              <w:right w:val="single" w:sz="4" w:space="0" w:color="auto"/>
            </w:tcBorders>
            <w:shd w:val="clear" w:color="000000" w:fill="BFBFBF"/>
            <w:vAlign w:val="center"/>
            <w:hideMark/>
          </w:tcPr>
          <w:p w14:paraId="7842AA06" w14:textId="77777777" w:rsidR="000A3DFE" w:rsidRPr="00A74D23" w:rsidRDefault="000A3DFE" w:rsidP="009D6EE5">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3081AF47" w14:textId="77777777" w:rsidR="000A3DFE" w:rsidRPr="00A74D23" w:rsidRDefault="000A3DFE" w:rsidP="009D6EE5">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516109A1" w14:textId="77777777" w:rsidR="000A3DFE" w:rsidRPr="00A74D23" w:rsidRDefault="000A3DFE" w:rsidP="009D6EE5">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12BB5236" w14:textId="77777777" w:rsidR="000A3DFE" w:rsidRPr="00A74D23" w:rsidRDefault="000A3DFE" w:rsidP="009D6EE5">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 </w:t>
            </w:r>
          </w:p>
        </w:tc>
      </w:tr>
      <w:tr w:rsidR="00843902" w:rsidRPr="00A605BB" w14:paraId="5EE2AD4E" w14:textId="77777777" w:rsidTr="005C27A0">
        <w:trPr>
          <w:trHeight w:val="430"/>
        </w:trPr>
        <w:tc>
          <w:tcPr>
            <w:tcW w:w="5569" w:type="dxa"/>
            <w:gridSpan w:val="2"/>
            <w:tcBorders>
              <w:top w:val="nil"/>
              <w:left w:val="single" w:sz="4" w:space="0" w:color="auto"/>
              <w:bottom w:val="single" w:sz="4" w:space="0" w:color="auto"/>
              <w:right w:val="single" w:sz="4" w:space="0" w:color="auto"/>
            </w:tcBorders>
            <w:vAlign w:val="center"/>
            <w:hideMark/>
          </w:tcPr>
          <w:p w14:paraId="39968646"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Intensité de GES des pays d'investissement en tonnes d'équivalents CO2 par millions d'euros de produits intérieur brut</w:t>
            </w:r>
          </w:p>
        </w:tc>
        <w:tc>
          <w:tcPr>
            <w:tcW w:w="1532" w:type="dxa"/>
            <w:tcBorders>
              <w:top w:val="nil"/>
              <w:left w:val="nil"/>
              <w:bottom w:val="single" w:sz="4" w:space="0" w:color="auto"/>
              <w:right w:val="single" w:sz="4" w:space="0" w:color="auto"/>
            </w:tcBorders>
            <w:shd w:val="clear" w:color="auto" w:fill="D57B1D" w:themeFill="accent3"/>
            <w:vAlign w:val="center"/>
            <w:hideMark/>
          </w:tcPr>
          <w:p w14:paraId="5EAA0B56"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0170</w:t>
            </w:r>
          </w:p>
        </w:tc>
        <w:tc>
          <w:tcPr>
            <w:tcW w:w="1809" w:type="dxa"/>
            <w:tcBorders>
              <w:top w:val="nil"/>
              <w:left w:val="nil"/>
              <w:bottom w:val="single" w:sz="4" w:space="0" w:color="auto"/>
              <w:right w:val="single" w:sz="4" w:space="0" w:color="auto"/>
            </w:tcBorders>
            <w:vAlign w:val="center"/>
            <w:hideMark/>
          </w:tcPr>
          <w:p w14:paraId="3C81CF43" w14:textId="2C35B8EA"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15</w:t>
            </w:r>
            <w:r>
              <w:rPr>
                <w:rFonts w:asciiTheme="minorHAnsi" w:hAnsiTheme="minorHAnsi" w:cs="Open Sans"/>
                <w:color w:val="000000"/>
                <w:sz w:val="18"/>
                <w:szCs w:val="18"/>
                <w:lang w:eastAsia="fr-FR"/>
              </w:rPr>
              <w:t>2</w:t>
            </w:r>
          </w:p>
        </w:tc>
        <w:tc>
          <w:tcPr>
            <w:tcW w:w="1810" w:type="dxa"/>
            <w:tcBorders>
              <w:top w:val="nil"/>
              <w:left w:val="nil"/>
              <w:bottom w:val="single" w:sz="4" w:space="0" w:color="auto"/>
              <w:right w:val="single" w:sz="4" w:space="0" w:color="auto"/>
            </w:tcBorders>
            <w:vAlign w:val="center"/>
            <w:hideMark/>
          </w:tcPr>
          <w:p w14:paraId="22A19E60" w14:textId="772FDDC1" w:rsidR="00843902" w:rsidRPr="00A74D23" w:rsidRDefault="00843902" w:rsidP="00843902">
            <w:pPr>
              <w:spacing w:line="22" w:lineRule="atLeast"/>
              <w:jc w:val="both"/>
              <w:rPr>
                <w:rFonts w:asciiTheme="minorHAnsi" w:hAnsiTheme="minorHAnsi" w:cs="Open Sans"/>
                <w:color w:val="000000"/>
                <w:sz w:val="18"/>
                <w:szCs w:val="18"/>
                <w:lang w:eastAsia="fr-FR"/>
              </w:rPr>
            </w:pPr>
            <w:r>
              <w:rPr>
                <w:rFonts w:ascii="Calibri" w:hAnsi="Calibri" w:cs="Calibri"/>
                <w:color w:val="000000"/>
                <w:sz w:val="18"/>
                <w:szCs w:val="18"/>
                <w:lang w:eastAsia="fr-FR"/>
              </w:rPr>
              <w:t>189</w:t>
            </w:r>
          </w:p>
        </w:tc>
        <w:tc>
          <w:tcPr>
            <w:tcW w:w="4177" w:type="dxa"/>
            <w:tcBorders>
              <w:top w:val="nil"/>
              <w:left w:val="nil"/>
              <w:bottom w:val="single" w:sz="4" w:space="0" w:color="auto"/>
              <w:right w:val="single" w:sz="4" w:space="0" w:color="auto"/>
            </w:tcBorders>
            <w:vAlign w:val="center"/>
            <w:hideMark/>
          </w:tcPr>
          <w:p w14:paraId="2D4583EC" w14:textId="67BD73D1"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Nous monitorons l'empreinte carbone des obligations souveraines en portefeuille, et avons calculé le score ASCOR cette année.</w:t>
            </w:r>
          </w:p>
        </w:tc>
      </w:tr>
      <w:tr w:rsidR="00843902" w:rsidRPr="00A74D23" w14:paraId="459A92AE" w14:textId="77777777" w:rsidTr="008D3377">
        <w:trPr>
          <w:trHeight w:val="268"/>
        </w:trPr>
        <w:tc>
          <w:tcPr>
            <w:tcW w:w="5569" w:type="dxa"/>
            <w:gridSpan w:val="2"/>
            <w:tcBorders>
              <w:top w:val="nil"/>
              <w:left w:val="single" w:sz="4" w:space="0" w:color="auto"/>
              <w:bottom w:val="single" w:sz="4" w:space="0" w:color="auto"/>
              <w:right w:val="single" w:sz="4" w:space="0" w:color="auto"/>
            </w:tcBorders>
            <w:vAlign w:val="center"/>
            <w:hideMark/>
          </w:tcPr>
          <w:p w14:paraId="391F687F" w14:textId="77777777"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Social</w:t>
            </w:r>
          </w:p>
        </w:tc>
        <w:tc>
          <w:tcPr>
            <w:tcW w:w="1532" w:type="dxa"/>
            <w:tcBorders>
              <w:top w:val="nil"/>
              <w:left w:val="nil"/>
              <w:bottom w:val="single" w:sz="4" w:space="0" w:color="auto"/>
              <w:right w:val="single" w:sz="4" w:space="0" w:color="auto"/>
            </w:tcBorders>
            <w:shd w:val="clear" w:color="000000" w:fill="BFBFBF"/>
            <w:vAlign w:val="center"/>
            <w:hideMark/>
          </w:tcPr>
          <w:p w14:paraId="04F89DD7" w14:textId="77777777" w:rsidR="00843902" w:rsidRPr="00A74D23" w:rsidRDefault="00843902" w:rsidP="00843902">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50CC0271" w14:textId="77777777"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6E971CA2" w14:textId="7D395747" w:rsidR="00843902" w:rsidRPr="00A74D23" w:rsidRDefault="00843902" w:rsidP="00843902">
            <w:pPr>
              <w:spacing w:line="22" w:lineRule="atLeast"/>
              <w:jc w:val="both"/>
              <w:rPr>
                <w:rFonts w:asciiTheme="minorHAnsi" w:hAnsiTheme="minorHAnsi" w:cs="Open Sans"/>
                <w:color w:val="000000"/>
                <w:sz w:val="18"/>
                <w:szCs w:val="18"/>
                <w:lang w:eastAsia="fr-FR"/>
              </w:rPr>
            </w:pPr>
            <w:r w:rsidRPr="000A24A1">
              <w:rPr>
                <w:rFonts w:ascii="Calibri" w:hAnsi="Calibri" w:cs="Calibri"/>
                <w:color w:val="000000"/>
                <w:sz w:val="18"/>
                <w:szCs w:val="18"/>
                <w:lang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36326006" w14:textId="77777777"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 </w:t>
            </w:r>
          </w:p>
        </w:tc>
      </w:tr>
      <w:tr w:rsidR="00843902" w:rsidRPr="00A605BB" w14:paraId="6C333CE8" w14:textId="77777777" w:rsidTr="008D3377">
        <w:trPr>
          <w:trHeight w:val="268"/>
        </w:trPr>
        <w:tc>
          <w:tcPr>
            <w:tcW w:w="5569" w:type="dxa"/>
            <w:gridSpan w:val="2"/>
            <w:tcBorders>
              <w:top w:val="nil"/>
              <w:left w:val="single" w:sz="4" w:space="0" w:color="auto"/>
              <w:bottom w:val="single" w:sz="4" w:space="0" w:color="auto"/>
              <w:right w:val="single" w:sz="4" w:space="0" w:color="auto"/>
            </w:tcBorders>
            <w:vAlign w:val="center"/>
            <w:hideMark/>
          </w:tcPr>
          <w:p w14:paraId="55FA0882"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16. Pays d'investissement connaissant des violations de normes sociales </w:t>
            </w:r>
          </w:p>
        </w:tc>
        <w:tc>
          <w:tcPr>
            <w:tcW w:w="1532" w:type="dxa"/>
            <w:tcBorders>
              <w:top w:val="nil"/>
              <w:left w:val="nil"/>
              <w:bottom w:val="single" w:sz="4" w:space="0" w:color="auto"/>
              <w:right w:val="single" w:sz="4" w:space="0" w:color="auto"/>
            </w:tcBorders>
            <w:shd w:val="clear" w:color="000000" w:fill="BFBFBF"/>
            <w:vAlign w:val="center"/>
            <w:hideMark/>
          </w:tcPr>
          <w:p w14:paraId="74254142" w14:textId="77777777" w:rsidR="00843902" w:rsidRPr="00A74D23" w:rsidRDefault="00843902" w:rsidP="00843902">
            <w:pPr>
              <w:spacing w:line="22" w:lineRule="atLeast"/>
              <w:jc w:val="both"/>
              <w:rPr>
                <w:rFonts w:asciiTheme="minorHAnsi" w:hAnsiTheme="minorHAnsi" w:cs="Open Sans"/>
                <w:b/>
                <w:bCs/>
                <w:color w:val="000000"/>
                <w:sz w:val="18"/>
                <w:szCs w:val="18"/>
                <w:lang w:val="fr-FR" w:eastAsia="fr-FR"/>
              </w:rPr>
            </w:pPr>
            <w:r w:rsidRPr="00A74D23">
              <w:rPr>
                <w:rFonts w:asciiTheme="minorHAnsi" w:hAnsiTheme="minorHAnsi" w:cs="Open Sans"/>
                <w:b/>
                <w:bCs/>
                <w:color w:val="000000"/>
                <w:sz w:val="18"/>
                <w:szCs w:val="18"/>
                <w:lang w:val="fr-FR"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54457F9B"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0C570008" w14:textId="0355DB3F"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605BB">
              <w:rPr>
                <w:rFonts w:ascii="Calibri" w:hAnsi="Calibri" w:cs="Calibri"/>
                <w:color w:val="000000"/>
                <w:sz w:val="18"/>
                <w:szCs w:val="18"/>
                <w:lang w:val="fr-FR"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00A8F107"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w:t>
            </w:r>
          </w:p>
        </w:tc>
      </w:tr>
      <w:tr w:rsidR="00843902" w:rsidRPr="00A605BB" w14:paraId="1870BBBE" w14:textId="77777777" w:rsidTr="005C27A0">
        <w:trPr>
          <w:trHeight w:val="645"/>
        </w:trPr>
        <w:tc>
          <w:tcPr>
            <w:tcW w:w="5569" w:type="dxa"/>
            <w:gridSpan w:val="2"/>
            <w:tcBorders>
              <w:top w:val="nil"/>
              <w:left w:val="single" w:sz="4" w:space="0" w:color="auto"/>
              <w:bottom w:val="single" w:sz="4" w:space="0" w:color="auto"/>
              <w:right w:val="single" w:sz="4" w:space="0" w:color="auto"/>
            </w:tcBorders>
            <w:vAlign w:val="center"/>
            <w:hideMark/>
          </w:tcPr>
          <w:p w14:paraId="04B4864C"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Nombre de pays d'investissement connaissant des violations de normes sociales au sens des traités et conventions internationaux, des principes des Nations Unies ou, le cas échéant, du droit national </w:t>
            </w:r>
          </w:p>
        </w:tc>
        <w:tc>
          <w:tcPr>
            <w:tcW w:w="1532" w:type="dxa"/>
            <w:tcBorders>
              <w:top w:val="nil"/>
              <w:left w:val="nil"/>
              <w:bottom w:val="single" w:sz="4" w:space="0" w:color="auto"/>
              <w:right w:val="single" w:sz="4" w:space="0" w:color="auto"/>
            </w:tcBorders>
            <w:shd w:val="clear" w:color="auto" w:fill="D57B1D" w:themeFill="accent3"/>
            <w:vAlign w:val="center"/>
            <w:hideMark/>
          </w:tcPr>
          <w:p w14:paraId="1C90D3EC"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0180</w:t>
            </w:r>
          </w:p>
        </w:tc>
        <w:tc>
          <w:tcPr>
            <w:tcW w:w="1809" w:type="dxa"/>
            <w:tcBorders>
              <w:top w:val="nil"/>
              <w:left w:val="nil"/>
              <w:bottom w:val="single" w:sz="4" w:space="0" w:color="auto"/>
              <w:right w:val="single" w:sz="4" w:space="0" w:color="auto"/>
            </w:tcBorders>
            <w:vAlign w:val="center"/>
            <w:hideMark/>
          </w:tcPr>
          <w:p w14:paraId="7B1ED50E" w14:textId="77777777"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0</w:t>
            </w:r>
          </w:p>
        </w:tc>
        <w:tc>
          <w:tcPr>
            <w:tcW w:w="1810" w:type="dxa"/>
            <w:tcBorders>
              <w:top w:val="nil"/>
              <w:left w:val="nil"/>
              <w:bottom w:val="single" w:sz="4" w:space="0" w:color="auto"/>
              <w:right w:val="single" w:sz="4" w:space="0" w:color="auto"/>
            </w:tcBorders>
            <w:vAlign w:val="center"/>
            <w:hideMark/>
          </w:tcPr>
          <w:p w14:paraId="05224D42" w14:textId="221722A4" w:rsidR="00843902" w:rsidRPr="00A74D23" w:rsidRDefault="00843902" w:rsidP="00843902">
            <w:pPr>
              <w:spacing w:line="22" w:lineRule="atLeast"/>
              <w:jc w:val="both"/>
              <w:rPr>
                <w:rFonts w:asciiTheme="minorHAnsi" w:hAnsiTheme="minorHAnsi" w:cs="Open Sans"/>
                <w:color w:val="000000"/>
                <w:sz w:val="18"/>
                <w:szCs w:val="18"/>
                <w:lang w:eastAsia="fr-FR"/>
              </w:rPr>
            </w:pPr>
            <w:r>
              <w:rPr>
                <w:rFonts w:ascii="Calibri" w:hAnsi="Calibri" w:cs="Calibri"/>
                <w:color w:val="000000"/>
                <w:sz w:val="18"/>
                <w:szCs w:val="18"/>
                <w:lang w:eastAsia="fr-FR"/>
              </w:rPr>
              <w:t>0</w:t>
            </w:r>
          </w:p>
        </w:tc>
        <w:tc>
          <w:tcPr>
            <w:tcW w:w="4177" w:type="dxa"/>
            <w:tcBorders>
              <w:top w:val="nil"/>
              <w:left w:val="nil"/>
              <w:bottom w:val="single" w:sz="4" w:space="0" w:color="auto"/>
              <w:right w:val="single" w:sz="4" w:space="0" w:color="auto"/>
            </w:tcBorders>
            <w:vAlign w:val="center"/>
            <w:hideMark/>
          </w:tcPr>
          <w:p w14:paraId="0FFA8298" w14:textId="689C542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Nous évitons les investissements dans ces pays</w:t>
            </w:r>
          </w:p>
        </w:tc>
      </w:tr>
      <w:tr w:rsidR="00843902" w:rsidRPr="00A605BB" w14:paraId="0DB36CC8" w14:textId="77777777" w:rsidTr="005C27A0">
        <w:trPr>
          <w:trHeight w:val="860"/>
        </w:trPr>
        <w:tc>
          <w:tcPr>
            <w:tcW w:w="5569" w:type="dxa"/>
            <w:gridSpan w:val="2"/>
            <w:tcBorders>
              <w:top w:val="nil"/>
              <w:left w:val="single" w:sz="4" w:space="0" w:color="auto"/>
              <w:bottom w:val="single" w:sz="4" w:space="0" w:color="auto"/>
              <w:right w:val="single" w:sz="4" w:space="0" w:color="auto"/>
            </w:tcBorders>
            <w:vAlign w:val="center"/>
            <w:hideMark/>
          </w:tcPr>
          <w:p w14:paraId="37DF162E"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Proportion du nombre total de pays bénéficiaires d'investissements connaissant des violations de normes sociales au sens des traités et conventions internationaux, des principes des Nations Unies ou, le cas échéant, du droit national </w:t>
            </w:r>
          </w:p>
        </w:tc>
        <w:tc>
          <w:tcPr>
            <w:tcW w:w="1532" w:type="dxa"/>
            <w:tcBorders>
              <w:top w:val="nil"/>
              <w:left w:val="nil"/>
              <w:bottom w:val="single" w:sz="4" w:space="0" w:color="auto"/>
              <w:right w:val="single" w:sz="4" w:space="0" w:color="auto"/>
            </w:tcBorders>
            <w:shd w:val="clear" w:color="auto" w:fill="D57B1D" w:themeFill="accent3"/>
            <w:vAlign w:val="center"/>
            <w:hideMark/>
          </w:tcPr>
          <w:p w14:paraId="0462B85C"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0190</w:t>
            </w:r>
          </w:p>
        </w:tc>
        <w:tc>
          <w:tcPr>
            <w:tcW w:w="1809" w:type="dxa"/>
            <w:tcBorders>
              <w:top w:val="nil"/>
              <w:left w:val="nil"/>
              <w:bottom w:val="single" w:sz="4" w:space="0" w:color="auto"/>
              <w:right w:val="single" w:sz="4" w:space="0" w:color="auto"/>
            </w:tcBorders>
            <w:vAlign w:val="center"/>
            <w:hideMark/>
          </w:tcPr>
          <w:p w14:paraId="5A474623" w14:textId="77945DB6"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0%</w:t>
            </w:r>
          </w:p>
        </w:tc>
        <w:tc>
          <w:tcPr>
            <w:tcW w:w="1810" w:type="dxa"/>
            <w:tcBorders>
              <w:top w:val="nil"/>
              <w:left w:val="nil"/>
              <w:bottom w:val="single" w:sz="4" w:space="0" w:color="auto"/>
              <w:right w:val="single" w:sz="4" w:space="0" w:color="auto"/>
            </w:tcBorders>
            <w:vAlign w:val="center"/>
            <w:hideMark/>
          </w:tcPr>
          <w:p w14:paraId="5AEE86FF" w14:textId="374A7D8B" w:rsidR="00843902" w:rsidRPr="00A74D23" w:rsidRDefault="00843902" w:rsidP="00843902">
            <w:pPr>
              <w:spacing w:line="22" w:lineRule="atLeast"/>
              <w:jc w:val="both"/>
              <w:rPr>
                <w:rFonts w:asciiTheme="minorHAnsi" w:hAnsiTheme="minorHAnsi" w:cs="Open Sans"/>
                <w:color w:val="000000"/>
                <w:sz w:val="18"/>
                <w:szCs w:val="18"/>
                <w:lang w:eastAsia="fr-FR"/>
              </w:rPr>
            </w:pPr>
            <w:r w:rsidRPr="000A24A1">
              <w:rPr>
                <w:rFonts w:ascii="Calibri" w:hAnsi="Calibri" w:cs="Calibri"/>
                <w:color w:val="000000"/>
                <w:sz w:val="18"/>
                <w:szCs w:val="18"/>
                <w:lang w:eastAsia="fr-FR"/>
              </w:rPr>
              <w:t>0</w:t>
            </w:r>
            <w:r>
              <w:rPr>
                <w:rFonts w:ascii="Calibri" w:hAnsi="Calibri" w:cs="Calibri"/>
                <w:color w:val="000000"/>
                <w:sz w:val="18"/>
                <w:szCs w:val="18"/>
                <w:lang w:eastAsia="fr-FR"/>
              </w:rPr>
              <w:t>%</w:t>
            </w:r>
          </w:p>
        </w:tc>
        <w:tc>
          <w:tcPr>
            <w:tcW w:w="4177" w:type="dxa"/>
            <w:tcBorders>
              <w:top w:val="nil"/>
              <w:left w:val="nil"/>
              <w:bottom w:val="single" w:sz="4" w:space="0" w:color="auto"/>
              <w:right w:val="single" w:sz="4" w:space="0" w:color="auto"/>
            </w:tcBorders>
            <w:vAlign w:val="center"/>
            <w:hideMark/>
          </w:tcPr>
          <w:p w14:paraId="0BBDDC27" w14:textId="3A5C914C"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Nous évitons les investissements dans ces pays</w:t>
            </w:r>
          </w:p>
        </w:tc>
      </w:tr>
      <w:tr w:rsidR="000A3DFE" w:rsidRPr="00A605BB" w14:paraId="17340E19" w14:textId="77777777" w:rsidTr="008D3377">
        <w:trPr>
          <w:trHeight w:val="268"/>
        </w:trPr>
        <w:tc>
          <w:tcPr>
            <w:tcW w:w="5569" w:type="dxa"/>
            <w:gridSpan w:val="2"/>
            <w:tcBorders>
              <w:top w:val="nil"/>
              <w:left w:val="nil"/>
              <w:bottom w:val="nil"/>
              <w:right w:val="nil"/>
            </w:tcBorders>
            <w:noWrap/>
            <w:vAlign w:val="bottom"/>
            <w:hideMark/>
          </w:tcPr>
          <w:p w14:paraId="3760F95E" w14:textId="77777777" w:rsidR="000A3DFE" w:rsidRPr="00A74D23" w:rsidRDefault="000A3DFE" w:rsidP="009D6EE5">
            <w:pPr>
              <w:spacing w:line="22" w:lineRule="atLeast"/>
              <w:jc w:val="both"/>
              <w:rPr>
                <w:rFonts w:asciiTheme="minorHAnsi" w:hAnsiTheme="minorHAnsi" w:cs="Open Sans"/>
                <w:color w:val="000000"/>
                <w:sz w:val="18"/>
                <w:szCs w:val="18"/>
                <w:lang w:val="fr-FR" w:eastAsia="fr-FR"/>
              </w:rPr>
            </w:pPr>
          </w:p>
        </w:tc>
        <w:tc>
          <w:tcPr>
            <w:tcW w:w="1532" w:type="dxa"/>
            <w:tcBorders>
              <w:top w:val="nil"/>
              <w:left w:val="nil"/>
              <w:bottom w:val="nil"/>
              <w:right w:val="nil"/>
            </w:tcBorders>
            <w:noWrap/>
            <w:vAlign w:val="bottom"/>
            <w:hideMark/>
          </w:tcPr>
          <w:p w14:paraId="1E4B5448" w14:textId="77777777" w:rsidR="000A3DFE" w:rsidRPr="00A74D23" w:rsidRDefault="000A3DFE" w:rsidP="009D6EE5">
            <w:pPr>
              <w:spacing w:line="22" w:lineRule="atLeast"/>
              <w:jc w:val="both"/>
              <w:rPr>
                <w:rFonts w:asciiTheme="minorHAnsi" w:hAnsiTheme="minorHAnsi" w:cs="Open Sans"/>
                <w:sz w:val="20"/>
                <w:szCs w:val="20"/>
                <w:lang w:val="fr-FR" w:eastAsia="fr-FR"/>
              </w:rPr>
            </w:pPr>
          </w:p>
        </w:tc>
        <w:tc>
          <w:tcPr>
            <w:tcW w:w="1809" w:type="dxa"/>
            <w:tcBorders>
              <w:top w:val="nil"/>
              <w:left w:val="nil"/>
              <w:bottom w:val="nil"/>
              <w:right w:val="nil"/>
            </w:tcBorders>
            <w:noWrap/>
            <w:vAlign w:val="bottom"/>
            <w:hideMark/>
          </w:tcPr>
          <w:p w14:paraId="4AED0C6C" w14:textId="77777777" w:rsidR="000A3DFE" w:rsidRPr="00A74D23" w:rsidRDefault="000A3DFE" w:rsidP="009D6EE5">
            <w:pPr>
              <w:spacing w:line="22" w:lineRule="atLeast"/>
              <w:jc w:val="both"/>
              <w:rPr>
                <w:rFonts w:asciiTheme="minorHAnsi" w:hAnsiTheme="minorHAnsi" w:cs="Open Sans"/>
                <w:sz w:val="20"/>
                <w:szCs w:val="20"/>
                <w:lang w:val="fr-FR" w:eastAsia="fr-FR"/>
              </w:rPr>
            </w:pPr>
          </w:p>
        </w:tc>
        <w:tc>
          <w:tcPr>
            <w:tcW w:w="1810" w:type="dxa"/>
            <w:tcBorders>
              <w:top w:val="nil"/>
              <w:left w:val="nil"/>
              <w:bottom w:val="nil"/>
              <w:right w:val="nil"/>
            </w:tcBorders>
            <w:noWrap/>
            <w:vAlign w:val="bottom"/>
            <w:hideMark/>
          </w:tcPr>
          <w:p w14:paraId="0D98FF54" w14:textId="77777777" w:rsidR="000A3DFE" w:rsidRPr="00A74D23" w:rsidRDefault="000A3DFE" w:rsidP="009D6EE5">
            <w:pPr>
              <w:spacing w:line="22" w:lineRule="atLeast"/>
              <w:jc w:val="both"/>
              <w:rPr>
                <w:rFonts w:asciiTheme="minorHAnsi" w:hAnsiTheme="minorHAnsi" w:cs="Open Sans"/>
                <w:sz w:val="20"/>
                <w:szCs w:val="20"/>
                <w:lang w:val="fr-FR" w:eastAsia="fr-FR"/>
              </w:rPr>
            </w:pPr>
          </w:p>
        </w:tc>
        <w:tc>
          <w:tcPr>
            <w:tcW w:w="4177" w:type="dxa"/>
            <w:tcBorders>
              <w:top w:val="nil"/>
              <w:left w:val="nil"/>
              <w:bottom w:val="nil"/>
              <w:right w:val="nil"/>
            </w:tcBorders>
            <w:noWrap/>
            <w:vAlign w:val="bottom"/>
            <w:hideMark/>
          </w:tcPr>
          <w:p w14:paraId="4187F0F7" w14:textId="77777777" w:rsidR="000A3DFE" w:rsidRPr="00A74D23" w:rsidRDefault="000A3DFE" w:rsidP="009D6EE5">
            <w:pPr>
              <w:spacing w:line="22" w:lineRule="atLeast"/>
              <w:jc w:val="both"/>
              <w:rPr>
                <w:rFonts w:asciiTheme="minorHAnsi" w:hAnsiTheme="minorHAnsi" w:cs="Open Sans"/>
                <w:sz w:val="20"/>
                <w:szCs w:val="20"/>
                <w:lang w:val="fr-FR" w:eastAsia="fr-FR"/>
              </w:rPr>
            </w:pPr>
          </w:p>
        </w:tc>
      </w:tr>
      <w:tr w:rsidR="000A3DFE" w:rsidRPr="00A605BB" w14:paraId="0D1F630D" w14:textId="77777777" w:rsidTr="008D3377">
        <w:trPr>
          <w:trHeight w:val="268"/>
        </w:trPr>
        <w:tc>
          <w:tcPr>
            <w:tcW w:w="5569" w:type="dxa"/>
            <w:gridSpan w:val="2"/>
            <w:tcBorders>
              <w:top w:val="nil"/>
              <w:left w:val="nil"/>
              <w:bottom w:val="nil"/>
              <w:right w:val="nil"/>
            </w:tcBorders>
            <w:noWrap/>
            <w:vAlign w:val="center"/>
            <w:hideMark/>
          </w:tcPr>
          <w:p w14:paraId="430D8ACE" w14:textId="77777777" w:rsidR="000A3DFE" w:rsidRPr="00A74D23" w:rsidRDefault="000A3DFE" w:rsidP="009D6EE5">
            <w:pPr>
              <w:spacing w:line="22" w:lineRule="atLeast"/>
              <w:jc w:val="both"/>
              <w:rPr>
                <w:rFonts w:asciiTheme="minorHAnsi" w:hAnsiTheme="minorHAnsi" w:cs="Open Sans"/>
                <w:b/>
                <w:bCs/>
                <w:color w:val="000000"/>
                <w:sz w:val="18"/>
                <w:szCs w:val="18"/>
                <w:lang w:val="fr-FR" w:eastAsia="fr-FR"/>
              </w:rPr>
            </w:pPr>
            <w:r w:rsidRPr="00A74D23">
              <w:rPr>
                <w:rFonts w:asciiTheme="minorHAnsi" w:hAnsiTheme="minorHAnsi" w:cs="Open Sans"/>
                <w:b/>
                <w:bCs/>
                <w:color w:val="000000"/>
                <w:sz w:val="18"/>
                <w:szCs w:val="18"/>
                <w:lang w:val="fr-FR" w:eastAsia="fr-FR"/>
              </w:rPr>
              <w:t xml:space="preserve">Tableau 1.3 - Indicateurs applicables aux investissements dans des actifs immobiliers </w:t>
            </w:r>
          </w:p>
        </w:tc>
        <w:tc>
          <w:tcPr>
            <w:tcW w:w="1532" w:type="dxa"/>
            <w:tcBorders>
              <w:top w:val="nil"/>
              <w:left w:val="nil"/>
              <w:bottom w:val="nil"/>
              <w:right w:val="nil"/>
            </w:tcBorders>
            <w:vAlign w:val="center"/>
            <w:hideMark/>
          </w:tcPr>
          <w:p w14:paraId="7992E3BD" w14:textId="77777777" w:rsidR="000A3DFE" w:rsidRPr="00A74D23" w:rsidRDefault="000A3DFE" w:rsidP="009D6EE5">
            <w:pPr>
              <w:spacing w:line="22" w:lineRule="atLeast"/>
              <w:jc w:val="both"/>
              <w:rPr>
                <w:rFonts w:asciiTheme="minorHAnsi" w:hAnsiTheme="minorHAnsi" w:cs="Open Sans"/>
                <w:b/>
                <w:bCs/>
                <w:color w:val="000000"/>
                <w:sz w:val="18"/>
                <w:szCs w:val="18"/>
                <w:lang w:val="fr-FR" w:eastAsia="fr-FR"/>
              </w:rPr>
            </w:pPr>
          </w:p>
        </w:tc>
        <w:tc>
          <w:tcPr>
            <w:tcW w:w="1809" w:type="dxa"/>
            <w:tcBorders>
              <w:top w:val="nil"/>
              <w:left w:val="nil"/>
              <w:bottom w:val="nil"/>
              <w:right w:val="nil"/>
            </w:tcBorders>
            <w:vAlign w:val="center"/>
            <w:hideMark/>
          </w:tcPr>
          <w:p w14:paraId="1337C0E0" w14:textId="77777777" w:rsidR="000A3DFE" w:rsidRPr="00A74D23" w:rsidRDefault="000A3DFE" w:rsidP="009D6EE5">
            <w:pPr>
              <w:spacing w:line="22" w:lineRule="atLeast"/>
              <w:ind w:left="-2808"/>
              <w:jc w:val="both"/>
              <w:rPr>
                <w:rFonts w:asciiTheme="minorHAnsi" w:hAnsiTheme="minorHAnsi" w:cs="Open Sans"/>
                <w:sz w:val="20"/>
                <w:szCs w:val="20"/>
                <w:lang w:val="fr-FR" w:eastAsia="fr-FR"/>
              </w:rPr>
            </w:pPr>
          </w:p>
        </w:tc>
        <w:tc>
          <w:tcPr>
            <w:tcW w:w="1810" w:type="dxa"/>
            <w:tcBorders>
              <w:top w:val="nil"/>
              <w:left w:val="nil"/>
              <w:bottom w:val="nil"/>
              <w:right w:val="nil"/>
            </w:tcBorders>
            <w:vAlign w:val="center"/>
            <w:hideMark/>
          </w:tcPr>
          <w:p w14:paraId="588E7162" w14:textId="77777777" w:rsidR="000A3DFE" w:rsidRPr="00A74D23" w:rsidRDefault="000A3DFE" w:rsidP="009D6EE5">
            <w:pPr>
              <w:spacing w:line="22" w:lineRule="atLeast"/>
              <w:jc w:val="both"/>
              <w:rPr>
                <w:rFonts w:asciiTheme="minorHAnsi" w:hAnsiTheme="minorHAnsi" w:cs="Open Sans"/>
                <w:sz w:val="20"/>
                <w:szCs w:val="20"/>
                <w:lang w:val="fr-FR" w:eastAsia="fr-FR"/>
              </w:rPr>
            </w:pPr>
          </w:p>
        </w:tc>
        <w:tc>
          <w:tcPr>
            <w:tcW w:w="4177" w:type="dxa"/>
            <w:tcBorders>
              <w:top w:val="nil"/>
              <w:left w:val="nil"/>
              <w:bottom w:val="nil"/>
              <w:right w:val="nil"/>
            </w:tcBorders>
            <w:vAlign w:val="center"/>
            <w:hideMark/>
          </w:tcPr>
          <w:p w14:paraId="6BA0A679" w14:textId="77777777" w:rsidR="000A3DFE" w:rsidRPr="00A74D23" w:rsidRDefault="000A3DFE" w:rsidP="009D6EE5">
            <w:pPr>
              <w:spacing w:line="22" w:lineRule="atLeast"/>
              <w:jc w:val="both"/>
              <w:rPr>
                <w:rFonts w:asciiTheme="minorHAnsi" w:hAnsiTheme="minorHAnsi" w:cs="Open Sans"/>
                <w:sz w:val="20"/>
                <w:szCs w:val="20"/>
                <w:lang w:val="fr-FR" w:eastAsia="fr-FR"/>
              </w:rPr>
            </w:pPr>
          </w:p>
        </w:tc>
      </w:tr>
      <w:tr w:rsidR="000A3DFE" w:rsidRPr="00A605BB" w14:paraId="7A36226D" w14:textId="77777777" w:rsidTr="001E59D8">
        <w:trPr>
          <w:trHeight w:val="758"/>
        </w:trPr>
        <w:tc>
          <w:tcPr>
            <w:tcW w:w="5569" w:type="dxa"/>
            <w:gridSpan w:val="2"/>
            <w:tcBorders>
              <w:top w:val="nil"/>
              <w:left w:val="nil"/>
              <w:bottom w:val="nil"/>
              <w:right w:val="nil"/>
            </w:tcBorders>
            <w:noWrap/>
            <w:vAlign w:val="bottom"/>
            <w:hideMark/>
          </w:tcPr>
          <w:p w14:paraId="08279D34" w14:textId="77777777" w:rsidR="000A3DFE" w:rsidRPr="00A74D23" w:rsidRDefault="000A3DFE" w:rsidP="009D6EE5">
            <w:pPr>
              <w:spacing w:line="22" w:lineRule="atLeast"/>
              <w:jc w:val="both"/>
              <w:rPr>
                <w:rFonts w:asciiTheme="minorHAnsi" w:hAnsiTheme="minorHAnsi" w:cs="Open Sans"/>
                <w:sz w:val="20"/>
                <w:szCs w:val="20"/>
                <w:lang w:val="fr-FR" w:eastAsia="fr-FR"/>
              </w:rPr>
            </w:pPr>
          </w:p>
        </w:tc>
        <w:tc>
          <w:tcPr>
            <w:tcW w:w="1532" w:type="dxa"/>
            <w:tcBorders>
              <w:top w:val="nil"/>
              <w:left w:val="nil"/>
              <w:bottom w:val="nil"/>
              <w:right w:val="nil"/>
            </w:tcBorders>
            <w:vAlign w:val="center"/>
            <w:hideMark/>
          </w:tcPr>
          <w:p w14:paraId="72C67F32" w14:textId="77777777" w:rsidR="000A3DFE" w:rsidRPr="00A74D23" w:rsidRDefault="000A3DFE" w:rsidP="009D6EE5">
            <w:pPr>
              <w:spacing w:line="22" w:lineRule="atLeast"/>
              <w:jc w:val="both"/>
              <w:rPr>
                <w:rFonts w:asciiTheme="minorHAnsi" w:hAnsiTheme="minorHAnsi" w:cs="Open Sans"/>
                <w:sz w:val="20"/>
                <w:szCs w:val="20"/>
                <w:lang w:val="fr-FR" w:eastAsia="fr-FR"/>
              </w:rPr>
            </w:pPr>
          </w:p>
        </w:tc>
        <w:tc>
          <w:tcPr>
            <w:tcW w:w="1809" w:type="dxa"/>
            <w:tcBorders>
              <w:top w:val="single" w:sz="4" w:space="0" w:color="auto"/>
              <w:left w:val="single" w:sz="4" w:space="0" w:color="auto"/>
              <w:bottom w:val="single" w:sz="4" w:space="0" w:color="auto"/>
              <w:right w:val="single" w:sz="4" w:space="0" w:color="auto"/>
            </w:tcBorders>
            <w:vAlign w:val="center"/>
            <w:hideMark/>
          </w:tcPr>
          <w:p w14:paraId="440AA0EB" w14:textId="77777777" w:rsidR="000A3DFE" w:rsidRPr="00A74D23" w:rsidRDefault="000A3DFE" w:rsidP="009D6EE5">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Incidence [année n]</w:t>
            </w:r>
          </w:p>
        </w:tc>
        <w:tc>
          <w:tcPr>
            <w:tcW w:w="1810" w:type="dxa"/>
            <w:tcBorders>
              <w:top w:val="single" w:sz="4" w:space="0" w:color="auto"/>
              <w:left w:val="nil"/>
              <w:bottom w:val="single" w:sz="4" w:space="0" w:color="auto"/>
              <w:right w:val="single" w:sz="4" w:space="0" w:color="auto"/>
            </w:tcBorders>
            <w:vAlign w:val="center"/>
            <w:hideMark/>
          </w:tcPr>
          <w:p w14:paraId="40CE0A35" w14:textId="5D5D13B6" w:rsidR="000A3DFE" w:rsidRPr="00A74D23" w:rsidRDefault="00CE348F" w:rsidP="009D6EE5">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Incidence [année n-1]</w:t>
            </w:r>
          </w:p>
        </w:tc>
        <w:tc>
          <w:tcPr>
            <w:tcW w:w="4177" w:type="dxa"/>
            <w:tcBorders>
              <w:top w:val="single" w:sz="4" w:space="0" w:color="auto"/>
              <w:left w:val="nil"/>
              <w:bottom w:val="single" w:sz="4" w:space="0" w:color="auto"/>
              <w:right w:val="single" w:sz="4" w:space="0" w:color="auto"/>
            </w:tcBorders>
            <w:vAlign w:val="center"/>
            <w:hideMark/>
          </w:tcPr>
          <w:p w14:paraId="3B6A5B1C" w14:textId="77777777" w:rsidR="000A3DFE" w:rsidRPr="00A74D23" w:rsidRDefault="000A3DFE" w:rsidP="009D6EE5">
            <w:pPr>
              <w:spacing w:line="22" w:lineRule="atLeast"/>
              <w:jc w:val="both"/>
              <w:rPr>
                <w:rFonts w:asciiTheme="minorHAnsi" w:hAnsiTheme="minorHAnsi" w:cs="Open Sans"/>
                <w:b/>
                <w:bCs/>
                <w:color w:val="000000"/>
                <w:sz w:val="18"/>
                <w:szCs w:val="18"/>
                <w:lang w:val="fr-FR" w:eastAsia="fr-FR"/>
              </w:rPr>
            </w:pPr>
            <w:r w:rsidRPr="00A74D23">
              <w:rPr>
                <w:rFonts w:asciiTheme="minorHAnsi" w:hAnsiTheme="minorHAnsi" w:cs="Open Sans"/>
                <w:b/>
                <w:bCs/>
                <w:color w:val="000000"/>
                <w:sz w:val="18"/>
                <w:szCs w:val="18"/>
                <w:lang w:val="fr-FR" w:eastAsia="fr-FR"/>
              </w:rPr>
              <w:t xml:space="preserve">Mesures prises, mesures prévues et cibles définies pour la période de référence suivante </w:t>
            </w:r>
          </w:p>
        </w:tc>
      </w:tr>
      <w:tr w:rsidR="000A3DFE" w:rsidRPr="00A74D23" w14:paraId="5EAC73F2" w14:textId="77777777" w:rsidTr="005C27A0">
        <w:trPr>
          <w:trHeight w:val="268"/>
        </w:trPr>
        <w:tc>
          <w:tcPr>
            <w:tcW w:w="5569" w:type="dxa"/>
            <w:gridSpan w:val="2"/>
            <w:tcBorders>
              <w:top w:val="nil"/>
              <w:left w:val="nil"/>
              <w:bottom w:val="nil"/>
              <w:right w:val="nil"/>
            </w:tcBorders>
            <w:noWrap/>
            <w:vAlign w:val="center"/>
            <w:hideMark/>
          </w:tcPr>
          <w:p w14:paraId="09D3A6F6" w14:textId="77777777" w:rsidR="000A3DFE" w:rsidRPr="00A74D23" w:rsidRDefault="000A3DFE" w:rsidP="009D6EE5">
            <w:pPr>
              <w:spacing w:line="22" w:lineRule="atLeast"/>
              <w:jc w:val="both"/>
              <w:rPr>
                <w:rFonts w:asciiTheme="minorHAnsi" w:hAnsiTheme="minorHAnsi" w:cs="Open Sans"/>
                <w:b/>
                <w:bCs/>
                <w:color w:val="000000"/>
                <w:sz w:val="18"/>
                <w:szCs w:val="18"/>
                <w:lang w:val="fr-FR" w:eastAsia="fr-FR"/>
              </w:rPr>
            </w:pPr>
          </w:p>
        </w:tc>
        <w:tc>
          <w:tcPr>
            <w:tcW w:w="1532" w:type="dxa"/>
            <w:tcBorders>
              <w:top w:val="nil"/>
              <w:left w:val="nil"/>
              <w:bottom w:val="nil"/>
              <w:right w:val="nil"/>
            </w:tcBorders>
            <w:vAlign w:val="center"/>
            <w:hideMark/>
          </w:tcPr>
          <w:p w14:paraId="17B8EC7C" w14:textId="77777777" w:rsidR="000A3DFE" w:rsidRPr="00A74D23" w:rsidRDefault="000A3DFE" w:rsidP="009D6EE5">
            <w:pPr>
              <w:spacing w:line="22" w:lineRule="atLeast"/>
              <w:jc w:val="both"/>
              <w:rPr>
                <w:rFonts w:asciiTheme="minorHAnsi" w:hAnsiTheme="minorHAnsi" w:cs="Open Sans"/>
                <w:sz w:val="20"/>
                <w:szCs w:val="20"/>
                <w:lang w:val="fr-FR" w:eastAsia="fr-FR"/>
              </w:rPr>
            </w:pPr>
          </w:p>
        </w:tc>
        <w:tc>
          <w:tcPr>
            <w:tcW w:w="1809" w:type="dxa"/>
            <w:tcBorders>
              <w:top w:val="nil"/>
              <w:left w:val="single" w:sz="4" w:space="0" w:color="auto"/>
              <w:bottom w:val="single" w:sz="4" w:space="0" w:color="auto"/>
              <w:right w:val="single" w:sz="4" w:space="0" w:color="auto"/>
            </w:tcBorders>
            <w:shd w:val="clear" w:color="auto" w:fill="D57B1D" w:themeFill="accent3"/>
            <w:vAlign w:val="center"/>
            <w:hideMark/>
          </w:tcPr>
          <w:p w14:paraId="2C54FE9B" w14:textId="77777777" w:rsidR="000A3DFE" w:rsidRPr="00A74D23" w:rsidRDefault="000A3DFE" w:rsidP="009D6EE5">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0010</w:t>
            </w:r>
          </w:p>
        </w:tc>
        <w:tc>
          <w:tcPr>
            <w:tcW w:w="1810" w:type="dxa"/>
            <w:tcBorders>
              <w:top w:val="nil"/>
              <w:left w:val="nil"/>
              <w:bottom w:val="single" w:sz="4" w:space="0" w:color="auto"/>
              <w:right w:val="single" w:sz="4" w:space="0" w:color="auto"/>
            </w:tcBorders>
            <w:shd w:val="clear" w:color="auto" w:fill="D57B1D" w:themeFill="accent3"/>
            <w:vAlign w:val="center"/>
            <w:hideMark/>
          </w:tcPr>
          <w:p w14:paraId="5F2B5AB9" w14:textId="77777777" w:rsidR="000A3DFE" w:rsidRPr="00A74D23" w:rsidRDefault="000A3DFE" w:rsidP="009D6EE5">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0030</w:t>
            </w:r>
          </w:p>
        </w:tc>
        <w:tc>
          <w:tcPr>
            <w:tcW w:w="4177" w:type="dxa"/>
            <w:tcBorders>
              <w:top w:val="nil"/>
              <w:left w:val="nil"/>
              <w:bottom w:val="single" w:sz="4" w:space="0" w:color="auto"/>
              <w:right w:val="single" w:sz="4" w:space="0" w:color="auto"/>
            </w:tcBorders>
            <w:shd w:val="clear" w:color="auto" w:fill="D57B1D" w:themeFill="accent3"/>
            <w:vAlign w:val="center"/>
            <w:hideMark/>
          </w:tcPr>
          <w:p w14:paraId="1D444234" w14:textId="77777777" w:rsidR="000A3DFE" w:rsidRPr="00A74D23" w:rsidRDefault="000A3DFE" w:rsidP="009D6EE5">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0040</w:t>
            </w:r>
          </w:p>
        </w:tc>
      </w:tr>
      <w:tr w:rsidR="000A3DFE" w:rsidRPr="00A74D23" w14:paraId="479E34A7" w14:textId="77777777" w:rsidTr="008D3377">
        <w:trPr>
          <w:trHeight w:val="268"/>
        </w:trPr>
        <w:tc>
          <w:tcPr>
            <w:tcW w:w="5569" w:type="dxa"/>
            <w:gridSpan w:val="2"/>
            <w:tcBorders>
              <w:top w:val="single" w:sz="4" w:space="0" w:color="auto"/>
              <w:left w:val="single" w:sz="4" w:space="0" w:color="auto"/>
              <w:bottom w:val="single" w:sz="4" w:space="0" w:color="auto"/>
              <w:right w:val="single" w:sz="4" w:space="0" w:color="auto"/>
            </w:tcBorders>
            <w:noWrap/>
            <w:vAlign w:val="center"/>
            <w:hideMark/>
          </w:tcPr>
          <w:p w14:paraId="18E8E774" w14:textId="77777777" w:rsidR="000A3DFE" w:rsidRPr="00A74D23" w:rsidRDefault="000A3DFE" w:rsidP="009D6EE5">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 xml:space="preserve">Combustibles fossiles </w:t>
            </w:r>
          </w:p>
        </w:tc>
        <w:tc>
          <w:tcPr>
            <w:tcW w:w="1532" w:type="dxa"/>
            <w:tcBorders>
              <w:top w:val="single" w:sz="4" w:space="0" w:color="auto"/>
              <w:left w:val="nil"/>
              <w:bottom w:val="single" w:sz="4" w:space="0" w:color="auto"/>
              <w:right w:val="single" w:sz="4" w:space="0" w:color="auto"/>
            </w:tcBorders>
            <w:shd w:val="clear" w:color="000000" w:fill="BFBFBF"/>
            <w:vAlign w:val="center"/>
            <w:hideMark/>
          </w:tcPr>
          <w:p w14:paraId="3A040D21" w14:textId="77777777" w:rsidR="000A3DFE" w:rsidRPr="00A74D23" w:rsidRDefault="000A3DFE" w:rsidP="009D6EE5">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48788979" w14:textId="77777777" w:rsidR="000A3DFE" w:rsidRPr="00A74D23" w:rsidRDefault="000A3DFE" w:rsidP="009D6EE5">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29BF008D" w14:textId="77777777" w:rsidR="000A3DFE" w:rsidRPr="00A74D23" w:rsidRDefault="000A3DFE" w:rsidP="009D6EE5">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1F84E051" w14:textId="77777777" w:rsidR="000A3DFE" w:rsidRPr="00A74D23" w:rsidRDefault="000A3DFE" w:rsidP="009D6EE5">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 </w:t>
            </w:r>
          </w:p>
        </w:tc>
      </w:tr>
      <w:tr w:rsidR="000A3DFE" w:rsidRPr="00A605BB" w14:paraId="3A2413CF" w14:textId="77777777" w:rsidTr="008D3377">
        <w:trPr>
          <w:trHeight w:val="268"/>
        </w:trPr>
        <w:tc>
          <w:tcPr>
            <w:tcW w:w="5569" w:type="dxa"/>
            <w:gridSpan w:val="2"/>
            <w:tcBorders>
              <w:top w:val="nil"/>
              <w:left w:val="single" w:sz="4" w:space="0" w:color="auto"/>
              <w:bottom w:val="single" w:sz="4" w:space="0" w:color="auto"/>
              <w:right w:val="single" w:sz="4" w:space="0" w:color="auto"/>
            </w:tcBorders>
            <w:vAlign w:val="center"/>
            <w:hideMark/>
          </w:tcPr>
          <w:p w14:paraId="1B56D179" w14:textId="77777777" w:rsidR="000A3DFE" w:rsidRPr="00A74D23" w:rsidRDefault="000A3DFE" w:rsidP="009D6EE5">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17. Exposition à des combustibles fossiles via des actifs immobiliers </w:t>
            </w:r>
          </w:p>
        </w:tc>
        <w:tc>
          <w:tcPr>
            <w:tcW w:w="1532" w:type="dxa"/>
            <w:tcBorders>
              <w:top w:val="nil"/>
              <w:left w:val="nil"/>
              <w:bottom w:val="single" w:sz="4" w:space="0" w:color="auto"/>
              <w:right w:val="single" w:sz="4" w:space="0" w:color="auto"/>
            </w:tcBorders>
            <w:shd w:val="clear" w:color="000000" w:fill="BFBFBF"/>
            <w:vAlign w:val="center"/>
            <w:hideMark/>
          </w:tcPr>
          <w:p w14:paraId="6CAECA86" w14:textId="77777777" w:rsidR="000A3DFE" w:rsidRPr="00A74D23" w:rsidRDefault="000A3DFE" w:rsidP="009D6EE5">
            <w:pPr>
              <w:spacing w:line="22" w:lineRule="atLeast"/>
              <w:jc w:val="both"/>
              <w:rPr>
                <w:rFonts w:asciiTheme="minorHAnsi" w:hAnsiTheme="minorHAnsi" w:cs="Open Sans"/>
                <w:b/>
                <w:bCs/>
                <w:color w:val="000000"/>
                <w:sz w:val="18"/>
                <w:szCs w:val="18"/>
                <w:lang w:val="fr-FR" w:eastAsia="fr-FR"/>
              </w:rPr>
            </w:pPr>
            <w:r w:rsidRPr="00A74D23">
              <w:rPr>
                <w:rFonts w:asciiTheme="minorHAnsi" w:hAnsiTheme="minorHAnsi" w:cs="Open Sans"/>
                <w:b/>
                <w:bCs/>
                <w:color w:val="000000"/>
                <w:sz w:val="18"/>
                <w:szCs w:val="18"/>
                <w:lang w:val="fr-FR"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089C6008" w14:textId="77777777" w:rsidR="000A3DFE" w:rsidRPr="00A74D23" w:rsidRDefault="000A3DFE" w:rsidP="009D6EE5">
            <w:pPr>
              <w:spacing w:line="22" w:lineRule="atLeast"/>
              <w:jc w:val="both"/>
              <w:rPr>
                <w:rFonts w:asciiTheme="minorHAnsi" w:hAnsiTheme="minorHAnsi" w:cs="Open Sans"/>
                <w:b/>
                <w:bCs/>
                <w:color w:val="000000"/>
                <w:sz w:val="18"/>
                <w:szCs w:val="18"/>
                <w:lang w:val="fr-FR" w:eastAsia="fr-FR"/>
              </w:rPr>
            </w:pPr>
            <w:r w:rsidRPr="00A74D23">
              <w:rPr>
                <w:rFonts w:asciiTheme="minorHAnsi" w:hAnsiTheme="minorHAnsi" w:cs="Open Sans"/>
                <w:b/>
                <w:bCs/>
                <w:color w:val="000000"/>
                <w:sz w:val="18"/>
                <w:szCs w:val="18"/>
                <w:lang w:val="fr-FR"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57325568" w14:textId="77777777" w:rsidR="000A3DFE" w:rsidRPr="00A74D23" w:rsidRDefault="000A3DFE" w:rsidP="009D6EE5">
            <w:pPr>
              <w:spacing w:line="22" w:lineRule="atLeast"/>
              <w:jc w:val="both"/>
              <w:rPr>
                <w:rFonts w:asciiTheme="minorHAnsi" w:hAnsiTheme="minorHAnsi" w:cs="Open Sans"/>
                <w:b/>
                <w:bCs/>
                <w:color w:val="000000"/>
                <w:sz w:val="18"/>
                <w:szCs w:val="18"/>
                <w:lang w:val="fr-FR" w:eastAsia="fr-FR"/>
              </w:rPr>
            </w:pPr>
            <w:r w:rsidRPr="00A74D23">
              <w:rPr>
                <w:rFonts w:asciiTheme="minorHAnsi" w:hAnsiTheme="minorHAnsi" w:cs="Open Sans"/>
                <w:b/>
                <w:bCs/>
                <w:color w:val="000000"/>
                <w:sz w:val="18"/>
                <w:szCs w:val="18"/>
                <w:lang w:val="fr-FR"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4103641A" w14:textId="77777777" w:rsidR="000A3DFE" w:rsidRPr="00A74D23" w:rsidRDefault="000A3DFE" w:rsidP="009D6EE5">
            <w:pPr>
              <w:spacing w:line="22" w:lineRule="atLeast"/>
              <w:jc w:val="both"/>
              <w:rPr>
                <w:rFonts w:asciiTheme="minorHAnsi" w:hAnsiTheme="minorHAnsi" w:cs="Open Sans"/>
                <w:b/>
                <w:bCs/>
                <w:color w:val="000000"/>
                <w:sz w:val="18"/>
                <w:szCs w:val="18"/>
                <w:lang w:val="fr-FR" w:eastAsia="fr-FR"/>
              </w:rPr>
            </w:pPr>
            <w:r w:rsidRPr="00A74D23">
              <w:rPr>
                <w:rFonts w:asciiTheme="minorHAnsi" w:hAnsiTheme="minorHAnsi" w:cs="Open Sans"/>
                <w:b/>
                <w:bCs/>
                <w:color w:val="000000"/>
                <w:sz w:val="18"/>
                <w:szCs w:val="18"/>
                <w:lang w:val="fr-FR" w:eastAsia="fr-FR"/>
              </w:rPr>
              <w:t> </w:t>
            </w:r>
          </w:p>
        </w:tc>
      </w:tr>
      <w:tr w:rsidR="00843902" w:rsidRPr="00A605BB" w14:paraId="2713540F" w14:textId="77777777" w:rsidTr="005C27A0">
        <w:trPr>
          <w:trHeight w:val="860"/>
        </w:trPr>
        <w:tc>
          <w:tcPr>
            <w:tcW w:w="5569" w:type="dxa"/>
            <w:gridSpan w:val="2"/>
            <w:tcBorders>
              <w:top w:val="nil"/>
              <w:left w:val="single" w:sz="4" w:space="0" w:color="auto"/>
              <w:bottom w:val="single" w:sz="4" w:space="0" w:color="auto"/>
              <w:right w:val="single" w:sz="4" w:space="0" w:color="auto"/>
            </w:tcBorders>
            <w:vAlign w:val="center"/>
            <w:hideMark/>
          </w:tcPr>
          <w:p w14:paraId="1518C84A"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Part d'investissement dans des actifs immobiliers utilisés pour l'extraction, le stockage, le transport ou la production de combustibles fossiles </w:t>
            </w:r>
          </w:p>
        </w:tc>
        <w:tc>
          <w:tcPr>
            <w:tcW w:w="1532" w:type="dxa"/>
            <w:tcBorders>
              <w:top w:val="nil"/>
              <w:left w:val="nil"/>
              <w:bottom w:val="single" w:sz="4" w:space="0" w:color="auto"/>
              <w:right w:val="single" w:sz="4" w:space="0" w:color="auto"/>
            </w:tcBorders>
            <w:shd w:val="clear" w:color="auto" w:fill="D57B1D" w:themeFill="accent3"/>
            <w:vAlign w:val="center"/>
            <w:hideMark/>
          </w:tcPr>
          <w:p w14:paraId="72C87B6C"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0200</w:t>
            </w:r>
          </w:p>
        </w:tc>
        <w:tc>
          <w:tcPr>
            <w:tcW w:w="1809" w:type="dxa"/>
            <w:tcBorders>
              <w:top w:val="nil"/>
              <w:left w:val="nil"/>
              <w:bottom w:val="single" w:sz="4" w:space="0" w:color="auto"/>
              <w:right w:val="single" w:sz="4" w:space="0" w:color="auto"/>
            </w:tcBorders>
            <w:vAlign w:val="center"/>
            <w:hideMark/>
          </w:tcPr>
          <w:p w14:paraId="1033D573" w14:textId="09D1014D"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0,00</w:t>
            </w:r>
          </w:p>
        </w:tc>
        <w:tc>
          <w:tcPr>
            <w:tcW w:w="1810" w:type="dxa"/>
            <w:tcBorders>
              <w:top w:val="nil"/>
              <w:left w:val="nil"/>
              <w:bottom w:val="single" w:sz="4" w:space="0" w:color="auto"/>
              <w:right w:val="single" w:sz="4" w:space="0" w:color="auto"/>
            </w:tcBorders>
            <w:vAlign w:val="center"/>
            <w:hideMark/>
          </w:tcPr>
          <w:p w14:paraId="4E581FCD" w14:textId="4F206C3F" w:rsidR="00843902" w:rsidRPr="00A74D23" w:rsidRDefault="00843902" w:rsidP="00843902">
            <w:pPr>
              <w:spacing w:line="22" w:lineRule="atLeast"/>
              <w:jc w:val="both"/>
              <w:rPr>
                <w:rFonts w:asciiTheme="minorHAnsi" w:hAnsiTheme="minorHAnsi" w:cs="Open Sans"/>
                <w:color w:val="000000"/>
                <w:sz w:val="18"/>
                <w:szCs w:val="18"/>
                <w:lang w:eastAsia="fr-FR"/>
              </w:rPr>
            </w:pPr>
            <w:r w:rsidRPr="008E532C">
              <w:rPr>
                <w:rFonts w:ascii="Calibri" w:hAnsi="Calibri" w:cs="Calibri"/>
                <w:color w:val="000000"/>
                <w:sz w:val="18"/>
                <w:szCs w:val="18"/>
                <w:lang w:eastAsia="fr-FR"/>
              </w:rPr>
              <w:t>0,00</w:t>
            </w:r>
          </w:p>
        </w:tc>
        <w:tc>
          <w:tcPr>
            <w:tcW w:w="4177" w:type="dxa"/>
            <w:tcBorders>
              <w:top w:val="nil"/>
              <w:left w:val="nil"/>
              <w:bottom w:val="single" w:sz="4" w:space="0" w:color="auto"/>
              <w:right w:val="single" w:sz="4" w:space="0" w:color="auto"/>
            </w:tcBorders>
            <w:vAlign w:val="center"/>
            <w:hideMark/>
          </w:tcPr>
          <w:p w14:paraId="25C8E559"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Nous n'investissons pas dans ce type d'actifs immobilier. De surcroit, nos stratégies d'investissement relatives aux combustibles fossiles sont telles que cette performance ne sera pas dégradée.</w:t>
            </w:r>
          </w:p>
        </w:tc>
      </w:tr>
      <w:tr w:rsidR="00843902" w:rsidRPr="00A74D23" w14:paraId="5BCC849F" w14:textId="77777777" w:rsidTr="008D3377">
        <w:trPr>
          <w:trHeight w:val="268"/>
        </w:trPr>
        <w:tc>
          <w:tcPr>
            <w:tcW w:w="5569" w:type="dxa"/>
            <w:gridSpan w:val="2"/>
            <w:tcBorders>
              <w:top w:val="nil"/>
              <w:left w:val="single" w:sz="4" w:space="0" w:color="auto"/>
              <w:bottom w:val="single" w:sz="4" w:space="0" w:color="auto"/>
              <w:right w:val="single" w:sz="4" w:space="0" w:color="auto"/>
            </w:tcBorders>
            <w:noWrap/>
            <w:vAlign w:val="center"/>
            <w:hideMark/>
          </w:tcPr>
          <w:p w14:paraId="2B8C9D4A" w14:textId="77777777"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 xml:space="preserve">Efficacité énergétique </w:t>
            </w:r>
          </w:p>
        </w:tc>
        <w:tc>
          <w:tcPr>
            <w:tcW w:w="1532" w:type="dxa"/>
            <w:tcBorders>
              <w:top w:val="nil"/>
              <w:left w:val="nil"/>
              <w:bottom w:val="nil"/>
              <w:right w:val="single" w:sz="4" w:space="0" w:color="auto"/>
            </w:tcBorders>
            <w:shd w:val="clear" w:color="000000" w:fill="BFBFBF"/>
            <w:vAlign w:val="center"/>
            <w:hideMark/>
          </w:tcPr>
          <w:p w14:paraId="4C7AF18E" w14:textId="77777777" w:rsidR="00843902" w:rsidRPr="00A74D23" w:rsidRDefault="00843902" w:rsidP="00843902">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2391ADFA" w14:textId="77777777"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7FA97E1C" w14:textId="6817A097" w:rsidR="00843902" w:rsidRPr="00A74D23" w:rsidRDefault="00843902" w:rsidP="00843902">
            <w:pPr>
              <w:spacing w:line="22" w:lineRule="atLeast"/>
              <w:jc w:val="both"/>
              <w:rPr>
                <w:rFonts w:asciiTheme="minorHAnsi" w:hAnsiTheme="minorHAnsi" w:cs="Open Sans"/>
                <w:color w:val="000000"/>
                <w:sz w:val="18"/>
                <w:szCs w:val="18"/>
                <w:lang w:eastAsia="fr-FR"/>
              </w:rPr>
            </w:pPr>
            <w:r w:rsidRPr="008E532C">
              <w:rPr>
                <w:rFonts w:ascii="Calibri" w:hAnsi="Calibri" w:cs="Calibri"/>
                <w:color w:val="000000"/>
                <w:sz w:val="18"/>
                <w:szCs w:val="18"/>
                <w:lang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2457EA84" w14:textId="77777777" w:rsidR="00843902" w:rsidRPr="00A74D23" w:rsidRDefault="00843902" w:rsidP="00843902">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 </w:t>
            </w:r>
          </w:p>
        </w:tc>
      </w:tr>
      <w:tr w:rsidR="00843902" w:rsidRPr="00A605BB" w14:paraId="774C420B" w14:textId="77777777" w:rsidTr="0090470A">
        <w:trPr>
          <w:trHeight w:val="268"/>
        </w:trPr>
        <w:tc>
          <w:tcPr>
            <w:tcW w:w="5569" w:type="dxa"/>
            <w:gridSpan w:val="2"/>
            <w:tcBorders>
              <w:top w:val="nil"/>
              <w:left w:val="single" w:sz="4" w:space="0" w:color="auto"/>
              <w:bottom w:val="single" w:sz="4" w:space="0" w:color="auto"/>
              <w:right w:val="single" w:sz="4" w:space="0" w:color="auto"/>
            </w:tcBorders>
            <w:vAlign w:val="center"/>
            <w:hideMark/>
          </w:tcPr>
          <w:p w14:paraId="5008AA38"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18. Expositions à des actifs immobiliers inefficaces sur le plan énergétique </w:t>
            </w:r>
          </w:p>
        </w:tc>
        <w:tc>
          <w:tcPr>
            <w:tcW w:w="1532" w:type="dxa"/>
            <w:tcBorders>
              <w:top w:val="single" w:sz="4" w:space="0" w:color="auto"/>
              <w:left w:val="nil"/>
              <w:bottom w:val="single" w:sz="4" w:space="0" w:color="auto"/>
              <w:right w:val="single" w:sz="4" w:space="0" w:color="auto"/>
            </w:tcBorders>
            <w:shd w:val="clear" w:color="000000" w:fill="BFBFBF"/>
            <w:vAlign w:val="center"/>
            <w:hideMark/>
          </w:tcPr>
          <w:p w14:paraId="7776F3BE" w14:textId="77777777" w:rsidR="00843902" w:rsidRPr="00A74D23" w:rsidRDefault="00843902" w:rsidP="00843902">
            <w:pPr>
              <w:spacing w:line="22" w:lineRule="atLeast"/>
              <w:jc w:val="both"/>
              <w:rPr>
                <w:rFonts w:asciiTheme="minorHAnsi" w:hAnsiTheme="minorHAnsi" w:cs="Open Sans"/>
                <w:b/>
                <w:bCs/>
                <w:color w:val="000000"/>
                <w:sz w:val="18"/>
                <w:szCs w:val="18"/>
                <w:lang w:val="fr-FR" w:eastAsia="fr-FR"/>
              </w:rPr>
            </w:pPr>
            <w:r w:rsidRPr="00A74D23">
              <w:rPr>
                <w:rFonts w:asciiTheme="minorHAnsi" w:hAnsiTheme="minorHAnsi" w:cs="Open Sans"/>
                <w:b/>
                <w:bCs/>
                <w:color w:val="000000"/>
                <w:sz w:val="18"/>
                <w:szCs w:val="18"/>
                <w:lang w:val="fr-FR" w:eastAsia="fr-FR"/>
              </w:rPr>
              <w:t> </w:t>
            </w:r>
          </w:p>
        </w:tc>
        <w:tc>
          <w:tcPr>
            <w:tcW w:w="1809" w:type="dxa"/>
            <w:tcBorders>
              <w:top w:val="nil"/>
              <w:left w:val="nil"/>
              <w:bottom w:val="single" w:sz="4" w:space="0" w:color="auto"/>
              <w:right w:val="single" w:sz="4" w:space="0" w:color="auto"/>
            </w:tcBorders>
            <w:shd w:val="clear" w:color="000000" w:fill="BFBFBF"/>
            <w:vAlign w:val="center"/>
            <w:hideMark/>
          </w:tcPr>
          <w:p w14:paraId="2971B237"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w:t>
            </w:r>
          </w:p>
        </w:tc>
        <w:tc>
          <w:tcPr>
            <w:tcW w:w="1810" w:type="dxa"/>
            <w:tcBorders>
              <w:top w:val="nil"/>
              <w:left w:val="nil"/>
              <w:bottom w:val="single" w:sz="4" w:space="0" w:color="auto"/>
              <w:right w:val="single" w:sz="4" w:space="0" w:color="auto"/>
            </w:tcBorders>
            <w:shd w:val="clear" w:color="000000" w:fill="BFBFBF"/>
            <w:vAlign w:val="center"/>
            <w:hideMark/>
          </w:tcPr>
          <w:p w14:paraId="5AE5F2DC" w14:textId="49DE6D4A"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605BB">
              <w:rPr>
                <w:rFonts w:ascii="Calibri" w:hAnsi="Calibri" w:cs="Calibri"/>
                <w:color w:val="000000"/>
                <w:sz w:val="18"/>
                <w:szCs w:val="18"/>
                <w:lang w:val="fr-FR" w:eastAsia="fr-FR"/>
              </w:rPr>
              <w:t> </w:t>
            </w:r>
          </w:p>
        </w:tc>
        <w:tc>
          <w:tcPr>
            <w:tcW w:w="4177" w:type="dxa"/>
            <w:tcBorders>
              <w:top w:val="nil"/>
              <w:left w:val="nil"/>
              <w:bottom w:val="single" w:sz="4" w:space="0" w:color="auto"/>
              <w:right w:val="single" w:sz="4" w:space="0" w:color="auto"/>
            </w:tcBorders>
            <w:shd w:val="clear" w:color="000000" w:fill="BFBFBF"/>
            <w:vAlign w:val="center"/>
            <w:hideMark/>
          </w:tcPr>
          <w:p w14:paraId="42A2B6D1"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w:t>
            </w:r>
          </w:p>
        </w:tc>
      </w:tr>
      <w:tr w:rsidR="00843902" w:rsidRPr="00A605BB" w14:paraId="7756B012" w14:textId="77777777" w:rsidTr="0090470A">
        <w:trPr>
          <w:trHeight w:val="268"/>
        </w:trPr>
        <w:tc>
          <w:tcPr>
            <w:tcW w:w="5569" w:type="dxa"/>
            <w:gridSpan w:val="2"/>
            <w:tcBorders>
              <w:top w:val="single" w:sz="4" w:space="0" w:color="auto"/>
              <w:left w:val="single" w:sz="4" w:space="0" w:color="auto"/>
              <w:bottom w:val="single" w:sz="4" w:space="0" w:color="auto"/>
              <w:right w:val="single" w:sz="4" w:space="0" w:color="auto"/>
            </w:tcBorders>
            <w:vAlign w:val="center"/>
            <w:hideMark/>
          </w:tcPr>
          <w:p w14:paraId="438EA332" w14:textId="77777777" w:rsidR="00843902" w:rsidRPr="00A74D23" w:rsidRDefault="00843902" w:rsidP="00843902">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Part d'investissement dans des actifs immobiliers inefficaces sur le plan énergétique</w:t>
            </w:r>
          </w:p>
        </w:tc>
        <w:tc>
          <w:tcPr>
            <w:tcW w:w="1532" w:type="dxa"/>
            <w:tcBorders>
              <w:top w:val="single" w:sz="4" w:space="0" w:color="auto"/>
              <w:left w:val="nil"/>
              <w:bottom w:val="single" w:sz="4" w:space="0" w:color="auto"/>
              <w:right w:val="single" w:sz="4" w:space="0" w:color="auto"/>
            </w:tcBorders>
            <w:shd w:val="clear" w:color="auto" w:fill="D57B1D" w:themeFill="accent3"/>
            <w:vAlign w:val="center"/>
            <w:hideMark/>
          </w:tcPr>
          <w:p w14:paraId="5217911A" w14:textId="77777777" w:rsidR="00843902" w:rsidRPr="00A74D23" w:rsidRDefault="00843902" w:rsidP="00843902">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0210</w:t>
            </w:r>
          </w:p>
        </w:tc>
        <w:tc>
          <w:tcPr>
            <w:tcW w:w="1809" w:type="dxa"/>
            <w:tcBorders>
              <w:top w:val="single" w:sz="4" w:space="0" w:color="auto"/>
              <w:left w:val="nil"/>
              <w:bottom w:val="single" w:sz="4" w:space="0" w:color="auto"/>
              <w:right w:val="single" w:sz="4" w:space="0" w:color="auto"/>
            </w:tcBorders>
            <w:vAlign w:val="center"/>
            <w:hideMark/>
          </w:tcPr>
          <w:p w14:paraId="6D266769" w14:textId="0A8F8E99" w:rsidR="00843902" w:rsidRPr="00A74D23" w:rsidRDefault="00843902" w:rsidP="00843902">
            <w:pPr>
              <w:spacing w:line="22" w:lineRule="atLeast"/>
              <w:jc w:val="both"/>
              <w:rPr>
                <w:rFonts w:asciiTheme="minorHAnsi" w:hAnsiTheme="minorHAnsi" w:cs="Open Sans"/>
                <w:color w:val="000000"/>
                <w:sz w:val="18"/>
                <w:szCs w:val="18"/>
                <w:lang w:eastAsia="fr-FR"/>
              </w:rPr>
            </w:pPr>
            <w:r>
              <w:rPr>
                <w:rFonts w:asciiTheme="minorHAnsi" w:hAnsiTheme="minorHAnsi" w:cs="Open Sans"/>
                <w:color w:val="000000"/>
                <w:sz w:val="18"/>
                <w:szCs w:val="18"/>
                <w:lang w:eastAsia="fr-FR"/>
              </w:rPr>
              <w:t>95</w:t>
            </w:r>
            <w:r w:rsidRPr="00A74D23">
              <w:rPr>
                <w:rFonts w:asciiTheme="minorHAnsi" w:hAnsiTheme="minorHAnsi" w:cs="Open Sans"/>
                <w:color w:val="000000"/>
                <w:sz w:val="18"/>
                <w:szCs w:val="18"/>
                <w:lang w:eastAsia="fr-FR"/>
              </w:rPr>
              <w:t>%</w:t>
            </w:r>
          </w:p>
        </w:tc>
        <w:tc>
          <w:tcPr>
            <w:tcW w:w="1810" w:type="dxa"/>
            <w:tcBorders>
              <w:top w:val="single" w:sz="4" w:space="0" w:color="auto"/>
              <w:left w:val="nil"/>
              <w:bottom w:val="single" w:sz="4" w:space="0" w:color="auto"/>
              <w:right w:val="single" w:sz="4" w:space="0" w:color="auto"/>
            </w:tcBorders>
            <w:vAlign w:val="center"/>
            <w:hideMark/>
          </w:tcPr>
          <w:p w14:paraId="1E879460" w14:textId="08E517E7" w:rsidR="00843902" w:rsidRPr="00A74D23" w:rsidRDefault="00843902" w:rsidP="00843902">
            <w:pPr>
              <w:spacing w:line="22" w:lineRule="atLeast"/>
              <w:jc w:val="both"/>
              <w:rPr>
                <w:rFonts w:asciiTheme="minorHAnsi" w:hAnsiTheme="minorHAnsi" w:cs="Open Sans"/>
                <w:color w:val="000000"/>
                <w:sz w:val="18"/>
                <w:szCs w:val="18"/>
                <w:lang w:eastAsia="fr-FR"/>
              </w:rPr>
            </w:pPr>
            <w:r>
              <w:rPr>
                <w:rFonts w:ascii="Calibri" w:hAnsi="Calibri" w:cs="Calibri"/>
                <w:color w:val="000000"/>
                <w:sz w:val="18"/>
                <w:szCs w:val="18"/>
                <w:lang w:eastAsia="fr-FR"/>
              </w:rPr>
              <w:t>92%</w:t>
            </w:r>
          </w:p>
        </w:tc>
        <w:tc>
          <w:tcPr>
            <w:tcW w:w="4177" w:type="dxa"/>
            <w:tcBorders>
              <w:top w:val="single" w:sz="4" w:space="0" w:color="auto"/>
              <w:left w:val="nil"/>
              <w:bottom w:val="single" w:sz="4" w:space="0" w:color="auto"/>
              <w:right w:val="single" w:sz="4" w:space="0" w:color="auto"/>
            </w:tcBorders>
            <w:vAlign w:val="center"/>
            <w:hideMark/>
          </w:tcPr>
          <w:p w14:paraId="2AC15BE5" w14:textId="493D865A" w:rsidR="00843902" w:rsidRPr="008573BD" w:rsidRDefault="00843902" w:rsidP="00843902">
            <w:pPr>
              <w:rPr>
                <w:rFonts w:asciiTheme="minorHAnsi" w:hAnsiTheme="minorHAnsi"/>
                <w:sz w:val="18"/>
                <w:szCs w:val="18"/>
                <w:lang w:val="fr-FR"/>
              </w:rPr>
            </w:pPr>
            <w:bookmarkStart w:id="121" w:name="_Toc231337032"/>
            <w:r w:rsidRPr="008573BD">
              <w:rPr>
                <w:rFonts w:asciiTheme="minorHAnsi" w:hAnsiTheme="minorHAnsi"/>
                <w:sz w:val="18"/>
                <w:szCs w:val="18"/>
                <w:lang w:val="fr-FR"/>
              </w:rPr>
              <w:t>Les actifs inefficaces sur le plan énergétique correspondent aux actifs avec un EPC (DPE en France) inférieur ou égal à C. La part des actifs inefficaces est pondérée selon les valeurs des actifs à la date de la fin de l'année civile considérée.</w:t>
            </w:r>
            <w:r w:rsidRPr="008573BD">
              <w:rPr>
                <w:rFonts w:asciiTheme="minorHAnsi" w:hAnsiTheme="minorHAnsi"/>
                <w:sz w:val="18"/>
                <w:szCs w:val="18"/>
                <w:lang w:val="fr-FR"/>
              </w:rPr>
              <w:br/>
              <w:t>Pour qu'un EPC d'un actif soit pris en compte dans le calcul, celui doit être valide à la date de publication du PAI, réalisé à l'echelle de l'immeuble et non pas d'un lot, et non vierge, disposant ainsi d'une étiquette avec une lettre affichée.</w:t>
            </w:r>
            <w:bookmarkEnd w:id="121"/>
          </w:p>
          <w:p w14:paraId="5253E3CA" w14:textId="2D9F50A3" w:rsidR="00843902" w:rsidRPr="008573BD" w:rsidRDefault="00843902" w:rsidP="00843902">
            <w:pPr>
              <w:rPr>
                <w:rFonts w:asciiTheme="minorHAnsi" w:hAnsiTheme="minorHAnsi" w:cs="Open Sans"/>
                <w:sz w:val="20"/>
                <w:szCs w:val="20"/>
                <w:lang w:val="fr-FR" w:eastAsia="fr-FR"/>
              </w:rPr>
            </w:pPr>
          </w:p>
        </w:tc>
      </w:tr>
    </w:tbl>
    <w:p w14:paraId="6C77055F" w14:textId="783C5237" w:rsidR="008D3377" w:rsidRPr="00A74D23" w:rsidRDefault="008D3377" w:rsidP="009D6EE5">
      <w:pPr>
        <w:spacing w:line="22" w:lineRule="atLeast"/>
        <w:jc w:val="both"/>
        <w:rPr>
          <w:rFonts w:asciiTheme="minorHAnsi" w:hAnsiTheme="minorHAnsi" w:cs="Open Sans"/>
          <w:lang w:val="fr-FR"/>
        </w:rPr>
      </w:pPr>
    </w:p>
    <w:p w14:paraId="6862CC1C" w14:textId="77777777" w:rsidR="0090778A" w:rsidRDefault="0090778A" w:rsidP="009D6EE5">
      <w:pPr>
        <w:spacing w:line="22" w:lineRule="atLeast"/>
        <w:jc w:val="both"/>
        <w:rPr>
          <w:rFonts w:asciiTheme="minorHAnsi" w:hAnsiTheme="minorHAnsi" w:cs="Open Sans"/>
          <w:lang w:val="fr-FR"/>
        </w:rPr>
      </w:pPr>
    </w:p>
    <w:p w14:paraId="6D6D633E" w14:textId="77777777" w:rsidR="00663336" w:rsidRDefault="00663336" w:rsidP="009D6EE5">
      <w:pPr>
        <w:spacing w:line="22" w:lineRule="atLeast"/>
        <w:jc w:val="both"/>
        <w:rPr>
          <w:rFonts w:asciiTheme="minorHAnsi" w:hAnsiTheme="minorHAnsi" w:cs="Open Sans"/>
          <w:lang w:val="fr-FR"/>
        </w:rPr>
      </w:pPr>
    </w:p>
    <w:p w14:paraId="4BBE6850" w14:textId="77777777" w:rsidR="00663336" w:rsidRPr="00A74D23" w:rsidRDefault="00663336" w:rsidP="009D6EE5">
      <w:pPr>
        <w:spacing w:line="22" w:lineRule="atLeast"/>
        <w:jc w:val="both"/>
        <w:rPr>
          <w:rFonts w:asciiTheme="minorHAnsi" w:hAnsiTheme="minorHAnsi" w:cs="Open Sans"/>
          <w:lang w:val="fr-FR"/>
        </w:rPr>
      </w:pPr>
    </w:p>
    <w:p w14:paraId="17425291" w14:textId="77777777" w:rsidR="0090778A" w:rsidRPr="00A74D23" w:rsidRDefault="0090778A" w:rsidP="009D6EE5">
      <w:pPr>
        <w:spacing w:line="22" w:lineRule="atLeast"/>
        <w:jc w:val="both"/>
        <w:rPr>
          <w:rFonts w:asciiTheme="minorHAnsi" w:hAnsiTheme="minorHAnsi" w:cs="Open Sans"/>
          <w:lang w:val="fr-FR"/>
        </w:rPr>
      </w:pPr>
    </w:p>
    <w:tbl>
      <w:tblPr>
        <w:tblW w:w="15657" w:type="dxa"/>
        <w:tblCellMar>
          <w:left w:w="70" w:type="dxa"/>
          <w:right w:w="70" w:type="dxa"/>
        </w:tblCellMar>
        <w:tblLook w:val="04A0" w:firstRow="1" w:lastRow="0" w:firstColumn="1" w:lastColumn="0" w:noHBand="0" w:noVBand="1"/>
      </w:tblPr>
      <w:tblGrid>
        <w:gridCol w:w="5529"/>
        <w:gridCol w:w="1544"/>
        <w:gridCol w:w="15"/>
        <w:gridCol w:w="145"/>
        <w:gridCol w:w="1698"/>
        <w:gridCol w:w="1599"/>
        <w:gridCol w:w="81"/>
        <w:gridCol w:w="1416"/>
        <w:gridCol w:w="2857"/>
        <w:gridCol w:w="773"/>
      </w:tblGrid>
      <w:tr w:rsidR="00675620" w:rsidRPr="00A74D23" w14:paraId="6D4C5700" w14:textId="77777777" w:rsidTr="005C27A0">
        <w:trPr>
          <w:trHeight w:val="268"/>
        </w:trPr>
        <w:tc>
          <w:tcPr>
            <w:tcW w:w="7073" w:type="dxa"/>
            <w:gridSpan w:val="2"/>
            <w:vAlign w:val="bottom"/>
          </w:tcPr>
          <w:p w14:paraId="391076B0" w14:textId="2C2B656C" w:rsidR="00675620" w:rsidRPr="00A74D23" w:rsidRDefault="00675620" w:rsidP="009D6EE5">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b/>
                <w:bCs/>
                <w:i/>
                <w:iCs/>
                <w:color w:val="000000"/>
                <w:lang w:eastAsia="fr-FR"/>
              </w:rPr>
              <w:t>Tableau 2</w:t>
            </w:r>
          </w:p>
        </w:tc>
        <w:tc>
          <w:tcPr>
            <w:tcW w:w="160" w:type="dxa"/>
            <w:gridSpan w:val="2"/>
            <w:vAlign w:val="bottom"/>
          </w:tcPr>
          <w:p w14:paraId="47A6106F" w14:textId="77777777" w:rsidR="00675620" w:rsidRPr="00A74D23" w:rsidRDefault="00675620" w:rsidP="009D6EE5">
            <w:pPr>
              <w:spacing w:line="22" w:lineRule="atLeast"/>
              <w:jc w:val="both"/>
              <w:rPr>
                <w:rFonts w:asciiTheme="minorHAnsi" w:hAnsiTheme="minorHAnsi" w:cs="Open Sans"/>
                <w:color w:val="FFFFFF"/>
                <w:sz w:val="18"/>
                <w:szCs w:val="18"/>
                <w:lang w:eastAsia="fr-FR"/>
              </w:rPr>
            </w:pPr>
          </w:p>
        </w:tc>
        <w:tc>
          <w:tcPr>
            <w:tcW w:w="3297" w:type="dxa"/>
            <w:gridSpan w:val="2"/>
            <w:vAlign w:val="center"/>
          </w:tcPr>
          <w:p w14:paraId="48D14BA3" w14:textId="77777777" w:rsidR="00675620" w:rsidRPr="00A74D23" w:rsidRDefault="00675620" w:rsidP="009D6EE5">
            <w:pPr>
              <w:spacing w:line="22" w:lineRule="atLeast"/>
              <w:jc w:val="both"/>
              <w:rPr>
                <w:rFonts w:asciiTheme="minorHAnsi" w:hAnsiTheme="minorHAnsi" w:cs="Open Sans"/>
                <w:color w:val="000000"/>
                <w:sz w:val="18"/>
                <w:szCs w:val="18"/>
                <w:lang w:eastAsia="fr-FR"/>
              </w:rPr>
            </w:pPr>
          </w:p>
        </w:tc>
        <w:tc>
          <w:tcPr>
            <w:tcW w:w="1497" w:type="dxa"/>
            <w:gridSpan w:val="2"/>
            <w:vAlign w:val="center"/>
          </w:tcPr>
          <w:p w14:paraId="204F99D6" w14:textId="77777777" w:rsidR="00675620" w:rsidRPr="00A74D23" w:rsidRDefault="00675620" w:rsidP="009D6EE5">
            <w:pPr>
              <w:spacing w:line="22" w:lineRule="atLeast"/>
              <w:jc w:val="both"/>
              <w:rPr>
                <w:rFonts w:asciiTheme="minorHAnsi" w:hAnsiTheme="minorHAnsi" w:cs="Open Sans"/>
                <w:color w:val="000000"/>
                <w:sz w:val="18"/>
                <w:szCs w:val="18"/>
                <w:lang w:eastAsia="fr-FR"/>
              </w:rPr>
            </w:pPr>
          </w:p>
        </w:tc>
        <w:tc>
          <w:tcPr>
            <w:tcW w:w="3630" w:type="dxa"/>
            <w:gridSpan w:val="2"/>
            <w:vAlign w:val="center"/>
          </w:tcPr>
          <w:p w14:paraId="28CD769E" w14:textId="77777777" w:rsidR="00675620" w:rsidRPr="00A74D23" w:rsidRDefault="00675620" w:rsidP="009D6EE5">
            <w:pPr>
              <w:spacing w:line="22" w:lineRule="atLeast"/>
              <w:jc w:val="both"/>
              <w:rPr>
                <w:rFonts w:asciiTheme="minorHAnsi" w:hAnsiTheme="minorHAnsi" w:cs="Open Sans"/>
                <w:color w:val="000000"/>
                <w:sz w:val="18"/>
                <w:szCs w:val="18"/>
                <w:lang w:eastAsia="fr-FR"/>
              </w:rPr>
            </w:pPr>
          </w:p>
        </w:tc>
      </w:tr>
      <w:tr w:rsidR="00675620" w:rsidRPr="00A74D23" w14:paraId="4E9A87CB" w14:textId="77777777" w:rsidTr="005C27A0">
        <w:trPr>
          <w:gridAfter w:val="1"/>
          <w:wAfter w:w="773" w:type="dxa"/>
          <w:trHeight w:val="530"/>
        </w:trPr>
        <w:tc>
          <w:tcPr>
            <w:tcW w:w="5529" w:type="dxa"/>
            <w:vAlign w:val="bottom"/>
          </w:tcPr>
          <w:p w14:paraId="6E7F67A7" w14:textId="77777777" w:rsidR="00675620" w:rsidRPr="00A74D23" w:rsidRDefault="00675620" w:rsidP="009D6EE5">
            <w:pPr>
              <w:spacing w:line="22" w:lineRule="atLeast"/>
              <w:jc w:val="both"/>
              <w:rPr>
                <w:rFonts w:asciiTheme="minorHAnsi" w:hAnsiTheme="minorHAnsi" w:cs="Open Sans"/>
                <w:b/>
                <w:bCs/>
                <w:i/>
                <w:iCs/>
                <w:color w:val="000000"/>
                <w:lang w:eastAsia="fr-FR"/>
              </w:rPr>
            </w:pPr>
          </w:p>
        </w:tc>
        <w:tc>
          <w:tcPr>
            <w:tcW w:w="1559" w:type="dxa"/>
            <w:gridSpan w:val="2"/>
            <w:vAlign w:val="bottom"/>
          </w:tcPr>
          <w:p w14:paraId="28B870D3" w14:textId="77777777" w:rsidR="00675620" w:rsidRPr="00A74D23" w:rsidRDefault="00675620" w:rsidP="009D6EE5">
            <w:pPr>
              <w:spacing w:line="22" w:lineRule="atLeast"/>
              <w:jc w:val="both"/>
              <w:rPr>
                <w:rFonts w:asciiTheme="minorHAnsi" w:hAnsiTheme="minorHAnsi" w:cs="Open Sans"/>
                <w:color w:val="FFFFFF"/>
                <w:sz w:val="18"/>
                <w:szCs w:val="18"/>
                <w:lang w:eastAsia="fr-FR"/>
              </w:rPr>
            </w:pPr>
          </w:p>
        </w:tc>
        <w:tc>
          <w:tcPr>
            <w:tcW w:w="1843" w:type="dxa"/>
            <w:gridSpan w:val="2"/>
            <w:vAlign w:val="center"/>
          </w:tcPr>
          <w:p w14:paraId="46CD0B92" w14:textId="77777777" w:rsidR="00675620" w:rsidRPr="00A74D23" w:rsidRDefault="00675620" w:rsidP="009D6EE5">
            <w:pPr>
              <w:spacing w:line="22" w:lineRule="atLeast"/>
              <w:jc w:val="both"/>
              <w:rPr>
                <w:rFonts w:asciiTheme="minorHAnsi" w:hAnsiTheme="minorHAnsi" w:cs="Open Sans"/>
                <w:color w:val="000000"/>
                <w:sz w:val="18"/>
                <w:szCs w:val="18"/>
                <w:lang w:eastAsia="fr-FR"/>
              </w:rPr>
            </w:pPr>
          </w:p>
        </w:tc>
        <w:tc>
          <w:tcPr>
            <w:tcW w:w="1680" w:type="dxa"/>
            <w:gridSpan w:val="2"/>
            <w:vAlign w:val="center"/>
          </w:tcPr>
          <w:p w14:paraId="4341AD5D" w14:textId="77777777" w:rsidR="00675620" w:rsidRPr="00A74D23" w:rsidRDefault="00675620" w:rsidP="009D6EE5">
            <w:pPr>
              <w:spacing w:line="22" w:lineRule="atLeast"/>
              <w:jc w:val="both"/>
              <w:rPr>
                <w:rFonts w:asciiTheme="minorHAnsi" w:hAnsiTheme="minorHAnsi" w:cs="Open Sans"/>
                <w:color w:val="000000"/>
                <w:sz w:val="18"/>
                <w:szCs w:val="18"/>
                <w:lang w:eastAsia="fr-FR"/>
              </w:rPr>
            </w:pPr>
          </w:p>
        </w:tc>
        <w:tc>
          <w:tcPr>
            <w:tcW w:w="4273" w:type="dxa"/>
            <w:gridSpan w:val="2"/>
            <w:vAlign w:val="center"/>
          </w:tcPr>
          <w:p w14:paraId="49A4B402" w14:textId="77777777" w:rsidR="00675620" w:rsidRPr="00A74D23" w:rsidRDefault="00675620" w:rsidP="009D6EE5">
            <w:pPr>
              <w:spacing w:line="22" w:lineRule="atLeast"/>
              <w:jc w:val="both"/>
              <w:rPr>
                <w:rFonts w:asciiTheme="minorHAnsi" w:hAnsiTheme="minorHAnsi" w:cs="Open Sans"/>
                <w:color w:val="000000"/>
                <w:sz w:val="18"/>
                <w:szCs w:val="18"/>
                <w:lang w:eastAsia="fr-FR"/>
              </w:rPr>
            </w:pPr>
          </w:p>
        </w:tc>
      </w:tr>
      <w:tr w:rsidR="00675620" w:rsidRPr="00A74D23" w14:paraId="2951F93C" w14:textId="77777777" w:rsidTr="005C27A0">
        <w:trPr>
          <w:gridAfter w:val="1"/>
          <w:wAfter w:w="773" w:type="dxa"/>
          <w:trHeight w:val="530"/>
        </w:trPr>
        <w:tc>
          <w:tcPr>
            <w:tcW w:w="5529" w:type="dxa"/>
            <w:vAlign w:val="center"/>
          </w:tcPr>
          <w:p w14:paraId="171C0496" w14:textId="3DAC72CC" w:rsidR="00675620" w:rsidRPr="00A74D23" w:rsidRDefault="00675620" w:rsidP="009D6EE5">
            <w:pPr>
              <w:spacing w:line="22" w:lineRule="atLeast"/>
              <w:jc w:val="both"/>
              <w:rPr>
                <w:rFonts w:asciiTheme="minorHAnsi" w:hAnsiTheme="minorHAnsi" w:cs="Open Sans"/>
                <w:b/>
                <w:bCs/>
                <w:color w:val="000000"/>
                <w:lang w:val="fr-FR" w:eastAsia="fr-FR"/>
              </w:rPr>
            </w:pPr>
          </w:p>
        </w:tc>
        <w:tc>
          <w:tcPr>
            <w:tcW w:w="1559" w:type="dxa"/>
            <w:gridSpan w:val="2"/>
            <w:vAlign w:val="bottom"/>
          </w:tcPr>
          <w:p w14:paraId="28E89C5A" w14:textId="77777777" w:rsidR="00675620" w:rsidRPr="00A74D23" w:rsidRDefault="00675620" w:rsidP="009D6EE5">
            <w:pPr>
              <w:spacing w:line="22" w:lineRule="atLeast"/>
              <w:jc w:val="both"/>
              <w:rPr>
                <w:rFonts w:asciiTheme="minorHAnsi" w:hAnsiTheme="minorHAnsi" w:cs="Open Sans"/>
                <w:color w:val="FFFFFF"/>
                <w:sz w:val="18"/>
                <w:szCs w:val="18"/>
                <w:lang w:val="fr-FR" w:eastAsia="fr-FR"/>
              </w:rPr>
            </w:pPr>
          </w:p>
        </w:tc>
        <w:tc>
          <w:tcPr>
            <w:tcW w:w="1843" w:type="dxa"/>
            <w:gridSpan w:val="2"/>
            <w:vAlign w:val="center"/>
          </w:tcPr>
          <w:p w14:paraId="7EC2E276" w14:textId="77777777" w:rsidR="00675620" w:rsidRPr="00A74D23" w:rsidRDefault="00675620" w:rsidP="009D6EE5">
            <w:pPr>
              <w:spacing w:line="22" w:lineRule="atLeast"/>
              <w:jc w:val="both"/>
              <w:rPr>
                <w:rFonts w:asciiTheme="minorHAnsi" w:hAnsiTheme="minorHAnsi" w:cs="Open Sans"/>
                <w:color w:val="000000"/>
                <w:sz w:val="18"/>
                <w:szCs w:val="18"/>
                <w:lang w:val="fr-FR" w:eastAsia="fr-FR"/>
              </w:rPr>
            </w:pPr>
          </w:p>
        </w:tc>
        <w:tc>
          <w:tcPr>
            <w:tcW w:w="1680" w:type="dxa"/>
            <w:gridSpan w:val="2"/>
            <w:vAlign w:val="center"/>
          </w:tcPr>
          <w:p w14:paraId="1576CACC" w14:textId="77777777" w:rsidR="00675620" w:rsidRPr="00A74D23" w:rsidRDefault="00675620" w:rsidP="009D6EE5">
            <w:pPr>
              <w:spacing w:line="22" w:lineRule="atLeast"/>
              <w:jc w:val="both"/>
              <w:rPr>
                <w:rFonts w:asciiTheme="minorHAnsi" w:hAnsiTheme="minorHAnsi" w:cs="Open Sans"/>
                <w:color w:val="000000"/>
                <w:sz w:val="18"/>
                <w:szCs w:val="18"/>
                <w:lang w:val="fr-FR" w:eastAsia="fr-FR"/>
              </w:rPr>
            </w:pPr>
          </w:p>
        </w:tc>
        <w:tc>
          <w:tcPr>
            <w:tcW w:w="4273" w:type="dxa"/>
            <w:gridSpan w:val="2"/>
            <w:vAlign w:val="center"/>
          </w:tcPr>
          <w:p w14:paraId="094EA664" w14:textId="77777777" w:rsidR="00675620" w:rsidRPr="00A74D23" w:rsidRDefault="00675620" w:rsidP="009D6EE5">
            <w:pPr>
              <w:spacing w:line="22" w:lineRule="atLeast"/>
              <w:jc w:val="both"/>
              <w:rPr>
                <w:rFonts w:asciiTheme="minorHAnsi" w:hAnsiTheme="minorHAnsi" w:cs="Open Sans"/>
                <w:color w:val="000000"/>
                <w:sz w:val="18"/>
                <w:szCs w:val="18"/>
                <w:lang w:val="fr-FR" w:eastAsia="fr-FR"/>
              </w:rPr>
            </w:pPr>
          </w:p>
        </w:tc>
      </w:tr>
      <w:tr w:rsidR="0037136E" w:rsidRPr="00A605BB" w14:paraId="0E8075F3" w14:textId="77777777" w:rsidTr="005C27A0">
        <w:trPr>
          <w:gridAfter w:val="1"/>
          <w:wAfter w:w="773" w:type="dxa"/>
          <w:trHeight w:val="530"/>
        </w:trPr>
        <w:tc>
          <w:tcPr>
            <w:tcW w:w="5529" w:type="dxa"/>
            <w:tcBorders>
              <w:bottom w:val="single" w:sz="4" w:space="0" w:color="auto"/>
            </w:tcBorders>
            <w:vAlign w:val="center"/>
          </w:tcPr>
          <w:p w14:paraId="1D01D41F" w14:textId="77777777" w:rsidR="0037136E" w:rsidRPr="00A74D23" w:rsidRDefault="0037136E" w:rsidP="009D6EE5">
            <w:pPr>
              <w:spacing w:line="22" w:lineRule="atLeast"/>
              <w:jc w:val="both"/>
              <w:rPr>
                <w:rFonts w:asciiTheme="minorHAnsi" w:hAnsiTheme="minorHAnsi" w:cs="Open Sans"/>
                <w:b/>
                <w:bCs/>
                <w:color w:val="000000"/>
                <w:lang w:val="fr-FR" w:eastAsia="fr-FR"/>
              </w:rPr>
            </w:pPr>
          </w:p>
        </w:tc>
        <w:tc>
          <w:tcPr>
            <w:tcW w:w="1559" w:type="dxa"/>
            <w:gridSpan w:val="2"/>
            <w:tcBorders>
              <w:bottom w:val="single" w:sz="4" w:space="0" w:color="auto"/>
            </w:tcBorders>
            <w:vAlign w:val="bottom"/>
          </w:tcPr>
          <w:p w14:paraId="6A3363A1" w14:textId="77777777" w:rsidR="0037136E" w:rsidRPr="00A74D23" w:rsidRDefault="0037136E" w:rsidP="009D6EE5">
            <w:pPr>
              <w:spacing w:line="22" w:lineRule="atLeast"/>
              <w:jc w:val="both"/>
              <w:rPr>
                <w:rFonts w:asciiTheme="minorHAnsi" w:hAnsiTheme="minorHAnsi" w:cs="Open Sans"/>
                <w:color w:val="FFFFFF"/>
                <w:sz w:val="18"/>
                <w:szCs w:val="18"/>
                <w:lang w:val="fr-FR" w:eastAsia="fr-FR"/>
              </w:rPr>
            </w:pPr>
          </w:p>
        </w:tc>
        <w:tc>
          <w:tcPr>
            <w:tcW w:w="1843" w:type="dxa"/>
            <w:gridSpan w:val="2"/>
            <w:tcBorders>
              <w:bottom w:val="single" w:sz="4" w:space="0" w:color="auto"/>
            </w:tcBorders>
            <w:vAlign w:val="center"/>
          </w:tcPr>
          <w:p w14:paraId="5082046F" w14:textId="4D65C4B6" w:rsidR="0037136E" w:rsidRPr="00A74D23" w:rsidRDefault="0037136E" w:rsidP="009D6EE5">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b/>
                <w:bCs/>
                <w:color w:val="000000"/>
                <w:sz w:val="18"/>
                <w:szCs w:val="18"/>
                <w:lang w:eastAsia="fr-FR"/>
              </w:rPr>
              <w:t>Incidence [année n]</w:t>
            </w:r>
          </w:p>
        </w:tc>
        <w:tc>
          <w:tcPr>
            <w:tcW w:w="1680" w:type="dxa"/>
            <w:gridSpan w:val="2"/>
            <w:tcBorders>
              <w:bottom w:val="single" w:sz="4" w:space="0" w:color="auto"/>
            </w:tcBorders>
            <w:vAlign w:val="center"/>
          </w:tcPr>
          <w:p w14:paraId="5D3F0D07" w14:textId="77777777" w:rsidR="002A3F81" w:rsidRPr="00A74D23" w:rsidRDefault="002A3F81" w:rsidP="009D6EE5">
            <w:pPr>
              <w:spacing w:line="22" w:lineRule="atLeast"/>
              <w:jc w:val="both"/>
              <w:rPr>
                <w:rFonts w:asciiTheme="minorHAnsi" w:hAnsiTheme="minorHAnsi" w:cs="Open Sans"/>
                <w:b/>
                <w:bCs/>
                <w:color w:val="000000"/>
                <w:sz w:val="18"/>
                <w:szCs w:val="18"/>
                <w:lang w:eastAsia="fr-FR"/>
              </w:rPr>
            </w:pPr>
            <w:r w:rsidRPr="00A74D23">
              <w:rPr>
                <w:rFonts w:asciiTheme="minorHAnsi" w:hAnsiTheme="minorHAnsi" w:cs="Open Sans"/>
                <w:b/>
                <w:bCs/>
                <w:color w:val="000000"/>
                <w:sz w:val="18"/>
                <w:szCs w:val="18"/>
                <w:lang w:eastAsia="fr-FR"/>
              </w:rPr>
              <w:t xml:space="preserve">Incidence </w:t>
            </w:r>
          </w:p>
          <w:p w14:paraId="26F0F436" w14:textId="76A2C3D0" w:rsidR="0037136E" w:rsidRPr="00A74D23" w:rsidRDefault="002A3F81" w:rsidP="009D6EE5">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b/>
                <w:bCs/>
                <w:color w:val="000000"/>
                <w:sz w:val="18"/>
                <w:szCs w:val="18"/>
                <w:lang w:eastAsia="fr-FR"/>
              </w:rPr>
              <w:t>[année n-1]</w:t>
            </w:r>
          </w:p>
        </w:tc>
        <w:tc>
          <w:tcPr>
            <w:tcW w:w="4273" w:type="dxa"/>
            <w:gridSpan w:val="2"/>
            <w:tcBorders>
              <w:bottom w:val="single" w:sz="4" w:space="0" w:color="auto"/>
            </w:tcBorders>
            <w:vAlign w:val="center"/>
          </w:tcPr>
          <w:p w14:paraId="04D585F3" w14:textId="0E30A43E" w:rsidR="0037136E" w:rsidRPr="00A74D23" w:rsidRDefault="0037136E" w:rsidP="009D6EE5">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b/>
                <w:bCs/>
                <w:color w:val="000000"/>
                <w:sz w:val="18"/>
                <w:szCs w:val="18"/>
                <w:lang w:val="fr-FR" w:eastAsia="fr-FR"/>
              </w:rPr>
              <w:t xml:space="preserve">Mesures prises, mesures prévues et cibles définies pour la période de référence suivante </w:t>
            </w:r>
          </w:p>
        </w:tc>
      </w:tr>
      <w:tr w:rsidR="0037136E" w:rsidRPr="00A605BB" w14:paraId="465763E6" w14:textId="77777777" w:rsidTr="005C27A0">
        <w:trPr>
          <w:gridAfter w:val="1"/>
          <w:wAfter w:w="773" w:type="dxa"/>
          <w:trHeight w:val="530"/>
        </w:trPr>
        <w:tc>
          <w:tcPr>
            <w:tcW w:w="5529" w:type="dxa"/>
            <w:tcBorders>
              <w:top w:val="single" w:sz="4" w:space="0" w:color="auto"/>
              <w:left w:val="single" w:sz="4" w:space="0" w:color="auto"/>
              <w:bottom w:val="single" w:sz="4" w:space="0" w:color="auto"/>
              <w:right w:val="single" w:sz="4" w:space="0" w:color="auto"/>
            </w:tcBorders>
            <w:vAlign w:val="center"/>
          </w:tcPr>
          <w:p w14:paraId="108CAD33" w14:textId="21A045C6" w:rsidR="0037136E" w:rsidRPr="00A74D23" w:rsidRDefault="0037136E" w:rsidP="009D6EE5">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4. Investissements dans des sociétés n'ayant pas pris d'initiatives pour réduire leurs émissions de carbone</w:t>
            </w:r>
          </w:p>
        </w:tc>
        <w:tc>
          <w:tcPr>
            <w:tcW w:w="1559"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tcPr>
          <w:p w14:paraId="7FDD48AD" w14:textId="1CA180E4" w:rsidR="0037136E" w:rsidRPr="00A74D23" w:rsidRDefault="0037136E" w:rsidP="009D6EE5">
            <w:pPr>
              <w:spacing w:line="22" w:lineRule="atLeast"/>
              <w:jc w:val="both"/>
              <w:rPr>
                <w:rFonts w:asciiTheme="minorHAnsi" w:hAnsiTheme="minorHAnsi" w:cs="Open Sans"/>
                <w:color w:val="FFFFFF"/>
                <w:sz w:val="18"/>
                <w:szCs w:val="18"/>
                <w:lang w:val="fr-FR" w:eastAsia="fr-FR"/>
              </w:rPr>
            </w:pPr>
            <w:r w:rsidRPr="00A74D23">
              <w:rPr>
                <w:rFonts w:asciiTheme="minorHAnsi" w:hAnsiTheme="minorHAnsi" w:cs="Open Sans"/>
                <w:color w:val="FFFFFF"/>
                <w:sz w:val="18"/>
                <w:szCs w:val="18"/>
                <w:lang w:val="fr-FR" w:eastAsia="fr-FR"/>
              </w:rPr>
              <w:t> </w:t>
            </w:r>
          </w:p>
        </w:tc>
        <w:tc>
          <w:tcPr>
            <w:tcW w:w="1843"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tcPr>
          <w:p w14:paraId="673A1C2B" w14:textId="7ADA7B00" w:rsidR="0037136E" w:rsidRPr="00A74D23" w:rsidRDefault="0037136E" w:rsidP="009D6EE5">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w:t>
            </w:r>
          </w:p>
        </w:tc>
        <w:tc>
          <w:tcPr>
            <w:tcW w:w="1680"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tcPr>
          <w:p w14:paraId="3B577942" w14:textId="2AAD967A" w:rsidR="0037136E" w:rsidRPr="00A74D23" w:rsidRDefault="0037136E" w:rsidP="009D6EE5">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w:t>
            </w:r>
          </w:p>
        </w:tc>
        <w:tc>
          <w:tcPr>
            <w:tcW w:w="4273" w:type="dxa"/>
            <w:gridSpan w:val="2"/>
            <w:tcBorders>
              <w:top w:val="single" w:sz="4" w:space="0" w:color="auto"/>
              <w:left w:val="nil"/>
              <w:bottom w:val="single" w:sz="4" w:space="0" w:color="auto"/>
              <w:right w:val="single" w:sz="4" w:space="0" w:color="auto"/>
            </w:tcBorders>
            <w:shd w:val="clear" w:color="auto" w:fill="BFBFBF" w:themeFill="background1" w:themeFillShade="BF"/>
            <w:vAlign w:val="center"/>
          </w:tcPr>
          <w:p w14:paraId="25D3B870" w14:textId="60729A50" w:rsidR="0037136E" w:rsidRPr="00A74D23" w:rsidRDefault="0037136E" w:rsidP="009D6EE5">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w:t>
            </w:r>
          </w:p>
        </w:tc>
      </w:tr>
      <w:tr w:rsidR="0037136E" w:rsidRPr="00A605BB" w14:paraId="2EEC2D88" w14:textId="77777777" w:rsidTr="005C27A0">
        <w:trPr>
          <w:gridAfter w:val="1"/>
          <w:wAfter w:w="773" w:type="dxa"/>
          <w:trHeight w:val="530"/>
        </w:trPr>
        <w:tc>
          <w:tcPr>
            <w:tcW w:w="5529" w:type="dxa"/>
            <w:tcBorders>
              <w:top w:val="single" w:sz="4" w:space="0" w:color="auto"/>
              <w:left w:val="single" w:sz="4" w:space="0" w:color="auto"/>
              <w:bottom w:val="single" w:sz="4" w:space="0" w:color="auto"/>
              <w:right w:val="single" w:sz="4" w:space="0" w:color="auto"/>
            </w:tcBorders>
            <w:vAlign w:val="center"/>
          </w:tcPr>
          <w:p w14:paraId="1A207034" w14:textId="359B8350" w:rsidR="0037136E" w:rsidRPr="00A74D23" w:rsidRDefault="0037136E" w:rsidP="009D6EE5">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Part d'investissement dans des sociétés qui n'ont pas pris d'initiatives pour réduire leurs émissions de carbone aux fins du respect de l'accord de Paris (en %)</w:t>
            </w:r>
          </w:p>
        </w:tc>
        <w:tc>
          <w:tcPr>
            <w:tcW w:w="1559" w:type="dxa"/>
            <w:gridSpan w:val="2"/>
            <w:tcBorders>
              <w:top w:val="single" w:sz="4" w:space="0" w:color="auto"/>
              <w:left w:val="nil"/>
              <w:bottom w:val="single" w:sz="4" w:space="0" w:color="auto"/>
              <w:right w:val="single" w:sz="4" w:space="0" w:color="auto"/>
            </w:tcBorders>
            <w:shd w:val="clear" w:color="auto" w:fill="D57B1D" w:themeFill="accent3"/>
            <w:vAlign w:val="center"/>
          </w:tcPr>
          <w:p w14:paraId="697D47C4" w14:textId="2A0963CA" w:rsidR="0037136E" w:rsidRPr="00A74D23" w:rsidRDefault="0037136E" w:rsidP="009D6EE5">
            <w:pPr>
              <w:spacing w:line="22" w:lineRule="atLeast"/>
              <w:jc w:val="both"/>
              <w:rPr>
                <w:rFonts w:asciiTheme="minorHAnsi" w:hAnsiTheme="minorHAnsi" w:cs="Open Sans"/>
                <w:b/>
                <w:bCs/>
                <w:color w:val="FFFFFF" w:themeColor="background1"/>
                <w:sz w:val="18"/>
                <w:szCs w:val="18"/>
                <w:lang w:eastAsia="fr-FR"/>
              </w:rPr>
            </w:pPr>
            <w:r w:rsidRPr="00A74D23">
              <w:rPr>
                <w:rFonts w:asciiTheme="minorHAnsi" w:hAnsiTheme="minorHAnsi" w:cs="Open Sans"/>
                <w:b/>
                <w:bCs/>
                <w:color w:val="FFFFFF" w:themeColor="background1"/>
                <w:sz w:val="18"/>
                <w:szCs w:val="18"/>
                <w:lang w:eastAsia="fr-FR"/>
              </w:rPr>
              <w:t>0040</w:t>
            </w:r>
          </w:p>
        </w:tc>
        <w:tc>
          <w:tcPr>
            <w:tcW w:w="1843" w:type="dxa"/>
            <w:gridSpan w:val="2"/>
            <w:tcBorders>
              <w:top w:val="single" w:sz="4" w:space="0" w:color="auto"/>
              <w:left w:val="nil"/>
              <w:bottom w:val="single" w:sz="4" w:space="0" w:color="auto"/>
              <w:right w:val="single" w:sz="4" w:space="0" w:color="auto"/>
            </w:tcBorders>
            <w:vAlign w:val="center"/>
          </w:tcPr>
          <w:p w14:paraId="063711FC" w14:textId="7A088565" w:rsidR="0037136E" w:rsidRPr="00A74D23" w:rsidRDefault="00914632" w:rsidP="009D6EE5">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1</w:t>
            </w:r>
            <w:r w:rsidR="00843902">
              <w:rPr>
                <w:rFonts w:asciiTheme="minorHAnsi" w:hAnsiTheme="minorHAnsi" w:cs="Open Sans"/>
                <w:color w:val="000000"/>
                <w:sz w:val="18"/>
                <w:szCs w:val="18"/>
                <w:lang w:eastAsia="fr-FR"/>
              </w:rPr>
              <w:t>6</w:t>
            </w:r>
            <w:r w:rsidR="002A3F81" w:rsidRPr="00A74D23">
              <w:rPr>
                <w:rFonts w:asciiTheme="minorHAnsi" w:hAnsiTheme="minorHAnsi" w:cs="Open Sans"/>
                <w:color w:val="000000"/>
                <w:sz w:val="18"/>
                <w:szCs w:val="18"/>
                <w:lang w:eastAsia="fr-FR"/>
              </w:rPr>
              <w:t>%</w:t>
            </w:r>
          </w:p>
        </w:tc>
        <w:tc>
          <w:tcPr>
            <w:tcW w:w="1680" w:type="dxa"/>
            <w:gridSpan w:val="2"/>
            <w:tcBorders>
              <w:top w:val="single" w:sz="4" w:space="0" w:color="auto"/>
              <w:left w:val="nil"/>
              <w:bottom w:val="single" w:sz="4" w:space="0" w:color="auto"/>
              <w:right w:val="single" w:sz="4" w:space="0" w:color="auto"/>
            </w:tcBorders>
            <w:vAlign w:val="center"/>
          </w:tcPr>
          <w:p w14:paraId="09B9939E" w14:textId="625D04DA" w:rsidR="0037136E" w:rsidRPr="00A74D23" w:rsidRDefault="0037136E" w:rsidP="009D6EE5">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 </w:t>
            </w:r>
            <w:r w:rsidR="00843902">
              <w:rPr>
                <w:rFonts w:ascii="Calibri" w:hAnsi="Calibri" w:cs="Calibri"/>
                <w:color w:val="000000"/>
                <w:sz w:val="18"/>
                <w:szCs w:val="18"/>
                <w:lang w:eastAsia="fr-FR"/>
              </w:rPr>
              <w:t>36%</w:t>
            </w:r>
          </w:p>
        </w:tc>
        <w:tc>
          <w:tcPr>
            <w:tcW w:w="4273" w:type="dxa"/>
            <w:gridSpan w:val="2"/>
            <w:tcBorders>
              <w:top w:val="single" w:sz="4" w:space="0" w:color="auto"/>
              <w:left w:val="nil"/>
              <w:bottom w:val="single" w:sz="4" w:space="0" w:color="auto"/>
              <w:right w:val="single" w:sz="4" w:space="0" w:color="auto"/>
            </w:tcBorders>
            <w:vAlign w:val="center"/>
          </w:tcPr>
          <w:p w14:paraId="2F60C82D" w14:textId="3563458D" w:rsidR="0037136E" w:rsidRPr="00A74D23" w:rsidRDefault="0037136E" w:rsidP="009D6EE5">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w:t>
            </w:r>
            <w:r w:rsidR="00C40822" w:rsidRPr="00A74D23">
              <w:rPr>
                <w:rFonts w:asciiTheme="minorHAnsi" w:hAnsiTheme="minorHAnsi" w:cs="Open Sans"/>
                <w:color w:val="000000"/>
                <w:sz w:val="18"/>
                <w:szCs w:val="18"/>
                <w:lang w:val="fr-FR" w:eastAsia="fr-FR"/>
              </w:rPr>
              <w:t>Nous favorisons les entreprises qui s’engagent SBR, dans le cadre de nos objectifs NZAOA</w:t>
            </w:r>
          </w:p>
        </w:tc>
      </w:tr>
      <w:tr w:rsidR="0037136E" w:rsidRPr="00A605BB" w14:paraId="766E91D2" w14:textId="77777777" w:rsidTr="005C27A0">
        <w:trPr>
          <w:gridAfter w:val="1"/>
          <w:wAfter w:w="773" w:type="dxa"/>
          <w:trHeight w:val="530"/>
        </w:trPr>
        <w:tc>
          <w:tcPr>
            <w:tcW w:w="5529" w:type="dxa"/>
            <w:tcBorders>
              <w:top w:val="single" w:sz="4" w:space="0" w:color="auto"/>
            </w:tcBorders>
            <w:vAlign w:val="center"/>
          </w:tcPr>
          <w:p w14:paraId="3B5DD5BD" w14:textId="77777777" w:rsidR="0037136E" w:rsidRPr="00A74D23" w:rsidRDefault="0037136E" w:rsidP="009D6EE5">
            <w:pPr>
              <w:spacing w:line="22" w:lineRule="atLeast"/>
              <w:jc w:val="both"/>
              <w:rPr>
                <w:rFonts w:asciiTheme="minorHAnsi" w:hAnsiTheme="minorHAnsi" w:cs="Open Sans"/>
                <w:color w:val="000000"/>
                <w:sz w:val="18"/>
                <w:szCs w:val="18"/>
                <w:lang w:val="fr-FR" w:eastAsia="fr-FR"/>
              </w:rPr>
            </w:pPr>
          </w:p>
          <w:p w14:paraId="7A3E5249" w14:textId="77777777" w:rsidR="001C1BCF" w:rsidRPr="00A74D23" w:rsidRDefault="001C1BCF" w:rsidP="009D6EE5">
            <w:pPr>
              <w:spacing w:line="22" w:lineRule="atLeast"/>
              <w:jc w:val="both"/>
              <w:rPr>
                <w:rFonts w:asciiTheme="minorHAnsi" w:hAnsiTheme="minorHAnsi" w:cs="Open Sans"/>
                <w:color w:val="000000"/>
                <w:sz w:val="18"/>
                <w:szCs w:val="18"/>
                <w:lang w:val="fr-FR" w:eastAsia="fr-FR"/>
              </w:rPr>
            </w:pPr>
          </w:p>
        </w:tc>
        <w:tc>
          <w:tcPr>
            <w:tcW w:w="1559" w:type="dxa"/>
            <w:gridSpan w:val="2"/>
            <w:tcBorders>
              <w:top w:val="single" w:sz="4" w:space="0" w:color="auto"/>
            </w:tcBorders>
            <w:vAlign w:val="center"/>
          </w:tcPr>
          <w:p w14:paraId="43E7B3C1" w14:textId="77777777" w:rsidR="0037136E" w:rsidRPr="00A74D23" w:rsidRDefault="0037136E" w:rsidP="009D6EE5">
            <w:pPr>
              <w:spacing w:line="22" w:lineRule="atLeast"/>
              <w:jc w:val="both"/>
              <w:rPr>
                <w:rFonts w:asciiTheme="minorHAnsi" w:hAnsiTheme="minorHAnsi" w:cs="Open Sans"/>
                <w:color w:val="FFFFFF" w:themeColor="background1"/>
                <w:sz w:val="18"/>
                <w:szCs w:val="18"/>
                <w:lang w:val="fr-FR" w:eastAsia="fr-FR"/>
              </w:rPr>
            </w:pPr>
          </w:p>
        </w:tc>
        <w:tc>
          <w:tcPr>
            <w:tcW w:w="1843" w:type="dxa"/>
            <w:gridSpan w:val="2"/>
            <w:tcBorders>
              <w:top w:val="single" w:sz="4" w:space="0" w:color="auto"/>
            </w:tcBorders>
            <w:vAlign w:val="center"/>
          </w:tcPr>
          <w:p w14:paraId="2AE7C90F" w14:textId="77777777" w:rsidR="0037136E" w:rsidRPr="00A74D23" w:rsidRDefault="0037136E" w:rsidP="009D6EE5">
            <w:pPr>
              <w:spacing w:line="22" w:lineRule="atLeast"/>
              <w:jc w:val="both"/>
              <w:rPr>
                <w:rFonts w:asciiTheme="minorHAnsi" w:hAnsiTheme="minorHAnsi" w:cs="Open Sans"/>
                <w:color w:val="000000"/>
                <w:lang w:val="fr-FR" w:eastAsia="fr-FR"/>
              </w:rPr>
            </w:pPr>
          </w:p>
        </w:tc>
        <w:tc>
          <w:tcPr>
            <w:tcW w:w="1680" w:type="dxa"/>
            <w:gridSpan w:val="2"/>
            <w:tcBorders>
              <w:top w:val="single" w:sz="4" w:space="0" w:color="auto"/>
            </w:tcBorders>
            <w:vAlign w:val="center"/>
          </w:tcPr>
          <w:p w14:paraId="1919050A" w14:textId="77777777" w:rsidR="0037136E" w:rsidRPr="00A74D23" w:rsidRDefault="0037136E" w:rsidP="009D6EE5">
            <w:pPr>
              <w:spacing w:line="22" w:lineRule="atLeast"/>
              <w:jc w:val="both"/>
              <w:rPr>
                <w:rFonts w:asciiTheme="minorHAnsi" w:hAnsiTheme="minorHAnsi" w:cs="Open Sans"/>
                <w:color w:val="000000"/>
                <w:sz w:val="18"/>
                <w:szCs w:val="18"/>
                <w:lang w:val="fr-FR" w:eastAsia="fr-FR"/>
              </w:rPr>
            </w:pPr>
          </w:p>
        </w:tc>
        <w:tc>
          <w:tcPr>
            <w:tcW w:w="4273" w:type="dxa"/>
            <w:gridSpan w:val="2"/>
            <w:tcBorders>
              <w:top w:val="single" w:sz="4" w:space="0" w:color="auto"/>
            </w:tcBorders>
            <w:vAlign w:val="center"/>
          </w:tcPr>
          <w:p w14:paraId="6FE31A23" w14:textId="77777777" w:rsidR="0037136E" w:rsidRPr="00A74D23" w:rsidRDefault="0037136E" w:rsidP="009D6EE5">
            <w:pPr>
              <w:spacing w:line="22" w:lineRule="atLeast"/>
              <w:jc w:val="both"/>
              <w:rPr>
                <w:rFonts w:asciiTheme="minorHAnsi" w:hAnsiTheme="minorHAnsi" w:cs="Open Sans"/>
                <w:color w:val="000000"/>
                <w:sz w:val="18"/>
                <w:szCs w:val="18"/>
                <w:lang w:val="fr-FR" w:eastAsia="fr-FR"/>
              </w:rPr>
            </w:pPr>
          </w:p>
        </w:tc>
      </w:tr>
      <w:tr w:rsidR="0037136E" w:rsidRPr="00A74D23" w14:paraId="15E6CA05" w14:textId="77777777" w:rsidTr="005C27A0">
        <w:trPr>
          <w:gridAfter w:val="1"/>
          <w:wAfter w:w="773" w:type="dxa"/>
          <w:trHeight w:val="530"/>
        </w:trPr>
        <w:tc>
          <w:tcPr>
            <w:tcW w:w="5529" w:type="dxa"/>
            <w:vAlign w:val="bottom"/>
          </w:tcPr>
          <w:p w14:paraId="5A759676" w14:textId="51E0E853" w:rsidR="0037136E" w:rsidRPr="00A74D23" w:rsidRDefault="0037136E" w:rsidP="009D6EE5">
            <w:pPr>
              <w:spacing w:line="22" w:lineRule="atLeast"/>
              <w:jc w:val="both"/>
              <w:rPr>
                <w:rFonts w:asciiTheme="minorHAnsi" w:hAnsiTheme="minorHAnsi" w:cs="Open Sans"/>
                <w:b/>
                <w:bCs/>
                <w:i/>
                <w:iCs/>
                <w:color w:val="000000"/>
                <w:lang w:eastAsia="fr-FR"/>
              </w:rPr>
            </w:pPr>
            <w:r w:rsidRPr="00A74D23">
              <w:rPr>
                <w:rFonts w:asciiTheme="minorHAnsi" w:hAnsiTheme="minorHAnsi" w:cs="Open Sans"/>
                <w:b/>
                <w:bCs/>
                <w:i/>
                <w:iCs/>
                <w:color w:val="000000"/>
                <w:lang w:eastAsia="fr-FR"/>
              </w:rPr>
              <w:t>Tableau 3</w:t>
            </w:r>
          </w:p>
        </w:tc>
        <w:tc>
          <w:tcPr>
            <w:tcW w:w="1559" w:type="dxa"/>
            <w:gridSpan w:val="2"/>
            <w:vAlign w:val="center"/>
          </w:tcPr>
          <w:p w14:paraId="6C1A2580" w14:textId="77777777" w:rsidR="0037136E" w:rsidRPr="00A74D23" w:rsidRDefault="0037136E" w:rsidP="009D6EE5">
            <w:pPr>
              <w:spacing w:line="22" w:lineRule="atLeast"/>
              <w:jc w:val="both"/>
              <w:rPr>
                <w:rFonts w:asciiTheme="minorHAnsi" w:hAnsiTheme="minorHAnsi" w:cs="Open Sans"/>
                <w:color w:val="FFFFFF" w:themeColor="background1"/>
                <w:sz w:val="18"/>
                <w:szCs w:val="18"/>
                <w:lang w:eastAsia="fr-FR"/>
              </w:rPr>
            </w:pPr>
          </w:p>
        </w:tc>
        <w:tc>
          <w:tcPr>
            <w:tcW w:w="1843" w:type="dxa"/>
            <w:gridSpan w:val="2"/>
            <w:vAlign w:val="center"/>
          </w:tcPr>
          <w:p w14:paraId="421D8A46" w14:textId="77777777" w:rsidR="0037136E" w:rsidRPr="00A74D23" w:rsidRDefault="0037136E" w:rsidP="009D6EE5">
            <w:pPr>
              <w:spacing w:line="22" w:lineRule="atLeast"/>
              <w:jc w:val="both"/>
              <w:rPr>
                <w:rFonts w:asciiTheme="minorHAnsi" w:hAnsiTheme="minorHAnsi" w:cs="Open Sans"/>
                <w:color w:val="000000"/>
                <w:lang w:eastAsia="fr-FR"/>
              </w:rPr>
            </w:pPr>
          </w:p>
        </w:tc>
        <w:tc>
          <w:tcPr>
            <w:tcW w:w="1680" w:type="dxa"/>
            <w:gridSpan w:val="2"/>
            <w:vAlign w:val="center"/>
          </w:tcPr>
          <w:p w14:paraId="024E7321" w14:textId="77777777" w:rsidR="0037136E" w:rsidRPr="00A74D23" w:rsidRDefault="0037136E" w:rsidP="009D6EE5">
            <w:pPr>
              <w:spacing w:line="22" w:lineRule="atLeast"/>
              <w:jc w:val="both"/>
              <w:rPr>
                <w:rFonts w:asciiTheme="minorHAnsi" w:hAnsiTheme="minorHAnsi" w:cs="Open Sans"/>
                <w:color w:val="000000"/>
                <w:sz w:val="18"/>
                <w:szCs w:val="18"/>
                <w:lang w:eastAsia="fr-FR"/>
              </w:rPr>
            </w:pPr>
          </w:p>
        </w:tc>
        <w:tc>
          <w:tcPr>
            <w:tcW w:w="4273" w:type="dxa"/>
            <w:gridSpan w:val="2"/>
            <w:vAlign w:val="center"/>
          </w:tcPr>
          <w:p w14:paraId="16A36859" w14:textId="77777777" w:rsidR="0037136E" w:rsidRPr="00A74D23" w:rsidRDefault="0037136E" w:rsidP="009D6EE5">
            <w:pPr>
              <w:spacing w:line="22" w:lineRule="atLeast"/>
              <w:jc w:val="both"/>
              <w:rPr>
                <w:rFonts w:asciiTheme="minorHAnsi" w:hAnsiTheme="minorHAnsi" w:cs="Open Sans"/>
                <w:color w:val="000000"/>
                <w:sz w:val="18"/>
                <w:szCs w:val="18"/>
                <w:lang w:eastAsia="fr-FR"/>
              </w:rPr>
            </w:pPr>
          </w:p>
        </w:tc>
      </w:tr>
      <w:tr w:rsidR="0037136E" w:rsidRPr="00A74D23" w14:paraId="4B75B6C7" w14:textId="77777777" w:rsidTr="005C27A0">
        <w:trPr>
          <w:gridAfter w:val="1"/>
          <w:wAfter w:w="773" w:type="dxa"/>
          <w:trHeight w:val="530"/>
        </w:trPr>
        <w:tc>
          <w:tcPr>
            <w:tcW w:w="5529" w:type="dxa"/>
            <w:vAlign w:val="bottom"/>
          </w:tcPr>
          <w:p w14:paraId="0AA273CE" w14:textId="77777777" w:rsidR="0037136E" w:rsidRPr="00A74D23" w:rsidRDefault="0037136E" w:rsidP="009D6EE5">
            <w:pPr>
              <w:spacing w:line="22" w:lineRule="atLeast"/>
              <w:jc w:val="both"/>
              <w:rPr>
                <w:rFonts w:asciiTheme="minorHAnsi" w:hAnsiTheme="minorHAnsi" w:cs="Open Sans"/>
                <w:b/>
                <w:bCs/>
                <w:i/>
                <w:iCs/>
                <w:color w:val="000000"/>
                <w:lang w:eastAsia="fr-FR"/>
              </w:rPr>
            </w:pPr>
          </w:p>
        </w:tc>
        <w:tc>
          <w:tcPr>
            <w:tcW w:w="1559" w:type="dxa"/>
            <w:gridSpan w:val="2"/>
            <w:vAlign w:val="bottom"/>
          </w:tcPr>
          <w:p w14:paraId="15416408" w14:textId="77777777" w:rsidR="0037136E" w:rsidRPr="00A74D23" w:rsidRDefault="0037136E" w:rsidP="009D6EE5">
            <w:pPr>
              <w:spacing w:line="22" w:lineRule="atLeast"/>
              <w:jc w:val="both"/>
              <w:rPr>
                <w:rFonts w:asciiTheme="minorHAnsi" w:hAnsiTheme="minorHAnsi" w:cs="Open Sans"/>
                <w:color w:val="FFFFFF" w:themeColor="background1"/>
                <w:sz w:val="18"/>
                <w:szCs w:val="18"/>
                <w:lang w:eastAsia="fr-FR"/>
              </w:rPr>
            </w:pPr>
          </w:p>
        </w:tc>
        <w:tc>
          <w:tcPr>
            <w:tcW w:w="1843" w:type="dxa"/>
            <w:gridSpan w:val="2"/>
            <w:vAlign w:val="bottom"/>
          </w:tcPr>
          <w:p w14:paraId="08A7313F" w14:textId="77777777" w:rsidR="0037136E" w:rsidRPr="00A74D23" w:rsidRDefault="0037136E" w:rsidP="009D6EE5">
            <w:pPr>
              <w:spacing w:line="22" w:lineRule="atLeast"/>
              <w:jc w:val="both"/>
              <w:rPr>
                <w:rFonts w:asciiTheme="minorHAnsi" w:hAnsiTheme="minorHAnsi" w:cs="Open Sans"/>
                <w:color w:val="000000"/>
                <w:lang w:eastAsia="fr-FR"/>
              </w:rPr>
            </w:pPr>
          </w:p>
        </w:tc>
        <w:tc>
          <w:tcPr>
            <w:tcW w:w="1680" w:type="dxa"/>
            <w:gridSpan w:val="2"/>
            <w:vAlign w:val="bottom"/>
          </w:tcPr>
          <w:p w14:paraId="1118E30E" w14:textId="77777777" w:rsidR="0037136E" w:rsidRPr="00A74D23" w:rsidRDefault="0037136E" w:rsidP="009D6EE5">
            <w:pPr>
              <w:spacing w:line="22" w:lineRule="atLeast"/>
              <w:jc w:val="both"/>
              <w:rPr>
                <w:rFonts w:asciiTheme="minorHAnsi" w:hAnsiTheme="minorHAnsi" w:cs="Open Sans"/>
                <w:color w:val="000000"/>
                <w:sz w:val="18"/>
                <w:szCs w:val="18"/>
                <w:lang w:eastAsia="fr-FR"/>
              </w:rPr>
            </w:pPr>
          </w:p>
        </w:tc>
        <w:tc>
          <w:tcPr>
            <w:tcW w:w="4273" w:type="dxa"/>
            <w:gridSpan w:val="2"/>
            <w:vAlign w:val="center"/>
          </w:tcPr>
          <w:p w14:paraId="02CB472A" w14:textId="77777777" w:rsidR="0037136E" w:rsidRPr="00A74D23" w:rsidRDefault="0037136E" w:rsidP="009D6EE5">
            <w:pPr>
              <w:spacing w:line="22" w:lineRule="atLeast"/>
              <w:jc w:val="both"/>
              <w:rPr>
                <w:rFonts w:asciiTheme="minorHAnsi" w:hAnsiTheme="minorHAnsi" w:cs="Open Sans"/>
                <w:color w:val="000000"/>
                <w:sz w:val="18"/>
                <w:szCs w:val="18"/>
                <w:lang w:eastAsia="fr-FR"/>
              </w:rPr>
            </w:pPr>
          </w:p>
        </w:tc>
      </w:tr>
      <w:tr w:rsidR="0037136E" w:rsidRPr="00A605BB" w14:paraId="47938DDF" w14:textId="77777777" w:rsidTr="005C27A0">
        <w:trPr>
          <w:gridAfter w:val="1"/>
          <w:wAfter w:w="773" w:type="dxa"/>
          <w:trHeight w:val="530"/>
        </w:trPr>
        <w:tc>
          <w:tcPr>
            <w:tcW w:w="5529" w:type="dxa"/>
            <w:vAlign w:val="center"/>
          </w:tcPr>
          <w:p w14:paraId="2F952B03" w14:textId="02B6923C" w:rsidR="0037136E" w:rsidRPr="00A74D23" w:rsidRDefault="0037136E" w:rsidP="009D6EE5">
            <w:pPr>
              <w:spacing w:line="22" w:lineRule="atLeast"/>
              <w:jc w:val="both"/>
              <w:rPr>
                <w:rFonts w:asciiTheme="minorHAnsi" w:hAnsiTheme="minorHAnsi" w:cs="Open Sans"/>
                <w:b/>
                <w:bCs/>
                <w:color w:val="000000"/>
                <w:lang w:val="fr-FR" w:eastAsia="fr-FR"/>
              </w:rPr>
            </w:pPr>
            <w:r w:rsidRPr="00A74D23">
              <w:rPr>
                <w:rFonts w:asciiTheme="minorHAnsi" w:hAnsiTheme="minorHAnsi" w:cs="Open Sans"/>
                <w:b/>
                <w:bCs/>
                <w:color w:val="000000"/>
                <w:lang w:val="fr-FR" w:eastAsia="fr-FR"/>
              </w:rPr>
              <w:t>Tableau 3.1 - Indicateurs applicables aux investissements dans des sociétés</w:t>
            </w:r>
          </w:p>
        </w:tc>
        <w:tc>
          <w:tcPr>
            <w:tcW w:w="1559" w:type="dxa"/>
            <w:gridSpan w:val="2"/>
            <w:vAlign w:val="center"/>
          </w:tcPr>
          <w:p w14:paraId="089FEBEF" w14:textId="77777777" w:rsidR="0037136E" w:rsidRPr="00A74D23" w:rsidRDefault="0037136E" w:rsidP="009D6EE5">
            <w:pPr>
              <w:spacing w:line="22" w:lineRule="atLeast"/>
              <w:jc w:val="both"/>
              <w:rPr>
                <w:rFonts w:asciiTheme="minorHAnsi" w:hAnsiTheme="minorHAnsi" w:cs="Open Sans"/>
                <w:color w:val="FFFFFF" w:themeColor="background1"/>
                <w:sz w:val="18"/>
                <w:szCs w:val="18"/>
                <w:lang w:val="fr-FR" w:eastAsia="fr-FR"/>
              </w:rPr>
            </w:pPr>
          </w:p>
        </w:tc>
        <w:tc>
          <w:tcPr>
            <w:tcW w:w="1843" w:type="dxa"/>
            <w:gridSpan w:val="2"/>
            <w:vAlign w:val="center"/>
          </w:tcPr>
          <w:p w14:paraId="7A2ADB21" w14:textId="77777777" w:rsidR="0037136E" w:rsidRPr="00A74D23" w:rsidRDefault="0037136E" w:rsidP="009D6EE5">
            <w:pPr>
              <w:spacing w:line="22" w:lineRule="atLeast"/>
              <w:jc w:val="both"/>
              <w:rPr>
                <w:rFonts w:asciiTheme="minorHAnsi" w:hAnsiTheme="minorHAnsi" w:cs="Open Sans"/>
                <w:color w:val="000000"/>
                <w:lang w:val="fr-FR" w:eastAsia="fr-FR"/>
              </w:rPr>
            </w:pPr>
          </w:p>
        </w:tc>
        <w:tc>
          <w:tcPr>
            <w:tcW w:w="1680" w:type="dxa"/>
            <w:gridSpan w:val="2"/>
            <w:vAlign w:val="center"/>
          </w:tcPr>
          <w:p w14:paraId="592580BD" w14:textId="77777777" w:rsidR="0037136E" w:rsidRPr="00A74D23" w:rsidRDefault="0037136E" w:rsidP="009D6EE5">
            <w:pPr>
              <w:spacing w:line="22" w:lineRule="atLeast"/>
              <w:jc w:val="both"/>
              <w:rPr>
                <w:rFonts w:asciiTheme="minorHAnsi" w:hAnsiTheme="minorHAnsi" w:cs="Open Sans"/>
                <w:color w:val="000000"/>
                <w:sz w:val="18"/>
                <w:szCs w:val="18"/>
                <w:lang w:val="fr-FR" w:eastAsia="fr-FR"/>
              </w:rPr>
            </w:pPr>
          </w:p>
        </w:tc>
        <w:tc>
          <w:tcPr>
            <w:tcW w:w="4273" w:type="dxa"/>
            <w:gridSpan w:val="2"/>
            <w:vAlign w:val="center"/>
          </w:tcPr>
          <w:p w14:paraId="0EC8C754" w14:textId="77777777" w:rsidR="0037136E" w:rsidRPr="00A74D23" w:rsidRDefault="0037136E" w:rsidP="009D6EE5">
            <w:pPr>
              <w:spacing w:line="22" w:lineRule="atLeast"/>
              <w:jc w:val="both"/>
              <w:rPr>
                <w:rFonts w:asciiTheme="minorHAnsi" w:hAnsiTheme="minorHAnsi" w:cs="Open Sans"/>
                <w:color w:val="000000"/>
                <w:sz w:val="18"/>
                <w:szCs w:val="18"/>
                <w:lang w:val="fr-FR" w:eastAsia="fr-FR"/>
              </w:rPr>
            </w:pPr>
          </w:p>
        </w:tc>
      </w:tr>
      <w:tr w:rsidR="0037136E" w:rsidRPr="00A605BB" w14:paraId="582475ED" w14:textId="77777777" w:rsidTr="005C27A0">
        <w:trPr>
          <w:gridAfter w:val="1"/>
          <w:wAfter w:w="773" w:type="dxa"/>
          <w:trHeight w:val="530"/>
        </w:trPr>
        <w:tc>
          <w:tcPr>
            <w:tcW w:w="5529" w:type="dxa"/>
            <w:tcBorders>
              <w:bottom w:val="single" w:sz="4" w:space="0" w:color="auto"/>
            </w:tcBorders>
            <w:vAlign w:val="center"/>
          </w:tcPr>
          <w:p w14:paraId="775CF6A2" w14:textId="77777777" w:rsidR="0037136E" w:rsidRPr="00A74D23" w:rsidRDefault="0037136E" w:rsidP="009D6EE5">
            <w:pPr>
              <w:spacing w:line="22" w:lineRule="atLeast"/>
              <w:jc w:val="both"/>
              <w:rPr>
                <w:rFonts w:asciiTheme="minorHAnsi" w:hAnsiTheme="minorHAnsi" w:cs="Open Sans"/>
                <w:b/>
                <w:bCs/>
                <w:color w:val="000000"/>
                <w:lang w:val="fr-FR" w:eastAsia="fr-FR"/>
              </w:rPr>
            </w:pPr>
          </w:p>
        </w:tc>
        <w:tc>
          <w:tcPr>
            <w:tcW w:w="1559" w:type="dxa"/>
            <w:gridSpan w:val="2"/>
            <w:tcBorders>
              <w:bottom w:val="single" w:sz="4" w:space="0" w:color="auto"/>
            </w:tcBorders>
            <w:vAlign w:val="center"/>
          </w:tcPr>
          <w:p w14:paraId="446EA1AF" w14:textId="77777777" w:rsidR="0037136E" w:rsidRPr="00A74D23" w:rsidRDefault="0037136E" w:rsidP="009D6EE5">
            <w:pPr>
              <w:spacing w:line="22" w:lineRule="atLeast"/>
              <w:jc w:val="both"/>
              <w:rPr>
                <w:rFonts w:asciiTheme="minorHAnsi" w:hAnsiTheme="minorHAnsi" w:cs="Open Sans"/>
                <w:color w:val="FFFFFF" w:themeColor="background1"/>
                <w:sz w:val="18"/>
                <w:szCs w:val="18"/>
                <w:lang w:val="fr-FR" w:eastAsia="fr-FR"/>
              </w:rPr>
            </w:pPr>
          </w:p>
        </w:tc>
        <w:tc>
          <w:tcPr>
            <w:tcW w:w="1843" w:type="dxa"/>
            <w:gridSpan w:val="2"/>
            <w:tcBorders>
              <w:bottom w:val="single" w:sz="4" w:space="0" w:color="auto"/>
            </w:tcBorders>
            <w:vAlign w:val="center"/>
          </w:tcPr>
          <w:p w14:paraId="633D81BA" w14:textId="56A2D40A" w:rsidR="0037136E" w:rsidRPr="00A74D23" w:rsidRDefault="0037136E" w:rsidP="009D6EE5">
            <w:pPr>
              <w:spacing w:line="22" w:lineRule="atLeast"/>
              <w:jc w:val="both"/>
              <w:rPr>
                <w:rFonts w:asciiTheme="minorHAnsi" w:hAnsiTheme="minorHAnsi" w:cs="Open Sans"/>
                <w:color w:val="000000"/>
                <w:lang w:eastAsia="fr-FR"/>
              </w:rPr>
            </w:pPr>
            <w:r w:rsidRPr="00A74D23">
              <w:rPr>
                <w:rFonts w:asciiTheme="minorHAnsi" w:hAnsiTheme="minorHAnsi" w:cs="Open Sans"/>
                <w:b/>
                <w:bCs/>
                <w:color w:val="000000"/>
                <w:sz w:val="18"/>
                <w:szCs w:val="18"/>
                <w:lang w:eastAsia="fr-FR"/>
              </w:rPr>
              <w:t>Incidence [année n]</w:t>
            </w:r>
          </w:p>
        </w:tc>
        <w:tc>
          <w:tcPr>
            <w:tcW w:w="1680" w:type="dxa"/>
            <w:gridSpan w:val="2"/>
            <w:tcBorders>
              <w:bottom w:val="single" w:sz="4" w:space="0" w:color="auto"/>
            </w:tcBorders>
            <w:vAlign w:val="center"/>
          </w:tcPr>
          <w:p w14:paraId="49A69D87" w14:textId="441541B9" w:rsidR="0037136E" w:rsidRPr="00A74D23" w:rsidRDefault="002A3F81" w:rsidP="009D6EE5">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b/>
                <w:bCs/>
                <w:color w:val="000000"/>
                <w:sz w:val="18"/>
                <w:szCs w:val="18"/>
                <w:lang w:eastAsia="fr-FR"/>
              </w:rPr>
              <w:t>Incidence [année n-1]</w:t>
            </w:r>
          </w:p>
        </w:tc>
        <w:tc>
          <w:tcPr>
            <w:tcW w:w="4273" w:type="dxa"/>
            <w:gridSpan w:val="2"/>
            <w:tcBorders>
              <w:bottom w:val="single" w:sz="4" w:space="0" w:color="auto"/>
            </w:tcBorders>
            <w:vAlign w:val="center"/>
          </w:tcPr>
          <w:p w14:paraId="17F61F88" w14:textId="792419E9" w:rsidR="0037136E" w:rsidRPr="00A74D23" w:rsidRDefault="0037136E" w:rsidP="009D6EE5">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b/>
                <w:bCs/>
                <w:color w:val="000000"/>
                <w:sz w:val="18"/>
                <w:szCs w:val="18"/>
                <w:lang w:val="fr-FR" w:eastAsia="fr-FR"/>
              </w:rPr>
              <w:t xml:space="preserve">Mesures prises, mesures prévues et cibles définies pour la période de référence suivante </w:t>
            </w:r>
          </w:p>
        </w:tc>
      </w:tr>
      <w:tr w:rsidR="0037136E" w:rsidRPr="00A74D23" w14:paraId="244A3FBE" w14:textId="77777777" w:rsidTr="005C27A0">
        <w:trPr>
          <w:gridAfter w:val="1"/>
          <w:wAfter w:w="773" w:type="dxa"/>
          <w:trHeight w:val="530"/>
        </w:trPr>
        <w:tc>
          <w:tcPr>
            <w:tcW w:w="5529" w:type="dxa"/>
            <w:tcBorders>
              <w:top w:val="single" w:sz="4" w:space="0" w:color="auto"/>
              <w:left w:val="single" w:sz="4" w:space="0" w:color="auto"/>
              <w:bottom w:val="single" w:sz="4" w:space="0" w:color="auto"/>
              <w:right w:val="single" w:sz="4" w:space="0" w:color="auto"/>
            </w:tcBorders>
            <w:vAlign w:val="center"/>
          </w:tcPr>
          <w:p w14:paraId="0AB8CACD" w14:textId="22BDEEC8" w:rsidR="0037136E" w:rsidRPr="00A74D23" w:rsidRDefault="005C27A0" w:rsidP="009D6EE5">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Corruption</w:t>
            </w:r>
            <w:r w:rsidR="0037136E" w:rsidRPr="00A74D23">
              <w:rPr>
                <w:rFonts w:asciiTheme="minorHAnsi" w:hAnsiTheme="minorHAnsi" w:cs="Open Sans"/>
                <w:color w:val="000000"/>
                <w:sz w:val="18"/>
                <w:szCs w:val="18"/>
                <w:lang w:eastAsia="fr-FR"/>
              </w:rPr>
              <w:t xml:space="preserve"> </w:t>
            </w:r>
          </w:p>
        </w:tc>
        <w:tc>
          <w:tcPr>
            <w:tcW w:w="155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E48C7A7" w14:textId="694846AE" w:rsidR="0037136E" w:rsidRPr="00A74D23" w:rsidRDefault="0037136E" w:rsidP="009D6EE5">
            <w:pPr>
              <w:spacing w:line="22" w:lineRule="atLeast"/>
              <w:jc w:val="both"/>
              <w:rPr>
                <w:rFonts w:asciiTheme="minorHAnsi" w:hAnsiTheme="minorHAnsi" w:cs="Open Sans"/>
                <w:color w:val="FFFFFF"/>
                <w:sz w:val="18"/>
                <w:szCs w:val="18"/>
                <w:lang w:eastAsia="fr-FR"/>
              </w:rPr>
            </w:pPr>
            <w:r w:rsidRPr="00A74D23">
              <w:rPr>
                <w:rFonts w:asciiTheme="minorHAnsi" w:hAnsiTheme="minorHAnsi" w:cs="Open Sans"/>
                <w:color w:val="FFFFFF"/>
                <w:sz w:val="18"/>
                <w:szCs w:val="18"/>
                <w:lang w:eastAsia="fr-FR"/>
              </w:rPr>
              <w:t> </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9203FCF" w14:textId="14CC82C4" w:rsidR="0037136E" w:rsidRPr="00A74D23" w:rsidRDefault="0037136E" w:rsidP="009D6EE5">
            <w:pPr>
              <w:spacing w:line="22" w:lineRule="atLeast"/>
              <w:jc w:val="both"/>
              <w:rPr>
                <w:rFonts w:asciiTheme="minorHAnsi" w:hAnsiTheme="minorHAnsi" w:cs="Open Sans"/>
                <w:color w:val="000000"/>
                <w:sz w:val="18"/>
                <w:szCs w:val="18"/>
                <w:lang w:eastAsia="fr-FR"/>
              </w:rPr>
            </w:pPr>
            <w:r w:rsidRPr="00A74D23">
              <w:rPr>
                <w:rFonts w:asciiTheme="minorHAnsi" w:hAnsiTheme="minorHAnsi" w:cs="Open Sans"/>
                <w:color w:val="000000"/>
                <w:sz w:val="18"/>
                <w:szCs w:val="18"/>
                <w:lang w:eastAsia="fr-FR"/>
              </w:rPr>
              <w:t> </w:t>
            </w:r>
          </w:p>
        </w:tc>
        <w:tc>
          <w:tcPr>
            <w:tcW w:w="16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53CE900" w14:textId="77777777" w:rsidR="0037136E" w:rsidRPr="00A74D23" w:rsidRDefault="0037136E" w:rsidP="009D6EE5">
            <w:pPr>
              <w:spacing w:line="22" w:lineRule="atLeast"/>
              <w:jc w:val="both"/>
              <w:rPr>
                <w:rFonts w:asciiTheme="minorHAnsi" w:hAnsiTheme="minorHAnsi" w:cs="Open Sans"/>
                <w:color w:val="000000"/>
                <w:sz w:val="18"/>
                <w:szCs w:val="18"/>
                <w:lang w:eastAsia="fr-FR"/>
              </w:rPr>
            </w:pPr>
          </w:p>
        </w:tc>
        <w:tc>
          <w:tcPr>
            <w:tcW w:w="427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CC38821" w14:textId="77777777" w:rsidR="0037136E" w:rsidRPr="00A74D23" w:rsidRDefault="0037136E" w:rsidP="009D6EE5">
            <w:pPr>
              <w:spacing w:line="22" w:lineRule="atLeast"/>
              <w:jc w:val="both"/>
              <w:rPr>
                <w:rFonts w:asciiTheme="minorHAnsi" w:hAnsiTheme="minorHAnsi" w:cs="Open Sans"/>
                <w:color w:val="000000"/>
                <w:sz w:val="18"/>
                <w:szCs w:val="18"/>
                <w:lang w:eastAsia="fr-FR"/>
              </w:rPr>
            </w:pPr>
          </w:p>
        </w:tc>
      </w:tr>
      <w:tr w:rsidR="0037136E" w:rsidRPr="00A605BB" w14:paraId="25D5FD63" w14:textId="77777777" w:rsidTr="005C27A0">
        <w:trPr>
          <w:gridAfter w:val="1"/>
          <w:wAfter w:w="773" w:type="dxa"/>
          <w:trHeight w:val="530"/>
        </w:trPr>
        <w:tc>
          <w:tcPr>
            <w:tcW w:w="5529" w:type="dxa"/>
            <w:tcBorders>
              <w:top w:val="single" w:sz="4" w:space="0" w:color="auto"/>
              <w:left w:val="single" w:sz="4" w:space="0" w:color="auto"/>
              <w:bottom w:val="single" w:sz="4" w:space="0" w:color="auto"/>
              <w:right w:val="single" w:sz="4" w:space="0" w:color="auto"/>
            </w:tcBorders>
            <w:vAlign w:val="center"/>
          </w:tcPr>
          <w:p w14:paraId="38794E61" w14:textId="5B2555EF" w:rsidR="0037136E" w:rsidRPr="00A74D23" w:rsidRDefault="0037136E" w:rsidP="009D6EE5">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xml:space="preserve">9. Absence de politique en matière de </w:t>
            </w:r>
            <w:r w:rsidR="005C27A0" w:rsidRPr="00A74D23">
              <w:rPr>
                <w:rFonts w:asciiTheme="minorHAnsi" w:hAnsiTheme="minorHAnsi" w:cs="Open Sans"/>
                <w:color w:val="000000"/>
                <w:sz w:val="18"/>
                <w:szCs w:val="18"/>
                <w:lang w:val="fr-FR" w:eastAsia="fr-FR"/>
              </w:rPr>
              <w:t>corruption</w:t>
            </w:r>
          </w:p>
        </w:tc>
        <w:tc>
          <w:tcPr>
            <w:tcW w:w="1559" w:type="dxa"/>
            <w:gridSpan w:val="2"/>
            <w:tcBorders>
              <w:top w:val="single" w:sz="4" w:space="0" w:color="auto"/>
              <w:left w:val="single" w:sz="4" w:space="0" w:color="auto"/>
              <w:bottom w:val="single" w:sz="4" w:space="0" w:color="auto"/>
              <w:right w:val="single" w:sz="4" w:space="0" w:color="auto"/>
            </w:tcBorders>
            <w:shd w:val="clear" w:color="auto" w:fill="D57B1D" w:themeFill="accent3"/>
            <w:vAlign w:val="center"/>
          </w:tcPr>
          <w:p w14:paraId="20C0A9B8" w14:textId="7E8347BF" w:rsidR="0037136E" w:rsidRPr="00A74D23" w:rsidRDefault="0037136E" w:rsidP="009D6EE5">
            <w:pPr>
              <w:spacing w:line="22" w:lineRule="atLeast"/>
              <w:jc w:val="both"/>
              <w:rPr>
                <w:rFonts w:asciiTheme="minorHAnsi" w:hAnsiTheme="minorHAnsi" w:cs="Open Sans"/>
                <w:color w:val="FFFFFF"/>
                <w:sz w:val="18"/>
                <w:szCs w:val="18"/>
                <w:lang w:val="fr-FR" w:eastAsia="fr-FR"/>
              </w:rPr>
            </w:pPr>
            <w:r w:rsidRPr="00A74D23">
              <w:rPr>
                <w:rFonts w:asciiTheme="minorHAnsi" w:hAnsiTheme="minorHAnsi" w:cs="Open Sans"/>
                <w:color w:val="FFFFFF"/>
                <w:sz w:val="18"/>
                <w:szCs w:val="18"/>
                <w:lang w:val="fr-FR" w:eastAsia="fr-FR"/>
              </w:rPr>
              <w:t> </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1A3BC074" w14:textId="0D645816" w:rsidR="0037136E" w:rsidRPr="00A74D23" w:rsidRDefault="0037136E" w:rsidP="009D6EE5">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 </w:t>
            </w:r>
          </w:p>
        </w:tc>
        <w:tc>
          <w:tcPr>
            <w:tcW w:w="1680" w:type="dxa"/>
            <w:gridSpan w:val="2"/>
            <w:tcBorders>
              <w:top w:val="single" w:sz="4" w:space="0" w:color="auto"/>
              <w:left w:val="single" w:sz="4" w:space="0" w:color="auto"/>
              <w:bottom w:val="single" w:sz="4" w:space="0" w:color="auto"/>
              <w:right w:val="single" w:sz="4" w:space="0" w:color="auto"/>
            </w:tcBorders>
            <w:vAlign w:val="center"/>
          </w:tcPr>
          <w:p w14:paraId="0152D5FF" w14:textId="77777777" w:rsidR="0037136E" w:rsidRPr="00A74D23" w:rsidRDefault="0037136E" w:rsidP="009D6EE5">
            <w:pPr>
              <w:spacing w:line="22" w:lineRule="atLeast"/>
              <w:jc w:val="both"/>
              <w:rPr>
                <w:rFonts w:asciiTheme="minorHAnsi" w:hAnsiTheme="minorHAnsi" w:cs="Open Sans"/>
                <w:color w:val="000000"/>
                <w:sz w:val="18"/>
                <w:szCs w:val="18"/>
                <w:lang w:val="fr-FR" w:eastAsia="fr-FR"/>
              </w:rPr>
            </w:pPr>
          </w:p>
        </w:tc>
        <w:tc>
          <w:tcPr>
            <w:tcW w:w="4273" w:type="dxa"/>
            <w:gridSpan w:val="2"/>
            <w:tcBorders>
              <w:top w:val="single" w:sz="4" w:space="0" w:color="auto"/>
              <w:left w:val="single" w:sz="4" w:space="0" w:color="auto"/>
              <w:bottom w:val="single" w:sz="4" w:space="0" w:color="auto"/>
              <w:right w:val="single" w:sz="4" w:space="0" w:color="auto"/>
            </w:tcBorders>
            <w:vAlign w:val="center"/>
          </w:tcPr>
          <w:p w14:paraId="61E83F6C" w14:textId="77777777" w:rsidR="0037136E" w:rsidRPr="00A74D23" w:rsidRDefault="0037136E" w:rsidP="009D6EE5">
            <w:pPr>
              <w:spacing w:line="22" w:lineRule="atLeast"/>
              <w:jc w:val="both"/>
              <w:rPr>
                <w:rFonts w:asciiTheme="minorHAnsi" w:hAnsiTheme="minorHAnsi" w:cs="Open Sans"/>
                <w:color w:val="000000"/>
                <w:sz w:val="18"/>
                <w:szCs w:val="18"/>
                <w:lang w:val="fr-FR" w:eastAsia="fr-FR"/>
              </w:rPr>
            </w:pPr>
          </w:p>
        </w:tc>
      </w:tr>
      <w:tr w:rsidR="0037136E" w:rsidRPr="00A605BB" w14:paraId="33434D54" w14:textId="77777777" w:rsidTr="005C27A0">
        <w:trPr>
          <w:gridAfter w:val="1"/>
          <w:wAfter w:w="773" w:type="dxa"/>
          <w:trHeight w:val="530"/>
        </w:trPr>
        <w:tc>
          <w:tcPr>
            <w:tcW w:w="5529" w:type="dxa"/>
            <w:tcBorders>
              <w:top w:val="single" w:sz="4" w:space="0" w:color="auto"/>
              <w:left w:val="single" w:sz="4" w:space="0" w:color="auto"/>
              <w:bottom w:val="single" w:sz="4" w:space="0" w:color="auto"/>
              <w:right w:val="single" w:sz="4" w:space="0" w:color="auto"/>
            </w:tcBorders>
            <w:vAlign w:val="center"/>
          </w:tcPr>
          <w:p w14:paraId="04A9BAD8" w14:textId="1E436787" w:rsidR="0037136E" w:rsidRPr="00A74D23" w:rsidRDefault="005C27A0" w:rsidP="009D6EE5">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Cas de mesures insuffisantes prises pour remédier aux violations des normes anti-corruption et anti-corruption (Yes/No)</w:t>
            </w:r>
          </w:p>
        </w:tc>
        <w:tc>
          <w:tcPr>
            <w:tcW w:w="1559" w:type="dxa"/>
            <w:gridSpan w:val="2"/>
            <w:tcBorders>
              <w:top w:val="single" w:sz="4" w:space="0" w:color="auto"/>
              <w:left w:val="single" w:sz="4" w:space="0" w:color="auto"/>
              <w:bottom w:val="single" w:sz="4" w:space="0" w:color="auto"/>
              <w:right w:val="single" w:sz="4" w:space="0" w:color="auto"/>
            </w:tcBorders>
            <w:shd w:val="clear" w:color="auto" w:fill="D57B1D" w:themeFill="accent3"/>
            <w:vAlign w:val="center"/>
          </w:tcPr>
          <w:p w14:paraId="7E71ACEF" w14:textId="1DD66C27" w:rsidR="0037136E" w:rsidRPr="00A74D23" w:rsidRDefault="0037136E" w:rsidP="009D6EE5">
            <w:pPr>
              <w:spacing w:line="22" w:lineRule="atLeast"/>
              <w:jc w:val="both"/>
              <w:rPr>
                <w:rFonts w:asciiTheme="minorHAnsi" w:hAnsiTheme="minorHAnsi" w:cs="Open Sans"/>
                <w:b/>
                <w:bCs/>
                <w:color w:val="FFFFFF"/>
                <w:sz w:val="18"/>
                <w:szCs w:val="18"/>
                <w:lang w:eastAsia="fr-FR"/>
              </w:rPr>
            </w:pPr>
            <w:r w:rsidRPr="00A74D23">
              <w:rPr>
                <w:rFonts w:asciiTheme="minorHAnsi" w:hAnsiTheme="minorHAnsi" w:cs="Open Sans"/>
                <w:b/>
                <w:bCs/>
                <w:color w:val="FFFFFF"/>
                <w:sz w:val="18"/>
                <w:szCs w:val="18"/>
                <w:lang w:eastAsia="fr-FR"/>
              </w:rPr>
              <w:t>0100</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6A043D11" w14:textId="56F5468B" w:rsidR="0037136E" w:rsidRPr="00A74D23" w:rsidRDefault="00DD0D9C" w:rsidP="009D6EE5">
            <w:pPr>
              <w:spacing w:line="22" w:lineRule="atLeast"/>
              <w:jc w:val="both"/>
              <w:rPr>
                <w:rFonts w:asciiTheme="minorHAnsi" w:hAnsiTheme="minorHAnsi" w:cs="Open Sans"/>
                <w:color w:val="000000"/>
                <w:lang w:eastAsia="fr-FR"/>
              </w:rPr>
            </w:pPr>
            <w:r w:rsidRPr="00A74D23">
              <w:rPr>
                <w:rFonts w:asciiTheme="minorHAnsi" w:hAnsiTheme="minorHAnsi" w:cs="Open Sans"/>
                <w:color w:val="000000"/>
                <w:sz w:val="18"/>
                <w:szCs w:val="18"/>
                <w:lang w:eastAsia="fr-FR"/>
              </w:rPr>
              <w:t>0,</w:t>
            </w:r>
            <w:r w:rsidR="00354DA1">
              <w:rPr>
                <w:rFonts w:asciiTheme="minorHAnsi" w:hAnsiTheme="minorHAnsi" w:cs="Open Sans"/>
                <w:color w:val="000000"/>
                <w:sz w:val="18"/>
                <w:szCs w:val="18"/>
                <w:lang w:eastAsia="fr-FR"/>
              </w:rPr>
              <w:t>82</w:t>
            </w:r>
            <w:r w:rsidR="002A3F81" w:rsidRPr="00A74D23">
              <w:rPr>
                <w:rFonts w:asciiTheme="minorHAnsi" w:hAnsiTheme="minorHAnsi" w:cs="Open Sans"/>
                <w:color w:val="000000"/>
                <w:sz w:val="18"/>
                <w:szCs w:val="18"/>
                <w:lang w:eastAsia="fr-FR"/>
              </w:rPr>
              <w:t>%</w:t>
            </w:r>
          </w:p>
        </w:tc>
        <w:tc>
          <w:tcPr>
            <w:tcW w:w="1680" w:type="dxa"/>
            <w:gridSpan w:val="2"/>
            <w:tcBorders>
              <w:top w:val="single" w:sz="4" w:space="0" w:color="auto"/>
              <w:left w:val="single" w:sz="4" w:space="0" w:color="auto"/>
              <w:bottom w:val="single" w:sz="4" w:space="0" w:color="auto"/>
              <w:right w:val="single" w:sz="4" w:space="0" w:color="auto"/>
            </w:tcBorders>
            <w:vAlign w:val="center"/>
          </w:tcPr>
          <w:p w14:paraId="3FA792E9" w14:textId="6AAF6EE8" w:rsidR="0037136E" w:rsidRPr="00A74D23" w:rsidRDefault="00843902" w:rsidP="009D6EE5">
            <w:pPr>
              <w:spacing w:line="22" w:lineRule="atLeast"/>
              <w:jc w:val="both"/>
              <w:rPr>
                <w:rFonts w:asciiTheme="minorHAnsi" w:hAnsiTheme="minorHAnsi" w:cs="Open Sans"/>
                <w:color w:val="000000"/>
                <w:sz w:val="18"/>
                <w:szCs w:val="18"/>
                <w:lang w:eastAsia="fr-FR"/>
              </w:rPr>
            </w:pPr>
            <w:r>
              <w:rPr>
                <w:rFonts w:asciiTheme="minorHAnsi" w:hAnsiTheme="minorHAnsi" w:cs="Open Sans"/>
                <w:color w:val="000000"/>
                <w:sz w:val="18"/>
                <w:szCs w:val="18"/>
                <w:lang w:eastAsia="fr-FR"/>
              </w:rPr>
              <w:t>11</w:t>
            </w:r>
            <w:r w:rsidR="002A3F81" w:rsidRPr="00A74D23">
              <w:rPr>
                <w:rFonts w:asciiTheme="minorHAnsi" w:hAnsiTheme="minorHAnsi" w:cs="Open Sans"/>
                <w:color w:val="000000"/>
                <w:sz w:val="18"/>
                <w:szCs w:val="18"/>
                <w:lang w:eastAsia="fr-FR"/>
              </w:rPr>
              <w:t>%</w:t>
            </w:r>
          </w:p>
        </w:tc>
        <w:tc>
          <w:tcPr>
            <w:tcW w:w="4273" w:type="dxa"/>
            <w:gridSpan w:val="2"/>
            <w:tcBorders>
              <w:top w:val="single" w:sz="4" w:space="0" w:color="auto"/>
              <w:left w:val="single" w:sz="4" w:space="0" w:color="auto"/>
              <w:bottom w:val="single" w:sz="4" w:space="0" w:color="auto"/>
              <w:right w:val="single" w:sz="4" w:space="0" w:color="auto"/>
            </w:tcBorders>
            <w:vAlign w:val="center"/>
          </w:tcPr>
          <w:p w14:paraId="1ABBD767" w14:textId="23D569D0" w:rsidR="0037136E" w:rsidRPr="00A74D23" w:rsidRDefault="005B03C8" w:rsidP="009D6EE5">
            <w:pPr>
              <w:spacing w:line="22" w:lineRule="atLeast"/>
              <w:jc w:val="both"/>
              <w:rPr>
                <w:rFonts w:asciiTheme="minorHAnsi" w:hAnsiTheme="minorHAnsi" w:cs="Open Sans"/>
                <w:color w:val="000000"/>
                <w:sz w:val="18"/>
                <w:szCs w:val="18"/>
                <w:lang w:val="fr-FR" w:eastAsia="fr-FR"/>
              </w:rPr>
            </w:pPr>
            <w:r w:rsidRPr="00A74D23">
              <w:rPr>
                <w:rFonts w:asciiTheme="minorHAnsi" w:hAnsiTheme="minorHAnsi" w:cs="Open Sans"/>
                <w:color w:val="000000"/>
                <w:sz w:val="18"/>
                <w:szCs w:val="18"/>
                <w:lang w:val="fr-FR" w:eastAsia="fr-FR"/>
              </w:rPr>
              <w:t>Intégré dans nos politiques ESG</w:t>
            </w:r>
          </w:p>
        </w:tc>
      </w:tr>
    </w:tbl>
    <w:p w14:paraId="2748E9BE" w14:textId="333BEA3A" w:rsidR="00190527" w:rsidRPr="00A74D23" w:rsidRDefault="00190527" w:rsidP="009D6EE5">
      <w:pPr>
        <w:spacing w:line="22" w:lineRule="atLeast"/>
        <w:jc w:val="both"/>
        <w:rPr>
          <w:rFonts w:asciiTheme="minorHAnsi" w:hAnsiTheme="minorHAnsi" w:cs="Open Sans"/>
          <w:sz w:val="20"/>
          <w:lang w:val="fr-FR"/>
        </w:rPr>
      </w:pPr>
    </w:p>
    <w:p w14:paraId="726927B4" w14:textId="47251097" w:rsidR="00190527" w:rsidRPr="00A74D23" w:rsidRDefault="00190527" w:rsidP="009D6EE5">
      <w:pPr>
        <w:spacing w:line="22" w:lineRule="atLeast"/>
        <w:jc w:val="both"/>
        <w:rPr>
          <w:rFonts w:asciiTheme="minorHAnsi" w:hAnsiTheme="minorHAnsi" w:cs="Open Sans"/>
          <w:sz w:val="20"/>
          <w:lang w:val="fr-FR"/>
        </w:rPr>
      </w:pPr>
    </w:p>
    <w:p w14:paraId="73FA3AF5" w14:textId="61B4BB7E" w:rsidR="00190527" w:rsidRPr="00A74D23" w:rsidRDefault="00190527" w:rsidP="009D6EE5">
      <w:pPr>
        <w:spacing w:line="22" w:lineRule="atLeast"/>
        <w:jc w:val="both"/>
        <w:rPr>
          <w:rFonts w:asciiTheme="minorHAnsi" w:hAnsiTheme="minorHAnsi" w:cs="Open Sans"/>
          <w:sz w:val="20"/>
          <w:lang w:val="fr-FR"/>
        </w:rPr>
      </w:pPr>
    </w:p>
    <w:p w14:paraId="5FAD4D7A" w14:textId="77777777" w:rsidR="000A24A1" w:rsidRPr="00A74D23" w:rsidRDefault="000A24A1" w:rsidP="009D6EE5">
      <w:pPr>
        <w:spacing w:line="22" w:lineRule="atLeast"/>
        <w:jc w:val="both"/>
        <w:rPr>
          <w:rFonts w:asciiTheme="minorHAnsi" w:hAnsiTheme="minorHAnsi" w:cs="Open Sans"/>
          <w:sz w:val="20"/>
          <w:lang w:val="fr-FR"/>
        </w:rPr>
      </w:pPr>
    </w:p>
    <w:p w14:paraId="197B1882" w14:textId="77777777" w:rsidR="00277F07" w:rsidRPr="00A74D23" w:rsidRDefault="00277F07" w:rsidP="009D6EE5">
      <w:pPr>
        <w:spacing w:line="22" w:lineRule="atLeast"/>
        <w:jc w:val="both"/>
        <w:rPr>
          <w:rFonts w:asciiTheme="minorHAnsi" w:hAnsiTheme="minorHAnsi" w:cs="Open Sans"/>
          <w:sz w:val="20"/>
          <w:lang w:val="fr-FR"/>
        </w:rPr>
      </w:pPr>
    </w:p>
    <w:p w14:paraId="672BF76E" w14:textId="77777777" w:rsidR="009D2161" w:rsidRDefault="009D2161" w:rsidP="009D2161">
      <w:pPr>
        <w:pStyle w:val="Style3"/>
        <w:spacing w:line="22" w:lineRule="atLeast"/>
        <w:ind w:left="0" w:firstLine="0"/>
        <w:jc w:val="both"/>
        <w:rPr>
          <w:rFonts w:asciiTheme="minorHAnsi" w:hAnsiTheme="minorHAnsi" w:cs="Open Sans"/>
        </w:rPr>
      </w:pPr>
    </w:p>
    <w:p w14:paraId="615BB3A6" w14:textId="77BA42F3" w:rsidR="00277F07" w:rsidRPr="00A74D23" w:rsidRDefault="00277F07" w:rsidP="009D2161">
      <w:pPr>
        <w:pStyle w:val="Style3"/>
        <w:spacing w:line="22" w:lineRule="atLeast"/>
        <w:ind w:left="0" w:firstLine="0"/>
        <w:jc w:val="both"/>
        <w:rPr>
          <w:rFonts w:asciiTheme="minorHAnsi" w:hAnsiTheme="minorHAnsi" w:cs="Open Sans"/>
        </w:rPr>
      </w:pPr>
      <w:r w:rsidRPr="00A74D23">
        <w:rPr>
          <w:rFonts w:asciiTheme="minorHAnsi" w:hAnsiTheme="minorHAnsi" w:cs="Open Sans"/>
        </w:rPr>
        <w:t>Reporting volontaire Taxonomie européenne – Nucléaire et gaz</w:t>
      </w:r>
      <w:r w:rsidR="0046350E" w:rsidRPr="00A74D23">
        <w:rPr>
          <w:rFonts w:asciiTheme="minorHAnsi" w:hAnsiTheme="minorHAnsi" w:cs="Open Sans"/>
        </w:rPr>
        <w:t xml:space="preserve"> – périmètre Abeille </w:t>
      </w:r>
      <w:r w:rsidR="00DC419F">
        <w:rPr>
          <w:rFonts w:asciiTheme="minorHAnsi" w:hAnsiTheme="minorHAnsi" w:cs="Open Sans"/>
        </w:rPr>
        <w:t>Retraite Professionnelle</w:t>
      </w:r>
    </w:p>
    <w:p w14:paraId="12992ACE" w14:textId="77777777" w:rsidR="003B3575" w:rsidRPr="00A74D23" w:rsidRDefault="003B3575" w:rsidP="009D6EE5">
      <w:pPr>
        <w:spacing w:line="22" w:lineRule="atLeast"/>
        <w:jc w:val="both"/>
        <w:rPr>
          <w:rFonts w:asciiTheme="minorHAnsi" w:hAnsiTheme="minorHAnsi" w:cs="Open Sans"/>
          <w:sz w:val="20"/>
          <w:lang w:val="fr-FR"/>
        </w:rPr>
      </w:pPr>
    </w:p>
    <w:tbl>
      <w:tblPr>
        <w:tblW w:w="13582" w:type="dxa"/>
        <w:tblInd w:w="10" w:type="dxa"/>
        <w:tblLook w:val="04A0" w:firstRow="1" w:lastRow="0" w:firstColumn="1" w:lastColumn="0" w:noHBand="0" w:noVBand="1"/>
      </w:tblPr>
      <w:tblGrid>
        <w:gridCol w:w="12856"/>
        <w:gridCol w:w="726"/>
      </w:tblGrid>
      <w:tr w:rsidR="00DC419F" w:rsidRPr="00A605BB" w14:paraId="5093F9D1" w14:textId="77777777" w:rsidTr="003B24BE">
        <w:trPr>
          <w:trHeight w:val="336"/>
        </w:trPr>
        <w:tc>
          <w:tcPr>
            <w:tcW w:w="13582" w:type="dxa"/>
            <w:gridSpan w:val="2"/>
            <w:tcBorders>
              <w:top w:val="single" w:sz="4" w:space="0" w:color="auto"/>
              <w:left w:val="single" w:sz="4" w:space="0" w:color="auto"/>
              <w:bottom w:val="nil"/>
              <w:right w:val="single" w:sz="4" w:space="0" w:color="auto"/>
            </w:tcBorders>
            <w:shd w:val="clear" w:color="auto" w:fill="FFD400" w:themeFill="accent1"/>
            <w:noWrap/>
            <w:vAlign w:val="center"/>
            <w:hideMark/>
          </w:tcPr>
          <w:p w14:paraId="6D5AD46B" w14:textId="77777777" w:rsidR="00DC419F" w:rsidRPr="00A74D23" w:rsidRDefault="00DC419F" w:rsidP="003B24BE">
            <w:pPr>
              <w:spacing w:line="22" w:lineRule="atLeast"/>
              <w:jc w:val="both"/>
              <w:rPr>
                <w:rFonts w:asciiTheme="minorHAnsi" w:hAnsiTheme="minorHAnsi" w:cs="Open Sans"/>
                <w:b/>
                <w:bCs/>
                <w:color w:val="000000" w:themeColor="text1"/>
                <w:sz w:val="14"/>
                <w:szCs w:val="14"/>
                <w:lang w:val="fr-FR"/>
              </w:rPr>
            </w:pPr>
            <w:r w:rsidRPr="00A74D23">
              <w:rPr>
                <w:rFonts w:asciiTheme="minorHAnsi" w:hAnsiTheme="minorHAnsi" w:cs="Open Sans"/>
                <w:b/>
                <w:bCs/>
                <w:color w:val="000000" w:themeColor="text1"/>
                <w:sz w:val="16"/>
                <w:szCs w:val="16"/>
                <w:lang w:val="fr-FR"/>
              </w:rPr>
              <w:t>Activités liées à l’énergie nucléaire</w:t>
            </w:r>
          </w:p>
        </w:tc>
      </w:tr>
      <w:tr w:rsidR="00DC419F" w:rsidRPr="00A74D23" w14:paraId="4AE1A4A4" w14:textId="77777777" w:rsidTr="003B24BE">
        <w:trPr>
          <w:trHeight w:val="336"/>
        </w:trPr>
        <w:tc>
          <w:tcPr>
            <w:tcW w:w="12856" w:type="dxa"/>
            <w:tcBorders>
              <w:top w:val="nil"/>
              <w:left w:val="single" w:sz="4" w:space="0" w:color="auto"/>
              <w:bottom w:val="single" w:sz="8" w:space="0" w:color="000000"/>
              <w:right w:val="single" w:sz="8" w:space="0" w:color="000000"/>
            </w:tcBorders>
            <w:vAlign w:val="center"/>
            <w:hideMark/>
          </w:tcPr>
          <w:p w14:paraId="57E3A4F6" w14:textId="77777777" w:rsidR="00DC419F" w:rsidRPr="00A74D23" w:rsidRDefault="00DC419F" w:rsidP="003B24BE">
            <w:pPr>
              <w:spacing w:line="22" w:lineRule="atLeast"/>
              <w:jc w:val="both"/>
              <w:rPr>
                <w:rFonts w:asciiTheme="minorHAnsi" w:hAnsiTheme="minorHAnsi" w:cs="Open Sans"/>
                <w:color w:val="000000" w:themeColor="text1"/>
                <w:sz w:val="14"/>
                <w:szCs w:val="14"/>
                <w:lang w:val="fr-FR"/>
              </w:rPr>
            </w:pPr>
            <w:r w:rsidRPr="00A74D23">
              <w:rPr>
                <w:rFonts w:asciiTheme="minorHAnsi" w:hAnsiTheme="minorHAnsi" w:cs="Open Sans"/>
                <w:color w:val="000000" w:themeColor="text1"/>
                <w:sz w:val="14"/>
                <w:szCs w:val="14"/>
                <w:lang w:val="fr-FR"/>
              </w:rPr>
              <w:t>L’entreprise exerce, finance ou est exposée à des activités de recherche, de développement, de démonstration et de déploiement d’installations innovantes de production d’électricité à partir de processus nucléaires avec un minimum de déchets issus du cycle du combustible.</w:t>
            </w:r>
          </w:p>
        </w:tc>
        <w:tc>
          <w:tcPr>
            <w:tcW w:w="726" w:type="dxa"/>
            <w:tcBorders>
              <w:top w:val="nil"/>
              <w:left w:val="nil"/>
              <w:bottom w:val="nil"/>
              <w:right w:val="single" w:sz="4" w:space="0" w:color="auto"/>
            </w:tcBorders>
            <w:vAlign w:val="bottom"/>
            <w:hideMark/>
          </w:tcPr>
          <w:p w14:paraId="533C49A2" w14:textId="77777777" w:rsidR="00DC419F" w:rsidRPr="00A74D23" w:rsidRDefault="00DC419F" w:rsidP="003B24BE">
            <w:pPr>
              <w:spacing w:line="22" w:lineRule="atLeast"/>
              <w:jc w:val="both"/>
              <w:rPr>
                <w:rFonts w:asciiTheme="minorHAnsi" w:hAnsiTheme="minorHAnsi" w:cs="Open Sans"/>
                <w:color w:val="000000" w:themeColor="text1"/>
                <w:sz w:val="14"/>
                <w:szCs w:val="14"/>
              </w:rPr>
            </w:pPr>
            <w:r w:rsidRPr="00A74D23">
              <w:rPr>
                <w:rFonts w:asciiTheme="minorHAnsi" w:hAnsiTheme="minorHAnsi" w:cs="Open Sans"/>
                <w:color w:val="000000" w:themeColor="text1"/>
                <w:sz w:val="14"/>
                <w:szCs w:val="14"/>
              </w:rPr>
              <w:t>OUI</w:t>
            </w:r>
          </w:p>
        </w:tc>
      </w:tr>
      <w:tr w:rsidR="00DC419F" w:rsidRPr="00A74D23" w14:paraId="44BE5D38" w14:textId="77777777" w:rsidTr="003B24BE">
        <w:trPr>
          <w:trHeight w:val="336"/>
        </w:trPr>
        <w:tc>
          <w:tcPr>
            <w:tcW w:w="12856" w:type="dxa"/>
            <w:tcBorders>
              <w:top w:val="single" w:sz="8" w:space="0" w:color="000000"/>
              <w:left w:val="single" w:sz="4" w:space="0" w:color="auto"/>
              <w:bottom w:val="single" w:sz="4" w:space="0" w:color="auto"/>
              <w:right w:val="single" w:sz="8" w:space="0" w:color="000000"/>
            </w:tcBorders>
            <w:vAlign w:val="center"/>
            <w:hideMark/>
          </w:tcPr>
          <w:p w14:paraId="4D760AC8" w14:textId="77777777" w:rsidR="00DC419F" w:rsidRPr="00A74D23" w:rsidRDefault="00DC419F" w:rsidP="003B24BE">
            <w:pPr>
              <w:spacing w:line="22" w:lineRule="atLeast"/>
              <w:jc w:val="both"/>
              <w:rPr>
                <w:rFonts w:asciiTheme="minorHAnsi" w:hAnsiTheme="minorHAnsi" w:cs="Open Sans"/>
                <w:color w:val="000000" w:themeColor="text1"/>
                <w:sz w:val="14"/>
                <w:szCs w:val="14"/>
                <w:lang w:val="fr-FR"/>
              </w:rPr>
            </w:pPr>
            <w:r w:rsidRPr="00A74D23">
              <w:rPr>
                <w:rFonts w:asciiTheme="minorHAnsi" w:hAnsiTheme="minorHAnsi" w:cs="Open Sans"/>
                <w:color w:val="000000" w:themeColor="text1"/>
                <w:sz w:val="14"/>
                <w:szCs w:val="14"/>
                <w:lang w:val="fr-FR"/>
              </w:rPr>
              <w:t>L’entreprise exerce, finance ou est exposée à des activités de construction et d’exploitation sûre de nouvelles installations nucléaires de production d’électricité ou de chaleur industrielle, notamment à des fins de chauffage urbain ou aux fins de procédés industriels tels que la production d’hydrogène, y compris leurs mises à niveau de sûreté, utilisant les meilleures technologies disponibles.</w:t>
            </w:r>
          </w:p>
        </w:tc>
        <w:tc>
          <w:tcPr>
            <w:tcW w:w="726" w:type="dxa"/>
            <w:tcBorders>
              <w:top w:val="nil"/>
              <w:left w:val="nil"/>
              <w:bottom w:val="nil"/>
              <w:right w:val="single" w:sz="4" w:space="0" w:color="auto"/>
            </w:tcBorders>
            <w:vAlign w:val="bottom"/>
            <w:hideMark/>
          </w:tcPr>
          <w:p w14:paraId="44888761" w14:textId="77777777" w:rsidR="00DC419F" w:rsidRPr="00A74D23" w:rsidRDefault="00DC419F" w:rsidP="003B24BE">
            <w:pPr>
              <w:spacing w:line="22" w:lineRule="atLeast"/>
              <w:jc w:val="both"/>
              <w:rPr>
                <w:rFonts w:asciiTheme="minorHAnsi" w:hAnsiTheme="minorHAnsi" w:cs="Open Sans"/>
                <w:color w:val="000000" w:themeColor="text1"/>
                <w:sz w:val="14"/>
                <w:szCs w:val="14"/>
              </w:rPr>
            </w:pPr>
            <w:r w:rsidRPr="00A74D23">
              <w:rPr>
                <w:rFonts w:asciiTheme="minorHAnsi" w:hAnsiTheme="minorHAnsi" w:cs="Open Sans"/>
                <w:color w:val="000000" w:themeColor="text1"/>
                <w:sz w:val="14"/>
                <w:szCs w:val="14"/>
              </w:rPr>
              <w:t>OUI</w:t>
            </w:r>
          </w:p>
        </w:tc>
      </w:tr>
      <w:tr w:rsidR="00DC419F" w:rsidRPr="00A74D23" w14:paraId="384E845E" w14:textId="77777777" w:rsidTr="003B24BE">
        <w:trPr>
          <w:trHeight w:val="336"/>
        </w:trPr>
        <w:tc>
          <w:tcPr>
            <w:tcW w:w="12856" w:type="dxa"/>
            <w:tcBorders>
              <w:top w:val="single" w:sz="4" w:space="0" w:color="auto"/>
              <w:left w:val="single" w:sz="4" w:space="0" w:color="auto"/>
              <w:bottom w:val="single" w:sz="4" w:space="0" w:color="auto"/>
              <w:right w:val="single" w:sz="4" w:space="0" w:color="auto"/>
            </w:tcBorders>
            <w:vAlign w:val="center"/>
            <w:hideMark/>
          </w:tcPr>
          <w:p w14:paraId="560B0409" w14:textId="77777777" w:rsidR="00DC419F" w:rsidRPr="00A74D23" w:rsidRDefault="00DC419F" w:rsidP="003B24BE">
            <w:pPr>
              <w:spacing w:line="22" w:lineRule="atLeast"/>
              <w:jc w:val="both"/>
              <w:rPr>
                <w:rFonts w:asciiTheme="minorHAnsi" w:hAnsiTheme="minorHAnsi" w:cs="Open Sans"/>
                <w:color w:val="000000" w:themeColor="text1"/>
                <w:sz w:val="14"/>
                <w:szCs w:val="14"/>
                <w:lang w:val="fr-FR"/>
              </w:rPr>
            </w:pPr>
            <w:r w:rsidRPr="00A74D23">
              <w:rPr>
                <w:rFonts w:asciiTheme="minorHAnsi" w:hAnsiTheme="minorHAnsi" w:cs="Open Sans"/>
                <w:color w:val="000000" w:themeColor="text1"/>
                <w:sz w:val="14"/>
                <w:szCs w:val="14"/>
                <w:lang w:val="fr-FR"/>
              </w:rPr>
              <w:t>L’entreprise exerce, finance ou est exposée à des activités d’exploitation sûre d’installations nucléaires existantes de production d’électricité ou de chaleur industrielle, notamment à des fins de chauffage urbain ou aux fins de procédés industriels tels que la production d’hydrogène, à partir d’énergie nucléaire, y compris leurs mises à niveau de sûreté.</w:t>
            </w:r>
          </w:p>
        </w:tc>
        <w:tc>
          <w:tcPr>
            <w:tcW w:w="726" w:type="dxa"/>
            <w:tcBorders>
              <w:top w:val="nil"/>
              <w:left w:val="single" w:sz="4" w:space="0" w:color="auto"/>
              <w:bottom w:val="nil"/>
              <w:right w:val="single" w:sz="4" w:space="0" w:color="auto"/>
            </w:tcBorders>
            <w:vAlign w:val="bottom"/>
            <w:hideMark/>
          </w:tcPr>
          <w:p w14:paraId="7FA6AD2D" w14:textId="77777777" w:rsidR="00DC419F" w:rsidRPr="00A74D23" w:rsidRDefault="00DC419F" w:rsidP="003B24BE">
            <w:pPr>
              <w:spacing w:line="22" w:lineRule="atLeast"/>
              <w:jc w:val="both"/>
              <w:rPr>
                <w:rFonts w:asciiTheme="minorHAnsi" w:hAnsiTheme="minorHAnsi" w:cs="Open Sans"/>
                <w:color w:val="000000" w:themeColor="text1"/>
                <w:sz w:val="14"/>
                <w:szCs w:val="14"/>
              </w:rPr>
            </w:pPr>
            <w:r w:rsidRPr="00A74D23">
              <w:rPr>
                <w:rFonts w:asciiTheme="minorHAnsi" w:hAnsiTheme="minorHAnsi" w:cs="Open Sans"/>
                <w:color w:val="000000" w:themeColor="text1"/>
                <w:sz w:val="14"/>
                <w:szCs w:val="14"/>
              </w:rPr>
              <w:t>OUI</w:t>
            </w:r>
          </w:p>
        </w:tc>
      </w:tr>
      <w:tr w:rsidR="00DC419F" w:rsidRPr="00A605BB" w14:paraId="1E389F72" w14:textId="77777777" w:rsidTr="003B24BE">
        <w:trPr>
          <w:trHeight w:val="336"/>
        </w:trPr>
        <w:tc>
          <w:tcPr>
            <w:tcW w:w="13582" w:type="dxa"/>
            <w:gridSpan w:val="2"/>
            <w:tcBorders>
              <w:top w:val="dashed" w:sz="8" w:space="0" w:color="000000"/>
              <w:left w:val="single" w:sz="4" w:space="0" w:color="auto"/>
              <w:bottom w:val="nil"/>
              <w:right w:val="single" w:sz="4" w:space="0" w:color="auto"/>
            </w:tcBorders>
            <w:shd w:val="clear" w:color="auto" w:fill="FFD400" w:themeFill="accent1"/>
            <w:noWrap/>
            <w:vAlign w:val="center"/>
            <w:hideMark/>
          </w:tcPr>
          <w:p w14:paraId="3738EF14" w14:textId="77777777" w:rsidR="00DC419F" w:rsidRPr="00A74D23" w:rsidRDefault="00DC419F" w:rsidP="003B24BE">
            <w:pPr>
              <w:spacing w:line="22" w:lineRule="atLeast"/>
              <w:jc w:val="both"/>
              <w:rPr>
                <w:rFonts w:asciiTheme="minorHAnsi" w:hAnsiTheme="minorHAnsi" w:cs="Open Sans"/>
                <w:b/>
                <w:bCs/>
                <w:color w:val="000000" w:themeColor="text1"/>
                <w:sz w:val="14"/>
                <w:szCs w:val="14"/>
                <w:lang w:val="fr-FR"/>
              </w:rPr>
            </w:pPr>
            <w:r w:rsidRPr="00A74D23">
              <w:rPr>
                <w:rFonts w:asciiTheme="minorHAnsi" w:hAnsiTheme="minorHAnsi" w:cs="Open Sans"/>
                <w:b/>
                <w:bCs/>
                <w:color w:val="000000" w:themeColor="text1"/>
                <w:sz w:val="16"/>
                <w:szCs w:val="16"/>
                <w:lang w:val="fr-FR"/>
              </w:rPr>
              <w:t>Activités liées au gaz fossile</w:t>
            </w:r>
          </w:p>
        </w:tc>
      </w:tr>
      <w:tr w:rsidR="00DC419F" w:rsidRPr="00A74D23" w14:paraId="249DBDDD" w14:textId="77777777" w:rsidTr="003B24BE">
        <w:trPr>
          <w:trHeight w:val="336"/>
        </w:trPr>
        <w:tc>
          <w:tcPr>
            <w:tcW w:w="12856" w:type="dxa"/>
            <w:tcBorders>
              <w:top w:val="nil"/>
              <w:left w:val="single" w:sz="4" w:space="0" w:color="auto"/>
              <w:bottom w:val="single" w:sz="8" w:space="0" w:color="000000"/>
              <w:right w:val="single" w:sz="8" w:space="0" w:color="000000"/>
            </w:tcBorders>
            <w:vAlign w:val="center"/>
            <w:hideMark/>
          </w:tcPr>
          <w:p w14:paraId="7D498F55" w14:textId="77777777" w:rsidR="00DC419F" w:rsidRPr="00A74D23" w:rsidRDefault="00DC419F" w:rsidP="003B24BE">
            <w:pPr>
              <w:spacing w:line="22" w:lineRule="atLeast"/>
              <w:jc w:val="both"/>
              <w:rPr>
                <w:rFonts w:asciiTheme="minorHAnsi" w:hAnsiTheme="minorHAnsi" w:cs="Open Sans"/>
                <w:color w:val="000000" w:themeColor="text1"/>
                <w:sz w:val="14"/>
                <w:szCs w:val="14"/>
                <w:lang w:val="fr-FR"/>
              </w:rPr>
            </w:pPr>
            <w:r w:rsidRPr="00A74D23">
              <w:rPr>
                <w:rFonts w:asciiTheme="minorHAnsi" w:hAnsiTheme="minorHAnsi" w:cs="Open Sans"/>
                <w:color w:val="000000" w:themeColor="text1"/>
                <w:sz w:val="14"/>
                <w:szCs w:val="14"/>
                <w:lang w:val="fr-FR"/>
              </w:rPr>
              <w:t>L’entreprise exerce, finance ou est exposée à des activités de construction ou d’exploitation d’installations de production d’électricité à partir de combustibles fossiles gazeux.</w:t>
            </w:r>
          </w:p>
        </w:tc>
        <w:tc>
          <w:tcPr>
            <w:tcW w:w="726" w:type="dxa"/>
            <w:tcBorders>
              <w:top w:val="nil"/>
              <w:left w:val="nil"/>
              <w:bottom w:val="nil"/>
              <w:right w:val="single" w:sz="4" w:space="0" w:color="auto"/>
            </w:tcBorders>
            <w:vAlign w:val="bottom"/>
            <w:hideMark/>
          </w:tcPr>
          <w:p w14:paraId="0A0CB58E" w14:textId="77777777" w:rsidR="00DC419F" w:rsidRPr="00A74D23" w:rsidRDefault="00DC419F" w:rsidP="003B24BE">
            <w:pPr>
              <w:spacing w:line="22" w:lineRule="atLeast"/>
              <w:jc w:val="both"/>
              <w:rPr>
                <w:rFonts w:asciiTheme="minorHAnsi" w:hAnsiTheme="minorHAnsi" w:cs="Open Sans"/>
                <w:color w:val="000000" w:themeColor="text1"/>
                <w:sz w:val="14"/>
                <w:szCs w:val="14"/>
              </w:rPr>
            </w:pPr>
            <w:r w:rsidRPr="00A74D23">
              <w:rPr>
                <w:rFonts w:asciiTheme="minorHAnsi" w:hAnsiTheme="minorHAnsi" w:cs="Open Sans"/>
                <w:color w:val="000000" w:themeColor="text1"/>
                <w:sz w:val="14"/>
                <w:szCs w:val="14"/>
              </w:rPr>
              <w:t>OUI</w:t>
            </w:r>
          </w:p>
        </w:tc>
      </w:tr>
      <w:tr w:rsidR="00DC419F" w:rsidRPr="00A74D23" w14:paraId="5885ECC7" w14:textId="77777777" w:rsidTr="003B24BE">
        <w:trPr>
          <w:trHeight w:val="336"/>
        </w:trPr>
        <w:tc>
          <w:tcPr>
            <w:tcW w:w="12856" w:type="dxa"/>
            <w:tcBorders>
              <w:top w:val="single" w:sz="8" w:space="0" w:color="000000"/>
              <w:left w:val="single" w:sz="4" w:space="0" w:color="auto"/>
              <w:bottom w:val="single" w:sz="8" w:space="0" w:color="000000"/>
              <w:right w:val="single" w:sz="8" w:space="0" w:color="000000"/>
            </w:tcBorders>
            <w:vAlign w:val="center"/>
            <w:hideMark/>
          </w:tcPr>
          <w:p w14:paraId="52898061" w14:textId="77777777" w:rsidR="00DC419F" w:rsidRPr="00A74D23" w:rsidRDefault="00DC419F" w:rsidP="003B24BE">
            <w:pPr>
              <w:spacing w:line="22" w:lineRule="atLeast"/>
              <w:jc w:val="both"/>
              <w:rPr>
                <w:rFonts w:asciiTheme="minorHAnsi" w:hAnsiTheme="minorHAnsi" w:cs="Open Sans"/>
                <w:color w:val="000000" w:themeColor="text1"/>
                <w:sz w:val="14"/>
                <w:szCs w:val="14"/>
                <w:lang w:val="fr-FR"/>
              </w:rPr>
            </w:pPr>
            <w:r w:rsidRPr="00A74D23">
              <w:rPr>
                <w:rFonts w:asciiTheme="minorHAnsi" w:hAnsiTheme="minorHAnsi" w:cs="Open Sans"/>
                <w:color w:val="000000" w:themeColor="text1"/>
                <w:sz w:val="14"/>
                <w:szCs w:val="14"/>
                <w:lang w:val="fr-FR"/>
              </w:rPr>
              <w:t>L’entreprise exerce, finance ou est exposée à des activités de construction, de remise en état et d’exploitation d’installations de production combinée de chaleur/froid et d’électricité à partir de combustibles fossiles gazeux.</w:t>
            </w:r>
          </w:p>
        </w:tc>
        <w:tc>
          <w:tcPr>
            <w:tcW w:w="726" w:type="dxa"/>
            <w:tcBorders>
              <w:top w:val="nil"/>
              <w:left w:val="nil"/>
              <w:bottom w:val="nil"/>
              <w:right w:val="single" w:sz="4" w:space="0" w:color="auto"/>
            </w:tcBorders>
            <w:vAlign w:val="bottom"/>
            <w:hideMark/>
          </w:tcPr>
          <w:p w14:paraId="000EF2D1" w14:textId="77777777" w:rsidR="00DC419F" w:rsidRPr="00A74D23" w:rsidRDefault="00DC419F" w:rsidP="003B24BE">
            <w:pPr>
              <w:spacing w:line="22" w:lineRule="atLeast"/>
              <w:jc w:val="both"/>
              <w:rPr>
                <w:rFonts w:asciiTheme="minorHAnsi" w:hAnsiTheme="minorHAnsi" w:cs="Open Sans"/>
                <w:color w:val="000000" w:themeColor="text1"/>
                <w:sz w:val="14"/>
                <w:szCs w:val="14"/>
              </w:rPr>
            </w:pPr>
            <w:r w:rsidRPr="00A74D23">
              <w:rPr>
                <w:rFonts w:asciiTheme="minorHAnsi" w:hAnsiTheme="minorHAnsi" w:cs="Open Sans"/>
                <w:color w:val="000000" w:themeColor="text1"/>
                <w:sz w:val="14"/>
                <w:szCs w:val="14"/>
              </w:rPr>
              <w:t>OUI</w:t>
            </w:r>
          </w:p>
        </w:tc>
      </w:tr>
      <w:tr w:rsidR="00DC419F" w:rsidRPr="00A74D23" w14:paraId="685491FA" w14:textId="77777777" w:rsidTr="003B24BE">
        <w:trPr>
          <w:trHeight w:val="336"/>
        </w:trPr>
        <w:tc>
          <w:tcPr>
            <w:tcW w:w="12856" w:type="dxa"/>
            <w:tcBorders>
              <w:top w:val="single" w:sz="8" w:space="0" w:color="000000"/>
              <w:left w:val="single" w:sz="4" w:space="0" w:color="auto"/>
              <w:bottom w:val="single" w:sz="4" w:space="0" w:color="auto"/>
              <w:right w:val="single" w:sz="8" w:space="0" w:color="000000"/>
            </w:tcBorders>
            <w:vAlign w:val="center"/>
            <w:hideMark/>
          </w:tcPr>
          <w:p w14:paraId="24D9789F" w14:textId="77777777" w:rsidR="00DC419F" w:rsidRPr="00A74D23" w:rsidRDefault="00DC419F" w:rsidP="003B24BE">
            <w:pPr>
              <w:spacing w:line="22" w:lineRule="atLeast"/>
              <w:jc w:val="both"/>
              <w:rPr>
                <w:rFonts w:asciiTheme="minorHAnsi" w:hAnsiTheme="minorHAnsi" w:cs="Open Sans"/>
                <w:color w:val="000000" w:themeColor="text1"/>
                <w:sz w:val="14"/>
                <w:szCs w:val="14"/>
                <w:lang w:val="fr-FR"/>
              </w:rPr>
            </w:pPr>
            <w:r w:rsidRPr="00A74D23">
              <w:rPr>
                <w:rFonts w:asciiTheme="minorHAnsi" w:hAnsiTheme="minorHAnsi" w:cs="Open Sans"/>
                <w:color w:val="000000" w:themeColor="text1"/>
                <w:sz w:val="14"/>
                <w:szCs w:val="14"/>
                <w:lang w:val="fr-FR"/>
              </w:rPr>
              <w:t>L’entreprise exerce, finance ou est exposée à des activités de construction, de remise en état ou d’exploitation d’installations de production de chaleur qui produisent de la chaleur/du froid à partir de combustibles fossiles gazeux.</w:t>
            </w:r>
          </w:p>
        </w:tc>
        <w:tc>
          <w:tcPr>
            <w:tcW w:w="726" w:type="dxa"/>
            <w:tcBorders>
              <w:top w:val="nil"/>
              <w:left w:val="nil"/>
              <w:bottom w:val="single" w:sz="4" w:space="0" w:color="auto"/>
              <w:right w:val="single" w:sz="4" w:space="0" w:color="auto"/>
            </w:tcBorders>
            <w:vAlign w:val="bottom"/>
            <w:hideMark/>
          </w:tcPr>
          <w:p w14:paraId="45F52335" w14:textId="77777777" w:rsidR="00DC419F" w:rsidRPr="00A74D23" w:rsidRDefault="00DC419F" w:rsidP="003B24BE">
            <w:pPr>
              <w:spacing w:line="22" w:lineRule="atLeast"/>
              <w:jc w:val="both"/>
              <w:rPr>
                <w:rFonts w:asciiTheme="minorHAnsi" w:hAnsiTheme="minorHAnsi" w:cs="Open Sans"/>
                <w:color w:val="000000" w:themeColor="text1"/>
                <w:sz w:val="14"/>
                <w:szCs w:val="14"/>
              </w:rPr>
            </w:pPr>
            <w:r w:rsidRPr="00A74D23">
              <w:rPr>
                <w:rFonts w:asciiTheme="minorHAnsi" w:hAnsiTheme="minorHAnsi" w:cs="Open Sans"/>
                <w:color w:val="000000" w:themeColor="text1"/>
                <w:sz w:val="14"/>
                <w:szCs w:val="14"/>
              </w:rPr>
              <w:t>OUI</w:t>
            </w:r>
          </w:p>
        </w:tc>
      </w:tr>
    </w:tbl>
    <w:p w14:paraId="0F7108FA" w14:textId="77777777" w:rsidR="00DC419F" w:rsidRPr="00A74D23" w:rsidRDefault="00DC419F" w:rsidP="00DC419F">
      <w:pPr>
        <w:spacing w:line="22" w:lineRule="atLeast"/>
        <w:jc w:val="both"/>
        <w:rPr>
          <w:rFonts w:asciiTheme="minorHAnsi" w:hAnsiTheme="minorHAnsi" w:cs="Open Sans"/>
          <w:sz w:val="20"/>
        </w:rPr>
      </w:pPr>
    </w:p>
    <w:p w14:paraId="7E721A89" w14:textId="77777777" w:rsidR="00DC419F" w:rsidRPr="00A74D23" w:rsidRDefault="00DC419F" w:rsidP="00DC419F">
      <w:pPr>
        <w:spacing w:line="22" w:lineRule="atLeast"/>
        <w:jc w:val="both"/>
        <w:rPr>
          <w:rFonts w:asciiTheme="minorHAnsi" w:hAnsiTheme="minorHAnsi" w:cs="Open Sans"/>
          <w:sz w:val="20"/>
        </w:rPr>
      </w:pPr>
    </w:p>
    <w:p w14:paraId="7A70F10D" w14:textId="77777777" w:rsidR="00DC419F" w:rsidRPr="00A74D23" w:rsidRDefault="00DC419F" w:rsidP="00DC419F">
      <w:pPr>
        <w:spacing w:line="22" w:lineRule="atLeast"/>
        <w:jc w:val="both"/>
        <w:rPr>
          <w:rFonts w:asciiTheme="minorHAnsi" w:hAnsiTheme="minorHAnsi" w:cs="Open Sans"/>
          <w:sz w:val="20"/>
        </w:rPr>
      </w:pPr>
    </w:p>
    <w:tbl>
      <w:tblPr>
        <w:tblW w:w="14126" w:type="dxa"/>
        <w:tblLook w:val="04A0" w:firstRow="1" w:lastRow="0" w:firstColumn="1" w:lastColumn="0" w:noHBand="0" w:noVBand="1"/>
      </w:tblPr>
      <w:tblGrid>
        <w:gridCol w:w="3124"/>
        <w:gridCol w:w="240"/>
        <w:gridCol w:w="342"/>
        <w:gridCol w:w="2074"/>
        <w:gridCol w:w="643"/>
        <w:gridCol w:w="1562"/>
        <w:gridCol w:w="985"/>
        <w:gridCol w:w="1573"/>
        <w:gridCol w:w="1015"/>
        <w:gridCol w:w="1440"/>
        <w:gridCol w:w="1128"/>
      </w:tblGrid>
      <w:tr w:rsidR="00DC419F" w:rsidRPr="00A605BB" w14:paraId="2B8D329A" w14:textId="77777777" w:rsidTr="003B24BE">
        <w:trPr>
          <w:trHeight w:val="650"/>
        </w:trPr>
        <w:tc>
          <w:tcPr>
            <w:tcW w:w="3124" w:type="dxa"/>
            <w:vMerge w:val="restart"/>
            <w:tcBorders>
              <w:top w:val="single" w:sz="4" w:space="0" w:color="auto"/>
              <w:left w:val="single" w:sz="4" w:space="0" w:color="auto"/>
              <w:bottom w:val="nil"/>
              <w:right w:val="single" w:sz="4" w:space="0" w:color="auto"/>
            </w:tcBorders>
            <w:shd w:val="clear" w:color="auto" w:fill="FFD400" w:themeFill="accent1"/>
            <w:noWrap/>
            <w:vAlign w:val="center"/>
            <w:hideMark/>
          </w:tcPr>
          <w:p w14:paraId="59DC8684" w14:textId="77777777" w:rsidR="00DC419F" w:rsidRPr="00A74D23" w:rsidRDefault="00DC419F" w:rsidP="003B24BE">
            <w:pPr>
              <w:spacing w:line="22" w:lineRule="atLeast"/>
              <w:jc w:val="center"/>
              <w:rPr>
                <w:rFonts w:asciiTheme="minorHAnsi" w:hAnsiTheme="minorHAnsi" w:cs="Open Sans"/>
                <w:b/>
                <w:bCs/>
                <w:color w:val="000000" w:themeColor="text1"/>
                <w:sz w:val="18"/>
                <w:szCs w:val="18"/>
              </w:rPr>
            </w:pPr>
            <w:r w:rsidRPr="00A74D23">
              <w:rPr>
                <w:rFonts w:asciiTheme="minorHAnsi" w:hAnsiTheme="minorHAnsi" w:cs="Open Sans"/>
                <w:b/>
                <w:bCs/>
                <w:color w:val="000000" w:themeColor="text1"/>
                <w:sz w:val="18"/>
                <w:szCs w:val="18"/>
              </w:rPr>
              <w:t>Activités économiques</w:t>
            </w:r>
          </w:p>
        </w:tc>
        <w:tc>
          <w:tcPr>
            <w:tcW w:w="2656" w:type="dxa"/>
            <w:gridSpan w:val="3"/>
            <w:vMerge w:val="restart"/>
            <w:tcBorders>
              <w:top w:val="single" w:sz="4" w:space="0" w:color="auto"/>
              <w:left w:val="single" w:sz="4" w:space="0" w:color="auto"/>
              <w:bottom w:val="single" w:sz="4" w:space="0" w:color="auto"/>
              <w:right w:val="single" w:sz="4" w:space="0" w:color="auto"/>
            </w:tcBorders>
            <w:shd w:val="clear" w:color="auto" w:fill="FFD400" w:themeFill="accent1"/>
            <w:noWrap/>
            <w:vAlign w:val="center"/>
            <w:hideMark/>
          </w:tcPr>
          <w:p w14:paraId="7C216D76" w14:textId="77777777" w:rsidR="00DC419F" w:rsidRPr="00A74D23" w:rsidRDefault="00DC419F" w:rsidP="003B24BE">
            <w:pPr>
              <w:spacing w:line="22" w:lineRule="atLeast"/>
              <w:jc w:val="center"/>
              <w:rPr>
                <w:rFonts w:asciiTheme="minorHAnsi" w:hAnsiTheme="minorHAnsi" w:cs="Open Sans"/>
                <w:b/>
                <w:bCs/>
                <w:color w:val="000000" w:themeColor="text1"/>
                <w:sz w:val="18"/>
                <w:szCs w:val="18"/>
              </w:rPr>
            </w:pPr>
            <w:r w:rsidRPr="00A74D23">
              <w:rPr>
                <w:rFonts w:asciiTheme="minorHAnsi" w:hAnsiTheme="minorHAnsi" w:cs="Open Sans"/>
                <w:b/>
                <w:bCs/>
                <w:color w:val="000000" w:themeColor="text1"/>
                <w:sz w:val="18"/>
                <w:szCs w:val="18"/>
              </w:rPr>
              <w:t>Activité</w:t>
            </w:r>
          </w:p>
        </w:tc>
        <w:tc>
          <w:tcPr>
            <w:tcW w:w="643" w:type="dxa"/>
            <w:vMerge w:val="restart"/>
            <w:tcBorders>
              <w:top w:val="single" w:sz="4" w:space="0" w:color="auto"/>
              <w:left w:val="single" w:sz="4" w:space="0" w:color="auto"/>
              <w:bottom w:val="nil"/>
              <w:right w:val="single" w:sz="8" w:space="0" w:color="000000"/>
            </w:tcBorders>
            <w:shd w:val="clear" w:color="auto" w:fill="FFD400" w:themeFill="accent1"/>
            <w:noWrap/>
            <w:vAlign w:val="center"/>
            <w:hideMark/>
          </w:tcPr>
          <w:p w14:paraId="29713D35" w14:textId="77777777" w:rsidR="00DC419F" w:rsidRPr="00A74D23" w:rsidRDefault="00DC419F" w:rsidP="003B24BE">
            <w:pPr>
              <w:spacing w:line="22" w:lineRule="atLeast"/>
              <w:jc w:val="center"/>
              <w:rPr>
                <w:rFonts w:asciiTheme="minorHAnsi" w:hAnsiTheme="minorHAnsi" w:cs="Open Sans"/>
                <w:b/>
                <w:bCs/>
                <w:color w:val="000000" w:themeColor="text1"/>
                <w:sz w:val="18"/>
                <w:szCs w:val="18"/>
              </w:rPr>
            </w:pPr>
            <w:r w:rsidRPr="00A74D23">
              <w:rPr>
                <w:rFonts w:asciiTheme="minorHAnsi" w:hAnsiTheme="minorHAnsi" w:cs="Open Sans"/>
                <w:b/>
                <w:bCs/>
                <w:color w:val="000000" w:themeColor="text1"/>
                <w:sz w:val="18"/>
                <w:szCs w:val="18"/>
              </w:rPr>
              <w:t>Code NACE</w:t>
            </w:r>
          </w:p>
        </w:tc>
        <w:tc>
          <w:tcPr>
            <w:tcW w:w="7703" w:type="dxa"/>
            <w:gridSpan w:val="6"/>
            <w:tcBorders>
              <w:top w:val="single" w:sz="4" w:space="0" w:color="auto"/>
              <w:left w:val="dashed" w:sz="8" w:space="0" w:color="000000"/>
              <w:bottom w:val="nil"/>
              <w:right w:val="single" w:sz="4" w:space="0" w:color="auto"/>
            </w:tcBorders>
            <w:shd w:val="clear" w:color="auto" w:fill="FFD400" w:themeFill="accent1"/>
            <w:noWrap/>
            <w:vAlign w:val="center"/>
            <w:hideMark/>
          </w:tcPr>
          <w:p w14:paraId="7845DF1C" w14:textId="77777777" w:rsidR="00DC419F" w:rsidRPr="00A74D23" w:rsidRDefault="00DC419F" w:rsidP="003B24BE">
            <w:pPr>
              <w:spacing w:line="22" w:lineRule="atLeast"/>
              <w:jc w:val="center"/>
              <w:rPr>
                <w:rFonts w:asciiTheme="minorHAnsi" w:hAnsiTheme="minorHAnsi" w:cs="Open Sans"/>
                <w:b/>
                <w:bCs/>
                <w:color w:val="000000" w:themeColor="text1"/>
                <w:sz w:val="18"/>
                <w:szCs w:val="18"/>
                <w:lang w:val="fr-FR"/>
              </w:rPr>
            </w:pPr>
            <w:r w:rsidRPr="00A74D23">
              <w:rPr>
                <w:rFonts w:asciiTheme="minorHAnsi" w:hAnsiTheme="minorHAnsi" w:cs="Open Sans"/>
                <w:b/>
                <w:bCs/>
                <w:color w:val="000000" w:themeColor="text1"/>
                <w:sz w:val="18"/>
                <w:szCs w:val="18"/>
                <w:lang w:val="fr-FR"/>
              </w:rPr>
              <w:t>Montant et proportion (les informations doivent être présentées en montant monétaire et en pourcentage)</w:t>
            </w:r>
          </w:p>
        </w:tc>
      </w:tr>
      <w:tr w:rsidR="00DC419F" w:rsidRPr="00A605BB" w14:paraId="2CE6904F" w14:textId="77777777" w:rsidTr="003B24BE">
        <w:trPr>
          <w:trHeight w:val="650"/>
        </w:trPr>
        <w:tc>
          <w:tcPr>
            <w:tcW w:w="3124" w:type="dxa"/>
            <w:vMerge/>
            <w:tcBorders>
              <w:top w:val="dashed" w:sz="8" w:space="0" w:color="auto"/>
              <w:left w:val="single" w:sz="4" w:space="0" w:color="auto"/>
              <w:bottom w:val="nil"/>
              <w:right w:val="single" w:sz="4" w:space="0" w:color="auto"/>
            </w:tcBorders>
            <w:vAlign w:val="center"/>
            <w:hideMark/>
          </w:tcPr>
          <w:p w14:paraId="62DB1A7B" w14:textId="77777777" w:rsidR="00DC419F" w:rsidRPr="00A74D23" w:rsidRDefault="00DC419F" w:rsidP="003B24BE">
            <w:pPr>
              <w:spacing w:line="22" w:lineRule="atLeast"/>
              <w:jc w:val="center"/>
              <w:rPr>
                <w:rFonts w:asciiTheme="minorHAnsi" w:hAnsiTheme="minorHAnsi" w:cs="Open Sans"/>
                <w:b/>
                <w:bCs/>
                <w:color w:val="000000" w:themeColor="text1"/>
                <w:sz w:val="12"/>
                <w:szCs w:val="12"/>
                <w:lang w:val="fr-FR"/>
              </w:rPr>
            </w:pPr>
          </w:p>
        </w:tc>
        <w:tc>
          <w:tcPr>
            <w:tcW w:w="2656" w:type="dxa"/>
            <w:gridSpan w:val="3"/>
            <w:vMerge/>
            <w:tcBorders>
              <w:top w:val="dashed" w:sz="8" w:space="0" w:color="auto"/>
              <w:left w:val="single" w:sz="4" w:space="0" w:color="auto"/>
              <w:bottom w:val="single" w:sz="4" w:space="0" w:color="auto"/>
              <w:right w:val="single" w:sz="4" w:space="0" w:color="auto"/>
            </w:tcBorders>
            <w:vAlign w:val="center"/>
            <w:hideMark/>
          </w:tcPr>
          <w:p w14:paraId="0A93C70A" w14:textId="77777777" w:rsidR="00DC419F" w:rsidRPr="00A74D23" w:rsidRDefault="00DC419F" w:rsidP="003B24BE">
            <w:pPr>
              <w:spacing w:line="22" w:lineRule="atLeast"/>
              <w:jc w:val="center"/>
              <w:rPr>
                <w:rFonts w:asciiTheme="minorHAnsi" w:hAnsiTheme="minorHAnsi" w:cs="Open Sans"/>
                <w:b/>
                <w:bCs/>
                <w:color w:val="000000" w:themeColor="text1"/>
                <w:sz w:val="12"/>
                <w:szCs w:val="12"/>
                <w:lang w:val="fr-FR"/>
              </w:rPr>
            </w:pPr>
          </w:p>
        </w:tc>
        <w:tc>
          <w:tcPr>
            <w:tcW w:w="643" w:type="dxa"/>
            <w:vMerge/>
            <w:tcBorders>
              <w:top w:val="dashed" w:sz="8" w:space="0" w:color="auto"/>
              <w:left w:val="single" w:sz="4" w:space="0" w:color="auto"/>
              <w:bottom w:val="nil"/>
              <w:right w:val="single" w:sz="8" w:space="0" w:color="000000"/>
            </w:tcBorders>
            <w:vAlign w:val="center"/>
            <w:hideMark/>
          </w:tcPr>
          <w:p w14:paraId="624782C1" w14:textId="77777777" w:rsidR="00DC419F" w:rsidRPr="00A74D23" w:rsidRDefault="00DC419F" w:rsidP="003B24BE">
            <w:pPr>
              <w:spacing w:line="22" w:lineRule="atLeast"/>
              <w:jc w:val="center"/>
              <w:rPr>
                <w:rFonts w:asciiTheme="minorHAnsi" w:hAnsiTheme="minorHAnsi" w:cs="Open Sans"/>
                <w:b/>
                <w:bCs/>
                <w:color w:val="000000" w:themeColor="text1"/>
                <w:sz w:val="12"/>
                <w:szCs w:val="12"/>
                <w:lang w:val="fr-FR"/>
              </w:rPr>
            </w:pPr>
          </w:p>
        </w:tc>
        <w:tc>
          <w:tcPr>
            <w:tcW w:w="2547" w:type="dxa"/>
            <w:gridSpan w:val="2"/>
            <w:tcBorders>
              <w:top w:val="nil"/>
              <w:left w:val="nil"/>
              <w:bottom w:val="dotted" w:sz="4" w:space="0" w:color="000000"/>
              <w:right w:val="single" w:sz="12" w:space="0" w:color="FFFFFF"/>
            </w:tcBorders>
            <w:shd w:val="clear" w:color="auto" w:fill="D57B1D" w:themeFill="accent3"/>
            <w:noWrap/>
            <w:vAlign w:val="center"/>
            <w:hideMark/>
          </w:tcPr>
          <w:p w14:paraId="6C7001D3" w14:textId="77777777" w:rsidR="00DC419F" w:rsidRPr="00A74D23" w:rsidRDefault="00DC419F" w:rsidP="003B24BE">
            <w:pPr>
              <w:spacing w:line="22" w:lineRule="atLeast"/>
              <w:jc w:val="center"/>
              <w:rPr>
                <w:rFonts w:asciiTheme="minorHAnsi" w:hAnsiTheme="minorHAnsi" w:cs="Open Sans"/>
                <w:b/>
                <w:bCs/>
                <w:color w:val="000000" w:themeColor="text1"/>
                <w:sz w:val="18"/>
                <w:szCs w:val="18"/>
              </w:rPr>
            </w:pPr>
            <w:r w:rsidRPr="00A74D23">
              <w:rPr>
                <w:rFonts w:asciiTheme="minorHAnsi" w:hAnsiTheme="minorHAnsi" w:cs="Open Sans"/>
                <w:b/>
                <w:bCs/>
                <w:color w:val="000000" w:themeColor="text1"/>
                <w:sz w:val="18"/>
                <w:szCs w:val="18"/>
              </w:rPr>
              <w:t>(CCM+CCA)</w:t>
            </w:r>
          </w:p>
        </w:tc>
        <w:tc>
          <w:tcPr>
            <w:tcW w:w="2588" w:type="dxa"/>
            <w:gridSpan w:val="2"/>
            <w:tcBorders>
              <w:top w:val="nil"/>
              <w:left w:val="single" w:sz="8" w:space="0" w:color="000000"/>
              <w:bottom w:val="dotted" w:sz="4" w:space="0" w:color="000000"/>
              <w:right w:val="single" w:sz="12" w:space="0" w:color="FFFFFF"/>
            </w:tcBorders>
            <w:shd w:val="clear" w:color="auto" w:fill="D57B1D" w:themeFill="accent3"/>
            <w:noWrap/>
            <w:vAlign w:val="center"/>
            <w:hideMark/>
          </w:tcPr>
          <w:p w14:paraId="2002E215" w14:textId="77777777" w:rsidR="00DC419F" w:rsidRPr="00A74D23" w:rsidRDefault="00DC419F" w:rsidP="003B24BE">
            <w:pPr>
              <w:spacing w:line="22" w:lineRule="atLeast"/>
              <w:jc w:val="center"/>
              <w:rPr>
                <w:rFonts w:asciiTheme="minorHAnsi" w:hAnsiTheme="minorHAnsi" w:cs="Open Sans"/>
                <w:b/>
                <w:bCs/>
                <w:color w:val="000000" w:themeColor="text1"/>
                <w:sz w:val="18"/>
                <w:szCs w:val="18"/>
                <w:lang w:val="fr-FR"/>
              </w:rPr>
            </w:pPr>
            <w:r w:rsidRPr="00A74D23">
              <w:rPr>
                <w:rFonts w:asciiTheme="minorHAnsi" w:hAnsiTheme="minorHAnsi" w:cs="Open Sans"/>
                <w:b/>
                <w:bCs/>
                <w:color w:val="000000" w:themeColor="text1"/>
                <w:sz w:val="18"/>
                <w:szCs w:val="18"/>
                <w:lang w:val="fr-FR"/>
              </w:rPr>
              <w:t>Atténuation du changement climatique (CCM)</w:t>
            </w:r>
          </w:p>
        </w:tc>
        <w:tc>
          <w:tcPr>
            <w:tcW w:w="2568" w:type="dxa"/>
            <w:gridSpan w:val="2"/>
            <w:tcBorders>
              <w:top w:val="nil"/>
              <w:left w:val="single" w:sz="8" w:space="0" w:color="000000"/>
              <w:bottom w:val="dotted" w:sz="4" w:space="0" w:color="000000"/>
              <w:right w:val="single" w:sz="4" w:space="0" w:color="auto"/>
            </w:tcBorders>
            <w:shd w:val="clear" w:color="auto" w:fill="D57B1D" w:themeFill="accent3"/>
            <w:noWrap/>
            <w:vAlign w:val="center"/>
            <w:hideMark/>
          </w:tcPr>
          <w:p w14:paraId="29A7FECC" w14:textId="77777777" w:rsidR="00DC419F" w:rsidRPr="00A74D23" w:rsidRDefault="00DC419F" w:rsidP="003B24BE">
            <w:pPr>
              <w:spacing w:line="22" w:lineRule="atLeast"/>
              <w:jc w:val="center"/>
              <w:rPr>
                <w:rFonts w:asciiTheme="minorHAnsi" w:hAnsiTheme="minorHAnsi" w:cs="Open Sans"/>
                <w:b/>
                <w:bCs/>
                <w:color w:val="000000" w:themeColor="text1"/>
                <w:sz w:val="18"/>
                <w:szCs w:val="18"/>
                <w:lang w:val="fr-FR"/>
              </w:rPr>
            </w:pPr>
            <w:r w:rsidRPr="00A74D23">
              <w:rPr>
                <w:rFonts w:asciiTheme="minorHAnsi" w:hAnsiTheme="minorHAnsi" w:cs="Open Sans"/>
                <w:b/>
                <w:bCs/>
                <w:color w:val="000000" w:themeColor="text1"/>
                <w:sz w:val="18"/>
                <w:szCs w:val="18"/>
                <w:lang w:val="fr-FR"/>
              </w:rPr>
              <w:t>Adaptation au changement climatique (CCA)</w:t>
            </w:r>
          </w:p>
        </w:tc>
      </w:tr>
      <w:tr w:rsidR="00DC419F" w:rsidRPr="00A74D23" w14:paraId="31071107" w14:textId="77777777" w:rsidTr="003B24BE">
        <w:trPr>
          <w:trHeight w:val="650"/>
        </w:trPr>
        <w:tc>
          <w:tcPr>
            <w:tcW w:w="3124" w:type="dxa"/>
            <w:vMerge/>
            <w:tcBorders>
              <w:top w:val="dashed" w:sz="8" w:space="0" w:color="auto"/>
              <w:left w:val="single" w:sz="4" w:space="0" w:color="auto"/>
              <w:bottom w:val="single" w:sz="4" w:space="0" w:color="auto"/>
              <w:right w:val="single" w:sz="4" w:space="0" w:color="auto"/>
            </w:tcBorders>
            <w:vAlign w:val="center"/>
            <w:hideMark/>
          </w:tcPr>
          <w:p w14:paraId="243AE305" w14:textId="77777777" w:rsidR="00DC419F" w:rsidRPr="00A74D23" w:rsidRDefault="00DC419F" w:rsidP="003B24BE">
            <w:pPr>
              <w:spacing w:line="22" w:lineRule="atLeast"/>
              <w:jc w:val="center"/>
              <w:rPr>
                <w:rFonts w:asciiTheme="minorHAnsi" w:hAnsiTheme="minorHAnsi" w:cs="Open Sans"/>
                <w:b/>
                <w:bCs/>
                <w:color w:val="000000" w:themeColor="text1"/>
                <w:sz w:val="12"/>
                <w:szCs w:val="12"/>
                <w:lang w:val="fr-FR"/>
              </w:rPr>
            </w:pPr>
          </w:p>
        </w:tc>
        <w:tc>
          <w:tcPr>
            <w:tcW w:w="2656" w:type="dxa"/>
            <w:gridSpan w:val="3"/>
            <w:vMerge/>
            <w:tcBorders>
              <w:top w:val="dashed" w:sz="8" w:space="0" w:color="auto"/>
              <w:left w:val="single" w:sz="4" w:space="0" w:color="auto"/>
              <w:bottom w:val="single" w:sz="4" w:space="0" w:color="auto"/>
              <w:right w:val="single" w:sz="4" w:space="0" w:color="auto"/>
            </w:tcBorders>
            <w:vAlign w:val="center"/>
            <w:hideMark/>
          </w:tcPr>
          <w:p w14:paraId="0223F2C3" w14:textId="77777777" w:rsidR="00DC419F" w:rsidRPr="00A74D23" w:rsidRDefault="00DC419F" w:rsidP="003B24BE">
            <w:pPr>
              <w:spacing w:line="22" w:lineRule="atLeast"/>
              <w:jc w:val="center"/>
              <w:rPr>
                <w:rFonts w:asciiTheme="minorHAnsi" w:hAnsiTheme="minorHAnsi" w:cs="Open Sans"/>
                <w:b/>
                <w:bCs/>
                <w:color w:val="000000" w:themeColor="text1"/>
                <w:sz w:val="12"/>
                <w:szCs w:val="12"/>
                <w:lang w:val="fr-FR"/>
              </w:rPr>
            </w:pPr>
          </w:p>
        </w:tc>
        <w:tc>
          <w:tcPr>
            <w:tcW w:w="643" w:type="dxa"/>
            <w:vMerge/>
            <w:tcBorders>
              <w:top w:val="dashed" w:sz="8" w:space="0" w:color="auto"/>
              <w:left w:val="single" w:sz="4" w:space="0" w:color="auto"/>
              <w:bottom w:val="single" w:sz="4" w:space="0" w:color="auto"/>
              <w:right w:val="single" w:sz="8" w:space="0" w:color="000000"/>
            </w:tcBorders>
            <w:vAlign w:val="center"/>
            <w:hideMark/>
          </w:tcPr>
          <w:p w14:paraId="3824E24E" w14:textId="77777777" w:rsidR="00DC419F" w:rsidRPr="00A74D23" w:rsidRDefault="00DC419F" w:rsidP="003B24BE">
            <w:pPr>
              <w:spacing w:line="22" w:lineRule="atLeast"/>
              <w:jc w:val="center"/>
              <w:rPr>
                <w:rFonts w:asciiTheme="minorHAnsi" w:hAnsiTheme="minorHAnsi" w:cs="Open Sans"/>
                <w:b/>
                <w:bCs/>
                <w:color w:val="000000" w:themeColor="text1"/>
                <w:sz w:val="12"/>
                <w:szCs w:val="12"/>
                <w:lang w:val="fr-FR"/>
              </w:rPr>
            </w:pPr>
          </w:p>
        </w:tc>
        <w:tc>
          <w:tcPr>
            <w:tcW w:w="1562" w:type="dxa"/>
            <w:tcBorders>
              <w:top w:val="nil"/>
              <w:left w:val="dotted" w:sz="4" w:space="0" w:color="000000"/>
              <w:bottom w:val="single" w:sz="4" w:space="0" w:color="auto"/>
              <w:right w:val="dotted" w:sz="4" w:space="0" w:color="000000"/>
            </w:tcBorders>
            <w:vAlign w:val="center"/>
            <w:hideMark/>
          </w:tcPr>
          <w:p w14:paraId="7A0A9E68" w14:textId="77777777" w:rsidR="00DC419F" w:rsidRPr="00A74D23" w:rsidRDefault="00DC419F" w:rsidP="003B24BE">
            <w:pPr>
              <w:spacing w:line="22" w:lineRule="atLeast"/>
              <w:jc w:val="center"/>
              <w:rPr>
                <w:rFonts w:asciiTheme="minorHAnsi" w:hAnsiTheme="minorHAnsi" w:cs="Open Sans"/>
                <w:b/>
                <w:bCs/>
                <w:color w:val="000000" w:themeColor="text1"/>
                <w:sz w:val="12"/>
                <w:szCs w:val="12"/>
              </w:rPr>
            </w:pPr>
            <w:r w:rsidRPr="00A74D23">
              <w:rPr>
                <w:rFonts w:asciiTheme="minorHAnsi" w:hAnsiTheme="minorHAnsi" w:cs="Open Sans"/>
                <w:b/>
                <w:bCs/>
                <w:color w:val="000000" w:themeColor="text1"/>
                <w:sz w:val="12"/>
                <w:szCs w:val="12"/>
              </w:rPr>
              <w:t>Montant</w:t>
            </w:r>
          </w:p>
        </w:tc>
        <w:tc>
          <w:tcPr>
            <w:tcW w:w="985" w:type="dxa"/>
            <w:tcBorders>
              <w:top w:val="nil"/>
              <w:left w:val="nil"/>
              <w:bottom w:val="single" w:sz="4" w:space="0" w:color="auto"/>
              <w:right w:val="dotted" w:sz="4" w:space="0" w:color="000000"/>
            </w:tcBorders>
            <w:vAlign w:val="center"/>
            <w:hideMark/>
          </w:tcPr>
          <w:p w14:paraId="046BE4FC" w14:textId="77777777" w:rsidR="00DC419F" w:rsidRPr="00A74D23" w:rsidRDefault="00DC419F" w:rsidP="003B24BE">
            <w:pPr>
              <w:spacing w:line="22" w:lineRule="atLeast"/>
              <w:jc w:val="center"/>
              <w:rPr>
                <w:rFonts w:asciiTheme="minorHAnsi" w:hAnsiTheme="minorHAnsi" w:cs="Open Sans"/>
                <w:b/>
                <w:bCs/>
                <w:color w:val="000000" w:themeColor="text1"/>
                <w:sz w:val="12"/>
                <w:szCs w:val="12"/>
              </w:rPr>
            </w:pPr>
            <w:r w:rsidRPr="00A74D23">
              <w:rPr>
                <w:rFonts w:asciiTheme="minorHAnsi" w:hAnsiTheme="minorHAnsi" w:cs="Open Sans"/>
                <w:b/>
                <w:bCs/>
                <w:color w:val="000000" w:themeColor="text1"/>
                <w:sz w:val="12"/>
                <w:szCs w:val="12"/>
              </w:rPr>
              <w:t>%</w:t>
            </w:r>
          </w:p>
        </w:tc>
        <w:tc>
          <w:tcPr>
            <w:tcW w:w="1573" w:type="dxa"/>
            <w:tcBorders>
              <w:top w:val="nil"/>
              <w:left w:val="nil"/>
              <w:bottom w:val="single" w:sz="4" w:space="0" w:color="auto"/>
              <w:right w:val="dotted" w:sz="4" w:space="0" w:color="000000"/>
            </w:tcBorders>
            <w:vAlign w:val="center"/>
            <w:hideMark/>
          </w:tcPr>
          <w:p w14:paraId="3A3C4BEC" w14:textId="77777777" w:rsidR="00DC419F" w:rsidRPr="00A74D23" w:rsidRDefault="00DC419F" w:rsidP="003B24BE">
            <w:pPr>
              <w:spacing w:line="22" w:lineRule="atLeast"/>
              <w:jc w:val="center"/>
              <w:rPr>
                <w:rFonts w:asciiTheme="minorHAnsi" w:hAnsiTheme="minorHAnsi" w:cs="Open Sans"/>
                <w:b/>
                <w:bCs/>
                <w:color w:val="000000" w:themeColor="text1"/>
                <w:sz w:val="12"/>
                <w:szCs w:val="12"/>
              </w:rPr>
            </w:pPr>
            <w:r w:rsidRPr="00A74D23">
              <w:rPr>
                <w:rFonts w:asciiTheme="minorHAnsi" w:hAnsiTheme="minorHAnsi" w:cs="Open Sans"/>
                <w:b/>
                <w:bCs/>
                <w:color w:val="000000" w:themeColor="text1"/>
                <w:sz w:val="12"/>
                <w:szCs w:val="12"/>
              </w:rPr>
              <w:t>Montant</w:t>
            </w:r>
          </w:p>
        </w:tc>
        <w:tc>
          <w:tcPr>
            <w:tcW w:w="1015" w:type="dxa"/>
            <w:tcBorders>
              <w:top w:val="nil"/>
              <w:left w:val="nil"/>
              <w:bottom w:val="single" w:sz="4" w:space="0" w:color="auto"/>
              <w:right w:val="dotted" w:sz="4" w:space="0" w:color="000000"/>
            </w:tcBorders>
            <w:vAlign w:val="center"/>
            <w:hideMark/>
          </w:tcPr>
          <w:p w14:paraId="3639754D" w14:textId="77777777" w:rsidR="00DC419F" w:rsidRPr="00A74D23" w:rsidRDefault="00DC419F" w:rsidP="003B24BE">
            <w:pPr>
              <w:spacing w:line="22" w:lineRule="atLeast"/>
              <w:jc w:val="center"/>
              <w:rPr>
                <w:rFonts w:asciiTheme="minorHAnsi" w:hAnsiTheme="minorHAnsi" w:cs="Open Sans"/>
                <w:b/>
                <w:bCs/>
                <w:color w:val="000000" w:themeColor="text1"/>
                <w:sz w:val="12"/>
                <w:szCs w:val="12"/>
              </w:rPr>
            </w:pPr>
            <w:r w:rsidRPr="00A74D23">
              <w:rPr>
                <w:rFonts w:asciiTheme="minorHAnsi" w:hAnsiTheme="minorHAnsi" w:cs="Open Sans"/>
                <w:b/>
                <w:bCs/>
                <w:color w:val="000000" w:themeColor="text1"/>
                <w:sz w:val="12"/>
                <w:szCs w:val="12"/>
              </w:rPr>
              <w:t>%</w:t>
            </w:r>
          </w:p>
        </w:tc>
        <w:tc>
          <w:tcPr>
            <w:tcW w:w="1440" w:type="dxa"/>
            <w:tcBorders>
              <w:top w:val="nil"/>
              <w:left w:val="nil"/>
              <w:bottom w:val="single" w:sz="4" w:space="0" w:color="auto"/>
              <w:right w:val="dotted" w:sz="4" w:space="0" w:color="000000"/>
            </w:tcBorders>
            <w:vAlign w:val="center"/>
            <w:hideMark/>
          </w:tcPr>
          <w:p w14:paraId="5555D946" w14:textId="77777777" w:rsidR="00DC419F" w:rsidRPr="00A74D23" w:rsidRDefault="00DC419F" w:rsidP="003B24BE">
            <w:pPr>
              <w:spacing w:line="22" w:lineRule="atLeast"/>
              <w:jc w:val="center"/>
              <w:rPr>
                <w:rFonts w:asciiTheme="minorHAnsi" w:hAnsiTheme="minorHAnsi" w:cs="Open Sans"/>
                <w:b/>
                <w:bCs/>
                <w:color w:val="000000" w:themeColor="text1"/>
                <w:sz w:val="12"/>
                <w:szCs w:val="12"/>
              </w:rPr>
            </w:pPr>
            <w:r w:rsidRPr="00A74D23">
              <w:rPr>
                <w:rFonts w:asciiTheme="minorHAnsi" w:hAnsiTheme="minorHAnsi" w:cs="Open Sans"/>
                <w:b/>
                <w:bCs/>
                <w:color w:val="000000" w:themeColor="text1"/>
                <w:sz w:val="12"/>
                <w:szCs w:val="12"/>
              </w:rPr>
              <w:t>Montant</w:t>
            </w:r>
          </w:p>
        </w:tc>
        <w:tc>
          <w:tcPr>
            <w:tcW w:w="1128" w:type="dxa"/>
            <w:tcBorders>
              <w:top w:val="nil"/>
              <w:left w:val="nil"/>
              <w:bottom w:val="single" w:sz="4" w:space="0" w:color="auto"/>
              <w:right w:val="single" w:sz="4" w:space="0" w:color="auto"/>
            </w:tcBorders>
            <w:vAlign w:val="center"/>
            <w:hideMark/>
          </w:tcPr>
          <w:p w14:paraId="597D2526" w14:textId="77777777" w:rsidR="00DC419F" w:rsidRPr="00A74D23" w:rsidRDefault="00DC419F" w:rsidP="003B24BE">
            <w:pPr>
              <w:spacing w:line="22" w:lineRule="atLeast"/>
              <w:jc w:val="center"/>
              <w:rPr>
                <w:rFonts w:asciiTheme="minorHAnsi" w:hAnsiTheme="minorHAnsi" w:cs="Open Sans"/>
                <w:b/>
                <w:bCs/>
                <w:color w:val="000000" w:themeColor="text1"/>
                <w:sz w:val="12"/>
                <w:szCs w:val="12"/>
              </w:rPr>
            </w:pPr>
            <w:r w:rsidRPr="00A74D23">
              <w:rPr>
                <w:rFonts w:asciiTheme="minorHAnsi" w:hAnsiTheme="minorHAnsi" w:cs="Open Sans"/>
                <w:b/>
                <w:bCs/>
                <w:color w:val="000000" w:themeColor="text1"/>
                <w:sz w:val="12"/>
                <w:szCs w:val="12"/>
              </w:rPr>
              <w:t>%</w:t>
            </w:r>
          </w:p>
        </w:tc>
      </w:tr>
      <w:tr w:rsidR="00DC419F" w:rsidRPr="00A74D23" w14:paraId="00E7C81C" w14:textId="77777777" w:rsidTr="003B24BE">
        <w:trPr>
          <w:trHeight w:val="650"/>
        </w:trPr>
        <w:tc>
          <w:tcPr>
            <w:tcW w:w="3124" w:type="dxa"/>
            <w:tcBorders>
              <w:top w:val="single" w:sz="4" w:space="0" w:color="auto"/>
              <w:left w:val="single" w:sz="4" w:space="0" w:color="auto"/>
              <w:bottom w:val="dotted" w:sz="4" w:space="0" w:color="000000"/>
              <w:right w:val="dotted" w:sz="4" w:space="0" w:color="000000"/>
            </w:tcBorders>
            <w:vAlign w:val="center"/>
            <w:hideMark/>
          </w:tcPr>
          <w:p w14:paraId="7724F46F"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Montant et proportion de l’activité économique alignée sur la taxinomie visée à la section 4.26 des annexes I et II du règlement délégué (UE) 2021/2139 au numérateur de l’ICP applicable</w:t>
            </w:r>
          </w:p>
        </w:tc>
        <w:tc>
          <w:tcPr>
            <w:tcW w:w="2656" w:type="dxa"/>
            <w:gridSpan w:val="3"/>
            <w:tcBorders>
              <w:top w:val="single" w:sz="4" w:space="0" w:color="auto"/>
              <w:left w:val="nil"/>
              <w:bottom w:val="dotted" w:sz="4" w:space="0" w:color="000000"/>
              <w:right w:val="dotted" w:sz="4" w:space="0" w:color="000000"/>
            </w:tcBorders>
            <w:vAlign w:val="center"/>
            <w:hideMark/>
          </w:tcPr>
          <w:p w14:paraId="5FC23DAF"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Nucléaire - Phases pré- commerciales des technologies avancées pour la production d’énergie à partir de procédés nucléaires avec un minimum de déchets issus du cycle du combustible</w:t>
            </w:r>
          </w:p>
        </w:tc>
        <w:tc>
          <w:tcPr>
            <w:tcW w:w="643" w:type="dxa"/>
            <w:tcBorders>
              <w:top w:val="single" w:sz="4" w:space="0" w:color="auto"/>
              <w:left w:val="nil"/>
              <w:bottom w:val="dotted" w:sz="4" w:space="0" w:color="000000"/>
              <w:right w:val="dotted" w:sz="4" w:space="0" w:color="000000"/>
            </w:tcBorders>
            <w:vAlign w:val="center"/>
            <w:hideMark/>
          </w:tcPr>
          <w:p w14:paraId="39C54A0D" w14:textId="77777777" w:rsidR="00DC419F" w:rsidRPr="00A74D23" w:rsidRDefault="00DC419F" w:rsidP="003B24BE">
            <w:pPr>
              <w:spacing w:line="22" w:lineRule="atLeast"/>
              <w:jc w:val="both"/>
              <w:rPr>
                <w:rFonts w:asciiTheme="minorHAnsi" w:hAnsiTheme="minorHAnsi" w:cs="Open Sans"/>
                <w:color w:val="000000" w:themeColor="text1"/>
                <w:sz w:val="12"/>
                <w:szCs w:val="12"/>
              </w:rPr>
            </w:pPr>
            <w:r w:rsidRPr="00A74D23">
              <w:rPr>
                <w:rFonts w:asciiTheme="minorHAnsi" w:hAnsiTheme="minorHAnsi" w:cs="Open Sans"/>
                <w:color w:val="000000" w:themeColor="text1"/>
                <w:sz w:val="12"/>
                <w:szCs w:val="12"/>
              </w:rPr>
              <w:t>M72 et M72.1</w:t>
            </w:r>
          </w:p>
        </w:tc>
        <w:tc>
          <w:tcPr>
            <w:tcW w:w="1562" w:type="dxa"/>
            <w:tcBorders>
              <w:top w:val="single" w:sz="4" w:space="0" w:color="auto"/>
              <w:left w:val="nil"/>
              <w:bottom w:val="dotted" w:sz="4" w:space="0" w:color="000000"/>
              <w:right w:val="dotted" w:sz="4" w:space="0" w:color="000000"/>
            </w:tcBorders>
            <w:vAlign w:val="center"/>
            <w:hideMark/>
          </w:tcPr>
          <w:p w14:paraId="60B6A8A4"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14 536 048,05 € </w:t>
            </w:r>
          </w:p>
        </w:tc>
        <w:tc>
          <w:tcPr>
            <w:tcW w:w="985" w:type="dxa"/>
            <w:tcBorders>
              <w:top w:val="single" w:sz="4" w:space="0" w:color="auto"/>
              <w:left w:val="nil"/>
              <w:bottom w:val="dotted" w:sz="4" w:space="0" w:color="000000"/>
              <w:right w:val="dotted" w:sz="4" w:space="0" w:color="000000"/>
            </w:tcBorders>
            <w:vAlign w:val="center"/>
            <w:hideMark/>
          </w:tcPr>
          <w:p w14:paraId="5A708633"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0,81%</w:t>
            </w:r>
          </w:p>
        </w:tc>
        <w:tc>
          <w:tcPr>
            <w:tcW w:w="1573" w:type="dxa"/>
            <w:tcBorders>
              <w:top w:val="single" w:sz="4" w:space="0" w:color="auto"/>
              <w:left w:val="nil"/>
              <w:bottom w:val="dotted" w:sz="4" w:space="0" w:color="000000"/>
              <w:right w:val="dotted" w:sz="4" w:space="0" w:color="000000"/>
            </w:tcBorders>
            <w:vAlign w:val="center"/>
            <w:hideMark/>
          </w:tcPr>
          <w:p w14:paraId="29D93E93"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14 536 048,05 € </w:t>
            </w:r>
          </w:p>
        </w:tc>
        <w:tc>
          <w:tcPr>
            <w:tcW w:w="1015" w:type="dxa"/>
            <w:tcBorders>
              <w:top w:val="single" w:sz="4" w:space="0" w:color="auto"/>
              <w:left w:val="nil"/>
              <w:bottom w:val="dotted" w:sz="4" w:space="0" w:color="000000"/>
              <w:right w:val="dotted" w:sz="4" w:space="0" w:color="000000"/>
            </w:tcBorders>
            <w:vAlign w:val="center"/>
            <w:hideMark/>
          </w:tcPr>
          <w:p w14:paraId="0E426466"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0,82%</w:t>
            </w:r>
          </w:p>
        </w:tc>
        <w:tc>
          <w:tcPr>
            <w:tcW w:w="1440" w:type="dxa"/>
            <w:tcBorders>
              <w:top w:val="single" w:sz="4" w:space="0" w:color="auto"/>
              <w:left w:val="nil"/>
              <w:bottom w:val="dotted" w:sz="4" w:space="0" w:color="000000"/>
              <w:right w:val="dotted" w:sz="4" w:space="0" w:color="000000"/>
            </w:tcBorders>
            <w:vAlign w:val="center"/>
            <w:hideMark/>
          </w:tcPr>
          <w:p w14:paraId="24124C1D"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   € </w:t>
            </w:r>
          </w:p>
        </w:tc>
        <w:tc>
          <w:tcPr>
            <w:tcW w:w="1128" w:type="dxa"/>
            <w:tcBorders>
              <w:top w:val="single" w:sz="4" w:space="0" w:color="auto"/>
              <w:left w:val="nil"/>
              <w:bottom w:val="dotted" w:sz="4" w:space="0" w:color="000000"/>
              <w:right w:val="single" w:sz="4" w:space="0" w:color="auto"/>
            </w:tcBorders>
            <w:vAlign w:val="center"/>
            <w:hideMark/>
          </w:tcPr>
          <w:p w14:paraId="6CFEAAB5"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0,00%</w:t>
            </w:r>
          </w:p>
        </w:tc>
      </w:tr>
      <w:tr w:rsidR="00DC419F" w:rsidRPr="00A74D23" w14:paraId="7703954E" w14:textId="77777777" w:rsidTr="003B24BE">
        <w:trPr>
          <w:trHeight w:val="650"/>
        </w:trPr>
        <w:tc>
          <w:tcPr>
            <w:tcW w:w="3124" w:type="dxa"/>
            <w:tcBorders>
              <w:top w:val="nil"/>
              <w:left w:val="single" w:sz="4" w:space="0" w:color="auto"/>
              <w:bottom w:val="dotted" w:sz="4" w:space="0" w:color="000000"/>
              <w:right w:val="dotted" w:sz="4" w:space="0" w:color="000000"/>
            </w:tcBorders>
            <w:vAlign w:val="center"/>
            <w:hideMark/>
          </w:tcPr>
          <w:p w14:paraId="56F49271"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Montant et proportion de l’activité économique alignée sur la taxinomie visée à la section 4.27 des annexes I et II du règlement délégué (UE) 2021/2139 au numérateur de l’ICP applicable</w:t>
            </w:r>
          </w:p>
        </w:tc>
        <w:tc>
          <w:tcPr>
            <w:tcW w:w="2656" w:type="dxa"/>
            <w:gridSpan w:val="3"/>
            <w:tcBorders>
              <w:top w:val="dotted" w:sz="4" w:space="0" w:color="000000"/>
              <w:left w:val="nil"/>
              <w:bottom w:val="dotted" w:sz="4" w:space="0" w:color="000000"/>
              <w:right w:val="dotted" w:sz="4" w:space="0" w:color="000000"/>
            </w:tcBorders>
            <w:vAlign w:val="center"/>
            <w:hideMark/>
          </w:tcPr>
          <w:p w14:paraId="7FA2E2B3"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Nucléaire - construction et exploitation de nouvelles centrales</w:t>
            </w:r>
          </w:p>
        </w:tc>
        <w:tc>
          <w:tcPr>
            <w:tcW w:w="643" w:type="dxa"/>
            <w:tcBorders>
              <w:top w:val="nil"/>
              <w:left w:val="nil"/>
              <w:bottom w:val="dotted" w:sz="4" w:space="0" w:color="000000"/>
              <w:right w:val="dotted" w:sz="4" w:space="0" w:color="000000"/>
            </w:tcBorders>
            <w:vAlign w:val="center"/>
            <w:hideMark/>
          </w:tcPr>
          <w:p w14:paraId="26DFD6AE" w14:textId="77777777" w:rsidR="00DC419F" w:rsidRPr="00A74D23" w:rsidRDefault="00DC419F" w:rsidP="003B24BE">
            <w:pPr>
              <w:spacing w:line="22" w:lineRule="atLeast"/>
              <w:jc w:val="both"/>
              <w:rPr>
                <w:rFonts w:asciiTheme="minorHAnsi" w:hAnsiTheme="minorHAnsi" w:cs="Open Sans"/>
                <w:color w:val="000000" w:themeColor="text1"/>
                <w:sz w:val="12"/>
                <w:szCs w:val="12"/>
              </w:rPr>
            </w:pPr>
            <w:r w:rsidRPr="00A74D23">
              <w:rPr>
                <w:rFonts w:asciiTheme="minorHAnsi" w:hAnsiTheme="minorHAnsi" w:cs="Open Sans"/>
                <w:color w:val="000000" w:themeColor="text1"/>
                <w:sz w:val="12"/>
                <w:szCs w:val="12"/>
              </w:rPr>
              <w:t>D35.11 et F42.22</w:t>
            </w:r>
          </w:p>
        </w:tc>
        <w:tc>
          <w:tcPr>
            <w:tcW w:w="1562" w:type="dxa"/>
            <w:tcBorders>
              <w:top w:val="nil"/>
              <w:left w:val="nil"/>
              <w:bottom w:val="dotted" w:sz="4" w:space="0" w:color="000000"/>
              <w:right w:val="dotted" w:sz="4" w:space="0" w:color="000000"/>
            </w:tcBorders>
            <w:vAlign w:val="center"/>
            <w:hideMark/>
          </w:tcPr>
          <w:p w14:paraId="743B892E"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24 012 326,07 € </w:t>
            </w:r>
          </w:p>
        </w:tc>
        <w:tc>
          <w:tcPr>
            <w:tcW w:w="985" w:type="dxa"/>
            <w:tcBorders>
              <w:top w:val="nil"/>
              <w:left w:val="nil"/>
              <w:bottom w:val="dotted" w:sz="4" w:space="0" w:color="000000"/>
              <w:right w:val="dotted" w:sz="4" w:space="0" w:color="000000"/>
            </w:tcBorders>
            <w:vAlign w:val="center"/>
            <w:hideMark/>
          </w:tcPr>
          <w:p w14:paraId="2B0A9DDA"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1,33%</w:t>
            </w:r>
          </w:p>
        </w:tc>
        <w:tc>
          <w:tcPr>
            <w:tcW w:w="1573" w:type="dxa"/>
            <w:tcBorders>
              <w:top w:val="nil"/>
              <w:left w:val="nil"/>
              <w:bottom w:val="dotted" w:sz="4" w:space="0" w:color="000000"/>
              <w:right w:val="dotted" w:sz="4" w:space="0" w:color="000000"/>
            </w:tcBorders>
            <w:vAlign w:val="center"/>
            <w:hideMark/>
          </w:tcPr>
          <w:p w14:paraId="51567CA6"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24 012 326,07 € </w:t>
            </w:r>
          </w:p>
        </w:tc>
        <w:tc>
          <w:tcPr>
            <w:tcW w:w="1015" w:type="dxa"/>
            <w:tcBorders>
              <w:top w:val="nil"/>
              <w:left w:val="nil"/>
              <w:bottom w:val="dotted" w:sz="4" w:space="0" w:color="000000"/>
              <w:right w:val="dotted" w:sz="4" w:space="0" w:color="000000"/>
            </w:tcBorders>
            <w:vAlign w:val="center"/>
            <w:hideMark/>
          </w:tcPr>
          <w:p w14:paraId="7DF8DEF1"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1,36%</w:t>
            </w:r>
          </w:p>
        </w:tc>
        <w:tc>
          <w:tcPr>
            <w:tcW w:w="1440" w:type="dxa"/>
            <w:tcBorders>
              <w:top w:val="nil"/>
              <w:left w:val="nil"/>
              <w:bottom w:val="dotted" w:sz="4" w:space="0" w:color="000000"/>
              <w:right w:val="dotted" w:sz="4" w:space="0" w:color="000000"/>
            </w:tcBorders>
            <w:vAlign w:val="center"/>
            <w:hideMark/>
          </w:tcPr>
          <w:p w14:paraId="4F8DC04E"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   € </w:t>
            </w:r>
          </w:p>
        </w:tc>
        <w:tc>
          <w:tcPr>
            <w:tcW w:w="1128" w:type="dxa"/>
            <w:tcBorders>
              <w:top w:val="nil"/>
              <w:left w:val="nil"/>
              <w:bottom w:val="dotted" w:sz="4" w:space="0" w:color="000000"/>
              <w:right w:val="single" w:sz="4" w:space="0" w:color="auto"/>
            </w:tcBorders>
            <w:vAlign w:val="center"/>
            <w:hideMark/>
          </w:tcPr>
          <w:p w14:paraId="0C175AD0"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0,00%</w:t>
            </w:r>
          </w:p>
        </w:tc>
      </w:tr>
      <w:tr w:rsidR="00DC419F" w:rsidRPr="00A74D23" w14:paraId="1814B72F" w14:textId="77777777" w:rsidTr="003B24BE">
        <w:trPr>
          <w:trHeight w:val="650"/>
        </w:trPr>
        <w:tc>
          <w:tcPr>
            <w:tcW w:w="3124" w:type="dxa"/>
            <w:tcBorders>
              <w:top w:val="nil"/>
              <w:left w:val="single" w:sz="4" w:space="0" w:color="auto"/>
              <w:bottom w:val="dotted" w:sz="4" w:space="0" w:color="000000"/>
              <w:right w:val="dotted" w:sz="4" w:space="0" w:color="000000"/>
            </w:tcBorders>
            <w:vAlign w:val="center"/>
            <w:hideMark/>
          </w:tcPr>
          <w:p w14:paraId="5F83D6EE"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Montant et proportion de l’activité économique alignée sur la taxinomie visée à la section 4.28 des annexes I et II du règlement délégué (UE) 2021/2139 au numérateur de l’ICP applicable</w:t>
            </w:r>
          </w:p>
        </w:tc>
        <w:tc>
          <w:tcPr>
            <w:tcW w:w="2656" w:type="dxa"/>
            <w:gridSpan w:val="3"/>
            <w:tcBorders>
              <w:top w:val="dotted" w:sz="4" w:space="0" w:color="000000"/>
              <w:left w:val="nil"/>
              <w:bottom w:val="dotted" w:sz="4" w:space="0" w:color="000000"/>
              <w:right w:val="dotted" w:sz="4" w:space="0" w:color="000000"/>
            </w:tcBorders>
            <w:vAlign w:val="center"/>
            <w:hideMark/>
          </w:tcPr>
          <w:p w14:paraId="5FD96391"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Nucléaire - production d'électricité à partir d'énergie nucléaire dans les installations existantes</w:t>
            </w:r>
          </w:p>
        </w:tc>
        <w:tc>
          <w:tcPr>
            <w:tcW w:w="643" w:type="dxa"/>
            <w:tcBorders>
              <w:top w:val="nil"/>
              <w:left w:val="nil"/>
              <w:bottom w:val="dotted" w:sz="4" w:space="0" w:color="000000"/>
              <w:right w:val="dotted" w:sz="4" w:space="0" w:color="000000"/>
            </w:tcBorders>
            <w:vAlign w:val="center"/>
            <w:hideMark/>
          </w:tcPr>
          <w:p w14:paraId="31CD9C3A" w14:textId="77777777" w:rsidR="00DC419F" w:rsidRPr="00A74D23" w:rsidRDefault="00DC419F" w:rsidP="003B24BE">
            <w:pPr>
              <w:spacing w:line="22" w:lineRule="atLeast"/>
              <w:jc w:val="both"/>
              <w:rPr>
                <w:rFonts w:asciiTheme="minorHAnsi" w:hAnsiTheme="minorHAnsi" w:cs="Open Sans"/>
                <w:color w:val="000000" w:themeColor="text1"/>
                <w:sz w:val="12"/>
                <w:szCs w:val="12"/>
              </w:rPr>
            </w:pPr>
            <w:r w:rsidRPr="00A74D23">
              <w:rPr>
                <w:rFonts w:asciiTheme="minorHAnsi" w:hAnsiTheme="minorHAnsi" w:cs="Open Sans"/>
                <w:color w:val="000000" w:themeColor="text1"/>
                <w:sz w:val="12"/>
                <w:szCs w:val="12"/>
              </w:rPr>
              <w:t>D35.11 et F42.22</w:t>
            </w:r>
          </w:p>
        </w:tc>
        <w:tc>
          <w:tcPr>
            <w:tcW w:w="1562" w:type="dxa"/>
            <w:tcBorders>
              <w:top w:val="nil"/>
              <w:left w:val="nil"/>
              <w:bottom w:val="dotted" w:sz="4" w:space="0" w:color="000000"/>
              <w:right w:val="dotted" w:sz="4" w:space="0" w:color="000000"/>
            </w:tcBorders>
            <w:vAlign w:val="center"/>
            <w:hideMark/>
          </w:tcPr>
          <w:p w14:paraId="37EF1BC9"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317 792 396,59 € </w:t>
            </w:r>
          </w:p>
        </w:tc>
        <w:tc>
          <w:tcPr>
            <w:tcW w:w="985" w:type="dxa"/>
            <w:tcBorders>
              <w:top w:val="nil"/>
              <w:left w:val="nil"/>
              <w:bottom w:val="dotted" w:sz="4" w:space="0" w:color="000000"/>
              <w:right w:val="dotted" w:sz="4" w:space="0" w:color="000000"/>
            </w:tcBorders>
            <w:vAlign w:val="center"/>
            <w:hideMark/>
          </w:tcPr>
          <w:p w14:paraId="6B09C921"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17,61%</w:t>
            </w:r>
          </w:p>
        </w:tc>
        <w:tc>
          <w:tcPr>
            <w:tcW w:w="1573" w:type="dxa"/>
            <w:tcBorders>
              <w:top w:val="nil"/>
              <w:left w:val="nil"/>
              <w:bottom w:val="dotted" w:sz="4" w:space="0" w:color="000000"/>
              <w:right w:val="dotted" w:sz="4" w:space="0" w:color="000000"/>
            </w:tcBorders>
            <w:vAlign w:val="center"/>
            <w:hideMark/>
          </w:tcPr>
          <w:p w14:paraId="7175F264"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317 792 396,59 € </w:t>
            </w:r>
          </w:p>
        </w:tc>
        <w:tc>
          <w:tcPr>
            <w:tcW w:w="1015" w:type="dxa"/>
            <w:tcBorders>
              <w:top w:val="nil"/>
              <w:left w:val="nil"/>
              <w:bottom w:val="dotted" w:sz="4" w:space="0" w:color="000000"/>
              <w:right w:val="dotted" w:sz="4" w:space="0" w:color="000000"/>
            </w:tcBorders>
            <w:vAlign w:val="center"/>
            <w:hideMark/>
          </w:tcPr>
          <w:p w14:paraId="54E0ECD3"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17,96%</w:t>
            </w:r>
          </w:p>
        </w:tc>
        <w:tc>
          <w:tcPr>
            <w:tcW w:w="1440" w:type="dxa"/>
            <w:tcBorders>
              <w:top w:val="nil"/>
              <w:left w:val="nil"/>
              <w:bottom w:val="dotted" w:sz="4" w:space="0" w:color="000000"/>
              <w:right w:val="dotted" w:sz="4" w:space="0" w:color="000000"/>
            </w:tcBorders>
            <w:vAlign w:val="center"/>
            <w:hideMark/>
          </w:tcPr>
          <w:p w14:paraId="53EA364A"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   € </w:t>
            </w:r>
          </w:p>
        </w:tc>
        <w:tc>
          <w:tcPr>
            <w:tcW w:w="1128" w:type="dxa"/>
            <w:tcBorders>
              <w:top w:val="nil"/>
              <w:left w:val="nil"/>
              <w:bottom w:val="dotted" w:sz="4" w:space="0" w:color="000000"/>
              <w:right w:val="single" w:sz="4" w:space="0" w:color="auto"/>
            </w:tcBorders>
            <w:vAlign w:val="center"/>
            <w:hideMark/>
          </w:tcPr>
          <w:p w14:paraId="5B319457"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0,00%</w:t>
            </w:r>
          </w:p>
        </w:tc>
      </w:tr>
      <w:tr w:rsidR="00DC419F" w:rsidRPr="00A74D23" w14:paraId="2B0C9644" w14:textId="77777777" w:rsidTr="003B24BE">
        <w:trPr>
          <w:trHeight w:val="650"/>
        </w:trPr>
        <w:tc>
          <w:tcPr>
            <w:tcW w:w="3124" w:type="dxa"/>
            <w:tcBorders>
              <w:top w:val="nil"/>
              <w:left w:val="single" w:sz="4" w:space="0" w:color="auto"/>
              <w:bottom w:val="dotted" w:sz="4" w:space="0" w:color="000000"/>
              <w:right w:val="dotted" w:sz="4" w:space="0" w:color="000000"/>
            </w:tcBorders>
            <w:vAlign w:val="center"/>
            <w:hideMark/>
          </w:tcPr>
          <w:p w14:paraId="6DC436ED"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Montant et proportion de l’activité économique alignée sur la taxinomie visée à la section 4.29 des annexes I et II du règlement délégué (UE) 2021/2139 au numérateur de l’ICP applicable</w:t>
            </w:r>
          </w:p>
        </w:tc>
        <w:tc>
          <w:tcPr>
            <w:tcW w:w="2656" w:type="dxa"/>
            <w:gridSpan w:val="3"/>
            <w:tcBorders>
              <w:top w:val="dotted" w:sz="4" w:space="0" w:color="000000"/>
              <w:left w:val="nil"/>
              <w:bottom w:val="dotted" w:sz="4" w:space="0" w:color="000000"/>
              <w:right w:val="dotted" w:sz="4" w:space="0" w:color="000000"/>
            </w:tcBorders>
            <w:vAlign w:val="center"/>
            <w:hideMark/>
          </w:tcPr>
          <w:p w14:paraId="1B7C0C6C"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Gaz- Production d'électricité à partir du gaz</w:t>
            </w:r>
          </w:p>
        </w:tc>
        <w:tc>
          <w:tcPr>
            <w:tcW w:w="643" w:type="dxa"/>
            <w:tcBorders>
              <w:top w:val="nil"/>
              <w:left w:val="nil"/>
              <w:bottom w:val="dotted" w:sz="4" w:space="0" w:color="000000"/>
              <w:right w:val="dotted" w:sz="4" w:space="0" w:color="000000"/>
            </w:tcBorders>
            <w:vAlign w:val="center"/>
            <w:hideMark/>
          </w:tcPr>
          <w:p w14:paraId="00F55B7D" w14:textId="77777777" w:rsidR="00DC419F" w:rsidRPr="00A74D23" w:rsidRDefault="00DC419F" w:rsidP="003B24BE">
            <w:pPr>
              <w:spacing w:line="22" w:lineRule="atLeast"/>
              <w:jc w:val="both"/>
              <w:rPr>
                <w:rFonts w:asciiTheme="minorHAnsi" w:hAnsiTheme="minorHAnsi" w:cs="Open Sans"/>
                <w:color w:val="000000" w:themeColor="text1"/>
                <w:sz w:val="12"/>
                <w:szCs w:val="12"/>
              </w:rPr>
            </w:pPr>
            <w:r w:rsidRPr="00A74D23">
              <w:rPr>
                <w:rFonts w:asciiTheme="minorHAnsi" w:hAnsiTheme="minorHAnsi" w:cs="Open Sans"/>
                <w:color w:val="000000" w:themeColor="text1"/>
                <w:sz w:val="12"/>
                <w:szCs w:val="12"/>
              </w:rPr>
              <w:t>D35.11 et F42.22</w:t>
            </w:r>
          </w:p>
        </w:tc>
        <w:tc>
          <w:tcPr>
            <w:tcW w:w="1562" w:type="dxa"/>
            <w:tcBorders>
              <w:top w:val="nil"/>
              <w:left w:val="nil"/>
              <w:bottom w:val="dotted" w:sz="4" w:space="0" w:color="000000"/>
              <w:right w:val="dotted" w:sz="4" w:space="0" w:color="000000"/>
            </w:tcBorders>
            <w:vAlign w:val="center"/>
            <w:hideMark/>
          </w:tcPr>
          <w:p w14:paraId="5FC36C20"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17 804 962,52 € </w:t>
            </w:r>
          </w:p>
        </w:tc>
        <w:tc>
          <w:tcPr>
            <w:tcW w:w="985" w:type="dxa"/>
            <w:tcBorders>
              <w:top w:val="nil"/>
              <w:left w:val="nil"/>
              <w:bottom w:val="dotted" w:sz="4" w:space="0" w:color="000000"/>
              <w:right w:val="dotted" w:sz="4" w:space="0" w:color="000000"/>
            </w:tcBorders>
            <w:vAlign w:val="center"/>
            <w:hideMark/>
          </w:tcPr>
          <w:p w14:paraId="6717FDC9"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0,99%</w:t>
            </w:r>
          </w:p>
        </w:tc>
        <w:tc>
          <w:tcPr>
            <w:tcW w:w="1573" w:type="dxa"/>
            <w:tcBorders>
              <w:top w:val="nil"/>
              <w:left w:val="nil"/>
              <w:bottom w:val="dotted" w:sz="4" w:space="0" w:color="000000"/>
              <w:right w:val="dotted" w:sz="4" w:space="0" w:color="000000"/>
            </w:tcBorders>
            <w:vAlign w:val="center"/>
            <w:hideMark/>
          </w:tcPr>
          <w:p w14:paraId="1E6FFE7C"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17 804 962,52 € </w:t>
            </w:r>
          </w:p>
        </w:tc>
        <w:tc>
          <w:tcPr>
            <w:tcW w:w="1015" w:type="dxa"/>
            <w:tcBorders>
              <w:top w:val="nil"/>
              <w:left w:val="nil"/>
              <w:bottom w:val="dotted" w:sz="4" w:space="0" w:color="000000"/>
              <w:right w:val="dotted" w:sz="4" w:space="0" w:color="000000"/>
            </w:tcBorders>
            <w:vAlign w:val="center"/>
            <w:hideMark/>
          </w:tcPr>
          <w:p w14:paraId="49829531"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1,01%</w:t>
            </w:r>
          </w:p>
        </w:tc>
        <w:tc>
          <w:tcPr>
            <w:tcW w:w="1440" w:type="dxa"/>
            <w:tcBorders>
              <w:top w:val="nil"/>
              <w:left w:val="nil"/>
              <w:bottom w:val="dotted" w:sz="4" w:space="0" w:color="000000"/>
              <w:right w:val="dotted" w:sz="4" w:space="0" w:color="000000"/>
            </w:tcBorders>
            <w:vAlign w:val="center"/>
            <w:hideMark/>
          </w:tcPr>
          <w:p w14:paraId="31A250D8"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   € </w:t>
            </w:r>
          </w:p>
        </w:tc>
        <w:tc>
          <w:tcPr>
            <w:tcW w:w="1128" w:type="dxa"/>
            <w:tcBorders>
              <w:top w:val="nil"/>
              <w:left w:val="nil"/>
              <w:bottom w:val="dotted" w:sz="4" w:space="0" w:color="000000"/>
              <w:right w:val="single" w:sz="4" w:space="0" w:color="auto"/>
            </w:tcBorders>
            <w:vAlign w:val="center"/>
            <w:hideMark/>
          </w:tcPr>
          <w:p w14:paraId="3B04325B"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0,00%</w:t>
            </w:r>
          </w:p>
        </w:tc>
      </w:tr>
      <w:tr w:rsidR="00DC419F" w:rsidRPr="00A74D23" w14:paraId="0B4BC1C2" w14:textId="77777777" w:rsidTr="003B24BE">
        <w:trPr>
          <w:trHeight w:val="650"/>
        </w:trPr>
        <w:tc>
          <w:tcPr>
            <w:tcW w:w="3124" w:type="dxa"/>
            <w:tcBorders>
              <w:top w:val="nil"/>
              <w:left w:val="single" w:sz="4" w:space="0" w:color="auto"/>
              <w:bottom w:val="dotted" w:sz="4" w:space="0" w:color="000000"/>
              <w:right w:val="dotted" w:sz="4" w:space="0" w:color="000000"/>
            </w:tcBorders>
            <w:vAlign w:val="center"/>
            <w:hideMark/>
          </w:tcPr>
          <w:p w14:paraId="1CED73F0"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Montant et proportion de l’activité économique alignée sur la taxinomie visée à la section 4.30 des annexes I et II du règlement délégué (UE) 2021/2139 au numérateur de l’ICP applicable</w:t>
            </w:r>
          </w:p>
        </w:tc>
        <w:tc>
          <w:tcPr>
            <w:tcW w:w="2656" w:type="dxa"/>
            <w:gridSpan w:val="3"/>
            <w:tcBorders>
              <w:top w:val="dotted" w:sz="4" w:space="0" w:color="000000"/>
              <w:left w:val="nil"/>
              <w:bottom w:val="dotted" w:sz="4" w:space="0" w:color="000000"/>
              <w:right w:val="dotted" w:sz="4" w:space="0" w:color="000000"/>
            </w:tcBorders>
            <w:vAlign w:val="center"/>
            <w:hideMark/>
          </w:tcPr>
          <w:p w14:paraId="5C8591BB"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Gaz - Cogénération à haut rendement de chaleur/froid et d’électricité à partir de combustibles fossiles gazeux</w:t>
            </w:r>
          </w:p>
        </w:tc>
        <w:tc>
          <w:tcPr>
            <w:tcW w:w="643" w:type="dxa"/>
            <w:tcBorders>
              <w:top w:val="nil"/>
              <w:left w:val="nil"/>
              <w:bottom w:val="dotted" w:sz="4" w:space="0" w:color="000000"/>
              <w:right w:val="dotted" w:sz="4" w:space="0" w:color="000000"/>
            </w:tcBorders>
            <w:vAlign w:val="center"/>
            <w:hideMark/>
          </w:tcPr>
          <w:p w14:paraId="0B34A115" w14:textId="77777777" w:rsidR="00DC419F" w:rsidRPr="00A74D23" w:rsidRDefault="00DC419F" w:rsidP="003B24BE">
            <w:pPr>
              <w:spacing w:line="22" w:lineRule="atLeast"/>
              <w:jc w:val="both"/>
              <w:rPr>
                <w:rFonts w:asciiTheme="minorHAnsi" w:hAnsiTheme="minorHAnsi" w:cs="Open Sans"/>
                <w:color w:val="000000" w:themeColor="text1"/>
                <w:sz w:val="12"/>
                <w:szCs w:val="12"/>
              </w:rPr>
            </w:pPr>
            <w:r w:rsidRPr="00A74D23">
              <w:rPr>
                <w:rFonts w:asciiTheme="minorHAnsi" w:hAnsiTheme="minorHAnsi" w:cs="Open Sans"/>
                <w:color w:val="000000" w:themeColor="text1"/>
                <w:sz w:val="12"/>
                <w:szCs w:val="12"/>
              </w:rPr>
              <w:t>D.35.11 et D35.30</w:t>
            </w:r>
          </w:p>
        </w:tc>
        <w:tc>
          <w:tcPr>
            <w:tcW w:w="1562" w:type="dxa"/>
            <w:tcBorders>
              <w:top w:val="nil"/>
              <w:left w:val="nil"/>
              <w:bottom w:val="dotted" w:sz="4" w:space="0" w:color="000000"/>
              <w:right w:val="dotted" w:sz="4" w:space="0" w:color="000000"/>
            </w:tcBorders>
            <w:vAlign w:val="center"/>
            <w:hideMark/>
          </w:tcPr>
          <w:p w14:paraId="7D14568D"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15 011 138,77 € </w:t>
            </w:r>
          </w:p>
        </w:tc>
        <w:tc>
          <w:tcPr>
            <w:tcW w:w="985" w:type="dxa"/>
            <w:tcBorders>
              <w:top w:val="nil"/>
              <w:left w:val="nil"/>
              <w:bottom w:val="dotted" w:sz="4" w:space="0" w:color="000000"/>
              <w:right w:val="dotted" w:sz="4" w:space="0" w:color="000000"/>
            </w:tcBorders>
            <w:vAlign w:val="center"/>
            <w:hideMark/>
          </w:tcPr>
          <w:p w14:paraId="10495AB5"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0,83%</w:t>
            </w:r>
          </w:p>
        </w:tc>
        <w:tc>
          <w:tcPr>
            <w:tcW w:w="1573" w:type="dxa"/>
            <w:tcBorders>
              <w:top w:val="nil"/>
              <w:left w:val="nil"/>
              <w:bottom w:val="dotted" w:sz="4" w:space="0" w:color="000000"/>
              <w:right w:val="dotted" w:sz="4" w:space="0" w:color="000000"/>
            </w:tcBorders>
            <w:vAlign w:val="center"/>
            <w:hideMark/>
          </w:tcPr>
          <w:p w14:paraId="6929926A"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15 011 138,77 € </w:t>
            </w:r>
          </w:p>
        </w:tc>
        <w:tc>
          <w:tcPr>
            <w:tcW w:w="1015" w:type="dxa"/>
            <w:tcBorders>
              <w:top w:val="nil"/>
              <w:left w:val="nil"/>
              <w:bottom w:val="dotted" w:sz="4" w:space="0" w:color="000000"/>
              <w:right w:val="dotted" w:sz="4" w:space="0" w:color="000000"/>
            </w:tcBorders>
            <w:vAlign w:val="center"/>
            <w:hideMark/>
          </w:tcPr>
          <w:p w14:paraId="7AE2E357" w14:textId="6620059F"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0,85</w:t>
            </w:r>
          </w:p>
        </w:tc>
        <w:tc>
          <w:tcPr>
            <w:tcW w:w="1440" w:type="dxa"/>
            <w:tcBorders>
              <w:top w:val="nil"/>
              <w:left w:val="nil"/>
              <w:bottom w:val="dotted" w:sz="4" w:space="0" w:color="000000"/>
              <w:right w:val="dotted" w:sz="4" w:space="0" w:color="000000"/>
            </w:tcBorders>
            <w:vAlign w:val="center"/>
            <w:hideMark/>
          </w:tcPr>
          <w:p w14:paraId="6D3883F4"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   € </w:t>
            </w:r>
          </w:p>
        </w:tc>
        <w:tc>
          <w:tcPr>
            <w:tcW w:w="1128" w:type="dxa"/>
            <w:tcBorders>
              <w:top w:val="nil"/>
              <w:left w:val="nil"/>
              <w:bottom w:val="dotted" w:sz="4" w:space="0" w:color="000000"/>
              <w:right w:val="single" w:sz="4" w:space="0" w:color="auto"/>
            </w:tcBorders>
            <w:vAlign w:val="center"/>
            <w:hideMark/>
          </w:tcPr>
          <w:p w14:paraId="2C2B1184"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0,00%</w:t>
            </w:r>
          </w:p>
        </w:tc>
      </w:tr>
      <w:tr w:rsidR="00DC419F" w:rsidRPr="00A74D23" w14:paraId="4331FE04" w14:textId="77777777" w:rsidTr="003B24BE">
        <w:trPr>
          <w:trHeight w:val="650"/>
        </w:trPr>
        <w:tc>
          <w:tcPr>
            <w:tcW w:w="3124" w:type="dxa"/>
            <w:tcBorders>
              <w:top w:val="nil"/>
              <w:left w:val="single" w:sz="4" w:space="0" w:color="auto"/>
              <w:bottom w:val="dotted" w:sz="4" w:space="0" w:color="000000"/>
              <w:right w:val="dotted" w:sz="4" w:space="0" w:color="000000"/>
            </w:tcBorders>
            <w:vAlign w:val="center"/>
            <w:hideMark/>
          </w:tcPr>
          <w:p w14:paraId="7454E9EB"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Montant et proportion de l’activité économique alignée sur la taxinomie visée à la section 4.31 des annexes I et II du règlement délégué (UE) 2021/2139 au numérateur de l’ICP applicable</w:t>
            </w:r>
          </w:p>
        </w:tc>
        <w:tc>
          <w:tcPr>
            <w:tcW w:w="2656" w:type="dxa"/>
            <w:gridSpan w:val="3"/>
            <w:tcBorders>
              <w:top w:val="dotted" w:sz="4" w:space="0" w:color="000000"/>
              <w:left w:val="nil"/>
              <w:bottom w:val="dotted" w:sz="4" w:space="0" w:color="000000"/>
              <w:right w:val="dotted" w:sz="4" w:space="0" w:color="000000"/>
            </w:tcBorders>
            <w:vAlign w:val="center"/>
            <w:hideMark/>
          </w:tcPr>
          <w:p w14:paraId="789ED048"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Production de chaleur/froid à partir de combustibles fossiles gazeux dans un système efficace de chauffage et de refroidissement urbain</w:t>
            </w:r>
          </w:p>
        </w:tc>
        <w:tc>
          <w:tcPr>
            <w:tcW w:w="643" w:type="dxa"/>
            <w:tcBorders>
              <w:top w:val="nil"/>
              <w:left w:val="nil"/>
              <w:bottom w:val="dotted" w:sz="4" w:space="0" w:color="000000"/>
              <w:right w:val="dotted" w:sz="4" w:space="0" w:color="000000"/>
            </w:tcBorders>
            <w:vAlign w:val="center"/>
            <w:hideMark/>
          </w:tcPr>
          <w:p w14:paraId="7FA95A5B" w14:textId="77777777" w:rsidR="00DC419F" w:rsidRPr="00A74D23" w:rsidRDefault="00DC419F" w:rsidP="003B24BE">
            <w:pPr>
              <w:spacing w:line="22" w:lineRule="atLeast"/>
              <w:jc w:val="both"/>
              <w:rPr>
                <w:rFonts w:asciiTheme="minorHAnsi" w:hAnsiTheme="minorHAnsi" w:cs="Open Sans"/>
                <w:color w:val="000000" w:themeColor="text1"/>
                <w:sz w:val="12"/>
                <w:szCs w:val="12"/>
              </w:rPr>
            </w:pPr>
            <w:r w:rsidRPr="00A74D23">
              <w:rPr>
                <w:rFonts w:asciiTheme="minorHAnsi" w:hAnsiTheme="minorHAnsi" w:cs="Open Sans"/>
                <w:color w:val="000000" w:themeColor="text1"/>
                <w:sz w:val="12"/>
                <w:szCs w:val="12"/>
              </w:rPr>
              <w:t>D35.30</w:t>
            </w:r>
          </w:p>
        </w:tc>
        <w:tc>
          <w:tcPr>
            <w:tcW w:w="1562" w:type="dxa"/>
            <w:tcBorders>
              <w:top w:val="nil"/>
              <w:left w:val="nil"/>
              <w:bottom w:val="dotted" w:sz="4" w:space="0" w:color="000000"/>
              <w:right w:val="dotted" w:sz="4" w:space="0" w:color="000000"/>
            </w:tcBorders>
            <w:vAlign w:val="center"/>
            <w:hideMark/>
          </w:tcPr>
          <w:p w14:paraId="1EFC4D2C"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15 008 587,58 € </w:t>
            </w:r>
          </w:p>
        </w:tc>
        <w:tc>
          <w:tcPr>
            <w:tcW w:w="985" w:type="dxa"/>
            <w:tcBorders>
              <w:top w:val="nil"/>
              <w:left w:val="nil"/>
              <w:bottom w:val="dotted" w:sz="4" w:space="0" w:color="000000"/>
              <w:right w:val="dotted" w:sz="4" w:space="0" w:color="000000"/>
            </w:tcBorders>
            <w:vAlign w:val="center"/>
            <w:hideMark/>
          </w:tcPr>
          <w:p w14:paraId="50294B0E"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0,83%</w:t>
            </w:r>
          </w:p>
        </w:tc>
        <w:tc>
          <w:tcPr>
            <w:tcW w:w="1573" w:type="dxa"/>
            <w:tcBorders>
              <w:top w:val="nil"/>
              <w:left w:val="nil"/>
              <w:bottom w:val="dotted" w:sz="4" w:space="0" w:color="000000"/>
              <w:right w:val="dotted" w:sz="4" w:space="0" w:color="000000"/>
            </w:tcBorders>
            <w:vAlign w:val="center"/>
            <w:hideMark/>
          </w:tcPr>
          <w:p w14:paraId="5B312928"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15 008 587,58 € </w:t>
            </w:r>
          </w:p>
        </w:tc>
        <w:tc>
          <w:tcPr>
            <w:tcW w:w="1015" w:type="dxa"/>
            <w:tcBorders>
              <w:top w:val="nil"/>
              <w:left w:val="nil"/>
              <w:bottom w:val="dotted" w:sz="4" w:space="0" w:color="000000"/>
              <w:right w:val="dotted" w:sz="4" w:space="0" w:color="000000"/>
            </w:tcBorders>
            <w:vAlign w:val="center"/>
            <w:hideMark/>
          </w:tcPr>
          <w:p w14:paraId="0804D1E8"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0,85%</w:t>
            </w:r>
          </w:p>
        </w:tc>
        <w:tc>
          <w:tcPr>
            <w:tcW w:w="1440" w:type="dxa"/>
            <w:tcBorders>
              <w:top w:val="nil"/>
              <w:left w:val="nil"/>
              <w:bottom w:val="dotted" w:sz="4" w:space="0" w:color="000000"/>
              <w:right w:val="dotted" w:sz="4" w:space="0" w:color="000000"/>
            </w:tcBorders>
            <w:vAlign w:val="center"/>
            <w:hideMark/>
          </w:tcPr>
          <w:p w14:paraId="3BF553C0"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   € </w:t>
            </w:r>
          </w:p>
        </w:tc>
        <w:tc>
          <w:tcPr>
            <w:tcW w:w="1128" w:type="dxa"/>
            <w:tcBorders>
              <w:top w:val="nil"/>
              <w:left w:val="nil"/>
              <w:bottom w:val="dotted" w:sz="4" w:space="0" w:color="000000"/>
              <w:right w:val="single" w:sz="4" w:space="0" w:color="auto"/>
            </w:tcBorders>
            <w:vAlign w:val="center"/>
            <w:hideMark/>
          </w:tcPr>
          <w:p w14:paraId="4D9AB581"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0,00%</w:t>
            </w:r>
          </w:p>
        </w:tc>
      </w:tr>
      <w:tr w:rsidR="00DC419F" w:rsidRPr="00A16482" w14:paraId="2D191E34" w14:textId="77777777" w:rsidTr="003B24BE">
        <w:trPr>
          <w:trHeight w:val="650"/>
        </w:trPr>
        <w:tc>
          <w:tcPr>
            <w:tcW w:w="3124" w:type="dxa"/>
            <w:tcBorders>
              <w:top w:val="nil"/>
              <w:left w:val="single" w:sz="4" w:space="0" w:color="auto"/>
              <w:bottom w:val="dotted" w:sz="4" w:space="0" w:color="000000"/>
              <w:right w:val="dotted" w:sz="4" w:space="0" w:color="000000"/>
            </w:tcBorders>
            <w:vAlign w:val="center"/>
            <w:hideMark/>
          </w:tcPr>
          <w:p w14:paraId="6FEAA55C"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Montant et proportion des autres activités économiques alignées sur la taxinomie non visées aux lignes 1 à 6 ci-dessus au numérateur de l’ICP applicable</w:t>
            </w:r>
          </w:p>
        </w:tc>
        <w:tc>
          <w:tcPr>
            <w:tcW w:w="240" w:type="dxa"/>
            <w:tcBorders>
              <w:top w:val="nil"/>
              <w:left w:val="nil"/>
              <w:bottom w:val="dotted" w:sz="4" w:space="0" w:color="000000"/>
              <w:right w:val="dotted" w:sz="4" w:space="0" w:color="000000"/>
            </w:tcBorders>
            <w:vAlign w:val="center"/>
            <w:hideMark/>
          </w:tcPr>
          <w:p w14:paraId="17D6A652"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342" w:type="dxa"/>
            <w:tcBorders>
              <w:top w:val="nil"/>
              <w:left w:val="nil"/>
              <w:bottom w:val="dotted" w:sz="4" w:space="0" w:color="000000"/>
              <w:right w:val="dotted" w:sz="4" w:space="0" w:color="000000"/>
            </w:tcBorders>
            <w:vAlign w:val="center"/>
            <w:hideMark/>
          </w:tcPr>
          <w:p w14:paraId="20B760D9"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2074" w:type="dxa"/>
            <w:tcBorders>
              <w:top w:val="nil"/>
              <w:left w:val="nil"/>
              <w:bottom w:val="dotted" w:sz="4" w:space="0" w:color="000000"/>
              <w:right w:val="dotted" w:sz="4" w:space="0" w:color="000000"/>
            </w:tcBorders>
            <w:vAlign w:val="center"/>
            <w:hideMark/>
          </w:tcPr>
          <w:p w14:paraId="360B1C21"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643" w:type="dxa"/>
            <w:tcBorders>
              <w:top w:val="nil"/>
              <w:left w:val="nil"/>
              <w:bottom w:val="dotted" w:sz="4" w:space="0" w:color="000000"/>
              <w:right w:val="dotted" w:sz="4" w:space="0" w:color="000000"/>
            </w:tcBorders>
            <w:vAlign w:val="center"/>
            <w:hideMark/>
          </w:tcPr>
          <w:p w14:paraId="6342F9C6"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1562" w:type="dxa"/>
            <w:tcBorders>
              <w:top w:val="nil"/>
              <w:left w:val="nil"/>
              <w:bottom w:val="dotted" w:sz="4" w:space="0" w:color="000000"/>
              <w:right w:val="dotted" w:sz="4" w:space="0" w:color="000000"/>
            </w:tcBorders>
            <w:vAlign w:val="center"/>
            <w:hideMark/>
          </w:tcPr>
          <w:p w14:paraId="1B750E54"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lang w:val="fr-FR"/>
              </w:rPr>
              <w:t xml:space="preserve">    </w:t>
            </w:r>
            <w:r w:rsidRPr="00A16482">
              <w:rPr>
                <w:rFonts w:asciiTheme="minorHAnsi" w:hAnsiTheme="minorHAnsi" w:cs="Prompt Light"/>
                <w:sz w:val="12"/>
                <w:szCs w:val="12"/>
              </w:rPr>
              <w:t xml:space="preserve">1 400 219 560,90 € </w:t>
            </w:r>
          </w:p>
        </w:tc>
        <w:tc>
          <w:tcPr>
            <w:tcW w:w="985" w:type="dxa"/>
            <w:tcBorders>
              <w:top w:val="nil"/>
              <w:left w:val="nil"/>
              <w:bottom w:val="dotted" w:sz="4" w:space="0" w:color="000000"/>
              <w:right w:val="dotted" w:sz="4" w:space="0" w:color="000000"/>
            </w:tcBorders>
            <w:vAlign w:val="center"/>
            <w:hideMark/>
          </w:tcPr>
          <w:p w14:paraId="74B3677B"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77,60%</w:t>
            </w:r>
          </w:p>
        </w:tc>
        <w:tc>
          <w:tcPr>
            <w:tcW w:w="1573" w:type="dxa"/>
            <w:tcBorders>
              <w:top w:val="nil"/>
              <w:left w:val="nil"/>
              <w:bottom w:val="dotted" w:sz="4" w:space="0" w:color="000000"/>
              <w:right w:val="dotted" w:sz="4" w:space="0" w:color="000000"/>
            </w:tcBorders>
            <w:vAlign w:val="center"/>
            <w:hideMark/>
          </w:tcPr>
          <w:p w14:paraId="2195D804"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1 365 635 810,28 € </w:t>
            </w:r>
          </w:p>
        </w:tc>
        <w:tc>
          <w:tcPr>
            <w:tcW w:w="1015" w:type="dxa"/>
            <w:tcBorders>
              <w:top w:val="nil"/>
              <w:left w:val="nil"/>
              <w:bottom w:val="dotted" w:sz="4" w:space="0" w:color="000000"/>
              <w:right w:val="dotted" w:sz="4" w:space="0" w:color="000000"/>
            </w:tcBorders>
            <w:vAlign w:val="center"/>
            <w:hideMark/>
          </w:tcPr>
          <w:p w14:paraId="0C8CCE86"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77,16%</w:t>
            </w:r>
          </w:p>
        </w:tc>
        <w:tc>
          <w:tcPr>
            <w:tcW w:w="1440" w:type="dxa"/>
            <w:tcBorders>
              <w:top w:val="nil"/>
              <w:left w:val="nil"/>
              <w:bottom w:val="dotted" w:sz="4" w:space="0" w:color="000000"/>
              <w:right w:val="dotted" w:sz="4" w:space="0" w:color="000000"/>
            </w:tcBorders>
            <w:vAlign w:val="center"/>
            <w:hideMark/>
          </w:tcPr>
          <w:p w14:paraId="10DB9F95"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34 583 750,62 € </w:t>
            </w:r>
          </w:p>
        </w:tc>
        <w:tc>
          <w:tcPr>
            <w:tcW w:w="1128" w:type="dxa"/>
            <w:tcBorders>
              <w:top w:val="nil"/>
              <w:left w:val="nil"/>
              <w:bottom w:val="dotted" w:sz="4" w:space="0" w:color="000000"/>
              <w:right w:val="single" w:sz="4" w:space="0" w:color="auto"/>
            </w:tcBorders>
            <w:vAlign w:val="center"/>
            <w:hideMark/>
          </w:tcPr>
          <w:p w14:paraId="5485D3BF"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100,00%</w:t>
            </w:r>
          </w:p>
        </w:tc>
      </w:tr>
      <w:tr w:rsidR="00DC419F" w:rsidRPr="00A16482" w14:paraId="40E5713C" w14:textId="77777777" w:rsidTr="003B24BE">
        <w:trPr>
          <w:trHeight w:val="650"/>
        </w:trPr>
        <w:tc>
          <w:tcPr>
            <w:tcW w:w="3124" w:type="dxa"/>
            <w:tcBorders>
              <w:top w:val="nil"/>
              <w:left w:val="single" w:sz="4" w:space="0" w:color="auto"/>
              <w:bottom w:val="single" w:sz="4" w:space="0" w:color="auto"/>
              <w:right w:val="dotted" w:sz="4" w:space="0" w:color="000000"/>
            </w:tcBorders>
            <w:vAlign w:val="center"/>
            <w:hideMark/>
          </w:tcPr>
          <w:p w14:paraId="37A8863C"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Montant total et proportion totale des activités économiques alignées sur la taxinomie au numérateur de l’ICP applicable</w:t>
            </w:r>
          </w:p>
        </w:tc>
        <w:tc>
          <w:tcPr>
            <w:tcW w:w="240" w:type="dxa"/>
            <w:tcBorders>
              <w:top w:val="nil"/>
              <w:left w:val="nil"/>
              <w:bottom w:val="single" w:sz="4" w:space="0" w:color="auto"/>
              <w:right w:val="dotted" w:sz="4" w:space="0" w:color="000000"/>
            </w:tcBorders>
            <w:vAlign w:val="center"/>
            <w:hideMark/>
          </w:tcPr>
          <w:p w14:paraId="5732815D"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342" w:type="dxa"/>
            <w:tcBorders>
              <w:top w:val="nil"/>
              <w:left w:val="nil"/>
              <w:bottom w:val="single" w:sz="4" w:space="0" w:color="auto"/>
              <w:right w:val="dotted" w:sz="4" w:space="0" w:color="000000"/>
            </w:tcBorders>
            <w:vAlign w:val="center"/>
            <w:hideMark/>
          </w:tcPr>
          <w:p w14:paraId="4799B742"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2074" w:type="dxa"/>
            <w:tcBorders>
              <w:top w:val="nil"/>
              <w:left w:val="nil"/>
              <w:bottom w:val="single" w:sz="4" w:space="0" w:color="auto"/>
              <w:right w:val="dotted" w:sz="4" w:space="0" w:color="000000"/>
            </w:tcBorders>
            <w:vAlign w:val="center"/>
            <w:hideMark/>
          </w:tcPr>
          <w:p w14:paraId="6F183D15"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643" w:type="dxa"/>
            <w:tcBorders>
              <w:top w:val="nil"/>
              <w:left w:val="nil"/>
              <w:bottom w:val="single" w:sz="4" w:space="0" w:color="auto"/>
              <w:right w:val="dotted" w:sz="4" w:space="0" w:color="000000"/>
            </w:tcBorders>
            <w:vAlign w:val="center"/>
            <w:hideMark/>
          </w:tcPr>
          <w:p w14:paraId="0FEC543B"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1562" w:type="dxa"/>
            <w:tcBorders>
              <w:top w:val="nil"/>
              <w:left w:val="nil"/>
              <w:bottom w:val="single" w:sz="4" w:space="0" w:color="auto"/>
              <w:right w:val="dotted" w:sz="4" w:space="0" w:color="000000"/>
            </w:tcBorders>
            <w:vAlign w:val="center"/>
            <w:hideMark/>
          </w:tcPr>
          <w:p w14:paraId="786809D0"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lang w:val="fr-FR"/>
              </w:rPr>
              <w:t xml:space="preserve">   </w:t>
            </w:r>
            <w:r w:rsidRPr="00A16482">
              <w:rPr>
                <w:rFonts w:asciiTheme="minorHAnsi" w:hAnsiTheme="minorHAnsi" w:cs="Prompt Light"/>
                <w:sz w:val="12"/>
                <w:szCs w:val="12"/>
              </w:rPr>
              <w:t xml:space="preserve">1 804 385 020,48 € </w:t>
            </w:r>
          </w:p>
        </w:tc>
        <w:tc>
          <w:tcPr>
            <w:tcW w:w="985" w:type="dxa"/>
            <w:tcBorders>
              <w:top w:val="nil"/>
              <w:left w:val="nil"/>
              <w:bottom w:val="single" w:sz="4" w:space="0" w:color="auto"/>
              <w:right w:val="dotted" w:sz="4" w:space="0" w:color="000000"/>
            </w:tcBorders>
            <w:vAlign w:val="center"/>
            <w:hideMark/>
          </w:tcPr>
          <w:p w14:paraId="4A4D5B1C"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100,00%</w:t>
            </w:r>
          </w:p>
        </w:tc>
        <w:tc>
          <w:tcPr>
            <w:tcW w:w="1573" w:type="dxa"/>
            <w:tcBorders>
              <w:top w:val="nil"/>
              <w:left w:val="nil"/>
              <w:bottom w:val="single" w:sz="4" w:space="0" w:color="auto"/>
              <w:right w:val="dotted" w:sz="4" w:space="0" w:color="000000"/>
            </w:tcBorders>
            <w:vAlign w:val="center"/>
            <w:hideMark/>
          </w:tcPr>
          <w:p w14:paraId="14AD2667"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1 769 801 269,86 € </w:t>
            </w:r>
          </w:p>
        </w:tc>
        <w:tc>
          <w:tcPr>
            <w:tcW w:w="1015" w:type="dxa"/>
            <w:tcBorders>
              <w:top w:val="nil"/>
              <w:left w:val="nil"/>
              <w:bottom w:val="single" w:sz="4" w:space="0" w:color="auto"/>
              <w:right w:val="dotted" w:sz="4" w:space="0" w:color="000000"/>
            </w:tcBorders>
            <w:vAlign w:val="center"/>
            <w:hideMark/>
          </w:tcPr>
          <w:p w14:paraId="51A7001A"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100,00%</w:t>
            </w:r>
          </w:p>
        </w:tc>
        <w:tc>
          <w:tcPr>
            <w:tcW w:w="1440" w:type="dxa"/>
            <w:tcBorders>
              <w:top w:val="nil"/>
              <w:left w:val="nil"/>
              <w:bottom w:val="single" w:sz="4" w:space="0" w:color="auto"/>
              <w:right w:val="dotted" w:sz="4" w:space="0" w:color="000000"/>
            </w:tcBorders>
            <w:vAlign w:val="center"/>
            <w:hideMark/>
          </w:tcPr>
          <w:p w14:paraId="0EBBD89D"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 xml:space="preserve">               34 583 750,62 € </w:t>
            </w:r>
          </w:p>
        </w:tc>
        <w:tc>
          <w:tcPr>
            <w:tcW w:w="1128" w:type="dxa"/>
            <w:tcBorders>
              <w:top w:val="nil"/>
              <w:left w:val="nil"/>
              <w:bottom w:val="single" w:sz="4" w:space="0" w:color="auto"/>
              <w:right w:val="single" w:sz="4" w:space="0" w:color="auto"/>
            </w:tcBorders>
            <w:vAlign w:val="center"/>
            <w:hideMark/>
          </w:tcPr>
          <w:p w14:paraId="5771B97A" w14:textId="77777777" w:rsidR="00DC419F" w:rsidRPr="00A16482" w:rsidRDefault="00DC419F" w:rsidP="003B24BE">
            <w:pPr>
              <w:spacing w:line="22" w:lineRule="atLeast"/>
              <w:jc w:val="both"/>
              <w:rPr>
                <w:rFonts w:asciiTheme="minorHAnsi" w:hAnsiTheme="minorHAnsi" w:cs="Open Sans"/>
                <w:color w:val="000000" w:themeColor="text1"/>
                <w:sz w:val="12"/>
                <w:szCs w:val="12"/>
              </w:rPr>
            </w:pPr>
            <w:r w:rsidRPr="00A16482">
              <w:rPr>
                <w:rFonts w:asciiTheme="minorHAnsi" w:hAnsiTheme="minorHAnsi" w:cs="Prompt Light"/>
                <w:sz w:val="12"/>
                <w:szCs w:val="12"/>
              </w:rPr>
              <w:t>100,00%</w:t>
            </w:r>
          </w:p>
        </w:tc>
      </w:tr>
    </w:tbl>
    <w:p w14:paraId="3D35E490" w14:textId="77777777" w:rsidR="00DC419F" w:rsidRPr="00A74D23" w:rsidRDefault="00DC419F" w:rsidP="00DC419F">
      <w:pPr>
        <w:spacing w:line="22" w:lineRule="atLeast"/>
        <w:jc w:val="both"/>
        <w:rPr>
          <w:rFonts w:asciiTheme="minorHAnsi" w:hAnsiTheme="minorHAnsi" w:cs="Open Sans"/>
          <w:sz w:val="20"/>
        </w:rPr>
      </w:pPr>
    </w:p>
    <w:p w14:paraId="578E3304" w14:textId="77777777" w:rsidR="00DC419F" w:rsidRPr="00A74D23" w:rsidRDefault="00DC419F" w:rsidP="00DC419F">
      <w:pPr>
        <w:spacing w:line="22" w:lineRule="atLeast"/>
        <w:jc w:val="both"/>
        <w:rPr>
          <w:rFonts w:asciiTheme="minorHAnsi" w:hAnsiTheme="minorHAnsi" w:cs="Open Sans"/>
          <w:sz w:val="20"/>
        </w:rPr>
      </w:pPr>
    </w:p>
    <w:p w14:paraId="0547FDF8" w14:textId="77777777" w:rsidR="00DC419F" w:rsidRPr="00A74D23" w:rsidRDefault="00DC419F" w:rsidP="00DC419F">
      <w:pPr>
        <w:spacing w:line="22" w:lineRule="atLeast"/>
        <w:jc w:val="both"/>
        <w:rPr>
          <w:rFonts w:asciiTheme="minorHAnsi" w:hAnsiTheme="minorHAnsi" w:cs="Open Sans"/>
          <w:sz w:val="20"/>
        </w:rPr>
      </w:pPr>
    </w:p>
    <w:p w14:paraId="35E6BA95" w14:textId="77777777" w:rsidR="00DC419F" w:rsidRPr="00A74D23" w:rsidRDefault="00DC419F" w:rsidP="00DC419F">
      <w:pPr>
        <w:spacing w:line="22" w:lineRule="atLeast"/>
        <w:jc w:val="both"/>
        <w:rPr>
          <w:rFonts w:asciiTheme="minorHAnsi" w:hAnsiTheme="minorHAnsi" w:cs="Open Sans"/>
          <w:sz w:val="20"/>
        </w:rPr>
      </w:pPr>
    </w:p>
    <w:p w14:paraId="6F90B567" w14:textId="77777777" w:rsidR="00DC419F" w:rsidRPr="00A74D23" w:rsidRDefault="00DC419F" w:rsidP="00DC419F">
      <w:pPr>
        <w:spacing w:line="22" w:lineRule="atLeast"/>
        <w:jc w:val="both"/>
        <w:rPr>
          <w:rFonts w:asciiTheme="minorHAnsi" w:hAnsiTheme="minorHAnsi" w:cs="Open Sans"/>
          <w:sz w:val="20"/>
        </w:rPr>
      </w:pPr>
    </w:p>
    <w:tbl>
      <w:tblPr>
        <w:tblW w:w="14222" w:type="dxa"/>
        <w:tblInd w:w="-5" w:type="dxa"/>
        <w:tblLook w:val="04A0" w:firstRow="1" w:lastRow="0" w:firstColumn="1" w:lastColumn="0" w:noHBand="0" w:noVBand="1"/>
      </w:tblPr>
      <w:tblGrid>
        <w:gridCol w:w="3161"/>
        <w:gridCol w:w="240"/>
        <w:gridCol w:w="346"/>
        <w:gridCol w:w="2102"/>
        <w:gridCol w:w="643"/>
        <w:gridCol w:w="1580"/>
        <w:gridCol w:w="993"/>
        <w:gridCol w:w="1592"/>
        <w:gridCol w:w="1027"/>
        <w:gridCol w:w="1410"/>
        <w:gridCol w:w="1128"/>
      </w:tblGrid>
      <w:tr w:rsidR="00DC419F" w:rsidRPr="00A605BB" w14:paraId="08E143FF" w14:textId="77777777" w:rsidTr="003B24BE">
        <w:trPr>
          <w:trHeight w:val="698"/>
        </w:trPr>
        <w:tc>
          <w:tcPr>
            <w:tcW w:w="3161" w:type="dxa"/>
            <w:vMerge w:val="restart"/>
            <w:tcBorders>
              <w:top w:val="single" w:sz="4" w:space="0" w:color="auto"/>
              <w:left w:val="single" w:sz="4" w:space="0" w:color="auto"/>
              <w:bottom w:val="nil"/>
              <w:right w:val="single" w:sz="4" w:space="0" w:color="auto"/>
            </w:tcBorders>
            <w:shd w:val="clear" w:color="auto" w:fill="FFD400" w:themeFill="accent1"/>
            <w:noWrap/>
            <w:vAlign w:val="center"/>
            <w:hideMark/>
          </w:tcPr>
          <w:p w14:paraId="1D8C1101" w14:textId="77777777" w:rsidR="00DC419F" w:rsidRPr="00A74D23" w:rsidRDefault="00DC419F" w:rsidP="003B24BE">
            <w:pPr>
              <w:spacing w:line="22" w:lineRule="atLeast"/>
              <w:jc w:val="center"/>
              <w:rPr>
                <w:rFonts w:asciiTheme="minorHAnsi" w:hAnsiTheme="minorHAnsi" w:cs="Open Sans"/>
                <w:b/>
                <w:bCs/>
                <w:color w:val="000000" w:themeColor="text1"/>
                <w:sz w:val="18"/>
                <w:szCs w:val="18"/>
              </w:rPr>
            </w:pPr>
            <w:r w:rsidRPr="00A74D23">
              <w:rPr>
                <w:rFonts w:asciiTheme="minorHAnsi" w:hAnsiTheme="minorHAnsi" w:cs="Open Sans"/>
                <w:b/>
                <w:bCs/>
                <w:color w:val="000000" w:themeColor="text1"/>
                <w:sz w:val="18"/>
                <w:szCs w:val="18"/>
              </w:rPr>
              <w:t>Activités économiques</w:t>
            </w:r>
          </w:p>
        </w:tc>
        <w:tc>
          <w:tcPr>
            <w:tcW w:w="2688" w:type="dxa"/>
            <w:gridSpan w:val="3"/>
            <w:vMerge w:val="restart"/>
            <w:tcBorders>
              <w:top w:val="single" w:sz="4" w:space="0" w:color="auto"/>
              <w:left w:val="single" w:sz="4" w:space="0" w:color="auto"/>
              <w:bottom w:val="single" w:sz="4" w:space="0" w:color="auto"/>
              <w:right w:val="single" w:sz="4" w:space="0" w:color="auto"/>
            </w:tcBorders>
            <w:shd w:val="clear" w:color="auto" w:fill="FFD400" w:themeFill="accent1"/>
            <w:noWrap/>
            <w:vAlign w:val="center"/>
            <w:hideMark/>
          </w:tcPr>
          <w:p w14:paraId="21750C16" w14:textId="77777777" w:rsidR="00DC419F" w:rsidRPr="00A74D23" w:rsidRDefault="00DC419F" w:rsidP="003B24BE">
            <w:pPr>
              <w:spacing w:line="22" w:lineRule="atLeast"/>
              <w:jc w:val="center"/>
              <w:rPr>
                <w:rFonts w:asciiTheme="minorHAnsi" w:hAnsiTheme="minorHAnsi" w:cs="Open Sans"/>
                <w:b/>
                <w:bCs/>
                <w:color w:val="000000" w:themeColor="text1"/>
                <w:sz w:val="18"/>
                <w:szCs w:val="18"/>
              </w:rPr>
            </w:pPr>
            <w:r w:rsidRPr="00A74D23">
              <w:rPr>
                <w:rFonts w:asciiTheme="minorHAnsi" w:hAnsiTheme="minorHAnsi" w:cs="Open Sans"/>
                <w:b/>
                <w:bCs/>
                <w:color w:val="000000" w:themeColor="text1"/>
                <w:sz w:val="18"/>
                <w:szCs w:val="18"/>
              </w:rPr>
              <w:t>Activité</w:t>
            </w:r>
          </w:p>
        </w:tc>
        <w:tc>
          <w:tcPr>
            <w:tcW w:w="643" w:type="dxa"/>
            <w:vMerge w:val="restart"/>
            <w:tcBorders>
              <w:top w:val="single" w:sz="4" w:space="0" w:color="auto"/>
              <w:left w:val="single" w:sz="4" w:space="0" w:color="auto"/>
              <w:bottom w:val="nil"/>
              <w:right w:val="single" w:sz="8" w:space="0" w:color="000000"/>
            </w:tcBorders>
            <w:shd w:val="clear" w:color="auto" w:fill="FFD400" w:themeFill="accent1"/>
            <w:noWrap/>
            <w:vAlign w:val="center"/>
            <w:hideMark/>
          </w:tcPr>
          <w:p w14:paraId="225D6EBA" w14:textId="77777777" w:rsidR="00DC419F" w:rsidRPr="00A74D23" w:rsidRDefault="00DC419F" w:rsidP="003B24BE">
            <w:pPr>
              <w:spacing w:line="22" w:lineRule="atLeast"/>
              <w:jc w:val="center"/>
              <w:rPr>
                <w:rFonts w:asciiTheme="minorHAnsi" w:hAnsiTheme="minorHAnsi" w:cs="Open Sans"/>
                <w:b/>
                <w:bCs/>
                <w:color w:val="000000" w:themeColor="text1"/>
                <w:sz w:val="18"/>
                <w:szCs w:val="18"/>
              </w:rPr>
            </w:pPr>
            <w:r w:rsidRPr="00A74D23">
              <w:rPr>
                <w:rFonts w:asciiTheme="minorHAnsi" w:hAnsiTheme="minorHAnsi" w:cs="Open Sans"/>
                <w:b/>
                <w:bCs/>
                <w:color w:val="000000" w:themeColor="text1"/>
                <w:sz w:val="18"/>
                <w:szCs w:val="18"/>
              </w:rPr>
              <w:t>Code NACE</w:t>
            </w:r>
          </w:p>
        </w:tc>
        <w:tc>
          <w:tcPr>
            <w:tcW w:w="7730" w:type="dxa"/>
            <w:gridSpan w:val="6"/>
            <w:tcBorders>
              <w:top w:val="single" w:sz="4" w:space="0" w:color="auto"/>
              <w:left w:val="dashed" w:sz="8" w:space="0" w:color="000000"/>
              <w:bottom w:val="nil"/>
              <w:right w:val="single" w:sz="4" w:space="0" w:color="auto"/>
            </w:tcBorders>
            <w:shd w:val="clear" w:color="auto" w:fill="FFD400" w:themeFill="accent1"/>
            <w:noWrap/>
            <w:vAlign w:val="center"/>
            <w:hideMark/>
          </w:tcPr>
          <w:p w14:paraId="756D9B07" w14:textId="77777777" w:rsidR="00DC419F" w:rsidRPr="00A74D23" w:rsidRDefault="00DC419F" w:rsidP="003B24BE">
            <w:pPr>
              <w:spacing w:line="22" w:lineRule="atLeast"/>
              <w:jc w:val="center"/>
              <w:rPr>
                <w:rFonts w:asciiTheme="minorHAnsi" w:hAnsiTheme="minorHAnsi" w:cs="Open Sans"/>
                <w:b/>
                <w:bCs/>
                <w:color w:val="000000" w:themeColor="text1"/>
                <w:sz w:val="18"/>
                <w:szCs w:val="18"/>
                <w:lang w:val="fr-FR"/>
              </w:rPr>
            </w:pPr>
            <w:r w:rsidRPr="00A74D23">
              <w:rPr>
                <w:rFonts w:asciiTheme="minorHAnsi" w:hAnsiTheme="minorHAnsi" w:cs="Open Sans"/>
                <w:b/>
                <w:bCs/>
                <w:color w:val="000000" w:themeColor="text1"/>
                <w:sz w:val="18"/>
                <w:szCs w:val="18"/>
                <w:lang w:val="fr-FR"/>
              </w:rPr>
              <w:t>Montant et proportion (les informations doivent être présentées en montant monétaire et en pourcentage)</w:t>
            </w:r>
          </w:p>
        </w:tc>
      </w:tr>
      <w:tr w:rsidR="00DC419F" w:rsidRPr="00A605BB" w14:paraId="19FD04C3" w14:textId="77777777" w:rsidTr="003B24BE">
        <w:trPr>
          <w:trHeight w:val="698"/>
        </w:trPr>
        <w:tc>
          <w:tcPr>
            <w:tcW w:w="3161" w:type="dxa"/>
            <w:vMerge/>
            <w:tcBorders>
              <w:top w:val="dashed" w:sz="8" w:space="0" w:color="auto"/>
              <w:left w:val="single" w:sz="4" w:space="0" w:color="auto"/>
              <w:bottom w:val="nil"/>
              <w:right w:val="single" w:sz="4" w:space="0" w:color="auto"/>
            </w:tcBorders>
            <w:vAlign w:val="center"/>
            <w:hideMark/>
          </w:tcPr>
          <w:p w14:paraId="44FA4934" w14:textId="77777777" w:rsidR="00DC419F" w:rsidRPr="00A74D23" w:rsidRDefault="00DC419F" w:rsidP="003B24BE">
            <w:pPr>
              <w:spacing w:line="22" w:lineRule="atLeast"/>
              <w:jc w:val="center"/>
              <w:rPr>
                <w:rFonts w:asciiTheme="minorHAnsi" w:hAnsiTheme="minorHAnsi" w:cs="Open Sans"/>
                <w:b/>
                <w:bCs/>
                <w:color w:val="000000" w:themeColor="text1"/>
                <w:sz w:val="18"/>
                <w:szCs w:val="18"/>
                <w:lang w:val="fr-FR"/>
              </w:rPr>
            </w:pPr>
          </w:p>
        </w:tc>
        <w:tc>
          <w:tcPr>
            <w:tcW w:w="2688" w:type="dxa"/>
            <w:gridSpan w:val="3"/>
            <w:vMerge/>
            <w:tcBorders>
              <w:top w:val="dashed" w:sz="8" w:space="0" w:color="auto"/>
              <w:left w:val="single" w:sz="4" w:space="0" w:color="auto"/>
              <w:bottom w:val="single" w:sz="4" w:space="0" w:color="auto"/>
              <w:right w:val="single" w:sz="4" w:space="0" w:color="auto"/>
            </w:tcBorders>
            <w:vAlign w:val="center"/>
            <w:hideMark/>
          </w:tcPr>
          <w:p w14:paraId="50D7393D" w14:textId="77777777" w:rsidR="00DC419F" w:rsidRPr="00A74D23" w:rsidRDefault="00DC419F" w:rsidP="003B24BE">
            <w:pPr>
              <w:spacing w:line="22" w:lineRule="atLeast"/>
              <w:jc w:val="center"/>
              <w:rPr>
                <w:rFonts w:asciiTheme="minorHAnsi" w:hAnsiTheme="minorHAnsi" w:cs="Open Sans"/>
                <w:b/>
                <w:bCs/>
                <w:color w:val="000000" w:themeColor="text1"/>
                <w:sz w:val="18"/>
                <w:szCs w:val="18"/>
                <w:lang w:val="fr-FR"/>
              </w:rPr>
            </w:pPr>
          </w:p>
        </w:tc>
        <w:tc>
          <w:tcPr>
            <w:tcW w:w="643" w:type="dxa"/>
            <w:vMerge/>
            <w:tcBorders>
              <w:top w:val="dashed" w:sz="8" w:space="0" w:color="000000"/>
              <w:left w:val="single" w:sz="4" w:space="0" w:color="auto"/>
              <w:bottom w:val="nil"/>
              <w:right w:val="single" w:sz="8" w:space="0" w:color="000000"/>
            </w:tcBorders>
            <w:vAlign w:val="center"/>
            <w:hideMark/>
          </w:tcPr>
          <w:p w14:paraId="6BBBC1D5" w14:textId="77777777" w:rsidR="00DC419F" w:rsidRPr="00A74D23" w:rsidRDefault="00DC419F" w:rsidP="003B24BE">
            <w:pPr>
              <w:spacing w:line="22" w:lineRule="atLeast"/>
              <w:jc w:val="center"/>
              <w:rPr>
                <w:rFonts w:asciiTheme="minorHAnsi" w:hAnsiTheme="minorHAnsi" w:cs="Open Sans"/>
                <w:b/>
                <w:bCs/>
                <w:color w:val="000000" w:themeColor="text1"/>
                <w:sz w:val="18"/>
                <w:szCs w:val="18"/>
                <w:lang w:val="fr-FR"/>
              </w:rPr>
            </w:pPr>
          </w:p>
        </w:tc>
        <w:tc>
          <w:tcPr>
            <w:tcW w:w="2573" w:type="dxa"/>
            <w:gridSpan w:val="2"/>
            <w:tcBorders>
              <w:top w:val="nil"/>
              <w:left w:val="nil"/>
              <w:bottom w:val="dotted" w:sz="4" w:space="0" w:color="000000"/>
              <w:right w:val="single" w:sz="12" w:space="0" w:color="FFFFFF"/>
            </w:tcBorders>
            <w:shd w:val="clear" w:color="auto" w:fill="D57B1D" w:themeFill="accent3"/>
            <w:noWrap/>
            <w:vAlign w:val="center"/>
            <w:hideMark/>
          </w:tcPr>
          <w:p w14:paraId="1D07FF11" w14:textId="77777777" w:rsidR="00DC419F" w:rsidRPr="00A74D23" w:rsidRDefault="00DC419F" w:rsidP="003B24BE">
            <w:pPr>
              <w:spacing w:line="22" w:lineRule="atLeast"/>
              <w:jc w:val="center"/>
              <w:rPr>
                <w:rFonts w:asciiTheme="minorHAnsi" w:hAnsiTheme="minorHAnsi" w:cs="Open Sans"/>
                <w:b/>
                <w:bCs/>
                <w:color w:val="000000" w:themeColor="text1"/>
                <w:sz w:val="18"/>
                <w:szCs w:val="18"/>
              </w:rPr>
            </w:pPr>
            <w:r w:rsidRPr="00A74D23">
              <w:rPr>
                <w:rFonts w:asciiTheme="minorHAnsi" w:hAnsiTheme="minorHAnsi" w:cs="Open Sans"/>
                <w:b/>
                <w:bCs/>
                <w:color w:val="000000" w:themeColor="text1"/>
                <w:sz w:val="18"/>
                <w:szCs w:val="18"/>
              </w:rPr>
              <w:t>(CCM+CCA)</w:t>
            </w:r>
          </w:p>
        </w:tc>
        <w:tc>
          <w:tcPr>
            <w:tcW w:w="2619" w:type="dxa"/>
            <w:gridSpan w:val="2"/>
            <w:tcBorders>
              <w:top w:val="nil"/>
              <w:left w:val="single" w:sz="8" w:space="0" w:color="000000"/>
              <w:bottom w:val="dotted" w:sz="4" w:space="0" w:color="000000"/>
              <w:right w:val="single" w:sz="12" w:space="0" w:color="FFFFFF"/>
            </w:tcBorders>
            <w:shd w:val="clear" w:color="auto" w:fill="D57B1D" w:themeFill="accent3"/>
            <w:noWrap/>
            <w:vAlign w:val="center"/>
            <w:hideMark/>
          </w:tcPr>
          <w:p w14:paraId="56D0FE39" w14:textId="77777777" w:rsidR="00DC419F" w:rsidRPr="00A74D23" w:rsidRDefault="00DC419F" w:rsidP="003B24BE">
            <w:pPr>
              <w:spacing w:line="22" w:lineRule="atLeast"/>
              <w:jc w:val="center"/>
              <w:rPr>
                <w:rFonts w:asciiTheme="minorHAnsi" w:hAnsiTheme="minorHAnsi" w:cs="Open Sans"/>
                <w:b/>
                <w:bCs/>
                <w:color w:val="000000" w:themeColor="text1"/>
                <w:sz w:val="18"/>
                <w:szCs w:val="18"/>
                <w:lang w:val="fr-FR"/>
              </w:rPr>
            </w:pPr>
            <w:r w:rsidRPr="00A74D23">
              <w:rPr>
                <w:rFonts w:asciiTheme="minorHAnsi" w:hAnsiTheme="minorHAnsi" w:cs="Open Sans"/>
                <w:b/>
                <w:bCs/>
                <w:color w:val="000000" w:themeColor="text1"/>
                <w:sz w:val="18"/>
                <w:szCs w:val="18"/>
                <w:lang w:val="fr-FR"/>
              </w:rPr>
              <w:t>Atténuation du changement climatique (CCM)</w:t>
            </w:r>
          </w:p>
        </w:tc>
        <w:tc>
          <w:tcPr>
            <w:tcW w:w="2538" w:type="dxa"/>
            <w:gridSpan w:val="2"/>
            <w:tcBorders>
              <w:top w:val="nil"/>
              <w:left w:val="single" w:sz="8" w:space="0" w:color="000000"/>
              <w:bottom w:val="dotted" w:sz="4" w:space="0" w:color="000000"/>
              <w:right w:val="single" w:sz="4" w:space="0" w:color="auto"/>
            </w:tcBorders>
            <w:shd w:val="clear" w:color="auto" w:fill="D57B1D" w:themeFill="accent3"/>
            <w:noWrap/>
            <w:vAlign w:val="center"/>
            <w:hideMark/>
          </w:tcPr>
          <w:p w14:paraId="2AB5C2C0" w14:textId="77777777" w:rsidR="00DC419F" w:rsidRPr="00A74D23" w:rsidRDefault="00DC419F" w:rsidP="003B24BE">
            <w:pPr>
              <w:spacing w:line="22" w:lineRule="atLeast"/>
              <w:jc w:val="center"/>
              <w:rPr>
                <w:rFonts w:asciiTheme="minorHAnsi" w:hAnsiTheme="minorHAnsi" w:cs="Open Sans"/>
                <w:b/>
                <w:bCs/>
                <w:color w:val="000000" w:themeColor="text1"/>
                <w:sz w:val="18"/>
                <w:szCs w:val="18"/>
                <w:lang w:val="fr-FR"/>
              </w:rPr>
            </w:pPr>
            <w:r w:rsidRPr="00A74D23">
              <w:rPr>
                <w:rFonts w:asciiTheme="minorHAnsi" w:hAnsiTheme="minorHAnsi" w:cs="Open Sans"/>
                <w:b/>
                <w:bCs/>
                <w:color w:val="000000" w:themeColor="text1"/>
                <w:sz w:val="18"/>
                <w:szCs w:val="18"/>
                <w:lang w:val="fr-FR"/>
              </w:rPr>
              <w:t>Adaptation au changement climatique (CCA)</w:t>
            </w:r>
          </w:p>
        </w:tc>
      </w:tr>
      <w:tr w:rsidR="00DC419F" w:rsidRPr="00A74D23" w14:paraId="55A27710" w14:textId="77777777" w:rsidTr="003B24BE">
        <w:trPr>
          <w:trHeight w:val="698"/>
        </w:trPr>
        <w:tc>
          <w:tcPr>
            <w:tcW w:w="3161" w:type="dxa"/>
            <w:vMerge/>
            <w:tcBorders>
              <w:top w:val="dashed" w:sz="8" w:space="0" w:color="auto"/>
              <w:left w:val="single" w:sz="4" w:space="0" w:color="auto"/>
              <w:bottom w:val="single" w:sz="4" w:space="0" w:color="auto"/>
              <w:right w:val="single" w:sz="4" w:space="0" w:color="auto"/>
            </w:tcBorders>
            <w:vAlign w:val="center"/>
            <w:hideMark/>
          </w:tcPr>
          <w:p w14:paraId="1AAC6B7C" w14:textId="77777777" w:rsidR="00DC419F" w:rsidRPr="00A74D23" w:rsidRDefault="00DC419F" w:rsidP="003B24BE">
            <w:pPr>
              <w:spacing w:line="22" w:lineRule="atLeast"/>
              <w:jc w:val="center"/>
              <w:rPr>
                <w:rFonts w:asciiTheme="minorHAnsi" w:hAnsiTheme="minorHAnsi" w:cs="Open Sans"/>
                <w:color w:val="000000" w:themeColor="text1"/>
                <w:sz w:val="12"/>
                <w:szCs w:val="12"/>
                <w:lang w:val="fr-FR"/>
              </w:rPr>
            </w:pPr>
          </w:p>
        </w:tc>
        <w:tc>
          <w:tcPr>
            <w:tcW w:w="2688" w:type="dxa"/>
            <w:gridSpan w:val="3"/>
            <w:vMerge/>
            <w:tcBorders>
              <w:top w:val="dashed" w:sz="8" w:space="0" w:color="auto"/>
              <w:left w:val="single" w:sz="4" w:space="0" w:color="auto"/>
              <w:bottom w:val="single" w:sz="4" w:space="0" w:color="auto"/>
              <w:right w:val="single" w:sz="4" w:space="0" w:color="auto"/>
            </w:tcBorders>
            <w:vAlign w:val="center"/>
            <w:hideMark/>
          </w:tcPr>
          <w:p w14:paraId="63A421D4" w14:textId="77777777" w:rsidR="00DC419F" w:rsidRPr="00A74D23" w:rsidRDefault="00DC419F" w:rsidP="003B24BE">
            <w:pPr>
              <w:spacing w:line="22" w:lineRule="atLeast"/>
              <w:jc w:val="center"/>
              <w:rPr>
                <w:rFonts w:asciiTheme="minorHAnsi" w:hAnsiTheme="minorHAnsi" w:cs="Open Sans"/>
                <w:color w:val="000000" w:themeColor="text1"/>
                <w:sz w:val="12"/>
                <w:szCs w:val="12"/>
                <w:lang w:val="fr-FR"/>
              </w:rPr>
            </w:pPr>
          </w:p>
        </w:tc>
        <w:tc>
          <w:tcPr>
            <w:tcW w:w="643" w:type="dxa"/>
            <w:vMerge/>
            <w:tcBorders>
              <w:top w:val="dashed" w:sz="8" w:space="0" w:color="000000"/>
              <w:left w:val="single" w:sz="4" w:space="0" w:color="auto"/>
              <w:bottom w:val="single" w:sz="4" w:space="0" w:color="auto"/>
              <w:right w:val="single" w:sz="8" w:space="0" w:color="000000"/>
            </w:tcBorders>
            <w:vAlign w:val="center"/>
            <w:hideMark/>
          </w:tcPr>
          <w:p w14:paraId="2AB29B2F" w14:textId="77777777" w:rsidR="00DC419F" w:rsidRPr="00A74D23" w:rsidRDefault="00DC419F" w:rsidP="003B24BE">
            <w:pPr>
              <w:spacing w:line="22" w:lineRule="atLeast"/>
              <w:jc w:val="center"/>
              <w:rPr>
                <w:rFonts w:asciiTheme="minorHAnsi" w:hAnsiTheme="minorHAnsi" w:cs="Open Sans"/>
                <w:color w:val="000000" w:themeColor="text1"/>
                <w:sz w:val="12"/>
                <w:szCs w:val="12"/>
                <w:lang w:val="fr-FR"/>
              </w:rPr>
            </w:pPr>
          </w:p>
        </w:tc>
        <w:tc>
          <w:tcPr>
            <w:tcW w:w="1580" w:type="dxa"/>
            <w:tcBorders>
              <w:top w:val="nil"/>
              <w:left w:val="dotted" w:sz="4" w:space="0" w:color="000000"/>
              <w:bottom w:val="single" w:sz="4" w:space="0" w:color="auto"/>
              <w:right w:val="dotted" w:sz="4" w:space="0" w:color="000000"/>
            </w:tcBorders>
            <w:vAlign w:val="center"/>
            <w:hideMark/>
          </w:tcPr>
          <w:p w14:paraId="20F81366" w14:textId="77777777" w:rsidR="00DC419F" w:rsidRPr="00A74D23" w:rsidRDefault="00DC419F" w:rsidP="003B24BE">
            <w:pPr>
              <w:spacing w:line="22" w:lineRule="atLeast"/>
              <w:jc w:val="center"/>
              <w:rPr>
                <w:rFonts w:asciiTheme="minorHAnsi" w:hAnsiTheme="minorHAnsi" w:cs="Open Sans"/>
                <w:b/>
                <w:bCs/>
                <w:color w:val="000000" w:themeColor="text1"/>
                <w:sz w:val="12"/>
                <w:szCs w:val="12"/>
              </w:rPr>
            </w:pPr>
            <w:r w:rsidRPr="00A74D23">
              <w:rPr>
                <w:rFonts w:asciiTheme="minorHAnsi" w:hAnsiTheme="minorHAnsi" w:cs="Open Sans"/>
                <w:b/>
                <w:bCs/>
                <w:color w:val="000000" w:themeColor="text1"/>
                <w:sz w:val="12"/>
                <w:szCs w:val="12"/>
              </w:rPr>
              <w:t>Montant</w:t>
            </w:r>
          </w:p>
        </w:tc>
        <w:tc>
          <w:tcPr>
            <w:tcW w:w="993" w:type="dxa"/>
            <w:tcBorders>
              <w:top w:val="nil"/>
              <w:left w:val="nil"/>
              <w:bottom w:val="single" w:sz="4" w:space="0" w:color="auto"/>
              <w:right w:val="dotted" w:sz="4" w:space="0" w:color="000000"/>
            </w:tcBorders>
            <w:vAlign w:val="center"/>
            <w:hideMark/>
          </w:tcPr>
          <w:p w14:paraId="680CE1CE" w14:textId="77777777" w:rsidR="00DC419F" w:rsidRPr="00A74D23" w:rsidRDefault="00DC419F" w:rsidP="003B24BE">
            <w:pPr>
              <w:spacing w:line="22" w:lineRule="atLeast"/>
              <w:jc w:val="center"/>
              <w:rPr>
                <w:rFonts w:asciiTheme="minorHAnsi" w:hAnsiTheme="minorHAnsi" w:cs="Open Sans"/>
                <w:b/>
                <w:bCs/>
                <w:color w:val="000000" w:themeColor="text1"/>
                <w:sz w:val="12"/>
                <w:szCs w:val="12"/>
              </w:rPr>
            </w:pPr>
            <w:r w:rsidRPr="00A74D23">
              <w:rPr>
                <w:rFonts w:asciiTheme="minorHAnsi" w:hAnsiTheme="minorHAnsi" w:cs="Open Sans"/>
                <w:b/>
                <w:bCs/>
                <w:color w:val="000000" w:themeColor="text1"/>
                <w:sz w:val="12"/>
                <w:szCs w:val="12"/>
              </w:rPr>
              <w:t>%</w:t>
            </w:r>
          </w:p>
        </w:tc>
        <w:tc>
          <w:tcPr>
            <w:tcW w:w="1592" w:type="dxa"/>
            <w:tcBorders>
              <w:top w:val="nil"/>
              <w:left w:val="nil"/>
              <w:bottom w:val="single" w:sz="4" w:space="0" w:color="auto"/>
              <w:right w:val="dotted" w:sz="4" w:space="0" w:color="000000"/>
            </w:tcBorders>
            <w:vAlign w:val="center"/>
            <w:hideMark/>
          </w:tcPr>
          <w:p w14:paraId="513F8D0D" w14:textId="77777777" w:rsidR="00DC419F" w:rsidRPr="00A74D23" w:rsidRDefault="00DC419F" w:rsidP="003B24BE">
            <w:pPr>
              <w:spacing w:line="22" w:lineRule="atLeast"/>
              <w:jc w:val="center"/>
              <w:rPr>
                <w:rFonts w:asciiTheme="minorHAnsi" w:hAnsiTheme="minorHAnsi" w:cs="Open Sans"/>
                <w:b/>
                <w:bCs/>
                <w:color w:val="000000" w:themeColor="text1"/>
                <w:sz w:val="12"/>
                <w:szCs w:val="12"/>
              </w:rPr>
            </w:pPr>
            <w:r w:rsidRPr="00A74D23">
              <w:rPr>
                <w:rFonts w:asciiTheme="minorHAnsi" w:hAnsiTheme="minorHAnsi" w:cs="Open Sans"/>
                <w:b/>
                <w:bCs/>
                <w:color w:val="000000" w:themeColor="text1"/>
                <w:sz w:val="12"/>
                <w:szCs w:val="12"/>
              </w:rPr>
              <w:t>Montant</w:t>
            </w:r>
          </w:p>
        </w:tc>
        <w:tc>
          <w:tcPr>
            <w:tcW w:w="1027" w:type="dxa"/>
            <w:tcBorders>
              <w:top w:val="nil"/>
              <w:left w:val="nil"/>
              <w:bottom w:val="single" w:sz="4" w:space="0" w:color="auto"/>
              <w:right w:val="dotted" w:sz="4" w:space="0" w:color="000000"/>
            </w:tcBorders>
            <w:vAlign w:val="center"/>
            <w:hideMark/>
          </w:tcPr>
          <w:p w14:paraId="0E13172C" w14:textId="77777777" w:rsidR="00DC419F" w:rsidRPr="00A74D23" w:rsidRDefault="00DC419F" w:rsidP="003B24BE">
            <w:pPr>
              <w:spacing w:line="22" w:lineRule="atLeast"/>
              <w:jc w:val="center"/>
              <w:rPr>
                <w:rFonts w:asciiTheme="minorHAnsi" w:hAnsiTheme="minorHAnsi" w:cs="Open Sans"/>
                <w:b/>
                <w:bCs/>
                <w:color w:val="000000" w:themeColor="text1"/>
                <w:sz w:val="12"/>
                <w:szCs w:val="12"/>
              </w:rPr>
            </w:pPr>
            <w:r w:rsidRPr="00A74D23">
              <w:rPr>
                <w:rFonts w:asciiTheme="minorHAnsi" w:hAnsiTheme="minorHAnsi" w:cs="Open Sans"/>
                <w:b/>
                <w:bCs/>
                <w:color w:val="000000" w:themeColor="text1"/>
                <w:sz w:val="12"/>
                <w:szCs w:val="12"/>
              </w:rPr>
              <w:t>%</w:t>
            </w:r>
          </w:p>
        </w:tc>
        <w:tc>
          <w:tcPr>
            <w:tcW w:w="1410" w:type="dxa"/>
            <w:tcBorders>
              <w:top w:val="nil"/>
              <w:left w:val="nil"/>
              <w:bottom w:val="single" w:sz="4" w:space="0" w:color="auto"/>
              <w:right w:val="dotted" w:sz="4" w:space="0" w:color="000000"/>
            </w:tcBorders>
            <w:vAlign w:val="center"/>
            <w:hideMark/>
          </w:tcPr>
          <w:p w14:paraId="0D6CB899" w14:textId="77777777" w:rsidR="00DC419F" w:rsidRPr="00A74D23" w:rsidRDefault="00DC419F" w:rsidP="003B24BE">
            <w:pPr>
              <w:spacing w:line="22" w:lineRule="atLeast"/>
              <w:jc w:val="center"/>
              <w:rPr>
                <w:rFonts w:asciiTheme="minorHAnsi" w:hAnsiTheme="minorHAnsi" w:cs="Open Sans"/>
                <w:b/>
                <w:bCs/>
                <w:color w:val="000000" w:themeColor="text1"/>
                <w:sz w:val="12"/>
                <w:szCs w:val="12"/>
              </w:rPr>
            </w:pPr>
            <w:r w:rsidRPr="00A74D23">
              <w:rPr>
                <w:rFonts w:asciiTheme="minorHAnsi" w:hAnsiTheme="minorHAnsi" w:cs="Open Sans"/>
                <w:b/>
                <w:bCs/>
                <w:color w:val="000000" w:themeColor="text1"/>
                <w:sz w:val="12"/>
                <w:szCs w:val="12"/>
              </w:rPr>
              <w:t>Montant</w:t>
            </w:r>
          </w:p>
        </w:tc>
        <w:tc>
          <w:tcPr>
            <w:tcW w:w="1128" w:type="dxa"/>
            <w:tcBorders>
              <w:top w:val="nil"/>
              <w:left w:val="nil"/>
              <w:bottom w:val="single" w:sz="4" w:space="0" w:color="auto"/>
              <w:right w:val="single" w:sz="4" w:space="0" w:color="auto"/>
            </w:tcBorders>
            <w:vAlign w:val="center"/>
            <w:hideMark/>
          </w:tcPr>
          <w:p w14:paraId="1EF26F3F" w14:textId="77777777" w:rsidR="00DC419F" w:rsidRPr="00A74D23" w:rsidRDefault="00DC419F" w:rsidP="003B24BE">
            <w:pPr>
              <w:spacing w:line="22" w:lineRule="atLeast"/>
              <w:jc w:val="center"/>
              <w:rPr>
                <w:rFonts w:asciiTheme="minorHAnsi" w:hAnsiTheme="minorHAnsi" w:cs="Open Sans"/>
                <w:color w:val="000000" w:themeColor="text1"/>
                <w:sz w:val="12"/>
                <w:szCs w:val="12"/>
              </w:rPr>
            </w:pPr>
          </w:p>
        </w:tc>
      </w:tr>
      <w:tr w:rsidR="00DC419F" w:rsidRPr="00A74D23" w14:paraId="70FE22F4" w14:textId="77777777" w:rsidTr="003B24BE">
        <w:trPr>
          <w:trHeight w:val="698"/>
        </w:trPr>
        <w:tc>
          <w:tcPr>
            <w:tcW w:w="3161" w:type="dxa"/>
            <w:tcBorders>
              <w:top w:val="single" w:sz="4" w:space="0" w:color="auto"/>
              <w:left w:val="single" w:sz="4" w:space="0" w:color="auto"/>
              <w:bottom w:val="dotted" w:sz="4" w:space="0" w:color="000000"/>
              <w:right w:val="dotted" w:sz="4" w:space="0" w:color="000000"/>
            </w:tcBorders>
            <w:vAlign w:val="center"/>
            <w:hideMark/>
          </w:tcPr>
          <w:p w14:paraId="54BE7CF9"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Montant et proportion de l’activité économique éligible à la taxinomie, mais non alignée sur celle-ci, visée à la section 4.26 des annexes I et II du règlement délégué (UE) 2021/2139 au dénominateur de l’ICP applicable</w:t>
            </w:r>
          </w:p>
        </w:tc>
        <w:tc>
          <w:tcPr>
            <w:tcW w:w="2688" w:type="dxa"/>
            <w:gridSpan w:val="3"/>
            <w:tcBorders>
              <w:top w:val="single" w:sz="4" w:space="0" w:color="auto"/>
              <w:left w:val="nil"/>
              <w:bottom w:val="dotted" w:sz="4" w:space="0" w:color="000000"/>
              <w:right w:val="dotted" w:sz="4" w:space="0" w:color="000000"/>
            </w:tcBorders>
            <w:vAlign w:val="center"/>
            <w:hideMark/>
          </w:tcPr>
          <w:p w14:paraId="2ACD4655"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Nucléaire - Phases pré- commerciales des technologies avancées pour la production d’énergie à partir de procédés nucléaires avec un minimum de déchets issus du cycle du combustible</w:t>
            </w:r>
          </w:p>
        </w:tc>
        <w:tc>
          <w:tcPr>
            <w:tcW w:w="643" w:type="dxa"/>
            <w:tcBorders>
              <w:top w:val="single" w:sz="4" w:space="0" w:color="auto"/>
              <w:left w:val="nil"/>
              <w:bottom w:val="dotted" w:sz="4" w:space="0" w:color="000000"/>
              <w:right w:val="dotted" w:sz="4" w:space="0" w:color="000000"/>
            </w:tcBorders>
            <w:vAlign w:val="center"/>
            <w:hideMark/>
          </w:tcPr>
          <w:p w14:paraId="200FF79C" w14:textId="77777777" w:rsidR="00DC419F" w:rsidRPr="00A74D23" w:rsidRDefault="00DC419F" w:rsidP="003B24BE">
            <w:pPr>
              <w:spacing w:line="22" w:lineRule="atLeast"/>
              <w:jc w:val="both"/>
              <w:rPr>
                <w:rFonts w:asciiTheme="minorHAnsi" w:hAnsiTheme="minorHAnsi" w:cs="Open Sans"/>
                <w:color w:val="000000" w:themeColor="text1"/>
                <w:sz w:val="12"/>
                <w:szCs w:val="12"/>
              </w:rPr>
            </w:pPr>
            <w:r w:rsidRPr="00A74D23">
              <w:rPr>
                <w:rFonts w:asciiTheme="minorHAnsi" w:hAnsiTheme="minorHAnsi" w:cs="Open Sans"/>
                <w:color w:val="000000" w:themeColor="text1"/>
                <w:sz w:val="12"/>
                <w:szCs w:val="12"/>
              </w:rPr>
              <w:t>M72 et M72.1</w:t>
            </w:r>
          </w:p>
        </w:tc>
        <w:tc>
          <w:tcPr>
            <w:tcW w:w="1580" w:type="dxa"/>
            <w:tcBorders>
              <w:top w:val="single" w:sz="4" w:space="0" w:color="auto"/>
              <w:left w:val="nil"/>
              <w:bottom w:val="dotted" w:sz="4" w:space="0" w:color="000000"/>
              <w:right w:val="dotted" w:sz="4" w:space="0" w:color="000000"/>
            </w:tcBorders>
            <w:vAlign w:val="center"/>
            <w:hideMark/>
          </w:tcPr>
          <w:p w14:paraId="1F9ACF26"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 xml:space="preserve">               4 360,81 € </w:t>
            </w:r>
          </w:p>
        </w:tc>
        <w:tc>
          <w:tcPr>
            <w:tcW w:w="993" w:type="dxa"/>
            <w:tcBorders>
              <w:top w:val="single" w:sz="4" w:space="0" w:color="auto"/>
              <w:left w:val="nil"/>
              <w:bottom w:val="dotted" w:sz="4" w:space="0" w:color="000000"/>
              <w:right w:val="dotted" w:sz="4" w:space="0" w:color="000000"/>
            </w:tcBorders>
            <w:vAlign w:val="center"/>
            <w:hideMark/>
          </w:tcPr>
          <w:p w14:paraId="1109B67B"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0,00%</w:t>
            </w:r>
          </w:p>
        </w:tc>
        <w:tc>
          <w:tcPr>
            <w:tcW w:w="1592" w:type="dxa"/>
            <w:tcBorders>
              <w:top w:val="single" w:sz="4" w:space="0" w:color="auto"/>
              <w:left w:val="nil"/>
              <w:bottom w:val="dotted" w:sz="4" w:space="0" w:color="000000"/>
              <w:right w:val="dotted" w:sz="4" w:space="0" w:color="000000"/>
            </w:tcBorders>
            <w:vAlign w:val="center"/>
            <w:hideMark/>
          </w:tcPr>
          <w:p w14:paraId="3CAA3FB6"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 xml:space="preserve">               4 360,81 € </w:t>
            </w:r>
          </w:p>
        </w:tc>
        <w:tc>
          <w:tcPr>
            <w:tcW w:w="1027" w:type="dxa"/>
            <w:tcBorders>
              <w:top w:val="single" w:sz="4" w:space="0" w:color="auto"/>
              <w:left w:val="nil"/>
              <w:bottom w:val="dotted" w:sz="4" w:space="0" w:color="000000"/>
              <w:right w:val="dotted" w:sz="4" w:space="0" w:color="000000"/>
            </w:tcBorders>
            <w:vAlign w:val="center"/>
            <w:hideMark/>
          </w:tcPr>
          <w:p w14:paraId="6A5AF757"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0,00%</w:t>
            </w:r>
          </w:p>
        </w:tc>
        <w:tc>
          <w:tcPr>
            <w:tcW w:w="1410" w:type="dxa"/>
            <w:tcBorders>
              <w:top w:val="single" w:sz="4" w:space="0" w:color="auto"/>
              <w:left w:val="nil"/>
              <w:bottom w:val="dotted" w:sz="4" w:space="0" w:color="000000"/>
              <w:right w:val="dotted" w:sz="4" w:space="0" w:color="000000"/>
            </w:tcBorders>
            <w:vAlign w:val="center"/>
            <w:hideMark/>
          </w:tcPr>
          <w:p w14:paraId="3ECFB6B9"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 xml:space="preserve">                               -   € </w:t>
            </w:r>
          </w:p>
        </w:tc>
        <w:tc>
          <w:tcPr>
            <w:tcW w:w="1128" w:type="dxa"/>
            <w:tcBorders>
              <w:top w:val="single" w:sz="4" w:space="0" w:color="auto"/>
              <w:left w:val="nil"/>
              <w:bottom w:val="dotted" w:sz="4" w:space="0" w:color="000000"/>
              <w:right w:val="single" w:sz="4" w:space="0" w:color="auto"/>
            </w:tcBorders>
            <w:vAlign w:val="center"/>
            <w:hideMark/>
          </w:tcPr>
          <w:p w14:paraId="41A1A32F"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0,00%</w:t>
            </w:r>
          </w:p>
        </w:tc>
      </w:tr>
      <w:tr w:rsidR="00DC419F" w:rsidRPr="00A74D23" w14:paraId="27268A64" w14:textId="77777777" w:rsidTr="003B24BE">
        <w:trPr>
          <w:trHeight w:val="698"/>
        </w:trPr>
        <w:tc>
          <w:tcPr>
            <w:tcW w:w="3161" w:type="dxa"/>
            <w:tcBorders>
              <w:top w:val="nil"/>
              <w:left w:val="single" w:sz="4" w:space="0" w:color="auto"/>
              <w:bottom w:val="dotted" w:sz="4" w:space="0" w:color="000000"/>
              <w:right w:val="dotted" w:sz="4" w:space="0" w:color="000000"/>
            </w:tcBorders>
            <w:vAlign w:val="center"/>
            <w:hideMark/>
          </w:tcPr>
          <w:p w14:paraId="608FE585"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Montant et proportion de l’activité économique éligible à la taxinomie, mais non alignée sur celle-ci, visée à la section 4.27 des annexes I et II du règlement délégué (UE) 2021/2139 au dénominateur de l’ICP applicable</w:t>
            </w:r>
          </w:p>
        </w:tc>
        <w:tc>
          <w:tcPr>
            <w:tcW w:w="2688" w:type="dxa"/>
            <w:gridSpan w:val="3"/>
            <w:tcBorders>
              <w:top w:val="dotted" w:sz="4" w:space="0" w:color="000000"/>
              <w:left w:val="nil"/>
              <w:bottom w:val="dotted" w:sz="4" w:space="0" w:color="000000"/>
              <w:right w:val="dotted" w:sz="4" w:space="0" w:color="000000"/>
            </w:tcBorders>
            <w:vAlign w:val="center"/>
            <w:hideMark/>
          </w:tcPr>
          <w:p w14:paraId="0B651B54"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Nucléaire - construction et exploitation de nouvelles centrales</w:t>
            </w:r>
          </w:p>
        </w:tc>
        <w:tc>
          <w:tcPr>
            <w:tcW w:w="643" w:type="dxa"/>
            <w:tcBorders>
              <w:top w:val="nil"/>
              <w:left w:val="nil"/>
              <w:bottom w:val="dotted" w:sz="4" w:space="0" w:color="000000"/>
              <w:right w:val="dotted" w:sz="4" w:space="0" w:color="000000"/>
            </w:tcBorders>
            <w:vAlign w:val="center"/>
            <w:hideMark/>
          </w:tcPr>
          <w:p w14:paraId="40D60A3B" w14:textId="77777777" w:rsidR="00DC419F" w:rsidRPr="00A74D23" w:rsidRDefault="00DC419F" w:rsidP="003B24BE">
            <w:pPr>
              <w:spacing w:line="22" w:lineRule="atLeast"/>
              <w:jc w:val="both"/>
              <w:rPr>
                <w:rFonts w:asciiTheme="minorHAnsi" w:hAnsiTheme="minorHAnsi" w:cs="Open Sans"/>
                <w:color w:val="000000" w:themeColor="text1"/>
                <w:sz w:val="12"/>
                <w:szCs w:val="12"/>
              </w:rPr>
            </w:pPr>
            <w:r w:rsidRPr="00A74D23">
              <w:rPr>
                <w:rFonts w:asciiTheme="minorHAnsi" w:hAnsiTheme="minorHAnsi" w:cs="Open Sans"/>
                <w:color w:val="000000" w:themeColor="text1"/>
                <w:sz w:val="12"/>
                <w:szCs w:val="12"/>
              </w:rPr>
              <w:t>D35.11 et F42.22</w:t>
            </w:r>
          </w:p>
        </w:tc>
        <w:tc>
          <w:tcPr>
            <w:tcW w:w="1580" w:type="dxa"/>
            <w:tcBorders>
              <w:top w:val="nil"/>
              <w:left w:val="nil"/>
              <w:bottom w:val="dotted" w:sz="4" w:space="0" w:color="000000"/>
              <w:right w:val="dotted" w:sz="4" w:space="0" w:color="000000"/>
            </w:tcBorders>
            <w:vAlign w:val="center"/>
            <w:hideMark/>
          </w:tcPr>
          <w:p w14:paraId="6E53536C"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 xml:space="preserve">            464 842,80 € </w:t>
            </w:r>
          </w:p>
        </w:tc>
        <w:tc>
          <w:tcPr>
            <w:tcW w:w="993" w:type="dxa"/>
            <w:tcBorders>
              <w:top w:val="nil"/>
              <w:left w:val="nil"/>
              <w:bottom w:val="dotted" w:sz="4" w:space="0" w:color="000000"/>
              <w:right w:val="dotted" w:sz="4" w:space="0" w:color="000000"/>
            </w:tcBorders>
            <w:vAlign w:val="center"/>
            <w:hideMark/>
          </w:tcPr>
          <w:p w14:paraId="0DB435D9"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0,13%</w:t>
            </w:r>
          </w:p>
        </w:tc>
        <w:tc>
          <w:tcPr>
            <w:tcW w:w="1592" w:type="dxa"/>
            <w:tcBorders>
              <w:top w:val="nil"/>
              <w:left w:val="nil"/>
              <w:bottom w:val="dotted" w:sz="4" w:space="0" w:color="000000"/>
              <w:right w:val="dotted" w:sz="4" w:space="0" w:color="000000"/>
            </w:tcBorders>
            <w:vAlign w:val="center"/>
            <w:hideMark/>
          </w:tcPr>
          <w:p w14:paraId="5582709D"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 xml:space="preserve">            464 842,80 € </w:t>
            </w:r>
          </w:p>
        </w:tc>
        <w:tc>
          <w:tcPr>
            <w:tcW w:w="1027" w:type="dxa"/>
            <w:tcBorders>
              <w:top w:val="nil"/>
              <w:left w:val="nil"/>
              <w:bottom w:val="dotted" w:sz="4" w:space="0" w:color="000000"/>
              <w:right w:val="dotted" w:sz="4" w:space="0" w:color="000000"/>
            </w:tcBorders>
            <w:vAlign w:val="center"/>
            <w:hideMark/>
          </w:tcPr>
          <w:p w14:paraId="08272C60"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0,13%</w:t>
            </w:r>
          </w:p>
        </w:tc>
        <w:tc>
          <w:tcPr>
            <w:tcW w:w="1410" w:type="dxa"/>
            <w:tcBorders>
              <w:top w:val="nil"/>
              <w:left w:val="nil"/>
              <w:bottom w:val="dotted" w:sz="4" w:space="0" w:color="000000"/>
              <w:right w:val="dotted" w:sz="4" w:space="0" w:color="000000"/>
            </w:tcBorders>
            <w:vAlign w:val="center"/>
            <w:hideMark/>
          </w:tcPr>
          <w:p w14:paraId="61DE2395"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 xml:space="preserve">                               -   € </w:t>
            </w:r>
          </w:p>
        </w:tc>
        <w:tc>
          <w:tcPr>
            <w:tcW w:w="1128" w:type="dxa"/>
            <w:tcBorders>
              <w:top w:val="nil"/>
              <w:left w:val="nil"/>
              <w:bottom w:val="dotted" w:sz="4" w:space="0" w:color="000000"/>
              <w:right w:val="single" w:sz="4" w:space="0" w:color="auto"/>
            </w:tcBorders>
            <w:vAlign w:val="center"/>
            <w:hideMark/>
          </w:tcPr>
          <w:p w14:paraId="2207FAA0"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0,00%</w:t>
            </w:r>
          </w:p>
        </w:tc>
      </w:tr>
      <w:tr w:rsidR="00DC419F" w:rsidRPr="00A74D23" w14:paraId="2F324A5D" w14:textId="77777777" w:rsidTr="003B24BE">
        <w:trPr>
          <w:trHeight w:val="698"/>
        </w:trPr>
        <w:tc>
          <w:tcPr>
            <w:tcW w:w="3161" w:type="dxa"/>
            <w:tcBorders>
              <w:top w:val="nil"/>
              <w:left w:val="single" w:sz="4" w:space="0" w:color="auto"/>
              <w:bottom w:val="dotted" w:sz="4" w:space="0" w:color="000000"/>
              <w:right w:val="dotted" w:sz="4" w:space="0" w:color="000000"/>
            </w:tcBorders>
            <w:vAlign w:val="center"/>
            <w:hideMark/>
          </w:tcPr>
          <w:p w14:paraId="0C97F5FF"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Montant et proportion de l’activité économique éligible à la taxinomie, mais non alignée sur celle-ci, visée à la section 4.28 des annexes I et II du règlement délégué (UE) 2021/2139 au dénominateur de l’ICP applicable</w:t>
            </w:r>
          </w:p>
        </w:tc>
        <w:tc>
          <w:tcPr>
            <w:tcW w:w="2688" w:type="dxa"/>
            <w:gridSpan w:val="3"/>
            <w:tcBorders>
              <w:top w:val="dotted" w:sz="4" w:space="0" w:color="000000"/>
              <w:left w:val="nil"/>
              <w:bottom w:val="dotted" w:sz="4" w:space="0" w:color="000000"/>
              <w:right w:val="dotted" w:sz="4" w:space="0" w:color="000000"/>
            </w:tcBorders>
            <w:vAlign w:val="center"/>
            <w:hideMark/>
          </w:tcPr>
          <w:p w14:paraId="3CC4FF0B"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Nucléaire - production d'électricité à partir d'énergie nucléaire dans les installations existantes</w:t>
            </w:r>
          </w:p>
        </w:tc>
        <w:tc>
          <w:tcPr>
            <w:tcW w:w="643" w:type="dxa"/>
            <w:tcBorders>
              <w:top w:val="nil"/>
              <w:left w:val="nil"/>
              <w:bottom w:val="dotted" w:sz="4" w:space="0" w:color="000000"/>
              <w:right w:val="dotted" w:sz="4" w:space="0" w:color="000000"/>
            </w:tcBorders>
            <w:vAlign w:val="center"/>
            <w:hideMark/>
          </w:tcPr>
          <w:p w14:paraId="6C7926CE" w14:textId="77777777" w:rsidR="00DC419F" w:rsidRPr="00A74D23" w:rsidRDefault="00DC419F" w:rsidP="003B24BE">
            <w:pPr>
              <w:spacing w:line="22" w:lineRule="atLeast"/>
              <w:jc w:val="both"/>
              <w:rPr>
                <w:rFonts w:asciiTheme="minorHAnsi" w:hAnsiTheme="minorHAnsi" w:cs="Open Sans"/>
                <w:color w:val="000000" w:themeColor="text1"/>
                <w:sz w:val="12"/>
                <w:szCs w:val="12"/>
              </w:rPr>
            </w:pPr>
            <w:r w:rsidRPr="00A74D23">
              <w:rPr>
                <w:rFonts w:asciiTheme="minorHAnsi" w:hAnsiTheme="minorHAnsi" w:cs="Open Sans"/>
                <w:color w:val="000000" w:themeColor="text1"/>
                <w:sz w:val="12"/>
                <w:szCs w:val="12"/>
              </w:rPr>
              <w:t>D35.11 et F42.22</w:t>
            </w:r>
          </w:p>
        </w:tc>
        <w:tc>
          <w:tcPr>
            <w:tcW w:w="1580" w:type="dxa"/>
            <w:tcBorders>
              <w:top w:val="nil"/>
              <w:left w:val="nil"/>
              <w:bottom w:val="dotted" w:sz="4" w:space="0" w:color="000000"/>
              <w:right w:val="dotted" w:sz="4" w:space="0" w:color="000000"/>
            </w:tcBorders>
            <w:vAlign w:val="center"/>
            <w:hideMark/>
          </w:tcPr>
          <w:p w14:paraId="7ED2968E"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 xml:space="preserve">           6 671 471,77 € </w:t>
            </w:r>
          </w:p>
        </w:tc>
        <w:tc>
          <w:tcPr>
            <w:tcW w:w="993" w:type="dxa"/>
            <w:tcBorders>
              <w:top w:val="nil"/>
              <w:left w:val="nil"/>
              <w:bottom w:val="dotted" w:sz="4" w:space="0" w:color="000000"/>
              <w:right w:val="dotted" w:sz="4" w:space="0" w:color="000000"/>
            </w:tcBorders>
            <w:vAlign w:val="center"/>
            <w:hideMark/>
          </w:tcPr>
          <w:p w14:paraId="6FE6D12D"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1,82%</w:t>
            </w:r>
          </w:p>
        </w:tc>
        <w:tc>
          <w:tcPr>
            <w:tcW w:w="1592" w:type="dxa"/>
            <w:tcBorders>
              <w:top w:val="nil"/>
              <w:left w:val="nil"/>
              <w:bottom w:val="dotted" w:sz="4" w:space="0" w:color="000000"/>
              <w:right w:val="dotted" w:sz="4" w:space="0" w:color="000000"/>
            </w:tcBorders>
            <w:vAlign w:val="center"/>
            <w:hideMark/>
          </w:tcPr>
          <w:p w14:paraId="04F3947A"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 xml:space="preserve">           6 671 471,77 € </w:t>
            </w:r>
          </w:p>
        </w:tc>
        <w:tc>
          <w:tcPr>
            <w:tcW w:w="1027" w:type="dxa"/>
            <w:tcBorders>
              <w:top w:val="nil"/>
              <w:left w:val="nil"/>
              <w:bottom w:val="dotted" w:sz="4" w:space="0" w:color="000000"/>
              <w:right w:val="dotted" w:sz="4" w:space="0" w:color="000000"/>
            </w:tcBorders>
            <w:vAlign w:val="center"/>
            <w:hideMark/>
          </w:tcPr>
          <w:p w14:paraId="0F93B9CE"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1,83%</w:t>
            </w:r>
          </w:p>
        </w:tc>
        <w:tc>
          <w:tcPr>
            <w:tcW w:w="1410" w:type="dxa"/>
            <w:tcBorders>
              <w:top w:val="nil"/>
              <w:left w:val="nil"/>
              <w:bottom w:val="dotted" w:sz="4" w:space="0" w:color="000000"/>
              <w:right w:val="dotted" w:sz="4" w:space="0" w:color="000000"/>
            </w:tcBorders>
            <w:vAlign w:val="center"/>
            <w:hideMark/>
          </w:tcPr>
          <w:p w14:paraId="314BD121"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 xml:space="preserve">                               -   € </w:t>
            </w:r>
          </w:p>
        </w:tc>
        <w:tc>
          <w:tcPr>
            <w:tcW w:w="1128" w:type="dxa"/>
            <w:tcBorders>
              <w:top w:val="nil"/>
              <w:left w:val="nil"/>
              <w:bottom w:val="dotted" w:sz="4" w:space="0" w:color="000000"/>
              <w:right w:val="single" w:sz="4" w:space="0" w:color="auto"/>
            </w:tcBorders>
            <w:vAlign w:val="center"/>
            <w:hideMark/>
          </w:tcPr>
          <w:p w14:paraId="44A2A8CB"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0,00%</w:t>
            </w:r>
          </w:p>
        </w:tc>
      </w:tr>
      <w:tr w:rsidR="00DC419F" w:rsidRPr="00A74D23" w14:paraId="2D5A8C19" w14:textId="77777777" w:rsidTr="003B24BE">
        <w:trPr>
          <w:trHeight w:val="698"/>
        </w:trPr>
        <w:tc>
          <w:tcPr>
            <w:tcW w:w="3161" w:type="dxa"/>
            <w:tcBorders>
              <w:top w:val="nil"/>
              <w:left w:val="single" w:sz="4" w:space="0" w:color="auto"/>
              <w:bottom w:val="dotted" w:sz="4" w:space="0" w:color="000000"/>
              <w:right w:val="dotted" w:sz="4" w:space="0" w:color="000000"/>
            </w:tcBorders>
            <w:vAlign w:val="center"/>
            <w:hideMark/>
          </w:tcPr>
          <w:p w14:paraId="375BAABA"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Montant et proportion de l’activité économique éligible à la taxinomie, mais non alignée sur celle-ci, visée à la section 4.29 des annexes I et II du règlement délégué (UE) 2021/2139 au dénominateur de l’ICP applicable</w:t>
            </w:r>
          </w:p>
        </w:tc>
        <w:tc>
          <w:tcPr>
            <w:tcW w:w="2688" w:type="dxa"/>
            <w:gridSpan w:val="3"/>
            <w:tcBorders>
              <w:top w:val="dotted" w:sz="4" w:space="0" w:color="000000"/>
              <w:left w:val="nil"/>
              <w:bottom w:val="dotted" w:sz="4" w:space="0" w:color="000000"/>
              <w:right w:val="dotted" w:sz="4" w:space="0" w:color="000000"/>
            </w:tcBorders>
            <w:vAlign w:val="center"/>
            <w:hideMark/>
          </w:tcPr>
          <w:p w14:paraId="52B16C59"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Gaz- Production d'électricité à partir du gaz</w:t>
            </w:r>
          </w:p>
        </w:tc>
        <w:tc>
          <w:tcPr>
            <w:tcW w:w="643" w:type="dxa"/>
            <w:tcBorders>
              <w:top w:val="nil"/>
              <w:left w:val="nil"/>
              <w:bottom w:val="dotted" w:sz="4" w:space="0" w:color="000000"/>
              <w:right w:val="dotted" w:sz="4" w:space="0" w:color="000000"/>
            </w:tcBorders>
            <w:vAlign w:val="center"/>
            <w:hideMark/>
          </w:tcPr>
          <w:p w14:paraId="7B9676CF" w14:textId="77777777" w:rsidR="00DC419F" w:rsidRPr="00A74D23" w:rsidRDefault="00DC419F" w:rsidP="003B24BE">
            <w:pPr>
              <w:spacing w:line="22" w:lineRule="atLeast"/>
              <w:jc w:val="both"/>
              <w:rPr>
                <w:rFonts w:asciiTheme="minorHAnsi" w:hAnsiTheme="minorHAnsi" w:cs="Open Sans"/>
                <w:color w:val="000000" w:themeColor="text1"/>
                <w:sz w:val="12"/>
                <w:szCs w:val="12"/>
              </w:rPr>
            </w:pPr>
            <w:r w:rsidRPr="00A74D23">
              <w:rPr>
                <w:rFonts w:asciiTheme="minorHAnsi" w:hAnsiTheme="minorHAnsi" w:cs="Open Sans"/>
                <w:color w:val="000000" w:themeColor="text1"/>
                <w:sz w:val="12"/>
                <w:szCs w:val="12"/>
              </w:rPr>
              <w:t>D35.11 et F42.22</w:t>
            </w:r>
          </w:p>
        </w:tc>
        <w:tc>
          <w:tcPr>
            <w:tcW w:w="1580" w:type="dxa"/>
            <w:tcBorders>
              <w:top w:val="nil"/>
              <w:left w:val="nil"/>
              <w:bottom w:val="dotted" w:sz="4" w:space="0" w:color="000000"/>
              <w:right w:val="dotted" w:sz="4" w:space="0" w:color="000000"/>
            </w:tcBorders>
            <w:vAlign w:val="center"/>
            <w:hideMark/>
          </w:tcPr>
          <w:p w14:paraId="5658D34A"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 xml:space="preserve">              62 831,90 € </w:t>
            </w:r>
          </w:p>
        </w:tc>
        <w:tc>
          <w:tcPr>
            <w:tcW w:w="993" w:type="dxa"/>
            <w:tcBorders>
              <w:top w:val="nil"/>
              <w:left w:val="nil"/>
              <w:bottom w:val="dotted" w:sz="4" w:space="0" w:color="000000"/>
              <w:right w:val="dotted" w:sz="4" w:space="0" w:color="000000"/>
            </w:tcBorders>
            <w:vAlign w:val="center"/>
            <w:hideMark/>
          </w:tcPr>
          <w:p w14:paraId="28AEB3E6"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0,02%</w:t>
            </w:r>
          </w:p>
        </w:tc>
        <w:tc>
          <w:tcPr>
            <w:tcW w:w="1592" w:type="dxa"/>
            <w:tcBorders>
              <w:top w:val="nil"/>
              <w:left w:val="nil"/>
              <w:bottom w:val="dotted" w:sz="4" w:space="0" w:color="000000"/>
              <w:right w:val="dotted" w:sz="4" w:space="0" w:color="000000"/>
            </w:tcBorders>
            <w:vAlign w:val="center"/>
            <w:hideMark/>
          </w:tcPr>
          <w:p w14:paraId="51383540"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 xml:space="preserve">              62 831,90 € </w:t>
            </w:r>
          </w:p>
        </w:tc>
        <w:tc>
          <w:tcPr>
            <w:tcW w:w="1027" w:type="dxa"/>
            <w:tcBorders>
              <w:top w:val="nil"/>
              <w:left w:val="nil"/>
              <w:bottom w:val="dotted" w:sz="4" w:space="0" w:color="000000"/>
              <w:right w:val="dotted" w:sz="4" w:space="0" w:color="000000"/>
            </w:tcBorders>
            <w:vAlign w:val="center"/>
            <w:hideMark/>
          </w:tcPr>
          <w:p w14:paraId="745FC904"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0,02%</w:t>
            </w:r>
          </w:p>
        </w:tc>
        <w:tc>
          <w:tcPr>
            <w:tcW w:w="1410" w:type="dxa"/>
            <w:tcBorders>
              <w:top w:val="nil"/>
              <w:left w:val="nil"/>
              <w:bottom w:val="dotted" w:sz="4" w:space="0" w:color="000000"/>
              <w:right w:val="dotted" w:sz="4" w:space="0" w:color="000000"/>
            </w:tcBorders>
            <w:vAlign w:val="center"/>
            <w:hideMark/>
          </w:tcPr>
          <w:p w14:paraId="19AF8675"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 xml:space="preserve">                               -   € </w:t>
            </w:r>
          </w:p>
        </w:tc>
        <w:tc>
          <w:tcPr>
            <w:tcW w:w="1128" w:type="dxa"/>
            <w:tcBorders>
              <w:top w:val="nil"/>
              <w:left w:val="nil"/>
              <w:bottom w:val="dotted" w:sz="4" w:space="0" w:color="000000"/>
              <w:right w:val="single" w:sz="4" w:space="0" w:color="auto"/>
            </w:tcBorders>
            <w:vAlign w:val="center"/>
            <w:hideMark/>
          </w:tcPr>
          <w:p w14:paraId="7DC5EE79"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0,00%</w:t>
            </w:r>
          </w:p>
        </w:tc>
      </w:tr>
      <w:tr w:rsidR="00DC419F" w:rsidRPr="00A74D23" w14:paraId="3CFF3D9E" w14:textId="77777777" w:rsidTr="003B24BE">
        <w:trPr>
          <w:trHeight w:val="698"/>
        </w:trPr>
        <w:tc>
          <w:tcPr>
            <w:tcW w:w="3161" w:type="dxa"/>
            <w:tcBorders>
              <w:top w:val="nil"/>
              <w:left w:val="single" w:sz="4" w:space="0" w:color="auto"/>
              <w:bottom w:val="dotted" w:sz="4" w:space="0" w:color="000000"/>
              <w:right w:val="dotted" w:sz="4" w:space="0" w:color="000000"/>
            </w:tcBorders>
            <w:vAlign w:val="center"/>
            <w:hideMark/>
          </w:tcPr>
          <w:p w14:paraId="05BD638B"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Montant et proportion de l’activité économique éligible à la taxinomie, mais non alignée sur celle-ci, visée à la section 4.30 des annexes I et II du règlement délégué (UE) 2021/2139 au dénominateur de l’ICP applicable</w:t>
            </w:r>
          </w:p>
        </w:tc>
        <w:tc>
          <w:tcPr>
            <w:tcW w:w="2688" w:type="dxa"/>
            <w:gridSpan w:val="3"/>
            <w:tcBorders>
              <w:top w:val="dotted" w:sz="4" w:space="0" w:color="000000"/>
              <w:left w:val="nil"/>
              <w:bottom w:val="dotted" w:sz="4" w:space="0" w:color="000000"/>
              <w:right w:val="dotted" w:sz="4" w:space="0" w:color="000000"/>
            </w:tcBorders>
            <w:vAlign w:val="center"/>
            <w:hideMark/>
          </w:tcPr>
          <w:p w14:paraId="4DA07169"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Gaz - Cogénération à haut rendement de chaleur/froid et d’électricité à partir de combustibles fossiles gazeux</w:t>
            </w:r>
          </w:p>
        </w:tc>
        <w:tc>
          <w:tcPr>
            <w:tcW w:w="643" w:type="dxa"/>
            <w:tcBorders>
              <w:top w:val="nil"/>
              <w:left w:val="nil"/>
              <w:bottom w:val="dotted" w:sz="4" w:space="0" w:color="000000"/>
              <w:right w:val="dotted" w:sz="4" w:space="0" w:color="000000"/>
            </w:tcBorders>
            <w:vAlign w:val="center"/>
            <w:hideMark/>
          </w:tcPr>
          <w:p w14:paraId="1F2B9F8A" w14:textId="77777777" w:rsidR="00DC419F" w:rsidRPr="00A74D23" w:rsidRDefault="00DC419F" w:rsidP="003B24BE">
            <w:pPr>
              <w:spacing w:line="22" w:lineRule="atLeast"/>
              <w:jc w:val="both"/>
              <w:rPr>
                <w:rFonts w:asciiTheme="minorHAnsi" w:hAnsiTheme="minorHAnsi" w:cs="Open Sans"/>
                <w:color w:val="000000" w:themeColor="text1"/>
                <w:sz w:val="12"/>
                <w:szCs w:val="12"/>
              </w:rPr>
            </w:pPr>
            <w:r w:rsidRPr="00A74D23">
              <w:rPr>
                <w:rFonts w:asciiTheme="minorHAnsi" w:hAnsiTheme="minorHAnsi" w:cs="Open Sans"/>
                <w:color w:val="000000" w:themeColor="text1"/>
                <w:sz w:val="12"/>
                <w:szCs w:val="12"/>
              </w:rPr>
              <w:t>D.35.11 et D35.30</w:t>
            </w:r>
          </w:p>
        </w:tc>
        <w:tc>
          <w:tcPr>
            <w:tcW w:w="1580" w:type="dxa"/>
            <w:tcBorders>
              <w:top w:val="nil"/>
              <w:left w:val="nil"/>
              <w:bottom w:val="dotted" w:sz="4" w:space="0" w:color="000000"/>
              <w:right w:val="dotted" w:sz="4" w:space="0" w:color="000000"/>
            </w:tcBorders>
            <w:vAlign w:val="center"/>
            <w:hideMark/>
          </w:tcPr>
          <w:p w14:paraId="6794352A"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 xml:space="preserve">            165 094,72 € </w:t>
            </w:r>
          </w:p>
        </w:tc>
        <w:tc>
          <w:tcPr>
            <w:tcW w:w="993" w:type="dxa"/>
            <w:tcBorders>
              <w:top w:val="nil"/>
              <w:left w:val="nil"/>
              <w:bottom w:val="dotted" w:sz="4" w:space="0" w:color="000000"/>
              <w:right w:val="dotted" w:sz="4" w:space="0" w:color="000000"/>
            </w:tcBorders>
            <w:vAlign w:val="center"/>
            <w:hideMark/>
          </w:tcPr>
          <w:p w14:paraId="3BC889C3"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0,05%</w:t>
            </w:r>
          </w:p>
        </w:tc>
        <w:tc>
          <w:tcPr>
            <w:tcW w:w="1592" w:type="dxa"/>
            <w:tcBorders>
              <w:top w:val="nil"/>
              <w:left w:val="nil"/>
              <w:bottom w:val="dotted" w:sz="4" w:space="0" w:color="000000"/>
              <w:right w:val="dotted" w:sz="4" w:space="0" w:color="000000"/>
            </w:tcBorders>
            <w:vAlign w:val="center"/>
            <w:hideMark/>
          </w:tcPr>
          <w:p w14:paraId="1759E133"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 xml:space="preserve">            165 094,72 € </w:t>
            </w:r>
          </w:p>
        </w:tc>
        <w:tc>
          <w:tcPr>
            <w:tcW w:w="1027" w:type="dxa"/>
            <w:tcBorders>
              <w:top w:val="nil"/>
              <w:left w:val="nil"/>
              <w:bottom w:val="dotted" w:sz="4" w:space="0" w:color="000000"/>
              <w:right w:val="dotted" w:sz="4" w:space="0" w:color="000000"/>
            </w:tcBorders>
            <w:vAlign w:val="center"/>
            <w:hideMark/>
          </w:tcPr>
          <w:p w14:paraId="6E210F75"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0,05%</w:t>
            </w:r>
          </w:p>
        </w:tc>
        <w:tc>
          <w:tcPr>
            <w:tcW w:w="1410" w:type="dxa"/>
            <w:tcBorders>
              <w:top w:val="nil"/>
              <w:left w:val="nil"/>
              <w:bottom w:val="dotted" w:sz="4" w:space="0" w:color="000000"/>
              <w:right w:val="dotted" w:sz="4" w:space="0" w:color="000000"/>
            </w:tcBorders>
            <w:vAlign w:val="center"/>
            <w:hideMark/>
          </w:tcPr>
          <w:p w14:paraId="055AE29C"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 xml:space="preserve">                               -   € </w:t>
            </w:r>
          </w:p>
        </w:tc>
        <w:tc>
          <w:tcPr>
            <w:tcW w:w="1128" w:type="dxa"/>
            <w:tcBorders>
              <w:top w:val="nil"/>
              <w:left w:val="nil"/>
              <w:bottom w:val="dotted" w:sz="4" w:space="0" w:color="000000"/>
              <w:right w:val="single" w:sz="4" w:space="0" w:color="auto"/>
            </w:tcBorders>
            <w:vAlign w:val="center"/>
            <w:hideMark/>
          </w:tcPr>
          <w:p w14:paraId="0AB42BC1"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0,00%</w:t>
            </w:r>
          </w:p>
        </w:tc>
      </w:tr>
      <w:tr w:rsidR="00DC419F" w:rsidRPr="00A74D23" w14:paraId="5E2EECFB" w14:textId="77777777" w:rsidTr="003B24BE">
        <w:trPr>
          <w:trHeight w:val="698"/>
        </w:trPr>
        <w:tc>
          <w:tcPr>
            <w:tcW w:w="3161" w:type="dxa"/>
            <w:tcBorders>
              <w:top w:val="nil"/>
              <w:left w:val="single" w:sz="4" w:space="0" w:color="auto"/>
              <w:bottom w:val="dotted" w:sz="4" w:space="0" w:color="000000"/>
              <w:right w:val="dotted" w:sz="4" w:space="0" w:color="000000"/>
            </w:tcBorders>
            <w:vAlign w:val="center"/>
            <w:hideMark/>
          </w:tcPr>
          <w:p w14:paraId="26EB9A36"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Montant et proportion de l’activité économique éligible à la taxinomie, mais non alignée sur celle-ci, visée à la section 4.31 des annexes I et II du règlement délégué (UE) 2021/2139 au dénominateur de l’ICP applicable</w:t>
            </w:r>
          </w:p>
        </w:tc>
        <w:tc>
          <w:tcPr>
            <w:tcW w:w="2688" w:type="dxa"/>
            <w:gridSpan w:val="3"/>
            <w:tcBorders>
              <w:top w:val="dotted" w:sz="4" w:space="0" w:color="000000"/>
              <w:left w:val="nil"/>
              <w:bottom w:val="dotted" w:sz="4" w:space="0" w:color="000000"/>
              <w:right w:val="dotted" w:sz="4" w:space="0" w:color="000000"/>
            </w:tcBorders>
            <w:vAlign w:val="center"/>
            <w:hideMark/>
          </w:tcPr>
          <w:p w14:paraId="3787CBDB"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Production de chaleur/froid à partir de combustibles fossiles gazeux dans un système efficace de chauffage et de refroidissement urbain</w:t>
            </w:r>
          </w:p>
        </w:tc>
        <w:tc>
          <w:tcPr>
            <w:tcW w:w="643" w:type="dxa"/>
            <w:tcBorders>
              <w:top w:val="nil"/>
              <w:left w:val="nil"/>
              <w:bottom w:val="dotted" w:sz="4" w:space="0" w:color="000000"/>
              <w:right w:val="dotted" w:sz="4" w:space="0" w:color="000000"/>
            </w:tcBorders>
            <w:vAlign w:val="center"/>
            <w:hideMark/>
          </w:tcPr>
          <w:p w14:paraId="6FA459E9" w14:textId="77777777" w:rsidR="00DC419F" w:rsidRPr="00A74D23" w:rsidRDefault="00DC419F" w:rsidP="003B24BE">
            <w:pPr>
              <w:spacing w:line="22" w:lineRule="atLeast"/>
              <w:jc w:val="both"/>
              <w:rPr>
                <w:rFonts w:asciiTheme="minorHAnsi" w:hAnsiTheme="minorHAnsi" w:cs="Open Sans"/>
                <w:color w:val="000000" w:themeColor="text1"/>
                <w:sz w:val="12"/>
                <w:szCs w:val="12"/>
              </w:rPr>
            </w:pPr>
            <w:r w:rsidRPr="00A74D23">
              <w:rPr>
                <w:rFonts w:asciiTheme="minorHAnsi" w:hAnsiTheme="minorHAnsi" w:cs="Open Sans"/>
                <w:color w:val="000000" w:themeColor="text1"/>
                <w:sz w:val="12"/>
                <w:szCs w:val="12"/>
              </w:rPr>
              <w:t>D35.30</w:t>
            </w:r>
          </w:p>
        </w:tc>
        <w:tc>
          <w:tcPr>
            <w:tcW w:w="1580" w:type="dxa"/>
            <w:tcBorders>
              <w:top w:val="nil"/>
              <w:left w:val="nil"/>
              <w:bottom w:val="dotted" w:sz="4" w:space="0" w:color="000000"/>
              <w:right w:val="dotted" w:sz="4" w:space="0" w:color="000000"/>
            </w:tcBorders>
            <w:vAlign w:val="center"/>
            <w:hideMark/>
          </w:tcPr>
          <w:p w14:paraId="0F1A392E"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 xml:space="preserve">              45 025,76 € </w:t>
            </w:r>
          </w:p>
        </w:tc>
        <w:tc>
          <w:tcPr>
            <w:tcW w:w="993" w:type="dxa"/>
            <w:tcBorders>
              <w:top w:val="nil"/>
              <w:left w:val="nil"/>
              <w:bottom w:val="dotted" w:sz="4" w:space="0" w:color="000000"/>
              <w:right w:val="dotted" w:sz="4" w:space="0" w:color="000000"/>
            </w:tcBorders>
            <w:vAlign w:val="center"/>
            <w:hideMark/>
          </w:tcPr>
          <w:p w14:paraId="7C106529"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0,01%</w:t>
            </w:r>
          </w:p>
        </w:tc>
        <w:tc>
          <w:tcPr>
            <w:tcW w:w="1592" w:type="dxa"/>
            <w:tcBorders>
              <w:top w:val="nil"/>
              <w:left w:val="nil"/>
              <w:bottom w:val="dotted" w:sz="4" w:space="0" w:color="000000"/>
              <w:right w:val="dotted" w:sz="4" w:space="0" w:color="000000"/>
            </w:tcBorders>
            <w:vAlign w:val="center"/>
            <w:hideMark/>
          </w:tcPr>
          <w:p w14:paraId="1C05D2BA"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 xml:space="preserve">              45 025,76 € </w:t>
            </w:r>
          </w:p>
        </w:tc>
        <w:tc>
          <w:tcPr>
            <w:tcW w:w="1027" w:type="dxa"/>
            <w:tcBorders>
              <w:top w:val="nil"/>
              <w:left w:val="nil"/>
              <w:bottom w:val="dotted" w:sz="4" w:space="0" w:color="000000"/>
              <w:right w:val="dotted" w:sz="4" w:space="0" w:color="000000"/>
            </w:tcBorders>
            <w:vAlign w:val="center"/>
            <w:hideMark/>
          </w:tcPr>
          <w:p w14:paraId="2671F4BA"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0,01%</w:t>
            </w:r>
          </w:p>
        </w:tc>
        <w:tc>
          <w:tcPr>
            <w:tcW w:w="1410" w:type="dxa"/>
            <w:tcBorders>
              <w:top w:val="nil"/>
              <w:left w:val="nil"/>
              <w:bottom w:val="dotted" w:sz="4" w:space="0" w:color="000000"/>
              <w:right w:val="dotted" w:sz="4" w:space="0" w:color="000000"/>
            </w:tcBorders>
            <w:vAlign w:val="center"/>
            <w:hideMark/>
          </w:tcPr>
          <w:p w14:paraId="7CC63E29"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 xml:space="preserve">                               -   € </w:t>
            </w:r>
          </w:p>
        </w:tc>
        <w:tc>
          <w:tcPr>
            <w:tcW w:w="1128" w:type="dxa"/>
            <w:tcBorders>
              <w:top w:val="nil"/>
              <w:left w:val="nil"/>
              <w:bottom w:val="dotted" w:sz="4" w:space="0" w:color="000000"/>
              <w:right w:val="single" w:sz="4" w:space="0" w:color="auto"/>
            </w:tcBorders>
            <w:vAlign w:val="center"/>
            <w:hideMark/>
          </w:tcPr>
          <w:p w14:paraId="5C4BACBE"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0,00%</w:t>
            </w:r>
          </w:p>
        </w:tc>
      </w:tr>
      <w:tr w:rsidR="00DC419F" w:rsidRPr="00A74D23" w14:paraId="18D8CC41" w14:textId="77777777" w:rsidTr="003B24BE">
        <w:trPr>
          <w:trHeight w:val="698"/>
        </w:trPr>
        <w:tc>
          <w:tcPr>
            <w:tcW w:w="3161" w:type="dxa"/>
            <w:tcBorders>
              <w:top w:val="nil"/>
              <w:left w:val="single" w:sz="4" w:space="0" w:color="auto"/>
              <w:bottom w:val="dotted" w:sz="4" w:space="0" w:color="000000"/>
              <w:right w:val="dotted" w:sz="4" w:space="0" w:color="000000"/>
            </w:tcBorders>
            <w:vAlign w:val="center"/>
            <w:hideMark/>
          </w:tcPr>
          <w:p w14:paraId="494651F8"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Montant et proportion des autres activités économiques éligibles à la taxinomie, mais non alignées sur celle-ci, non visées aux lignes 1 à 6 ci-dessus au dénominateur de l’ICP applicable</w:t>
            </w:r>
          </w:p>
        </w:tc>
        <w:tc>
          <w:tcPr>
            <w:tcW w:w="240" w:type="dxa"/>
            <w:tcBorders>
              <w:top w:val="nil"/>
              <w:left w:val="nil"/>
              <w:bottom w:val="dotted" w:sz="4" w:space="0" w:color="000000"/>
              <w:right w:val="dotted" w:sz="4" w:space="0" w:color="000000"/>
            </w:tcBorders>
            <w:vAlign w:val="center"/>
            <w:hideMark/>
          </w:tcPr>
          <w:p w14:paraId="29C36971"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346" w:type="dxa"/>
            <w:tcBorders>
              <w:top w:val="nil"/>
              <w:left w:val="nil"/>
              <w:bottom w:val="dotted" w:sz="4" w:space="0" w:color="000000"/>
              <w:right w:val="dotted" w:sz="4" w:space="0" w:color="000000"/>
            </w:tcBorders>
            <w:vAlign w:val="center"/>
            <w:hideMark/>
          </w:tcPr>
          <w:p w14:paraId="48B0DF6E"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2102" w:type="dxa"/>
            <w:tcBorders>
              <w:top w:val="nil"/>
              <w:left w:val="nil"/>
              <w:bottom w:val="dotted" w:sz="4" w:space="0" w:color="000000"/>
              <w:right w:val="dotted" w:sz="4" w:space="0" w:color="000000"/>
            </w:tcBorders>
            <w:vAlign w:val="center"/>
            <w:hideMark/>
          </w:tcPr>
          <w:p w14:paraId="44784E76"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643" w:type="dxa"/>
            <w:tcBorders>
              <w:top w:val="nil"/>
              <w:left w:val="nil"/>
              <w:bottom w:val="dotted" w:sz="4" w:space="0" w:color="000000"/>
              <w:right w:val="dotted" w:sz="4" w:space="0" w:color="000000"/>
            </w:tcBorders>
            <w:vAlign w:val="center"/>
            <w:hideMark/>
          </w:tcPr>
          <w:p w14:paraId="5666D3FE"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1580" w:type="dxa"/>
            <w:tcBorders>
              <w:top w:val="nil"/>
              <w:left w:val="nil"/>
              <w:bottom w:val="dotted" w:sz="4" w:space="0" w:color="000000"/>
              <w:right w:val="dotted" w:sz="4" w:space="0" w:color="000000"/>
            </w:tcBorders>
            <w:vAlign w:val="center"/>
            <w:hideMark/>
          </w:tcPr>
          <w:p w14:paraId="41DF89EB" w14:textId="77777777" w:rsidR="00DC419F" w:rsidRPr="00223E7F" w:rsidRDefault="00DC419F" w:rsidP="003B24BE">
            <w:pPr>
              <w:spacing w:line="22" w:lineRule="atLeast"/>
              <w:jc w:val="both"/>
              <w:rPr>
                <w:rFonts w:asciiTheme="minorHAnsi" w:hAnsiTheme="minorHAnsi" w:cs="Open Sans"/>
                <w:color w:val="000000" w:themeColor="text1"/>
                <w:sz w:val="12"/>
                <w:szCs w:val="12"/>
              </w:rPr>
            </w:pPr>
            <w:r w:rsidRPr="00223E7F">
              <w:rPr>
                <w:rFonts w:asciiTheme="minorHAnsi" w:hAnsiTheme="minorHAnsi" w:cs="Prompt Light"/>
                <w:sz w:val="12"/>
                <w:szCs w:val="12"/>
                <w:lang w:val="fr-FR"/>
              </w:rPr>
              <w:t xml:space="preserve">      </w:t>
            </w:r>
            <w:r w:rsidRPr="00223E7F">
              <w:rPr>
                <w:rFonts w:asciiTheme="minorHAnsi" w:hAnsiTheme="minorHAnsi" w:cs="Prompt Light"/>
                <w:sz w:val="12"/>
                <w:szCs w:val="12"/>
              </w:rPr>
              <w:t xml:space="preserve">358 802 787,76 € </w:t>
            </w:r>
          </w:p>
        </w:tc>
        <w:tc>
          <w:tcPr>
            <w:tcW w:w="993" w:type="dxa"/>
            <w:tcBorders>
              <w:top w:val="nil"/>
              <w:left w:val="nil"/>
              <w:bottom w:val="dotted" w:sz="4" w:space="0" w:color="000000"/>
              <w:right w:val="dotted" w:sz="4" w:space="0" w:color="000000"/>
            </w:tcBorders>
            <w:vAlign w:val="center"/>
            <w:hideMark/>
          </w:tcPr>
          <w:p w14:paraId="37BAE3A0" w14:textId="77777777" w:rsidR="00DC419F" w:rsidRPr="00223E7F" w:rsidRDefault="00DC419F" w:rsidP="003B24BE">
            <w:pPr>
              <w:spacing w:line="22" w:lineRule="atLeast"/>
              <w:jc w:val="both"/>
              <w:rPr>
                <w:rFonts w:asciiTheme="minorHAnsi" w:hAnsiTheme="minorHAnsi" w:cs="Open Sans"/>
                <w:color w:val="000000" w:themeColor="text1"/>
                <w:sz w:val="12"/>
                <w:szCs w:val="12"/>
              </w:rPr>
            </w:pPr>
            <w:r w:rsidRPr="00223E7F">
              <w:rPr>
                <w:rFonts w:asciiTheme="minorHAnsi" w:hAnsiTheme="minorHAnsi" w:cs="Prompt Light"/>
                <w:sz w:val="12"/>
                <w:szCs w:val="12"/>
              </w:rPr>
              <w:t>97,98%</w:t>
            </w:r>
          </w:p>
        </w:tc>
        <w:tc>
          <w:tcPr>
            <w:tcW w:w="1592" w:type="dxa"/>
            <w:tcBorders>
              <w:top w:val="nil"/>
              <w:left w:val="nil"/>
              <w:bottom w:val="dotted" w:sz="4" w:space="0" w:color="000000"/>
              <w:right w:val="dotted" w:sz="4" w:space="0" w:color="000000"/>
            </w:tcBorders>
            <w:vAlign w:val="center"/>
            <w:hideMark/>
          </w:tcPr>
          <w:p w14:paraId="17BB3024" w14:textId="77777777" w:rsidR="00DC419F" w:rsidRPr="00223E7F" w:rsidRDefault="00DC419F" w:rsidP="003B24BE">
            <w:pPr>
              <w:spacing w:line="22" w:lineRule="atLeast"/>
              <w:jc w:val="both"/>
              <w:rPr>
                <w:rFonts w:asciiTheme="minorHAnsi" w:hAnsiTheme="minorHAnsi" w:cs="Open Sans"/>
                <w:color w:val="000000" w:themeColor="text1"/>
                <w:sz w:val="12"/>
                <w:szCs w:val="12"/>
              </w:rPr>
            </w:pPr>
            <w:r w:rsidRPr="00223E7F">
              <w:rPr>
                <w:rFonts w:asciiTheme="minorHAnsi" w:hAnsiTheme="minorHAnsi" w:cs="Prompt Light"/>
                <w:sz w:val="12"/>
                <w:szCs w:val="12"/>
              </w:rPr>
              <w:t xml:space="preserve">      357 679 994,59 € </w:t>
            </w:r>
          </w:p>
        </w:tc>
        <w:tc>
          <w:tcPr>
            <w:tcW w:w="1027" w:type="dxa"/>
            <w:tcBorders>
              <w:top w:val="nil"/>
              <w:left w:val="nil"/>
              <w:bottom w:val="dotted" w:sz="4" w:space="0" w:color="000000"/>
              <w:right w:val="dotted" w:sz="4" w:space="0" w:color="000000"/>
            </w:tcBorders>
            <w:vAlign w:val="center"/>
            <w:hideMark/>
          </w:tcPr>
          <w:p w14:paraId="0332A5B4" w14:textId="77777777" w:rsidR="00DC419F" w:rsidRPr="00223E7F" w:rsidRDefault="00DC419F" w:rsidP="003B24BE">
            <w:pPr>
              <w:spacing w:line="22" w:lineRule="atLeast"/>
              <w:jc w:val="both"/>
              <w:rPr>
                <w:rFonts w:asciiTheme="minorHAnsi" w:hAnsiTheme="minorHAnsi" w:cs="Open Sans"/>
                <w:color w:val="000000" w:themeColor="text1"/>
                <w:sz w:val="12"/>
                <w:szCs w:val="12"/>
              </w:rPr>
            </w:pPr>
            <w:r w:rsidRPr="00223E7F">
              <w:rPr>
                <w:rFonts w:asciiTheme="minorHAnsi" w:hAnsiTheme="minorHAnsi" w:cs="Prompt Light"/>
                <w:sz w:val="12"/>
                <w:szCs w:val="12"/>
              </w:rPr>
              <w:t>97,97%</w:t>
            </w:r>
          </w:p>
        </w:tc>
        <w:tc>
          <w:tcPr>
            <w:tcW w:w="1410" w:type="dxa"/>
            <w:tcBorders>
              <w:top w:val="nil"/>
              <w:left w:val="nil"/>
              <w:bottom w:val="dotted" w:sz="4" w:space="0" w:color="000000"/>
              <w:right w:val="dotted" w:sz="4" w:space="0" w:color="000000"/>
            </w:tcBorders>
            <w:vAlign w:val="center"/>
            <w:hideMark/>
          </w:tcPr>
          <w:p w14:paraId="490BAEF3" w14:textId="77777777" w:rsidR="00DC419F" w:rsidRPr="00223E7F" w:rsidRDefault="00DC419F" w:rsidP="003B24BE">
            <w:pPr>
              <w:spacing w:line="22" w:lineRule="atLeast"/>
              <w:jc w:val="both"/>
              <w:rPr>
                <w:rFonts w:asciiTheme="minorHAnsi" w:hAnsiTheme="minorHAnsi" w:cs="Open Sans"/>
                <w:color w:val="000000" w:themeColor="text1"/>
                <w:sz w:val="12"/>
                <w:szCs w:val="12"/>
              </w:rPr>
            </w:pPr>
            <w:r w:rsidRPr="00223E7F">
              <w:rPr>
                <w:rFonts w:asciiTheme="minorHAnsi" w:hAnsiTheme="minorHAnsi" w:cs="Prompt Light"/>
                <w:sz w:val="12"/>
                <w:szCs w:val="12"/>
              </w:rPr>
              <w:t xml:space="preserve">                   1 122 793,17 € </w:t>
            </w:r>
          </w:p>
        </w:tc>
        <w:tc>
          <w:tcPr>
            <w:tcW w:w="1128" w:type="dxa"/>
            <w:tcBorders>
              <w:top w:val="nil"/>
              <w:left w:val="nil"/>
              <w:bottom w:val="dotted" w:sz="4" w:space="0" w:color="000000"/>
              <w:right w:val="single" w:sz="4" w:space="0" w:color="auto"/>
            </w:tcBorders>
            <w:vAlign w:val="center"/>
            <w:hideMark/>
          </w:tcPr>
          <w:p w14:paraId="604381D6" w14:textId="77777777" w:rsidR="00DC419F" w:rsidRPr="00223E7F" w:rsidRDefault="00DC419F" w:rsidP="003B24BE">
            <w:pPr>
              <w:spacing w:line="22" w:lineRule="atLeast"/>
              <w:jc w:val="both"/>
              <w:rPr>
                <w:rFonts w:asciiTheme="minorHAnsi" w:hAnsiTheme="minorHAnsi" w:cs="Open Sans"/>
                <w:color w:val="000000" w:themeColor="text1"/>
                <w:sz w:val="12"/>
                <w:szCs w:val="12"/>
              </w:rPr>
            </w:pPr>
            <w:r w:rsidRPr="00223E7F">
              <w:rPr>
                <w:rFonts w:asciiTheme="minorHAnsi" w:hAnsiTheme="minorHAnsi" w:cs="Prompt Light"/>
                <w:sz w:val="12"/>
                <w:szCs w:val="12"/>
              </w:rPr>
              <w:t>100,00%</w:t>
            </w:r>
          </w:p>
        </w:tc>
      </w:tr>
      <w:tr w:rsidR="00DC419F" w:rsidRPr="00A74D23" w14:paraId="6A7C4C6D" w14:textId="77777777" w:rsidTr="003B24BE">
        <w:trPr>
          <w:trHeight w:val="698"/>
        </w:trPr>
        <w:tc>
          <w:tcPr>
            <w:tcW w:w="3161" w:type="dxa"/>
            <w:tcBorders>
              <w:top w:val="nil"/>
              <w:left w:val="single" w:sz="4" w:space="0" w:color="auto"/>
              <w:bottom w:val="single" w:sz="4" w:space="0" w:color="auto"/>
              <w:right w:val="dotted" w:sz="4" w:space="0" w:color="000000"/>
            </w:tcBorders>
            <w:vAlign w:val="center"/>
            <w:hideMark/>
          </w:tcPr>
          <w:p w14:paraId="5020A777"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Montant total et proportion totale des activités économiques éligibles à la taxinomie, mais non alignées sur celle-ci, au dénominateur de l’ICP applicable</w:t>
            </w:r>
          </w:p>
        </w:tc>
        <w:tc>
          <w:tcPr>
            <w:tcW w:w="240" w:type="dxa"/>
            <w:tcBorders>
              <w:top w:val="nil"/>
              <w:left w:val="nil"/>
              <w:bottom w:val="single" w:sz="4" w:space="0" w:color="auto"/>
              <w:right w:val="dotted" w:sz="4" w:space="0" w:color="000000"/>
            </w:tcBorders>
            <w:vAlign w:val="center"/>
            <w:hideMark/>
          </w:tcPr>
          <w:p w14:paraId="0FC54F82"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346" w:type="dxa"/>
            <w:tcBorders>
              <w:top w:val="nil"/>
              <w:left w:val="nil"/>
              <w:bottom w:val="single" w:sz="4" w:space="0" w:color="auto"/>
              <w:right w:val="dotted" w:sz="4" w:space="0" w:color="000000"/>
            </w:tcBorders>
            <w:vAlign w:val="center"/>
            <w:hideMark/>
          </w:tcPr>
          <w:p w14:paraId="1F87E873"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2102" w:type="dxa"/>
            <w:tcBorders>
              <w:top w:val="nil"/>
              <w:left w:val="nil"/>
              <w:bottom w:val="single" w:sz="4" w:space="0" w:color="auto"/>
              <w:right w:val="dotted" w:sz="4" w:space="0" w:color="000000"/>
            </w:tcBorders>
            <w:vAlign w:val="center"/>
            <w:hideMark/>
          </w:tcPr>
          <w:p w14:paraId="3BED3C6C"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643" w:type="dxa"/>
            <w:tcBorders>
              <w:top w:val="nil"/>
              <w:left w:val="nil"/>
              <w:bottom w:val="single" w:sz="4" w:space="0" w:color="auto"/>
              <w:right w:val="dotted" w:sz="4" w:space="0" w:color="000000"/>
            </w:tcBorders>
            <w:vAlign w:val="center"/>
            <w:hideMark/>
          </w:tcPr>
          <w:p w14:paraId="1733E15D"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1580" w:type="dxa"/>
            <w:tcBorders>
              <w:top w:val="nil"/>
              <w:left w:val="nil"/>
              <w:bottom w:val="single" w:sz="4" w:space="0" w:color="auto"/>
              <w:right w:val="dotted" w:sz="4" w:space="0" w:color="000000"/>
            </w:tcBorders>
            <w:vAlign w:val="center"/>
            <w:hideMark/>
          </w:tcPr>
          <w:p w14:paraId="3C59765E" w14:textId="77777777" w:rsidR="00DC419F" w:rsidRPr="00223E7F" w:rsidRDefault="00DC419F" w:rsidP="003B24BE">
            <w:pPr>
              <w:spacing w:line="22" w:lineRule="atLeast"/>
              <w:jc w:val="both"/>
              <w:rPr>
                <w:rFonts w:asciiTheme="minorHAnsi" w:hAnsiTheme="minorHAnsi" w:cs="Open Sans"/>
                <w:color w:val="000000" w:themeColor="text1"/>
                <w:sz w:val="12"/>
                <w:szCs w:val="12"/>
              </w:rPr>
            </w:pPr>
            <w:r w:rsidRPr="00223E7F">
              <w:rPr>
                <w:rFonts w:asciiTheme="minorHAnsi" w:hAnsiTheme="minorHAnsi" w:cs="Prompt Light"/>
                <w:sz w:val="12"/>
                <w:szCs w:val="12"/>
                <w:lang w:val="fr-FR"/>
              </w:rPr>
              <w:t xml:space="preserve">       </w:t>
            </w:r>
            <w:r w:rsidRPr="00223E7F">
              <w:rPr>
                <w:rFonts w:asciiTheme="minorHAnsi" w:hAnsiTheme="minorHAnsi" w:cs="Prompt Light"/>
                <w:sz w:val="12"/>
                <w:szCs w:val="12"/>
              </w:rPr>
              <w:t xml:space="preserve">366 216 415,53 € </w:t>
            </w:r>
          </w:p>
        </w:tc>
        <w:tc>
          <w:tcPr>
            <w:tcW w:w="993" w:type="dxa"/>
            <w:tcBorders>
              <w:top w:val="nil"/>
              <w:left w:val="nil"/>
              <w:bottom w:val="single" w:sz="4" w:space="0" w:color="auto"/>
              <w:right w:val="dotted" w:sz="4" w:space="0" w:color="000000"/>
            </w:tcBorders>
            <w:vAlign w:val="center"/>
            <w:hideMark/>
          </w:tcPr>
          <w:p w14:paraId="4F1EB5DC" w14:textId="77777777" w:rsidR="00DC419F" w:rsidRPr="00223E7F" w:rsidRDefault="00DC419F" w:rsidP="003B24BE">
            <w:pPr>
              <w:spacing w:line="22" w:lineRule="atLeast"/>
              <w:jc w:val="both"/>
              <w:rPr>
                <w:rFonts w:asciiTheme="minorHAnsi" w:hAnsiTheme="minorHAnsi" w:cs="Open Sans"/>
                <w:color w:val="000000" w:themeColor="text1"/>
                <w:sz w:val="12"/>
                <w:szCs w:val="12"/>
              </w:rPr>
            </w:pPr>
            <w:r w:rsidRPr="00223E7F">
              <w:rPr>
                <w:rFonts w:asciiTheme="minorHAnsi" w:hAnsiTheme="minorHAnsi" w:cs="Prompt Light"/>
                <w:sz w:val="12"/>
                <w:szCs w:val="12"/>
              </w:rPr>
              <w:t>100,00%</w:t>
            </w:r>
          </w:p>
        </w:tc>
        <w:tc>
          <w:tcPr>
            <w:tcW w:w="1592" w:type="dxa"/>
            <w:tcBorders>
              <w:top w:val="nil"/>
              <w:left w:val="nil"/>
              <w:bottom w:val="single" w:sz="4" w:space="0" w:color="auto"/>
              <w:right w:val="dotted" w:sz="4" w:space="0" w:color="000000"/>
            </w:tcBorders>
            <w:vAlign w:val="center"/>
            <w:hideMark/>
          </w:tcPr>
          <w:p w14:paraId="68339E39" w14:textId="77777777" w:rsidR="00DC419F" w:rsidRPr="00223E7F" w:rsidRDefault="00DC419F" w:rsidP="003B24BE">
            <w:pPr>
              <w:spacing w:line="22" w:lineRule="atLeast"/>
              <w:jc w:val="both"/>
              <w:rPr>
                <w:rFonts w:asciiTheme="minorHAnsi" w:hAnsiTheme="minorHAnsi" w:cs="Open Sans"/>
                <w:color w:val="000000" w:themeColor="text1"/>
                <w:sz w:val="12"/>
                <w:szCs w:val="12"/>
              </w:rPr>
            </w:pPr>
            <w:r w:rsidRPr="00223E7F">
              <w:rPr>
                <w:rFonts w:asciiTheme="minorHAnsi" w:hAnsiTheme="minorHAnsi" w:cs="Prompt Light"/>
                <w:sz w:val="12"/>
                <w:szCs w:val="12"/>
              </w:rPr>
              <w:t xml:space="preserve">      365 093 622,36 € </w:t>
            </w:r>
          </w:p>
        </w:tc>
        <w:tc>
          <w:tcPr>
            <w:tcW w:w="1027" w:type="dxa"/>
            <w:tcBorders>
              <w:top w:val="nil"/>
              <w:left w:val="nil"/>
              <w:bottom w:val="single" w:sz="4" w:space="0" w:color="auto"/>
              <w:right w:val="dotted" w:sz="4" w:space="0" w:color="000000"/>
            </w:tcBorders>
            <w:vAlign w:val="center"/>
            <w:hideMark/>
          </w:tcPr>
          <w:p w14:paraId="1F49E0BA" w14:textId="77777777" w:rsidR="00DC419F" w:rsidRPr="00223E7F" w:rsidRDefault="00DC419F" w:rsidP="003B24BE">
            <w:pPr>
              <w:spacing w:line="22" w:lineRule="atLeast"/>
              <w:jc w:val="both"/>
              <w:rPr>
                <w:rFonts w:asciiTheme="minorHAnsi" w:hAnsiTheme="minorHAnsi" w:cs="Open Sans"/>
                <w:color w:val="000000" w:themeColor="text1"/>
                <w:sz w:val="12"/>
                <w:szCs w:val="12"/>
              </w:rPr>
            </w:pPr>
            <w:r w:rsidRPr="00223E7F">
              <w:rPr>
                <w:rFonts w:asciiTheme="minorHAnsi" w:hAnsiTheme="minorHAnsi" w:cs="Prompt Light"/>
                <w:sz w:val="12"/>
                <w:szCs w:val="12"/>
              </w:rPr>
              <w:t>100,00%</w:t>
            </w:r>
          </w:p>
        </w:tc>
        <w:tc>
          <w:tcPr>
            <w:tcW w:w="1410" w:type="dxa"/>
            <w:tcBorders>
              <w:top w:val="nil"/>
              <w:left w:val="nil"/>
              <w:bottom w:val="single" w:sz="4" w:space="0" w:color="auto"/>
              <w:right w:val="dotted" w:sz="4" w:space="0" w:color="000000"/>
            </w:tcBorders>
            <w:vAlign w:val="center"/>
            <w:hideMark/>
          </w:tcPr>
          <w:p w14:paraId="703F0840" w14:textId="77777777" w:rsidR="00DC419F" w:rsidRPr="00223E7F" w:rsidRDefault="00DC419F" w:rsidP="003B24BE">
            <w:pPr>
              <w:spacing w:line="22" w:lineRule="atLeast"/>
              <w:jc w:val="both"/>
              <w:rPr>
                <w:rFonts w:asciiTheme="minorHAnsi" w:hAnsiTheme="minorHAnsi" w:cs="Open Sans"/>
                <w:color w:val="000000" w:themeColor="text1"/>
                <w:sz w:val="12"/>
                <w:szCs w:val="12"/>
              </w:rPr>
            </w:pPr>
            <w:r w:rsidRPr="00223E7F">
              <w:rPr>
                <w:rFonts w:asciiTheme="minorHAnsi" w:hAnsiTheme="minorHAnsi" w:cs="Prompt Light"/>
                <w:sz w:val="12"/>
                <w:szCs w:val="12"/>
              </w:rPr>
              <w:t xml:space="preserve">                   1 122 793,17 € </w:t>
            </w:r>
          </w:p>
        </w:tc>
        <w:tc>
          <w:tcPr>
            <w:tcW w:w="1128" w:type="dxa"/>
            <w:tcBorders>
              <w:top w:val="nil"/>
              <w:left w:val="nil"/>
              <w:bottom w:val="single" w:sz="4" w:space="0" w:color="auto"/>
              <w:right w:val="single" w:sz="4" w:space="0" w:color="auto"/>
            </w:tcBorders>
            <w:vAlign w:val="center"/>
            <w:hideMark/>
          </w:tcPr>
          <w:p w14:paraId="3D2C606F" w14:textId="77777777" w:rsidR="00DC419F" w:rsidRPr="00223E7F" w:rsidRDefault="00DC419F" w:rsidP="003B24BE">
            <w:pPr>
              <w:spacing w:line="22" w:lineRule="atLeast"/>
              <w:jc w:val="both"/>
              <w:rPr>
                <w:rFonts w:asciiTheme="minorHAnsi" w:hAnsiTheme="minorHAnsi" w:cs="Open Sans"/>
                <w:color w:val="000000" w:themeColor="text1"/>
                <w:sz w:val="12"/>
                <w:szCs w:val="12"/>
              </w:rPr>
            </w:pPr>
            <w:r w:rsidRPr="00223E7F">
              <w:rPr>
                <w:rFonts w:asciiTheme="minorHAnsi" w:hAnsiTheme="minorHAnsi" w:cs="Prompt Light"/>
                <w:sz w:val="12"/>
                <w:szCs w:val="12"/>
              </w:rPr>
              <w:t>100,00%</w:t>
            </w:r>
          </w:p>
        </w:tc>
      </w:tr>
    </w:tbl>
    <w:p w14:paraId="3D8CE417" w14:textId="77777777" w:rsidR="00DC419F" w:rsidRPr="00A74D23" w:rsidRDefault="00DC419F" w:rsidP="00DC419F">
      <w:pPr>
        <w:spacing w:line="22" w:lineRule="atLeast"/>
        <w:jc w:val="both"/>
        <w:rPr>
          <w:rFonts w:asciiTheme="minorHAnsi" w:hAnsiTheme="minorHAnsi" w:cs="Open Sans"/>
          <w:sz w:val="20"/>
        </w:rPr>
      </w:pPr>
    </w:p>
    <w:p w14:paraId="61170ECF" w14:textId="77777777" w:rsidR="00DC419F" w:rsidRPr="00A74D23" w:rsidRDefault="00DC419F" w:rsidP="00DC419F">
      <w:pPr>
        <w:spacing w:line="22" w:lineRule="atLeast"/>
        <w:jc w:val="both"/>
        <w:rPr>
          <w:rFonts w:asciiTheme="minorHAnsi" w:hAnsiTheme="minorHAnsi" w:cs="Open Sans"/>
          <w:sz w:val="20"/>
        </w:rPr>
      </w:pPr>
    </w:p>
    <w:p w14:paraId="4CA00DD7" w14:textId="77777777" w:rsidR="00DC419F" w:rsidRPr="00A74D23" w:rsidRDefault="00DC419F" w:rsidP="00DC419F">
      <w:pPr>
        <w:spacing w:line="22" w:lineRule="atLeast"/>
        <w:jc w:val="both"/>
        <w:rPr>
          <w:rFonts w:asciiTheme="minorHAnsi" w:hAnsiTheme="minorHAnsi" w:cs="Open Sans"/>
          <w:sz w:val="20"/>
        </w:rPr>
      </w:pPr>
    </w:p>
    <w:p w14:paraId="333FC780" w14:textId="77777777" w:rsidR="00DC419F" w:rsidRPr="00A74D23" w:rsidRDefault="00DC419F" w:rsidP="00DC419F">
      <w:pPr>
        <w:spacing w:line="22" w:lineRule="atLeast"/>
        <w:jc w:val="both"/>
        <w:rPr>
          <w:rFonts w:asciiTheme="minorHAnsi" w:hAnsiTheme="minorHAnsi" w:cs="Open Sans"/>
          <w:sz w:val="20"/>
        </w:rPr>
      </w:pPr>
    </w:p>
    <w:tbl>
      <w:tblPr>
        <w:tblW w:w="14032" w:type="dxa"/>
        <w:tblLook w:val="04A0" w:firstRow="1" w:lastRow="0" w:firstColumn="1" w:lastColumn="0" w:noHBand="0" w:noVBand="1"/>
      </w:tblPr>
      <w:tblGrid>
        <w:gridCol w:w="6295"/>
        <w:gridCol w:w="1582"/>
        <w:gridCol w:w="993"/>
        <w:gridCol w:w="1594"/>
        <w:gridCol w:w="1028"/>
        <w:gridCol w:w="1790"/>
        <w:gridCol w:w="750"/>
      </w:tblGrid>
      <w:tr w:rsidR="00DC419F" w:rsidRPr="00A74D23" w14:paraId="08964918" w14:textId="77777777" w:rsidTr="003B24BE">
        <w:trPr>
          <w:trHeight w:val="469"/>
        </w:trPr>
        <w:tc>
          <w:tcPr>
            <w:tcW w:w="6295" w:type="dxa"/>
            <w:tcBorders>
              <w:top w:val="single" w:sz="4" w:space="0" w:color="auto"/>
              <w:left w:val="single" w:sz="4" w:space="0" w:color="auto"/>
              <w:bottom w:val="single" w:sz="4" w:space="0" w:color="auto"/>
              <w:right w:val="dashed" w:sz="8" w:space="0" w:color="000000"/>
            </w:tcBorders>
            <w:shd w:val="clear" w:color="auto" w:fill="FFD400" w:themeFill="accent1"/>
            <w:noWrap/>
            <w:vAlign w:val="center"/>
            <w:hideMark/>
          </w:tcPr>
          <w:p w14:paraId="30D53D89" w14:textId="77777777" w:rsidR="00DC419F" w:rsidRPr="00A74D23" w:rsidRDefault="00DC419F" w:rsidP="003B24BE">
            <w:pPr>
              <w:spacing w:line="22" w:lineRule="atLeast"/>
              <w:jc w:val="center"/>
              <w:rPr>
                <w:rFonts w:asciiTheme="minorHAnsi" w:hAnsiTheme="minorHAnsi" w:cs="Open Sans"/>
                <w:b/>
                <w:bCs/>
                <w:color w:val="000000" w:themeColor="text1"/>
                <w:sz w:val="18"/>
                <w:szCs w:val="18"/>
              </w:rPr>
            </w:pPr>
            <w:r w:rsidRPr="00A74D23">
              <w:rPr>
                <w:rFonts w:asciiTheme="minorHAnsi" w:hAnsiTheme="minorHAnsi" w:cs="Open Sans"/>
                <w:b/>
                <w:bCs/>
                <w:color w:val="000000" w:themeColor="text1"/>
                <w:sz w:val="18"/>
                <w:szCs w:val="18"/>
              </w:rPr>
              <w:t>Activités économiques</w:t>
            </w:r>
          </w:p>
        </w:tc>
        <w:tc>
          <w:tcPr>
            <w:tcW w:w="5197" w:type="dxa"/>
            <w:gridSpan w:val="4"/>
            <w:tcBorders>
              <w:top w:val="single" w:sz="4" w:space="0" w:color="auto"/>
              <w:left w:val="nil"/>
              <w:bottom w:val="single" w:sz="4" w:space="0" w:color="auto"/>
              <w:right w:val="dashed" w:sz="8" w:space="0" w:color="000000"/>
            </w:tcBorders>
            <w:shd w:val="clear" w:color="auto" w:fill="FFD400" w:themeFill="accent1"/>
            <w:noWrap/>
            <w:vAlign w:val="center"/>
            <w:hideMark/>
          </w:tcPr>
          <w:p w14:paraId="7FA687E8" w14:textId="77777777" w:rsidR="00DC419F" w:rsidRPr="00A74D23" w:rsidRDefault="00DC419F" w:rsidP="003B24BE">
            <w:pPr>
              <w:spacing w:line="22" w:lineRule="atLeast"/>
              <w:jc w:val="center"/>
              <w:rPr>
                <w:rFonts w:asciiTheme="minorHAnsi" w:hAnsiTheme="minorHAnsi" w:cs="Open Sans"/>
                <w:b/>
                <w:bCs/>
                <w:color w:val="000000" w:themeColor="text1"/>
                <w:sz w:val="18"/>
                <w:szCs w:val="18"/>
              </w:rPr>
            </w:pPr>
            <w:r w:rsidRPr="00A74D23">
              <w:rPr>
                <w:rFonts w:asciiTheme="minorHAnsi" w:hAnsiTheme="minorHAnsi" w:cs="Open Sans"/>
                <w:b/>
                <w:bCs/>
                <w:color w:val="000000" w:themeColor="text1"/>
                <w:sz w:val="18"/>
                <w:szCs w:val="18"/>
              </w:rPr>
              <w:t>Activité visée</w:t>
            </w:r>
          </w:p>
        </w:tc>
        <w:tc>
          <w:tcPr>
            <w:tcW w:w="1790" w:type="dxa"/>
            <w:tcBorders>
              <w:top w:val="single" w:sz="4" w:space="0" w:color="auto"/>
              <w:left w:val="nil"/>
              <w:bottom w:val="single" w:sz="4" w:space="0" w:color="auto"/>
              <w:right w:val="dashed" w:sz="8" w:space="0" w:color="auto"/>
            </w:tcBorders>
            <w:shd w:val="clear" w:color="auto" w:fill="FFD400" w:themeFill="accent1"/>
            <w:vAlign w:val="center"/>
            <w:hideMark/>
          </w:tcPr>
          <w:p w14:paraId="32B8D900" w14:textId="77777777" w:rsidR="00DC419F" w:rsidRPr="00A74D23" w:rsidRDefault="00DC419F" w:rsidP="003B24BE">
            <w:pPr>
              <w:spacing w:line="22" w:lineRule="atLeast"/>
              <w:jc w:val="center"/>
              <w:rPr>
                <w:rFonts w:asciiTheme="minorHAnsi" w:hAnsiTheme="minorHAnsi" w:cs="Open Sans"/>
                <w:b/>
                <w:bCs/>
                <w:color w:val="000000" w:themeColor="text1"/>
                <w:sz w:val="18"/>
                <w:szCs w:val="18"/>
              </w:rPr>
            </w:pPr>
            <w:r w:rsidRPr="00A74D23">
              <w:rPr>
                <w:rFonts w:asciiTheme="minorHAnsi" w:hAnsiTheme="minorHAnsi" w:cs="Open Sans"/>
                <w:b/>
                <w:bCs/>
                <w:color w:val="000000" w:themeColor="text1"/>
                <w:sz w:val="18"/>
                <w:szCs w:val="18"/>
              </w:rPr>
              <w:t>Montant</w:t>
            </w:r>
          </w:p>
        </w:tc>
        <w:tc>
          <w:tcPr>
            <w:tcW w:w="750" w:type="dxa"/>
            <w:tcBorders>
              <w:top w:val="single" w:sz="4" w:space="0" w:color="auto"/>
              <w:left w:val="nil"/>
              <w:bottom w:val="single" w:sz="4" w:space="0" w:color="auto"/>
              <w:right w:val="single" w:sz="4" w:space="0" w:color="auto"/>
            </w:tcBorders>
            <w:shd w:val="clear" w:color="auto" w:fill="FFD400" w:themeFill="accent1"/>
            <w:vAlign w:val="center"/>
            <w:hideMark/>
          </w:tcPr>
          <w:p w14:paraId="7869A971" w14:textId="77777777" w:rsidR="00DC419F" w:rsidRPr="00A74D23" w:rsidRDefault="00DC419F" w:rsidP="003B24BE">
            <w:pPr>
              <w:spacing w:line="22" w:lineRule="atLeast"/>
              <w:jc w:val="center"/>
              <w:rPr>
                <w:rFonts w:asciiTheme="minorHAnsi" w:hAnsiTheme="minorHAnsi" w:cs="Open Sans"/>
                <w:b/>
                <w:bCs/>
                <w:color w:val="000000" w:themeColor="text1"/>
                <w:sz w:val="18"/>
                <w:szCs w:val="18"/>
              </w:rPr>
            </w:pPr>
            <w:r w:rsidRPr="00A74D23">
              <w:rPr>
                <w:rFonts w:asciiTheme="minorHAnsi" w:hAnsiTheme="minorHAnsi" w:cs="Open Sans"/>
                <w:b/>
                <w:bCs/>
                <w:color w:val="000000" w:themeColor="text1"/>
                <w:sz w:val="18"/>
                <w:szCs w:val="18"/>
              </w:rPr>
              <w:t>%</w:t>
            </w:r>
          </w:p>
        </w:tc>
      </w:tr>
      <w:tr w:rsidR="00DC419F" w:rsidRPr="00A74D23" w14:paraId="655285DC" w14:textId="77777777" w:rsidTr="003B24BE">
        <w:trPr>
          <w:trHeight w:val="469"/>
        </w:trPr>
        <w:tc>
          <w:tcPr>
            <w:tcW w:w="6295" w:type="dxa"/>
            <w:tcBorders>
              <w:top w:val="single" w:sz="4" w:space="0" w:color="auto"/>
              <w:left w:val="single" w:sz="4" w:space="0" w:color="auto"/>
              <w:bottom w:val="dotted" w:sz="4" w:space="0" w:color="000000"/>
              <w:right w:val="dotted" w:sz="4" w:space="0" w:color="000000"/>
            </w:tcBorders>
            <w:vAlign w:val="center"/>
            <w:hideMark/>
          </w:tcPr>
          <w:p w14:paraId="087EC6B5"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Montant et proportion de l’activité économique visée à la ligne 1 du modèle 1 qui n’est pas éligible à la taxinomie, conformément à la section 4.26 des annexes I et II du règlement délégué (UE) 2021/2139, au dénominateur de l’ICP applicable</w:t>
            </w:r>
          </w:p>
        </w:tc>
        <w:tc>
          <w:tcPr>
            <w:tcW w:w="5197" w:type="dxa"/>
            <w:gridSpan w:val="4"/>
            <w:tcBorders>
              <w:top w:val="single" w:sz="4" w:space="0" w:color="auto"/>
              <w:left w:val="nil"/>
              <w:bottom w:val="dotted" w:sz="4" w:space="0" w:color="000000"/>
              <w:right w:val="dotted" w:sz="4" w:space="0" w:color="000000"/>
            </w:tcBorders>
            <w:vAlign w:val="center"/>
            <w:hideMark/>
          </w:tcPr>
          <w:p w14:paraId="0299CEF2"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L’entreprise exerce, finance ou est exposée à des activités de recherche, de développement, de démonstration et de déploiement d’installations innovantes de production d’électricité à partir de processus nucléaires avec un minimum de déchets issus du cycle du combustible.</w:t>
            </w:r>
          </w:p>
        </w:tc>
        <w:tc>
          <w:tcPr>
            <w:tcW w:w="1790" w:type="dxa"/>
            <w:tcBorders>
              <w:top w:val="single" w:sz="4" w:space="0" w:color="auto"/>
              <w:left w:val="nil"/>
              <w:bottom w:val="dotted" w:sz="4" w:space="0" w:color="000000"/>
              <w:right w:val="dotted" w:sz="4" w:space="0" w:color="000000"/>
            </w:tcBorders>
            <w:vAlign w:val="center"/>
            <w:hideMark/>
          </w:tcPr>
          <w:p w14:paraId="61A4CE70"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1A153B">
              <w:rPr>
                <w:rFonts w:asciiTheme="minorHAnsi" w:hAnsiTheme="minorHAnsi" w:cs="Prompt Light"/>
                <w:sz w:val="14"/>
                <w:szCs w:val="14"/>
                <w:lang w:val="fr-FR"/>
              </w:rPr>
              <w:t xml:space="preserve">               </w:t>
            </w:r>
            <w:r w:rsidRPr="00223E7F">
              <w:rPr>
                <w:rFonts w:asciiTheme="minorHAnsi" w:hAnsiTheme="minorHAnsi" w:cs="Prompt Light"/>
                <w:sz w:val="14"/>
                <w:szCs w:val="14"/>
              </w:rPr>
              <w:t xml:space="preserve">27 237 547,29 € </w:t>
            </w:r>
          </w:p>
        </w:tc>
        <w:tc>
          <w:tcPr>
            <w:tcW w:w="750" w:type="dxa"/>
            <w:tcBorders>
              <w:top w:val="single" w:sz="4" w:space="0" w:color="auto"/>
              <w:left w:val="nil"/>
              <w:bottom w:val="dotted" w:sz="4" w:space="0" w:color="000000"/>
              <w:right w:val="single" w:sz="4" w:space="0" w:color="auto"/>
            </w:tcBorders>
            <w:vAlign w:val="center"/>
            <w:hideMark/>
          </w:tcPr>
          <w:p w14:paraId="0A908532"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0,49%</w:t>
            </w:r>
          </w:p>
        </w:tc>
      </w:tr>
      <w:tr w:rsidR="00DC419F" w:rsidRPr="00A74D23" w14:paraId="5B54A232" w14:textId="77777777" w:rsidTr="003B24BE">
        <w:trPr>
          <w:trHeight w:val="469"/>
        </w:trPr>
        <w:tc>
          <w:tcPr>
            <w:tcW w:w="6295" w:type="dxa"/>
            <w:tcBorders>
              <w:top w:val="dotted" w:sz="4" w:space="0" w:color="000000"/>
              <w:left w:val="single" w:sz="4" w:space="0" w:color="auto"/>
              <w:bottom w:val="dotted" w:sz="4" w:space="0" w:color="000000"/>
              <w:right w:val="dotted" w:sz="4" w:space="0" w:color="000000"/>
            </w:tcBorders>
            <w:vAlign w:val="center"/>
            <w:hideMark/>
          </w:tcPr>
          <w:p w14:paraId="29E639B1"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Montant et proportion de l’activité économique visée à la ligne 2 du modèle 1 qui n’est pas éligible à la taxinomie, conformément à la section 4.27 des annexes I et II du règlement délégué (UE) 2021/2139, au dénominateur de l’ICP applicable</w:t>
            </w:r>
          </w:p>
        </w:tc>
        <w:tc>
          <w:tcPr>
            <w:tcW w:w="5197" w:type="dxa"/>
            <w:gridSpan w:val="4"/>
            <w:tcBorders>
              <w:top w:val="dotted" w:sz="4" w:space="0" w:color="000000"/>
              <w:left w:val="nil"/>
              <w:bottom w:val="dotted" w:sz="4" w:space="0" w:color="000000"/>
              <w:right w:val="dotted" w:sz="4" w:space="0" w:color="000000"/>
            </w:tcBorders>
            <w:vAlign w:val="center"/>
            <w:hideMark/>
          </w:tcPr>
          <w:p w14:paraId="003FFCF1"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L’entreprise exerce, finance ou est exposée à des activités de construction et d’exploitation sûre de nouvelles installations nucléaires de production d’électricité ou de chaleur industrielle, notamment à des fins de chauffage urbain ou aux fins de procédés industriels tels que la</w:t>
            </w:r>
            <w:r w:rsidRPr="00A74D23">
              <w:rPr>
                <w:rFonts w:asciiTheme="minorHAnsi" w:hAnsiTheme="minorHAnsi" w:cs="Open Sans"/>
                <w:color w:val="000000" w:themeColor="text1"/>
                <w:sz w:val="12"/>
                <w:szCs w:val="12"/>
                <w:lang w:val="fr-FR"/>
              </w:rPr>
              <w:br/>
              <w:t>production d’hydrogène, y compris leurs mises à niveau de sûreté, utilisant les meilleures technologies disponibles.</w:t>
            </w:r>
          </w:p>
        </w:tc>
        <w:tc>
          <w:tcPr>
            <w:tcW w:w="1790" w:type="dxa"/>
            <w:tcBorders>
              <w:top w:val="nil"/>
              <w:left w:val="nil"/>
              <w:bottom w:val="dotted" w:sz="4" w:space="0" w:color="000000"/>
              <w:right w:val="dotted" w:sz="4" w:space="0" w:color="000000"/>
            </w:tcBorders>
            <w:vAlign w:val="center"/>
            <w:hideMark/>
          </w:tcPr>
          <w:p w14:paraId="31D76186"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1A153B">
              <w:rPr>
                <w:rFonts w:asciiTheme="minorHAnsi" w:hAnsiTheme="minorHAnsi" w:cs="Prompt Light"/>
                <w:sz w:val="14"/>
                <w:szCs w:val="14"/>
                <w:lang w:val="fr-FR"/>
              </w:rPr>
              <w:t xml:space="preserve">               </w:t>
            </w:r>
            <w:r w:rsidRPr="00223E7F">
              <w:rPr>
                <w:rFonts w:asciiTheme="minorHAnsi" w:hAnsiTheme="minorHAnsi" w:cs="Prompt Light"/>
                <w:sz w:val="14"/>
                <w:szCs w:val="14"/>
              </w:rPr>
              <w:t xml:space="preserve">35 897 833,27 € </w:t>
            </w:r>
          </w:p>
        </w:tc>
        <w:tc>
          <w:tcPr>
            <w:tcW w:w="750" w:type="dxa"/>
            <w:tcBorders>
              <w:top w:val="nil"/>
              <w:left w:val="nil"/>
              <w:bottom w:val="dotted" w:sz="4" w:space="0" w:color="000000"/>
              <w:right w:val="single" w:sz="4" w:space="0" w:color="auto"/>
            </w:tcBorders>
            <w:vAlign w:val="center"/>
            <w:hideMark/>
          </w:tcPr>
          <w:p w14:paraId="2EC51F75"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0,65%</w:t>
            </w:r>
          </w:p>
        </w:tc>
      </w:tr>
      <w:tr w:rsidR="00DC419F" w:rsidRPr="00A74D23" w14:paraId="6D2EAD67" w14:textId="77777777" w:rsidTr="003B24BE">
        <w:trPr>
          <w:trHeight w:val="469"/>
        </w:trPr>
        <w:tc>
          <w:tcPr>
            <w:tcW w:w="6295" w:type="dxa"/>
            <w:tcBorders>
              <w:top w:val="dotted" w:sz="4" w:space="0" w:color="000000"/>
              <w:left w:val="single" w:sz="4" w:space="0" w:color="auto"/>
              <w:bottom w:val="dotted" w:sz="4" w:space="0" w:color="000000"/>
              <w:right w:val="dotted" w:sz="4" w:space="0" w:color="000000"/>
            </w:tcBorders>
            <w:vAlign w:val="center"/>
            <w:hideMark/>
          </w:tcPr>
          <w:p w14:paraId="58DF3812"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Montant et proportion de l’activité économique visée à la ligne 3 du modèle 1 qui n’est pas éligible à la taxinomie, conformément à la section 4.28 des annexes I et II du règlement délégué (UE) 2021/2139, au dénominateur de l’ICP applicable</w:t>
            </w:r>
          </w:p>
        </w:tc>
        <w:tc>
          <w:tcPr>
            <w:tcW w:w="5197" w:type="dxa"/>
            <w:gridSpan w:val="4"/>
            <w:tcBorders>
              <w:top w:val="dotted" w:sz="4" w:space="0" w:color="000000"/>
              <w:left w:val="nil"/>
              <w:bottom w:val="dotted" w:sz="4" w:space="0" w:color="000000"/>
              <w:right w:val="dotted" w:sz="4" w:space="0" w:color="000000"/>
            </w:tcBorders>
            <w:vAlign w:val="center"/>
            <w:hideMark/>
          </w:tcPr>
          <w:p w14:paraId="0676F790"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L’entreprise exerce, finance ou est exposée à des activités d’exploitation sûre d’installations nucléaires existantes de production d’électricité ou de chaleur industrielle, notamment à des fins de chauffage urbain ou aux fins de procédés industriels tels que la production d’hydrogène, à partir</w:t>
            </w:r>
            <w:r w:rsidRPr="00A74D23">
              <w:rPr>
                <w:rFonts w:asciiTheme="minorHAnsi" w:hAnsiTheme="minorHAnsi" w:cs="Open Sans"/>
                <w:color w:val="000000" w:themeColor="text1"/>
                <w:sz w:val="12"/>
                <w:szCs w:val="12"/>
                <w:lang w:val="fr-FR"/>
              </w:rPr>
              <w:br/>
              <w:t>d’énergie nucléaire, y compris leurs mises à niveau de sûreté.</w:t>
            </w:r>
          </w:p>
        </w:tc>
        <w:tc>
          <w:tcPr>
            <w:tcW w:w="1790" w:type="dxa"/>
            <w:tcBorders>
              <w:top w:val="nil"/>
              <w:left w:val="nil"/>
              <w:bottom w:val="dotted" w:sz="4" w:space="0" w:color="000000"/>
              <w:right w:val="dotted" w:sz="4" w:space="0" w:color="000000"/>
            </w:tcBorders>
            <w:vAlign w:val="center"/>
            <w:hideMark/>
          </w:tcPr>
          <w:p w14:paraId="1D040DCE"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1A153B">
              <w:rPr>
                <w:rFonts w:asciiTheme="minorHAnsi" w:hAnsiTheme="minorHAnsi" w:cs="Prompt Light"/>
                <w:sz w:val="14"/>
                <w:szCs w:val="14"/>
                <w:lang w:val="fr-FR"/>
              </w:rPr>
              <w:t xml:space="preserve">             </w:t>
            </w:r>
            <w:r w:rsidRPr="00223E7F">
              <w:rPr>
                <w:rFonts w:asciiTheme="minorHAnsi" w:hAnsiTheme="minorHAnsi" w:cs="Prompt Light"/>
                <w:sz w:val="14"/>
                <w:szCs w:val="14"/>
              </w:rPr>
              <w:t xml:space="preserve">529 456 236,32 € </w:t>
            </w:r>
          </w:p>
        </w:tc>
        <w:tc>
          <w:tcPr>
            <w:tcW w:w="750" w:type="dxa"/>
            <w:tcBorders>
              <w:top w:val="nil"/>
              <w:left w:val="nil"/>
              <w:bottom w:val="dotted" w:sz="4" w:space="0" w:color="000000"/>
              <w:right w:val="single" w:sz="4" w:space="0" w:color="auto"/>
            </w:tcBorders>
            <w:vAlign w:val="center"/>
            <w:hideMark/>
          </w:tcPr>
          <w:p w14:paraId="3F925E0B"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9,57%</w:t>
            </w:r>
          </w:p>
        </w:tc>
      </w:tr>
      <w:tr w:rsidR="00DC419F" w:rsidRPr="00A74D23" w14:paraId="546D59F3" w14:textId="77777777" w:rsidTr="003B24BE">
        <w:trPr>
          <w:trHeight w:val="469"/>
        </w:trPr>
        <w:tc>
          <w:tcPr>
            <w:tcW w:w="6295" w:type="dxa"/>
            <w:tcBorders>
              <w:top w:val="dotted" w:sz="4" w:space="0" w:color="000000"/>
              <w:left w:val="single" w:sz="4" w:space="0" w:color="auto"/>
              <w:bottom w:val="dotted" w:sz="4" w:space="0" w:color="000000"/>
              <w:right w:val="dotted" w:sz="4" w:space="0" w:color="000000"/>
            </w:tcBorders>
            <w:vAlign w:val="center"/>
            <w:hideMark/>
          </w:tcPr>
          <w:p w14:paraId="32BF275A"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Montant et proportion de l’activité économique visée à la ligne 4 du modèle 1 qui n’est pas éligible à la taxinomie, conformément à la section 4.29 des annexes I et II du règlement délégué (UE) 2021/2139, au dénominateur de l’ICP applicable</w:t>
            </w:r>
          </w:p>
        </w:tc>
        <w:tc>
          <w:tcPr>
            <w:tcW w:w="5197" w:type="dxa"/>
            <w:gridSpan w:val="4"/>
            <w:tcBorders>
              <w:top w:val="dotted" w:sz="4" w:space="0" w:color="000000"/>
              <w:left w:val="nil"/>
              <w:bottom w:val="dotted" w:sz="4" w:space="0" w:color="000000"/>
              <w:right w:val="dotted" w:sz="4" w:space="0" w:color="000000"/>
            </w:tcBorders>
            <w:vAlign w:val="center"/>
            <w:hideMark/>
          </w:tcPr>
          <w:p w14:paraId="6A5586ED"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L’entreprise exerce, finance ou est exposée à des activités de construction ou d’exploitation d’installations de production d’électricité à partir de combustibles fossiles gazeux.</w:t>
            </w:r>
          </w:p>
        </w:tc>
        <w:tc>
          <w:tcPr>
            <w:tcW w:w="1790" w:type="dxa"/>
            <w:tcBorders>
              <w:top w:val="nil"/>
              <w:left w:val="nil"/>
              <w:bottom w:val="dotted" w:sz="4" w:space="0" w:color="000000"/>
              <w:right w:val="dotted" w:sz="4" w:space="0" w:color="000000"/>
            </w:tcBorders>
            <w:vAlign w:val="center"/>
            <w:hideMark/>
          </w:tcPr>
          <w:p w14:paraId="6E262D21"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1A153B">
              <w:rPr>
                <w:rFonts w:asciiTheme="minorHAnsi" w:hAnsiTheme="minorHAnsi" w:cs="Prompt Light"/>
                <w:sz w:val="14"/>
                <w:szCs w:val="14"/>
                <w:lang w:val="fr-FR"/>
              </w:rPr>
              <w:t xml:space="preserve">              </w:t>
            </w:r>
            <w:r w:rsidRPr="00223E7F">
              <w:rPr>
                <w:rFonts w:asciiTheme="minorHAnsi" w:hAnsiTheme="minorHAnsi" w:cs="Prompt Light"/>
                <w:sz w:val="14"/>
                <w:szCs w:val="14"/>
              </w:rPr>
              <w:t xml:space="preserve">605 184 833,10 € </w:t>
            </w:r>
          </w:p>
        </w:tc>
        <w:tc>
          <w:tcPr>
            <w:tcW w:w="750" w:type="dxa"/>
            <w:tcBorders>
              <w:top w:val="nil"/>
              <w:left w:val="nil"/>
              <w:bottom w:val="dotted" w:sz="4" w:space="0" w:color="000000"/>
              <w:right w:val="single" w:sz="4" w:space="0" w:color="auto"/>
            </w:tcBorders>
            <w:vAlign w:val="center"/>
            <w:hideMark/>
          </w:tcPr>
          <w:p w14:paraId="499E2E91"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10,94%</w:t>
            </w:r>
          </w:p>
        </w:tc>
      </w:tr>
      <w:tr w:rsidR="00DC419F" w:rsidRPr="00A74D23" w14:paraId="38B7303B" w14:textId="77777777" w:rsidTr="003B24BE">
        <w:trPr>
          <w:trHeight w:val="469"/>
        </w:trPr>
        <w:tc>
          <w:tcPr>
            <w:tcW w:w="6295" w:type="dxa"/>
            <w:tcBorders>
              <w:top w:val="dotted" w:sz="4" w:space="0" w:color="000000"/>
              <w:left w:val="single" w:sz="4" w:space="0" w:color="auto"/>
              <w:bottom w:val="dotted" w:sz="4" w:space="0" w:color="000000"/>
              <w:right w:val="dotted" w:sz="4" w:space="0" w:color="000000"/>
            </w:tcBorders>
            <w:vAlign w:val="center"/>
            <w:hideMark/>
          </w:tcPr>
          <w:p w14:paraId="0220A0FD"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Montant et proportion de l’activité économique visée à la ligne 5 du modèle 1 qui n’est pas éligible à la taxinomie, conformément à la section 4.30 des annexes I et II du règlement délégué (UE) 2021/2139, au dénominateur de l’ICP applicable</w:t>
            </w:r>
          </w:p>
        </w:tc>
        <w:tc>
          <w:tcPr>
            <w:tcW w:w="5197" w:type="dxa"/>
            <w:gridSpan w:val="4"/>
            <w:tcBorders>
              <w:top w:val="dotted" w:sz="4" w:space="0" w:color="000000"/>
              <w:left w:val="nil"/>
              <w:bottom w:val="dotted" w:sz="4" w:space="0" w:color="000000"/>
              <w:right w:val="dotted" w:sz="4" w:space="0" w:color="000000"/>
            </w:tcBorders>
            <w:vAlign w:val="center"/>
            <w:hideMark/>
          </w:tcPr>
          <w:p w14:paraId="38CCB7FE"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L’entreprise exerce, finance ou est exposée à des activités de construction, de remise en état et d’exploitation d’installations de production combinée de chaleur/froid et d’électricité à partir de combustibles fossiles gazeux.</w:t>
            </w:r>
          </w:p>
        </w:tc>
        <w:tc>
          <w:tcPr>
            <w:tcW w:w="1790" w:type="dxa"/>
            <w:tcBorders>
              <w:top w:val="nil"/>
              <w:left w:val="nil"/>
              <w:bottom w:val="dotted" w:sz="4" w:space="0" w:color="000000"/>
              <w:right w:val="dotted" w:sz="4" w:space="0" w:color="000000"/>
            </w:tcBorders>
            <w:vAlign w:val="center"/>
            <w:hideMark/>
          </w:tcPr>
          <w:p w14:paraId="20BB59F4"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1A153B">
              <w:rPr>
                <w:rFonts w:asciiTheme="minorHAnsi" w:hAnsiTheme="minorHAnsi" w:cs="Prompt Light"/>
                <w:sz w:val="14"/>
                <w:szCs w:val="14"/>
                <w:lang w:val="fr-FR"/>
              </w:rPr>
              <w:t xml:space="preserve">             </w:t>
            </w:r>
            <w:r w:rsidRPr="00223E7F">
              <w:rPr>
                <w:rFonts w:asciiTheme="minorHAnsi" w:hAnsiTheme="minorHAnsi" w:cs="Prompt Light"/>
                <w:sz w:val="14"/>
                <w:szCs w:val="14"/>
              </w:rPr>
              <w:t xml:space="preserve">350 613 468,80 € </w:t>
            </w:r>
          </w:p>
        </w:tc>
        <w:tc>
          <w:tcPr>
            <w:tcW w:w="750" w:type="dxa"/>
            <w:tcBorders>
              <w:top w:val="nil"/>
              <w:left w:val="nil"/>
              <w:bottom w:val="dotted" w:sz="4" w:space="0" w:color="000000"/>
              <w:right w:val="single" w:sz="4" w:space="0" w:color="auto"/>
            </w:tcBorders>
            <w:vAlign w:val="center"/>
            <w:hideMark/>
          </w:tcPr>
          <w:p w14:paraId="4E76A57B"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6,34%</w:t>
            </w:r>
          </w:p>
        </w:tc>
      </w:tr>
      <w:tr w:rsidR="00DC419F" w:rsidRPr="00A74D23" w14:paraId="7AC635A8" w14:textId="77777777" w:rsidTr="003B24BE">
        <w:trPr>
          <w:trHeight w:val="469"/>
        </w:trPr>
        <w:tc>
          <w:tcPr>
            <w:tcW w:w="6295" w:type="dxa"/>
            <w:tcBorders>
              <w:top w:val="dotted" w:sz="4" w:space="0" w:color="000000"/>
              <w:left w:val="single" w:sz="4" w:space="0" w:color="auto"/>
              <w:bottom w:val="dotted" w:sz="4" w:space="0" w:color="000000"/>
              <w:right w:val="dotted" w:sz="4" w:space="0" w:color="000000"/>
            </w:tcBorders>
            <w:vAlign w:val="center"/>
            <w:hideMark/>
          </w:tcPr>
          <w:p w14:paraId="66C22B63"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Montant et proportion de l’activité économique visée à la ligne 6 du modèle 1 qui n’est pas éligible à la taxinomie, conformément à la section 4.31 des annexes I et II du règlement délégué (UE) 2021/2139, au dénominateur de l’ICP applicable</w:t>
            </w:r>
          </w:p>
        </w:tc>
        <w:tc>
          <w:tcPr>
            <w:tcW w:w="5197" w:type="dxa"/>
            <w:gridSpan w:val="4"/>
            <w:tcBorders>
              <w:top w:val="dotted" w:sz="4" w:space="0" w:color="000000"/>
              <w:left w:val="nil"/>
              <w:bottom w:val="dotted" w:sz="4" w:space="0" w:color="000000"/>
              <w:right w:val="dotted" w:sz="4" w:space="0" w:color="000000"/>
            </w:tcBorders>
            <w:vAlign w:val="center"/>
            <w:hideMark/>
          </w:tcPr>
          <w:p w14:paraId="42075AA5" w14:textId="77777777" w:rsidR="00DC419F" w:rsidRPr="00A74D23" w:rsidRDefault="00DC419F" w:rsidP="003B24BE">
            <w:pPr>
              <w:spacing w:line="22" w:lineRule="atLeast"/>
              <w:jc w:val="both"/>
              <w:rPr>
                <w:rFonts w:asciiTheme="minorHAnsi" w:hAnsiTheme="minorHAnsi" w:cs="Open Sans"/>
                <w:color w:val="000000" w:themeColor="text1"/>
                <w:sz w:val="12"/>
                <w:szCs w:val="12"/>
                <w:lang w:val="fr-FR"/>
              </w:rPr>
            </w:pPr>
            <w:r w:rsidRPr="00A74D23">
              <w:rPr>
                <w:rFonts w:asciiTheme="minorHAnsi" w:hAnsiTheme="minorHAnsi" w:cs="Open Sans"/>
                <w:color w:val="000000" w:themeColor="text1"/>
                <w:sz w:val="12"/>
                <w:szCs w:val="12"/>
                <w:lang w:val="fr-FR"/>
              </w:rPr>
              <w:t>L’entreprise exerce, finance ou est exposée à des activités de construction, de remise en état ou d’exploitation d’installations de production de chaleur qui produisent de la chaleur/du froid à partir de combustibles fossiles gazeux.</w:t>
            </w:r>
          </w:p>
        </w:tc>
        <w:tc>
          <w:tcPr>
            <w:tcW w:w="1790" w:type="dxa"/>
            <w:tcBorders>
              <w:top w:val="nil"/>
              <w:left w:val="nil"/>
              <w:bottom w:val="dotted" w:sz="4" w:space="0" w:color="000000"/>
              <w:right w:val="dotted" w:sz="4" w:space="0" w:color="000000"/>
            </w:tcBorders>
            <w:vAlign w:val="center"/>
            <w:hideMark/>
          </w:tcPr>
          <w:p w14:paraId="2F2D3213"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1A153B">
              <w:rPr>
                <w:rFonts w:asciiTheme="minorHAnsi" w:hAnsiTheme="minorHAnsi" w:cs="Prompt Light"/>
                <w:sz w:val="14"/>
                <w:szCs w:val="14"/>
                <w:lang w:val="fr-FR"/>
              </w:rPr>
              <w:t xml:space="preserve">             </w:t>
            </w:r>
            <w:r w:rsidRPr="00223E7F">
              <w:rPr>
                <w:rFonts w:asciiTheme="minorHAnsi" w:hAnsiTheme="minorHAnsi" w:cs="Prompt Light"/>
                <w:sz w:val="14"/>
                <w:szCs w:val="14"/>
              </w:rPr>
              <w:t xml:space="preserve">100 430 207,46 € </w:t>
            </w:r>
          </w:p>
        </w:tc>
        <w:tc>
          <w:tcPr>
            <w:tcW w:w="750" w:type="dxa"/>
            <w:tcBorders>
              <w:top w:val="nil"/>
              <w:left w:val="nil"/>
              <w:bottom w:val="dotted" w:sz="4" w:space="0" w:color="000000"/>
              <w:right w:val="single" w:sz="4" w:space="0" w:color="auto"/>
            </w:tcBorders>
            <w:vAlign w:val="center"/>
            <w:hideMark/>
          </w:tcPr>
          <w:p w14:paraId="73E6DD57" w14:textId="77777777" w:rsidR="00DC419F" w:rsidRPr="00223E7F" w:rsidRDefault="00DC419F" w:rsidP="003B24BE">
            <w:pPr>
              <w:spacing w:line="22" w:lineRule="atLeast"/>
              <w:jc w:val="both"/>
              <w:rPr>
                <w:rFonts w:asciiTheme="minorHAnsi" w:hAnsiTheme="minorHAnsi" w:cs="Open Sans"/>
                <w:color w:val="000000" w:themeColor="text1"/>
                <w:sz w:val="14"/>
                <w:szCs w:val="14"/>
              </w:rPr>
            </w:pPr>
            <w:r w:rsidRPr="00223E7F">
              <w:rPr>
                <w:rFonts w:asciiTheme="minorHAnsi" w:hAnsiTheme="minorHAnsi" w:cs="Prompt Light"/>
                <w:sz w:val="14"/>
                <w:szCs w:val="14"/>
              </w:rPr>
              <w:t>1,82%</w:t>
            </w:r>
          </w:p>
        </w:tc>
      </w:tr>
      <w:tr w:rsidR="00DC419F" w:rsidRPr="00A74D23" w14:paraId="64F1BB74" w14:textId="77777777" w:rsidTr="003B24BE">
        <w:trPr>
          <w:trHeight w:val="469"/>
        </w:trPr>
        <w:tc>
          <w:tcPr>
            <w:tcW w:w="6295" w:type="dxa"/>
            <w:tcBorders>
              <w:top w:val="dotted" w:sz="4" w:space="0" w:color="000000"/>
              <w:left w:val="single" w:sz="4" w:space="0" w:color="auto"/>
              <w:bottom w:val="dotted" w:sz="4" w:space="0" w:color="000000"/>
              <w:right w:val="dotted" w:sz="4" w:space="0" w:color="000000"/>
            </w:tcBorders>
            <w:vAlign w:val="center"/>
            <w:hideMark/>
          </w:tcPr>
          <w:p w14:paraId="21057355"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Montant et proportion des autres activités économiques non éligibles à la taxinomie et non visées aux lignes 1 à 6 ci-dessus au dénominateur de l’ICP applicable</w:t>
            </w:r>
          </w:p>
        </w:tc>
        <w:tc>
          <w:tcPr>
            <w:tcW w:w="1582" w:type="dxa"/>
            <w:tcBorders>
              <w:top w:val="nil"/>
              <w:left w:val="nil"/>
              <w:bottom w:val="dotted" w:sz="4" w:space="0" w:color="000000"/>
              <w:right w:val="dotted" w:sz="4" w:space="0" w:color="000000"/>
            </w:tcBorders>
            <w:vAlign w:val="center"/>
            <w:hideMark/>
          </w:tcPr>
          <w:p w14:paraId="69263CBF"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993" w:type="dxa"/>
            <w:tcBorders>
              <w:top w:val="nil"/>
              <w:left w:val="nil"/>
              <w:bottom w:val="dotted" w:sz="4" w:space="0" w:color="000000"/>
              <w:right w:val="dotted" w:sz="4" w:space="0" w:color="000000"/>
            </w:tcBorders>
            <w:vAlign w:val="center"/>
            <w:hideMark/>
          </w:tcPr>
          <w:p w14:paraId="7AF5666A"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1594" w:type="dxa"/>
            <w:tcBorders>
              <w:top w:val="nil"/>
              <w:left w:val="nil"/>
              <w:bottom w:val="dotted" w:sz="4" w:space="0" w:color="000000"/>
              <w:right w:val="dotted" w:sz="4" w:space="0" w:color="000000"/>
            </w:tcBorders>
            <w:vAlign w:val="center"/>
            <w:hideMark/>
          </w:tcPr>
          <w:p w14:paraId="3366FA74"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1028" w:type="dxa"/>
            <w:tcBorders>
              <w:top w:val="nil"/>
              <w:left w:val="nil"/>
              <w:bottom w:val="dotted" w:sz="4" w:space="0" w:color="000000"/>
              <w:right w:val="dotted" w:sz="4" w:space="0" w:color="000000"/>
            </w:tcBorders>
            <w:vAlign w:val="center"/>
            <w:hideMark/>
          </w:tcPr>
          <w:p w14:paraId="10A2F70E"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1790" w:type="dxa"/>
            <w:tcBorders>
              <w:top w:val="nil"/>
              <w:left w:val="nil"/>
              <w:bottom w:val="dotted" w:sz="4" w:space="0" w:color="000000"/>
              <w:right w:val="dotted" w:sz="4" w:space="0" w:color="000000"/>
            </w:tcBorders>
            <w:vAlign w:val="center"/>
            <w:hideMark/>
          </w:tcPr>
          <w:p w14:paraId="56EC8F6E" w14:textId="77777777" w:rsidR="00DC419F" w:rsidRPr="00223E7F" w:rsidRDefault="00DC419F" w:rsidP="003B24BE">
            <w:pPr>
              <w:spacing w:line="22" w:lineRule="atLeast"/>
              <w:jc w:val="both"/>
              <w:rPr>
                <w:rFonts w:asciiTheme="minorHAnsi" w:hAnsiTheme="minorHAnsi" w:cs="Open Sans"/>
                <w:color w:val="000000" w:themeColor="text1"/>
                <w:sz w:val="12"/>
                <w:szCs w:val="12"/>
              </w:rPr>
            </w:pPr>
            <w:r w:rsidRPr="00223E7F">
              <w:rPr>
                <w:rFonts w:asciiTheme="minorHAnsi" w:hAnsiTheme="minorHAnsi" w:cs="Prompt Light"/>
                <w:sz w:val="12"/>
                <w:szCs w:val="12"/>
                <w:lang w:val="fr-FR"/>
              </w:rPr>
              <w:t xml:space="preserve">           </w:t>
            </w:r>
            <w:r w:rsidRPr="00223E7F">
              <w:rPr>
                <w:rFonts w:asciiTheme="minorHAnsi" w:hAnsiTheme="minorHAnsi" w:cs="Prompt Light"/>
                <w:sz w:val="12"/>
                <w:szCs w:val="12"/>
              </w:rPr>
              <w:t xml:space="preserve">3 884 437 379,66 € </w:t>
            </w:r>
          </w:p>
        </w:tc>
        <w:tc>
          <w:tcPr>
            <w:tcW w:w="750" w:type="dxa"/>
            <w:tcBorders>
              <w:top w:val="nil"/>
              <w:left w:val="nil"/>
              <w:bottom w:val="dotted" w:sz="4" w:space="0" w:color="000000"/>
              <w:right w:val="single" w:sz="4" w:space="0" w:color="auto"/>
            </w:tcBorders>
            <w:vAlign w:val="center"/>
            <w:hideMark/>
          </w:tcPr>
          <w:p w14:paraId="4C474368" w14:textId="77777777" w:rsidR="00DC419F" w:rsidRPr="00223E7F" w:rsidRDefault="00DC419F" w:rsidP="003B24BE">
            <w:pPr>
              <w:spacing w:line="22" w:lineRule="atLeast"/>
              <w:jc w:val="both"/>
              <w:rPr>
                <w:rFonts w:asciiTheme="minorHAnsi" w:hAnsiTheme="minorHAnsi" w:cs="Open Sans"/>
                <w:color w:val="000000" w:themeColor="text1"/>
                <w:sz w:val="12"/>
                <w:szCs w:val="12"/>
              </w:rPr>
            </w:pPr>
            <w:r w:rsidRPr="00223E7F">
              <w:rPr>
                <w:rFonts w:asciiTheme="minorHAnsi" w:hAnsiTheme="minorHAnsi" w:cs="Prompt Light"/>
                <w:sz w:val="12"/>
                <w:szCs w:val="12"/>
              </w:rPr>
              <w:t>70,20%</w:t>
            </w:r>
          </w:p>
        </w:tc>
      </w:tr>
      <w:tr w:rsidR="00DC419F" w:rsidRPr="00A74D23" w14:paraId="12A3E62C" w14:textId="77777777" w:rsidTr="003B24BE">
        <w:trPr>
          <w:trHeight w:val="469"/>
        </w:trPr>
        <w:tc>
          <w:tcPr>
            <w:tcW w:w="6295" w:type="dxa"/>
            <w:tcBorders>
              <w:top w:val="dotted" w:sz="4" w:space="0" w:color="000000"/>
              <w:left w:val="single" w:sz="4" w:space="0" w:color="auto"/>
              <w:bottom w:val="single" w:sz="4" w:space="0" w:color="auto"/>
              <w:right w:val="dotted" w:sz="4" w:space="0" w:color="000000"/>
            </w:tcBorders>
            <w:vAlign w:val="center"/>
            <w:hideMark/>
          </w:tcPr>
          <w:p w14:paraId="28B146B4"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Montant total et proportion totale des activités économiques non éligibles à la taxinomie au dénominateur de l’ICP applicable</w:t>
            </w:r>
          </w:p>
        </w:tc>
        <w:tc>
          <w:tcPr>
            <w:tcW w:w="1582" w:type="dxa"/>
            <w:tcBorders>
              <w:top w:val="nil"/>
              <w:left w:val="nil"/>
              <w:bottom w:val="single" w:sz="4" w:space="0" w:color="auto"/>
              <w:right w:val="dotted" w:sz="4" w:space="0" w:color="000000"/>
            </w:tcBorders>
            <w:vAlign w:val="center"/>
            <w:hideMark/>
          </w:tcPr>
          <w:p w14:paraId="33F24102"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993" w:type="dxa"/>
            <w:tcBorders>
              <w:top w:val="nil"/>
              <w:left w:val="nil"/>
              <w:bottom w:val="single" w:sz="4" w:space="0" w:color="auto"/>
              <w:right w:val="dotted" w:sz="4" w:space="0" w:color="000000"/>
            </w:tcBorders>
            <w:vAlign w:val="center"/>
            <w:hideMark/>
          </w:tcPr>
          <w:p w14:paraId="6FB4A67E"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1594" w:type="dxa"/>
            <w:tcBorders>
              <w:top w:val="nil"/>
              <w:left w:val="nil"/>
              <w:bottom w:val="single" w:sz="4" w:space="0" w:color="auto"/>
              <w:right w:val="dotted" w:sz="4" w:space="0" w:color="000000"/>
            </w:tcBorders>
            <w:vAlign w:val="center"/>
            <w:hideMark/>
          </w:tcPr>
          <w:p w14:paraId="00641588"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1028" w:type="dxa"/>
            <w:tcBorders>
              <w:top w:val="nil"/>
              <w:left w:val="nil"/>
              <w:bottom w:val="single" w:sz="4" w:space="0" w:color="auto"/>
              <w:right w:val="dotted" w:sz="4" w:space="0" w:color="000000"/>
            </w:tcBorders>
            <w:vAlign w:val="center"/>
            <w:hideMark/>
          </w:tcPr>
          <w:p w14:paraId="1A9AA94C" w14:textId="77777777" w:rsidR="00DC419F" w:rsidRPr="00A74D23" w:rsidRDefault="00DC419F" w:rsidP="003B24BE">
            <w:pPr>
              <w:spacing w:line="22" w:lineRule="atLeast"/>
              <w:jc w:val="both"/>
              <w:rPr>
                <w:rFonts w:asciiTheme="minorHAnsi" w:hAnsiTheme="minorHAnsi" w:cs="Open Sans"/>
                <w:b/>
                <w:bCs/>
                <w:color w:val="000000" w:themeColor="text1"/>
                <w:sz w:val="12"/>
                <w:szCs w:val="12"/>
                <w:lang w:val="fr-FR"/>
              </w:rPr>
            </w:pPr>
            <w:r w:rsidRPr="00A74D23">
              <w:rPr>
                <w:rFonts w:asciiTheme="minorHAnsi" w:hAnsiTheme="minorHAnsi" w:cs="Open Sans"/>
                <w:b/>
                <w:bCs/>
                <w:color w:val="000000" w:themeColor="text1"/>
                <w:sz w:val="12"/>
                <w:szCs w:val="12"/>
                <w:lang w:val="fr-FR"/>
              </w:rPr>
              <w:t> </w:t>
            </w:r>
          </w:p>
        </w:tc>
        <w:tc>
          <w:tcPr>
            <w:tcW w:w="1790" w:type="dxa"/>
            <w:tcBorders>
              <w:top w:val="nil"/>
              <w:left w:val="nil"/>
              <w:bottom w:val="single" w:sz="4" w:space="0" w:color="auto"/>
              <w:right w:val="dotted" w:sz="4" w:space="0" w:color="000000"/>
            </w:tcBorders>
            <w:vAlign w:val="center"/>
            <w:hideMark/>
          </w:tcPr>
          <w:p w14:paraId="3A5D8681" w14:textId="77777777" w:rsidR="00DC419F" w:rsidRPr="00223E7F" w:rsidRDefault="00DC419F" w:rsidP="003B24BE">
            <w:pPr>
              <w:spacing w:line="22" w:lineRule="atLeast"/>
              <w:jc w:val="both"/>
              <w:rPr>
                <w:rFonts w:asciiTheme="minorHAnsi" w:hAnsiTheme="minorHAnsi" w:cs="Open Sans"/>
                <w:color w:val="000000" w:themeColor="text1"/>
                <w:sz w:val="12"/>
                <w:szCs w:val="12"/>
              </w:rPr>
            </w:pPr>
            <w:r w:rsidRPr="001A153B">
              <w:rPr>
                <w:rFonts w:asciiTheme="minorHAnsi" w:hAnsiTheme="minorHAnsi" w:cs="Prompt Light"/>
                <w:sz w:val="12"/>
                <w:szCs w:val="12"/>
                <w:lang w:val="fr-FR"/>
              </w:rPr>
              <w:t xml:space="preserve">           </w:t>
            </w:r>
            <w:r w:rsidRPr="00223E7F">
              <w:rPr>
                <w:rFonts w:asciiTheme="minorHAnsi" w:hAnsiTheme="minorHAnsi" w:cs="Prompt Light"/>
                <w:sz w:val="12"/>
                <w:szCs w:val="12"/>
              </w:rPr>
              <w:t xml:space="preserve">5 533 257 505,90 € </w:t>
            </w:r>
          </w:p>
        </w:tc>
        <w:tc>
          <w:tcPr>
            <w:tcW w:w="750" w:type="dxa"/>
            <w:tcBorders>
              <w:top w:val="nil"/>
              <w:left w:val="nil"/>
              <w:bottom w:val="single" w:sz="4" w:space="0" w:color="auto"/>
              <w:right w:val="single" w:sz="4" w:space="0" w:color="auto"/>
            </w:tcBorders>
            <w:vAlign w:val="center"/>
            <w:hideMark/>
          </w:tcPr>
          <w:p w14:paraId="30FDC60E" w14:textId="77777777" w:rsidR="00DC419F" w:rsidRPr="00223E7F" w:rsidRDefault="00DC419F" w:rsidP="003B24BE">
            <w:pPr>
              <w:spacing w:line="22" w:lineRule="atLeast"/>
              <w:jc w:val="both"/>
              <w:rPr>
                <w:rFonts w:asciiTheme="minorHAnsi" w:hAnsiTheme="minorHAnsi" w:cs="Open Sans"/>
                <w:color w:val="000000" w:themeColor="text1"/>
                <w:sz w:val="12"/>
                <w:szCs w:val="12"/>
              </w:rPr>
            </w:pPr>
            <w:r w:rsidRPr="00223E7F">
              <w:rPr>
                <w:rFonts w:asciiTheme="minorHAnsi" w:hAnsiTheme="minorHAnsi" w:cs="Prompt Light"/>
                <w:sz w:val="12"/>
                <w:szCs w:val="12"/>
              </w:rPr>
              <w:t>100,00%</w:t>
            </w:r>
          </w:p>
        </w:tc>
      </w:tr>
    </w:tbl>
    <w:p w14:paraId="508ABC14" w14:textId="77777777" w:rsidR="0046350E" w:rsidRPr="00A74D23" w:rsidRDefault="0046350E" w:rsidP="009D6EE5">
      <w:pPr>
        <w:spacing w:line="22" w:lineRule="atLeast"/>
        <w:jc w:val="both"/>
        <w:rPr>
          <w:rFonts w:asciiTheme="minorHAnsi" w:hAnsiTheme="minorHAnsi" w:cs="Open Sans"/>
          <w:sz w:val="20"/>
        </w:rPr>
        <w:sectPr w:rsidR="0046350E" w:rsidRPr="00A74D23" w:rsidSect="00C90A08">
          <w:pgSz w:w="16838" w:h="11906" w:orient="landscape"/>
          <w:pgMar w:top="1418" w:right="991" w:bottom="1276" w:left="993" w:header="397" w:footer="709" w:gutter="0"/>
          <w:cols w:space="708"/>
          <w:titlePg/>
          <w:docGrid w:linePitch="360"/>
        </w:sectPr>
      </w:pPr>
    </w:p>
    <w:p w14:paraId="6D89BF97" w14:textId="5782C678" w:rsidR="00190527" w:rsidRPr="00A74D23" w:rsidRDefault="000A24A1" w:rsidP="009D6EE5">
      <w:pPr>
        <w:spacing w:line="22" w:lineRule="atLeast"/>
        <w:jc w:val="both"/>
        <w:rPr>
          <w:rFonts w:asciiTheme="minorHAnsi" w:hAnsiTheme="minorHAnsi" w:cs="Open Sans"/>
          <w:sz w:val="20"/>
        </w:rPr>
      </w:pPr>
      <w:r w:rsidRPr="00A74D23">
        <w:rPr>
          <w:rFonts w:asciiTheme="minorHAnsi" w:hAnsiTheme="minorHAnsi" w:cs="Open Sans"/>
          <w:noProof/>
        </w:rPr>
        <mc:AlternateContent>
          <mc:Choice Requires="wpg">
            <w:drawing>
              <wp:anchor distT="0" distB="0" distL="114300" distR="114300" simplePos="0" relativeHeight="251301888" behindDoc="0" locked="0" layoutInCell="1" allowOverlap="1" wp14:anchorId="5254555C" wp14:editId="376F56AB">
                <wp:simplePos x="0" y="0"/>
                <wp:positionH relativeFrom="page">
                  <wp:posOffset>-209550</wp:posOffset>
                </wp:positionH>
                <wp:positionV relativeFrom="paragraph">
                  <wp:posOffset>-1024255</wp:posOffset>
                </wp:positionV>
                <wp:extent cx="7743190" cy="11317605"/>
                <wp:effectExtent l="0" t="0" r="0" b="0"/>
                <wp:wrapNone/>
                <wp:docPr id="131" name="Groupe 8"/>
                <wp:cNvGraphicFramePr/>
                <a:graphic xmlns:a="http://schemas.openxmlformats.org/drawingml/2006/main">
                  <a:graphicData uri="http://schemas.microsoft.com/office/word/2010/wordprocessingGroup">
                    <wpg:wgp>
                      <wpg:cNvGrpSpPr/>
                      <wpg:grpSpPr>
                        <a:xfrm>
                          <a:off x="0" y="0"/>
                          <a:ext cx="7743190" cy="11317605"/>
                          <a:chOff x="0" y="0"/>
                          <a:chExt cx="7559675" cy="10689107"/>
                        </a:xfrm>
                      </wpg:grpSpPr>
                      <pic:pic xmlns:pic="http://schemas.openxmlformats.org/drawingml/2006/picture">
                        <pic:nvPicPr>
                          <pic:cNvPr id="133" name="Image 133"/>
                          <pic:cNvPicPr>
                            <a:picLocks noChangeAspect="1"/>
                          </pic:cNvPicPr>
                        </pic:nvPicPr>
                        <pic:blipFill>
                          <a:blip r:embed="rId131"/>
                          <a:stretch>
                            <a:fillRect/>
                          </a:stretch>
                        </pic:blipFill>
                        <pic:spPr>
                          <a:xfrm>
                            <a:off x="0" y="0"/>
                            <a:ext cx="7559675" cy="10689107"/>
                          </a:xfrm>
                          <a:prstGeom prst="rect">
                            <a:avLst/>
                          </a:prstGeom>
                        </pic:spPr>
                      </pic:pic>
                      <wpg:grpSp>
                        <wpg:cNvPr id="134" name="Groupe 134"/>
                        <wpg:cNvGrpSpPr/>
                        <wpg:grpSpPr>
                          <a:xfrm>
                            <a:off x="535844" y="507600"/>
                            <a:ext cx="6487984" cy="657167"/>
                            <a:chOff x="535844" y="507600"/>
                            <a:chExt cx="6487984" cy="657167"/>
                          </a:xfrm>
                        </wpg:grpSpPr>
                        <wpg:grpSp>
                          <wpg:cNvPr id="135" name="Groupe 135"/>
                          <wpg:cNvGrpSpPr/>
                          <wpg:grpSpPr>
                            <a:xfrm>
                              <a:off x="535844" y="891632"/>
                              <a:ext cx="1505258" cy="273135"/>
                              <a:chOff x="535847" y="891621"/>
                              <a:chExt cx="1819912" cy="330225"/>
                            </a:xfrm>
                            <a:solidFill>
                              <a:schemeClr val="bg1"/>
                            </a:solidFill>
                          </wpg:grpSpPr>
                          <wps:wsp>
                            <wps:cNvPr id="136" name="Freeform 31"/>
                            <wps:cNvSpPr>
                              <a:spLocks noEditPoints="1"/>
                            </wps:cNvSpPr>
                            <wps:spPr bwMode="auto">
                              <a:xfrm>
                                <a:off x="535847" y="903152"/>
                                <a:ext cx="107979" cy="96447"/>
                              </a:xfrm>
                              <a:custGeom>
                                <a:avLst/>
                                <a:gdLst>
                                  <a:gd name="T0" fmla="*/ 72 w 103"/>
                                  <a:gd name="T1" fmla="*/ 72 h 92"/>
                                  <a:gd name="T2" fmla="*/ 30 w 103"/>
                                  <a:gd name="T3" fmla="*/ 72 h 92"/>
                                  <a:gd name="T4" fmla="*/ 22 w 103"/>
                                  <a:gd name="T5" fmla="*/ 92 h 92"/>
                                  <a:gd name="T6" fmla="*/ 0 w 103"/>
                                  <a:gd name="T7" fmla="*/ 92 h 92"/>
                                  <a:gd name="T8" fmla="*/ 41 w 103"/>
                                  <a:gd name="T9" fmla="*/ 0 h 92"/>
                                  <a:gd name="T10" fmla="*/ 62 w 103"/>
                                  <a:gd name="T11" fmla="*/ 0 h 92"/>
                                  <a:gd name="T12" fmla="*/ 103 w 103"/>
                                  <a:gd name="T13" fmla="*/ 92 h 92"/>
                                  <a:gd name="T14" fmla="*/ 81 w 103"/>
                                  <a:gd name="T15" fmla="*/ 92 h 92"/>
                                  <a:gd name="T16" fmla="*/ 72 w 103"/>
                                  <a:gd name="T17" fmla="*/ 72 h 92"/>
                                  <a:gd name="T18" fmla="*/ 66 w 103"/>
                                  <a:gd name="T19" fmla="*/ 56 h 92"/>
                                  <a:gd name="T20" fmla="*/ 51 w 103"/>
                                  <a:gd name="T21" fmla="*/ 21 h 92"/>
                                  <a:gd name="T22" fmla="*/ 37 w 103"/>
                                  <a:gd name="T23" fmla="*/ 56 h 92"/>
                                  <a:gd name="T24" fmla="*/ 66 w 103"/>
                                  <a:gd name="T25" fmla="*/ 56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3" h="92">
                                    <a:moveTo>
                                      <a:pt x="72" y="72"/>
                                    </a:moveTo>
                                    <a:lnTo>
                                      <a:pt x="30" y="72"/>
                                    </a:lnTo>
                                    <a:lnTo>
                                      <a:pt x="22" y="92"/>
                                    </a:lnTo>
                                    <a:lnTo>
                                      <a:pt x="0" y="92"/>
                                    </a:lnTo>
                                    <a:lnTo>
                                      <a:pt x="41" y="0"/>
                                    </a:lnTo>
                                    <a:lnTo>
                                      <a:pt x="62" y="0"/>
                                    </a:lnTo>
                                    <a:lnTo>
                                      <a:pt x="103" y="92"/>
                                    </a:lnTo>
                                    <a:lnTo>
                                      <a:pt x="81" y="92"/>
                                    </a:lnTo>
                                    <a:lnTo>
                                      <a:pt x="72" y="72"/>
                                    </a:lnTo>
                                    <a:close/>
                                    <a:moveTo>
                                      <a:pt x="66" y="56"/>
                                    </a:moveTo>
                                    <a:lnTo>
                                      <a:pt x="51" y="21"/>
                                    </a:lnTo>
                                    <a:lnTo>
                                      <a:pt x="37" y="56"/>
                                    </a:lnTo>
                                    <a:lnTo>
                                      <a:pt x="66" y="5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38" name="Freeform 32"/>
                            <wps:cNvSpPr>
                              <a:spLocks/>
                            </wps:cNvSpPr>
                            <wps:spPr bwMode="auto">
                              <a:xfrm>
                                <a:off x="652213" y="924119"/>
                                <a:ext cx="66046" cy="76528"/>
                              </a:xfrm>
                              <a:custGeom>
                                <a:avLst/>
                                <a:gdLst>
                                  <a:gd name="T0" fmla="*/ 30 w 145"/>
                                  <a:gd name="T1" fmla="*/ 161 h 166"/>
                                  <a:gd name="T2" fmla="*/ 0 w 145"/>
                                  <a:gd name="T3" fmla="*/ 148 h 166"/>
                                  <a:gd name="T4" fmla="*/ 15 w 145"/>
                                  <a:gd name="T5" fmla="*/ 115 h 166"/>
                                  <a:gd name="T6" fmla="*/ 41 w 145"/>
                                  <a:gd name="T7" fmla="*/ 126 h 166"/>
                                  <a:gd name="T8" fmla="*/ 71 w 145"/>
                                  <a:gd name="T9" fmla="*/ 130 h 166"/>
                                  <a:gd name="T10" fmla="*/ 101 w 145"/>
                                  <a:gd name="T11" fmla="*/ 116 h 166"/>
                                  <a:gd name="T12" fmla="*/ 93 w 145"/>
                                  <a:gd name="T13" fmla="*/ 106 h 166"/>
                                  <a:gd name="T14" fmla="*/ 68 w 145"/>
                                  <a:gd name="T15" fmla="*/ 101 h 166"/>
                                  <a:gd name="T16" fmla="*/ 35 w 145"/>
                                  <a:gd name="T17" fmla="*/ 94 h 166"/>
                                  <a:gd name="T18" fmla="*/ 13 w 145"/>
                                  <a:gd name="T19" fmla="*/ 80 h 166"/>
                                  <a:gd name="T20" fmla="*/ 3 w 145"/>
                                  <a:gd name="T21" fmla="*/ 52 h 166"/>
                                  <a:gd name="T22" fmla="*/ 12 w 145"/>
                                  <a:gd name="T23" fmla="*/ 25 h 166"/>
                                  <a:gd name="T24" fmla="*/ 38 w 145"/>
                                  <a:gd name="T25" fmla="*/ 6 h 166"/>
                                  <a:gd name="T26" fmla="*/ 78 w 145"/>
                                  <a:gd name="T27" fmla="*/ 0 h 166"/>
                                  <a:gd name="T28" fmla="*/ 112 w 145"/>
                                  <a:gd name="T29" fmla="*/ 4 h 166"/>
                                  <a:gd name="T30" fmla="*/ 140 w 145"/>
                                  <a:gd name="T31" fmla="*/ 14 h 166"/>
                                  <a:gd name="T32" fmla="*/ 124 w 145"/>
                                  <a:gd name="T33" fmla="*/ 47 h 166"/>
                                  <a:gd name="T34" fmla="*/ 78 w 145"/>
                                  <a:gd name="T35" fmla="*/ 35 h 166"/>
                                  <a:gd name="T36" fmla="*/ 56 w 145"/>
                                  <a:gd name="T37" fmla="*/ 39 h 166"/>
                                  <a:gd name="T38" fmla="*/ 48 w 145"/>
                                  <a:gd name="T39" fmla="*/ 50 h 166"/>
                                  <a:gd name="T40" fmla="*/ 56 w 145"/>
                                  <a:gd name="T41" fmla="*/ 61 h 166"/>
                                  <a:gd name="T42" fmla="*/ 82 w 145"/>
                                  <a:gd name="T43" fmla="*/ 66 h 166"/>
                                  <a:gd name="T44" fmla="*/ 114 w 145"/>
                                  <a:gd name="T45" fmla="*/ 73 h 166"/>
                                  <a:gd name="T46" fmla="*/ 136 w 145"/>
                                  <a:gd name="T47" fmla="*/ 87 h 166"/>
                                  <a:gd name="T48" fmla="*/ 145 w 145"/>
                                  <a:gd name="T49" fmla="*/ 114 h 166"/>
                                  <a:gd name="T50" fmla="*/ 136 w 145"/>
                                  <a:gd name="T51" fmla="*/ 141 h 166"/>
                                  <a:gd name="T52" fmla="*/ 110 w 145"/>
                                  <a:gd name="T53" fmla="*/ 159 h 166"/>
                                  <a:gd name="T54" fmla="*/ 69 w 145"/>
                                  <a:gd name="T55" fmla="*/ 166 h 166"/>
                                  <a:gd name="T56" fmla="*/ 30 w 145"/>
                                  <a:gd name="T57" fmla="*/ 161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45" h="166">
                                    <a:moveTo>
                                      <a:pt x="30" y="161"/>
                                    </a:moveTo>
                                    <a:cubicBezTo>
                                      <a:pt x="17" y="157"/>
                                      <a:pt x="7" y="153"/>
                                      <a:pt x="0" y="148"/>
                                    </a:cubicBezTo>
                                    <a:cubicBezTo>
                                      <a:pt x="15" y="115"/>
                                      <a:pt x="15" y="115"/>
                                      <a:pt x="15" y="115"/>
                                    </a:cubicBezTo>
                                    <a:cubicBezTo>
                                      <a:pt x="22" y="119"/>
                                      <a:pt x="31" y="123"/>
                                      <a:pt x="41" y="126"/>
                                    </a:cubicBezTo>
                                    <a:cubicBezTo>
                                      <a:pt x="51" y="129"/>
                                      <a:pt x="61" y="130"/>
                                      <a:pt x="71" y="130"/>
                                    </a:cubicBezTo>
                                    <a:cubicBezTo>
                                      <a:pt x="91" y="130"/>
                                      <a:pt x="101" y="125"/>
                                      <a:pt x="101" y="116"/>
                                    </a:cubicBezTo>
                                    <a:cubicBezTo>
                                      <a:pt x="101" y="111"/>
                                      <a:pt x="98" y="108"/>
                                      <a:pt x="93" y="106"/>
                                    </a:cubicBezTo>
                                    <a:cubicBezTo>
                                      <a:pt x="87" y="104"/>
                                      <a:pt x="79" y="102"/>
                                      <a:pt x="68" y="101"/>
                                    </a:cubicBezTo>
                                    <a:cubicBezTo>
                                      <a:pt x="55" y="99"/>
                                      <a:pt x="44" y="96"/>
                                      <a:pt x="35" y="94"/>
                                    </a:cubicBezTo>
                                    <a:cubicBezTo>
                                      <a:pt x="27" y="91"/>
                                      <a:pt x="19" y="87"/>
                                      <a:pt x="13" y="80"/>
                                    </a:cubicBezTo>
                                    <a:cubicBezTo>
                                      <a:pt x="7" y="73"/>
                                      <a:pt x="3" y="64"/>
                                      <a:pt x="3" y="52"/>
                                    </a:cubicBezTo>
                                    <a:cubicBezTo>
                                      <a:pt x="3" y="42"/>
                                      <a:pt x="6" y="33"/>
                                      <a:pt x="12" y="25"/>
                                    </a:cubicBezTo>
                                    <a:cubicBezTo>
                                      <a:pt x="18" y="17"/>
                                      <a:pt x="27" y="11"/>
                                      <a:pt x="38" y="6"/>
                                    </a:cubicBezTo>
                                    <a:cubicBezTo>
                                      <a:pt x="49" y="2"/>
                                      <a:pt x="63" y="0"/>
                                      <a:pt x="78" y="0"/>
                                    </a:cubicBezTo>
                                    <a:cubicBezTo>
                                      <a:pt x="89" y="0"/>
                                      <a:pt x="101" y="1"/>
                                      <a:pt x="112" y="4"/>
                                    </a:cubicBezTo>
                                    <a:cubicBezTo>
                                      <a:pt x="123" y="6"/>
                                      <a:pt x="133" y="10"/>
                                      <a:pt x="140" y="14"/>
                                    </a:cubicBezTo>
                                    <a:cubicBezTo>
                                      <a:pt x="124" y="47"/>
                                      <a:pt x="124" y="47"/>
                                      <a:pt x="124" y="47"/>
                                    </a:cubicBezTo>
                                    <a:cubicBezTo>
                                      <a:pt x="110" y="39"/>
                                      <a:pt x="95" y="35"/>
                                      <a:pt x="78" y="35"/>
                                    </a:cubicBezTo>
                                    <a:cubicBezTo>
                                      <a:pt x="68" y="35"/>
                                      <a:pt x="61" y="37"/>
                                      <a:pt x="56" y="39"/>
                                    </a:cubicBezTo>
                                    <a:cubicBezTo>
                                      <a:pt x="51" y="42"/>
                                      <a:pt x="48" y="46"/>
                                      <a:pt x="48" y="50"/>
                                    </a:cubicBezTo>
                                    <a:cubicBezTo>
                                      <a:pt x="48" y="55"/>
                                      <a:pt x="51" y="59"/>
                                      <a:pt x="56" y="61"/>
                                    </a:cubicBezTo>
                                    <a:cubicBezTo>
                                      <a:pt x="62" y="63"/>
                                      <a:pt x="70" y="64"/>
                                      <a:pt x="82" y="66"/>
                                    </a:cubicBezTo>
                                    <a:cubicBezTo>
                                      <a:pt x="95" y="68"/>
                                      <a:pt x="106" y="71"/>
                                      <a:pt x="114" y="73"/>
                                    </a:cubicBezTo>
                                    <a:cubicBezTo>
                                      <a:pt x="123" y="76"/>
                                      <a:pt x="130" y="80"/>
                                      <a:pt x="136" y="87"/>
                                    </a:cubicBezTo>
                                    <a:cubicBezTo>
                                      <a:pt x="142" y="93"/>
                                      <a:pt x="145" y="103"/>
                                      <a:pt x="145" y="114"/>
                                    </a:cubicBezTo>
                                    <a:cubicBezTo>
                                      <a:pt x="145" y="124"/>
                                      <a:pt x="142" y="133"/>
                                      <a:pt x="136" y="141"/>
                                    </a:cubicBezTo>
                                    <a:cubicBezTo>
                                      <a:pt x="130" y="149"/>
                                      <a:pt x="122" y="155"/>
                                      <a:pt x="110" y="159"/>
                                    </a:cubicBezTo>
                                    <a:cubicBezTo>
                                      <a:pt x="99" y="163"/>
                                      <a:pt x="85" y="166"/>
                                      <a:pt x="69" y="166"/>
                                    </a:cubicBezTo>
                                    <a:cubicBezTo>
                                      <a:pt x="56" y="166"/>
                                      <a:pt x="43" y="164"/>
                                      <a:pt x="30" y="161"/>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39" name="Freeform 33"/>
                            <wps:cNvSpPr>
                              <a:spLocks/>
                            </wps:cNvSpPr>
                            <wps:spPr bwMode="auto">
                              <a:xfrm>
                                <a:off x="730838" y="924119"/>
                                <a:ext cx="67094" cy="76528"/>
                              </a:xfrm>
                              <a:custGeom>
                                <a:avLst/>
                                <a:gdLst>
                                  <a:gd name="T0" fmla="*/ 31 w 146"/>
                                  <a:gd name="T1" fmla="*/ 161 h 166"/>
                                  <a:gd name="T2" fmla="*/ 0 w 146"/>
                                  <a:gd name="T3" fmla="*/ 148 h 166"/>
                                  <a:gd name="T4" fmla="*/ 16 w 146"/>
                                  <a:gd name="T5" fmla="*/ 115 h 166"/>
                                  <a:gd name="T6" fmla="*/ 42 w 146"/>
                                  <a:gd name="T7" fmla="*/ 126 h 166"/>
                                  <a:gd name="T8" fmla="*/ 72 w 146"/>
                                  <a:gd name="T9" fmla="*/ 130 h 166"/>
                                  <a:gd name="T10" fmla="*/ 101 w 146"/>
                                  <a:gd name="T11" fmla="*/ 116 h 166"/>
                                  <a:gd name="T12" fmla="*/ 93 w 146"/>
                                  <a:gd name="T13" fmla="*/ 106 h 166"/>
                                  <a:gd name="T14" fmla="*/ 69 w 146"/>
                                  <a:gd name="T15" fmla="*/ 101 h 166"/>
                                  <a:gd name="T16" fmla="*/ 36 w 146"/>
                                  <a:gd name="T17" fmla="*/ 94 h 166"/>
                                  <a:gd name="T18" fmla="*/ 14 w 146"/>
                                  <a:gd name="T19" fmla="*/ 80 h 166"/>
                                  <a:gd name="T20" fmla="*/ 4 w 146"/>
                                  <a:gd name="T21" fmla="*/ 52 h 166"/>
                                  <a:gd name="T22" fmla="*/ 13 w 146"/>
                                  <a:gd name="T23" fmla="*/ 25 h 166"/>
                                  <a:gd name="T24" fmla="*/ 39 w 146"/>
                                  <a:gd name="T25" fmla="*/ 6 h 166"/>
                                  <a:gd name="T26" fmla="*/ 79 w 146"/>
                                  <a:gd name="T27" fmla="*/ 0 h 166"/>
                                  <a:gd name="T28" fmla="*/ 113 w 146"/>
                                  <a:gd name="T29" fmla="*/ 4 h 166"/>
                                  <a:gd name="T30" fmla="*/ 141 w 146"/>
                                  <a:gd name="T31" fmla="*/ 14 h 166"/>
                                  <a:gd name="T32" fmla="*/ 125 w 146"/>
                                  <a:gd name="T33" fmla="*/ 47 h 166"/>
                                  <a:gd name="T34" fmla="*/ 79 w 146"/>
                                  <a:gd name="T35" fmla="*/ 35 h 166"/>
                                  <a:gd name="T36" fmla="*/ 56 w 146"/>
                                  <a:gd name="T37" fmla="*/ 39 h 166"/>
                                  <a:gd name="T38" fmla="*/ 49 w 146"/>
                                  <a:gd name="T39" fmla="*/ 50 h 166"/>
                                  <a:gd name="T40" fmla="*/ 57 w 146"/>
                                  <a:gd name="T41" fmla="*/ 61 h 166"/>
                                  <a:gd name="T42" fmla="*/ 83 w 146"/>
                                  <a:gd name="T43" fmla="*/ 66 h 166"/>
                                  <a:gd name="T44" fmla="*/ 115 w 146"/>
                                  <a:gd name="T45" fmla="*/ 73 h 166"/>
                                  <a:gd name="T46" fmla="*/ 137 w 146"/>
                                  <a:gd name="T47" fmla="*/ 87 h 166"/>
                                  <a:gd name="T48" fmla="*/ 146 w 146"/>
                                  <a:gd name="T49" fmla="*/ 114 h 166"/>
                                  <a:gd name="T50" fmla="*/ 137 w 146"/>
                                  <a:gd name="T51" fmla="*/ 141 h 166"/>
                                  <a:gd name="T52" fmla="*/ 111 w 146"/>
                                  <a:gd name="T53" fmla="*/ 159 h 166"/>
                                  <a:gd name="T54" fmla="*/ 70 w 146"/>
                                  <a:gd name="T55" fmla="*/ 166 h 166"/>
                                  <a:gd name="T56" fmla="*/ 31 w 146"/>
                                  <a:gd name="T57" fmla="*/ 161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46" h="166">
                                    <a:moveTo>
                                      <a:pt x="31" y="161"/>
                                    </a:moveTo>
                                    <a:cubicBezTo>
                                      <a:pt x="18" y="157"/>
                                      <a:pt x="8" y="153"/>
                                      <a:pt x="0" y="148"/>
                                    </a:cubicBezTo>
                                    <a:cubicBezTo>
                                      <a:pt x="16" y="115"/>
                                      <a:pt x="16" y="115"/>
                                      <a:pt x="16" y="115"/>
                                    </a:cubicBezTo>
                                    <a:cubicBezTo>
                                      <a:pt x="23" y="119"/>
                                      <a:pt x="32" y="123"/>
                                      <a:pt x="42" y="126"/>
                                    </a:cubicBezTo>
                                    <a:cubicBezTo>
                                      <a:pt x="52" y="129"/>
                                      <a:pt x="62" y="130"/>
                                      <a:pt x="72" y="130"/>
                                    </a:cubicBezTo>
                                    <a:cubicBezTo>
                                      <a:pt x="92" y="130"/>
                                      <a:pt x="101" y="125"/>
                                      <a:pt x="101" y="116"/>
                                    </a:cubicBezTo>
                                    <a:cubicBezTo>
                                      <a:pt x="101" y="111"/>
                                      <a:pt x="99" y="108"/>
                                      <a:pt x="93" y="106"/>
                                    </a:cubicBezTo>
                                    <a:cubicBezTo>
                                      <a:pt x="88" y="104"/>
                                      <a:pt x="80" y="102"/>
                                      <a:pt x="69" y="101"/>
                                    </a:cubicBezTo>
                                    <a:cubicBezTo>
                                      <a:pt x="55" y="99"/>
                                      <a:pt x="45" y="96"/>
                                      <a:pt x="36" y="94"/>
                                    </a:cubicBezTo>
                                    <a:cubicBezTo>
                                      <a:pt x="27" y="91"/>
                                      <a:pt x="20" y="87"/>
                                      <a:pt x="14" y="80"/>
                                    </a:cubicBezTo>
                                    <a:cubicBezTo>
                                      <a:pt x="7" y="73"/>
                                      <a:pt x="4" y="64"/>
                                      <a:pt x="4" y="52"/>
                                    </a:cubicBezTo>
                                    <a:cubicBezTo>
                                      <a:pt x="4" y="42"/>
                                      <a:pt x="7" y="33"/>
                                      <a:pt x="13" y="25"/>
                                    </a:cubicBezTo>
                                    <a:cubicBezTo>
                                      <a:pt x="19" y="17"/>
                                      <a:pt x="28" y="11"/>
                                      <a:pt x="39" y="6"/>
                                    </a:cubicBezTo>
                                    <a:cubicBezTo>
                                      <a:pt x="50" y="2"/>
                                      <a:pt x="63" y="0"/>
                                      <a:pt x="79" y="0"/>
                                    </a:cubicBezTo>
                                    <a:cubicBezTo>
                                      <a:pt x="90" y="0"/>
                                      <a:pt x="101" y="1"/>
                                      <a:pt x="113" y="4"/>
                                    </a:cubicBezTo>
                                    <a:cubicBezTo>
                                      <a:pt x="124" y="6"/>
                                      <a:pt x="133" y="10"/>
                                      <a:pt x="141" y="14"/>
                                    </a:cubicBezTo>
                                    <a:cubicBezTo>
                                      <a:pt x="125" y="47"/>
                                      <a:pt x="125" y="47"/>
                                      <a:pt x="125" y="47"/>
                                    </a:cubicBezTo>
                                    <a:cubicBezTo>
                                      <a:pt x="111" y="39"/>
                                      <a:pt x="96" y="35"/>
                                      <a:pt x="79" y="35"/>
                                    </a:cubicBezTo>
                                    <a:cubicBezTo>
                                      <a:pt x="69" y="35"/>
                                      <a:pt x="61" y="37"/>
                                      <a:pt x="56" y="39"/>
                                    </a:cubicBezTo>
                                    <a:cubicBezTo>
                                      <a:pt x="51" y="42"/>
                                      <a:pt x="49" y="46"/>
                                      <a:pt x="49" y="50"/>
                                    </a:cubicBezTo>
                                    <a:cubicBezTo>
                                      <a:pt x="49" y="55"/>
                                      <a:pt x="52" y="59"/>
                                      <a:pt x="57" y="61"/>
                                    </a:cubicBezTo>
                                    <a:cubicBezTo>
                                      <a:pt x="62" y="63"/>
                                      <a:pt x="71" y="64"/>
                                      <a:pt x="83" y="66"/>
                                    </a:cubicBezTo>
                                    <a:cubicBezTo>
                                      <a:pt x="96" y="68"/>
                                      <a:pt x="107" y="71"/>
                                      <a:pt x="115" y="73"/>
                                    </a:cubicBezTo>
                                    <a:cubicBezTo>
                                      <a:pt x="123" y="76"/>
                                      <a:pt x="131" y="80"/>
                                      <a:pt x="137" y="87"/>
                                    </a:cubicBezTo>
                                    <a:cubicBezTo>
                                      <a:pt x="143" y="93"/>
                                      <a:pt x="146" y="103"/>
                                      <a:pt x="146" y="114"/>
                                    </a:cubicBezTo>
                                    <a:cubicBezTo>
                                      <a:pt x="146" y="124"/>
                                      <a:pt x="143" y="133"/>
                                      <a:pt x="137" y="141"/>
                                    </a:cubicBezTo>
                                    <a:cubicBezTo>
                                      <a:pt x="131" y="149"/>
                                      <a:pt x="122" y="155"/>
                                      <a:pt x="111" y="159"/>
                                    </a:cubicBezTo>
                                    <a:cubicBezTo>
                                      <a:pt x="99" y="163"/>
                                      <a:pt x="86" y="166"/>
                                      <a:pt x="70" y="166"/>
                                    </a:cubicBezTo>
                                    <a:cubicBezTo>
                                      <a:pt x="57" y="166"/>
                                      <a:pt x="44" y="164"/>
                                      <a:pt x="31" y="161"/>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40" name="Freeform 34"/>
                            <wps:cNvSpPr>
                              <a:spLocks/>
                            </wps:cNvSpPr>
                            <wps:spPr bwMode="auto">
                              <a:xfrm>
                                <a:off x="817850" y="925168"/>
                                <a:ext cx="74432" cy="75480"/>
                              </a:xfrm>
                              <a:custGeom>
                                <a:avLst/>
                                <a:gdLst>
                                  <a:gd name="T0" fmla="*/ 163 w 163"/>
                                  <a:gd name="T1" fmla="*/ 0 h 164"/>
                                  <a:gd name="T2" fmla="*/ 163 w 163"/>
                                  <a:gd name="T3" fmla="*/ 161 h 164"/>
                                  <a:gd name="T4" fmla="*/ 119 w 163"/>
                                  <a:gd name="T5" fmla="*/ 161 h 164"/>
                                  <a:gd name="T6" fmla="*/ 119 w 163"/>
                                  <a:gd name="T7" fmla="*/ 142 h 164"/>
                                  <a:gd name="T8" fmla="*/ 96 w 163"/>
                                  <a:gd name="T9" fmla="*/ 158 h 164"/>
                                  <a:gd name="T10" fmla="*/ 69 w 163"/>
                                  <a:gd name="T11" fmla="*/ 164 h 164"/>
                                  <a:gd name="T12" fmla="*/ 18 w 163"/>
                                  <a:gd name="T13" fmla="*/ 145 h 164"/>
                                  <a:gd name="T14" fmla="*/ 0 w 163"/>
                                  <a:gd name="T15" fmla="*/ 91 h 164"/>
                                  <a:gd name="T16" fmla="*/ 0 w 163"/>
                                  <a:gd name="T17" fmla="*/ 0 h 164"/>
                                  <a:gd name="T18" fmla="*/ 46 w 163"/>
                                  <a:gd name="T19" fmla="*/ 0 h 164"/>
                                  <a:gd name="T20" fmla="*/ 46 w 163"/>
                                  <a:gd name="T21" fmla="*/ 84 h 164"/>
                                  <a:gd name="T22" fmla="*/ 79 w 163"/>
                                  <a:gd name="T23" fmla="*/ 123 h 164"/>
                                  <a:gd name="T24" fmla="*/ 106 w 163"/>
                                  <a:gd name="T25" fmla="*/ 112 h 164"/>
                                  <a:gd name="T26" fmla="*/ 116 w 163"/>
                                  <a:gd name="T27" fmla="*/ 80 h 164"/>
                                  <a:gd name="T28" fmla="*/ 116 w 163"/>
                                  <a:gd name="T29" fmla="*/ 0 h 164"/>
                                  <a:gd name="T30" fmla="*/ 163 w 163"/>
                                  <a:gd name="T31" fmla="*/ 0 h 1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63" h="164">
                                    <a:moveTo>
                                      <a:pt x="163" y="0"/>
                                    </a:moveTo>
                                    <a:cubicBezTo>
                                      <a:pt x="163" y="161"/>
                                      <a:pt x="163" y="161"/>
                                      <a:pt x="163" y="161"/>
                                    </a:cubicBezTo>
                                    <a:cubicBezTo>
                                      <a:pt x="119" y="161"/>
                                      <a:pt x="119" y="161"/>
                                      <a:pt x="119" y="161"/>
                                    </a:cubicBezTo>
                                    <a:cubicBezTo>
                                      <a:pt x="119" y="142"/>
                                      <a:pt x="119" y="142"/>
                                      <a:pt x="119" y="142"/>
                                    </a:cubicBezTo>
                                    <a:cubicBezTo>
                                      <a:pt x="112" y="149"/>
                                      <a:pt x="105" y="154"/>
                                      <a:pt x="96" y="158"/>
                                    </a:cubicBezTo>
                                    <a:cubicBezTo>
                                      <a:pt x="88" y="162"/>
                                      <a:pt x="79" y="164"/>
                                      <a:pt x="69" y="164"/>
                                    </a:cubicBezTo>
                                    <a:cubicBezTo>
                                      <a:pt x="47" y="164"/>
                                      <a:pt x="31" y="157"/>
                                      <a:pt x="18" y="145"/>
                                    </a:cubicBezTo>
                                    <a:cubicBezTo>
                                      <a:pt x="6" y="133"/>
                                      <a:pt x="0" y="115"/>
                                      <a:pt x="0" y="91"/>
                                    </a:cubicBezTo>
                                    <a:cubicBezTo>
                                      <a:pt x="0" y="0"/>
                                      <a:pt x="0" y="0"/>
                                      <a:pt x="0" y="0"/>
                                    </a:cubicBezTo>
                                    <a:cubicBezTo>
                                      <a:pt x="46" y="0"/>
                                      <a:pt x="46" y="0"/>
                                      <a:pt x="46" y="0"/>
                                    </a:cubicBezTo>
                                    <a:cubicBezTo>
                                      <a:pt x="46" y="84"/>
                                      <a:pt x="46" y="84"/>
                                      <a:pt x="46" y="84"/>
                                    </a:cubicBezTo>
                                    <a:cubicBezTo>
                                      <a:pt x="46" y="110"/>
                                      <a:pt x="57" y="123"/>
                                      <a:pt x="79" y="123"/>
                                    </a:cubicBezTo>
                                    <a:cubicBezTo>
                                      <a:pt x="90" y="123"/>
                                      <a:pt x="99" y="120"/>
                                      <a:pt x="106" y="112"/>
                                    </a:cubicBezTo>
                                    <a:cubicBezTo>
                                      <a:pt x="113" y="105"/>
                                      <a:pt x="116" y="94"/>
                                      <a:pt x="116" y="80"/>
                                    </a:cubicBezTo>
                                    <a:cubicBezTo>
                                      <a:pt x="116" y="0"/>
                                      <a:pt x="116" y="0"/>
                                      <a:pt x="116" y="0"/>
                                    </a:cubicBezTo>
                                    <a:lnTo>
                                      <a:pt x="163"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42" name="Freeform 35"/>
                            <wps:cNvSpPr>
                              <a:spLocks/>
                            </wps:cNvSpPr>
                            <wps:spPr bwMode="auto">
                              <a:xfrm>
                                <a:off x="918490" y="924119"/>
                                <a:ext cx="45079" cy="75480"/>
                              </a:xfrm>
                              <a:custGeom>
                                <a:avLst/>
                                <a:gdLst>
                                  <a:gd name="T0" fmla="*/ 67 w 100"/>
                                  <a:gd name="T1" fmla="*/ 6 h 163"/>
                                  <a:gd name="T2" fmla="*/ 100 w 100"/>
                                  <a:gd name="T3" fmla="*/ 0 h 163"/>
                                  <a:gd name="T4" fmla="*/ 100 w 100"/>
                                  <a:gd name="T5" fmla="*/ 43 h 163"/>
                                  <a:gd name="T6" fmla="*/ 89 w 100"/>
                                  <a:gd name="T7" fmla="*/ 42 h 163"/>
                                  <a:gd name="T8" fmla="*/ 58 w 100"/>
                                  <a:gd name="T9" fmla="*/ 54 h 163"/>
                                  <a:gd name="T10" fmla="*/ 47 w 100"/>
                                  <a:gd name="T11" fmla="*/ 87 h 163"/>
                                  <a:gd name="T12" fmla="*/ 47 w 100"/>
                                  <a:gd name="T13" fmla="*/ 163 h 163"/>
                                  <a:gd name="T14" fmla="*/ 0 w 100"/>
                                  <a:gd name="T15" fmla="*/ 163 h 163"/>
                                  <a:gd name="T16" fmla="*/ 0 w 100"/>
                                  <a:gd name="T17" fmla="*/ 2 h 163"/>
                                  <a:gd name="T18" fmla="*/ 44 w 100"/>
                                  <a:gd name="T19" fmla="*/ 2 h 163"/>
                                  <a:gd name="T20" fmla="*/ 44 w 100"/>
                                  <a:gd name="T21" fmla="*/ 23 h 163"/>
                                  <a:gd name="T22" fmla="*/ 67 w 100"/>
                                  <a:gd name="T23" fmla="*/ 6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0" h="163">
                                    <a:moveTo>
                                      <a:pt x="67" y="6"/>
                                    </a:moveTo>
                                    <a:cubicBezTo>
                                      <a:pt x="77" y="2"/>
                                      <a:pt x="87" y="0"/>
                                      <a:pt x="100" y="0"/>
                                    </a:cubicBezTo>
                                    <a:cubicBezTo>
                                      <a:pt x="100" y="43"/>
                                      <a:pt x="100" y="43"/>
                                      <a:pt x="100" y="43"/>
                                    </a:cubicBezTo>
                                    <a:cubicBezTo>
                                      <a:pt x="95" y="43"/>
                                      <a:pt x="91" y="42"/>
                                      <a:pt x="89" y="42"/>
                                    </a:cubicBezTo>
                                    <a:cubicBezTo>
                                      <a:pt x="76" y="42"/>
                                      <a:pt x="65" y="46"/>
                                      <a:pt x="58" y="54"/>
                                    </a:cubicBezTo>
                                    <a:cubicBezTo>
                                      <a:pt x="50" y="61"/>
                                      <a:pt x="47" y="72"/>
                                      <a:pt x="47" y="87"/>
                                    </a:cubicBezTo>
                                    <a:cubicBezTo>
                                      <a:pt x="47" y="163"/>
                                      <a:pt x="47" y="163"/>
                                      <a:pt x="47" y="163"/>
                                    </a:cubicBezTo>
                                    <a:cubicBezTo>
                                      <a:pt x="0" y="163"/>
                                      <a:pt x="0" y="163"/>
                                      <a:pt x="0" y="163"/>
                                    </a:cubicBezTo>
                                    <a:cubicBezTo>
                                      <a:pt x="0" y="2"/>
                                      <a:pt x="0" y="2"/>
                                      <a:pt x="0" y="2"/>
                                    </a:cubicBezTo>
                                    <a:cubicBezTo>
                                      <a:pt x="44" y="2"/>
                                      <a:pt x="44" y="2"/>
                                      <a:pt x="44" y="2"/>
                                    </a:cubicBezTo>
                                    <a:cubicBezTo>
                                      <a:pt x="44" y="23"/>
                                      <a:pt x="44" y="23"/>
                                      <a:pt x="44" y="23"/>
                                    </a:cubicBezTo>
                                    <a:cubicBezTo>
                                      <a:pt x="50" y="16"/>
                                      <a:pt x="58" y="10"/>
                                      <a:pt x="67" y="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43" name="Freeform 36"/>
                            <wps:cNvSpPr>
                              <a:spLocks noEditPoints="1"/>
                            </wps:cNvSpPr>
                            <wps:spPr bwMode="auto">
                              <a:xfrm>
                                <a:off x="979294" y="924119"/>
                                <a:ext cx="70239" cy="76528"/>
                              </a:xfrm>
                              <a:custGeom>
                                <a:avLst/>
                                <a:gdLst>
                                  <a:gd name="T0" fmla="*/ 133 w 153"/>
                                  <a:gd name="T1" fmla="*/ 18 h 166"/>
                                  <a:gd name="T2" fmla="*/ 153 w 153"/>
                                  <a:gd name="T3" fmla="*/ 71 h 166"/>
                                  <a:gd name="T4" fmla="*/ 153 w 153"/>
                                  <a:gd name="T5" fmla="*/ 163 h 166"/>
                                  <a:gd name="T6" fmla="*/ 109 w 153"/>
                                  <a:gd name="T7" fmla="*/ 163 h 166"/>
                                  <a:gd name="T8" fmla="*/ 109 w 153"/>
                                  <a:gd name="T9" fmla="*/ 143 h 166"/>
                                  <a:gd name="T10" fmla="*/ 60 w 153"/>
                                  <a:gd name="T11" fmla="*/ 166 h 166"/>
                                  <a:gd name="T12" fmla="*/ 28 w 153"/>
                                  <a:gd name="T13" fmla="*/ 159 h 166"/>
                                  <a:gd name="T14" fmla="*/ 7 w 153"/>
                                  <a:gd name="T15" fmla="*/ 142 h 166"/>
                                  <a:gd name="T16" fmla="*/ 0 w 153"/>
                                  <a:gd name="T17" fmla="*/ 117 h 166"/>
                                  <a:gd name="T18" fmla="*/ 17 w 153"/>
                                  <a:gd name="T19" fmla="*/ 82 h 166"/>
                                  <a:gd name="T20" fmla="*/ 69 w 153"/>
                                  <a:gd name="T21" fmla="*/ 69 h 166"/>
                                  <a:gd name="T22" fmla="*/ 106 w 153"/>
                                  <a:gd name="T23" fmla="*/ 69 h 166"/>
                                  <a:gd name="T24" fmla="*/ 97 w 153"/>
                                  <a:gd name="T25" fmla="*/ 45 h 166"/>
                                  <a:gd name="T26" fmla="*/ 69 w 153"/>
                                  <a:gd name="T27" fmla="*/ 37 h 166"/>
                                  <a:gd name="T28" fmla="*/ 44 w 153"/>
                                  <a:gd name="T29" fmla="*/ 41 h 166"/>
                                  <a:gd name="T30" fmla="*/ 23 w 153"/>
                                  <a:gd name="T31" fmla="*/ 52 h 166"/>
                                  <a:gd name="T32" fmla="*/ 6 w 153"/>
                                  <a:gd name="T33" fmla="*/ 19 h 166"/>
                                  <a:gd name="T34" fmla="*/ 38 w 153"/>
                                  <a:gd name="T35" fmla="*/ 5 h 166"/>
                                  <a:gd name="T36" fmla="*/ 76 w 153"/>
                                  <a:gd name="T37" fmla="*/ 0 h 166"/>
                                  <a:gd name="T38" fmla="*/ 133 w 153"/>
                                  <a:gd name="T39" fmla="*/ 18 h 166"/>
                                  <a:gd name="T40" fmla="*/ 93 w 153"/>
                                  <a:gd name="T41" fmla="*/ 129 h 166"/>
                                  <a:gd name="T42" fmla="*/ 106 w 153"/>
                                  <a:gd name="T43" fmla="*/ 112 h 166"/>
                                  <a:gd name="T44" fmla="*/ 106 w 153"/>
                                  <a:gd name="T45" fmla="*/ 96 h 166"/>
                                  <a:gd name="T46" fmla="*/ 74 w 153"/>
                                  <a:gd name="T47" fmla="*/ 96 h 166"/>
                                  <a:gd name="T48" fmla="*/ 46 w 153"/>
                                  <a:gd name="T49" fmla="*/ 115 h 166"/>
                                  <a:gd name="T50" fmla="*/ 53 w 153"/>
                                  <a:gd name="T51" fmla="*/ 129 h 166"/>
                                  <a:gd name="T52" fmla="*/ 72 w 153"/>
                                  <a:gd name="T53" fmla="*/ 134 h 166"/>
                                  <a:gd name="T54" fmla="*/ 93 w 153"/>
                                  <a:gd name="T55" fmla="*/ 129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53" h="166">
                                    <a:moveTo>
                                      <a:pt x="133" y="18"/>
                                    </a:moveTo>
                                    <a:cubicBezTo>
                                      <a:pt x="146" y="30"/>
                                      <a:pt x="153" y="47"/>
                                      <a:pt x="153" y="71"/>
                                    </a:cubicBezTo>
                                    <a:cubicBezTo>
                                      <a:pt x="153" y="163"/>
                                      <a:pt x="153" y="163"/>
                                      <a:pt x="153" y="163"/>
                                    </a:cubicBezTo>
                                    <a:cubicBezTo>
                                      <a:pt x="109" y="163"/>
                                      <a:pt x="109" y="163"/>
                                      <a:pt x="109" y="163"/>
                                    </a:cubicBezTo>
                                    <a:cubicBezTo>
                                      <a:pt x="109" y="143"/>
                                      <a:pt x="109" y="143"/>
                                      <a:pt x="109" y="143"/>
                                    </a:cubicBezTo>
                                    <a:cubicBezTo>
                                      <a:pt x="101" y="158"/>
                                      <a:pt x="84" y="166"/>
                                      <a:pt x="60" y="166"/>
                                    </a:cubicBezTo>
                                    <a:cubicBezTo>
                                      <a:pt x="48" y="166"/>
                                      <a:pt x="37" y="163"/>
                                      <a:pt x="28" y="159"/>
                                    </a:cubicBezTo>
                                    <a:cubicBezTo>
                                      <a:pt x="19" y="155"/>
                                      <a:pt x="12" y="149"/>
                                      <a:pt x="7" y="142"/>
                                    </a:cubicBezTo>
                                    <a:cubicBezTo>
                                      <a:pt x="3" y="135"/>
                                      <a:pt x="0" y="126"/>
                                      <a:pt x="0" y="117"/>
                                    </a:cubicBezTo>
                                    <a:cubicBezTo>
                                      <a:pt x="0" y="102"/>
                                      <a:pt x="6" y="90"/>
                                      <a:pt x="17" y="82"/>
                                    </a:cubicBezTo>
                                    <a:cubicBezTo>
                                      <a:pt x="28" y="73"/>
                                      <a:pt x="46" y="69"/>
                                      <a:pt x="69" y="69"/>
                                    </a:cubicBezTo>
                                    <a:cubicBezTo>
                                      <a:pt x="106" y="69"/>
                                      <a:pt x="106" y="69"/>
                                      <a:pt x="106" y="69"/>
                                    </a:cubicBezTo>
                                    <a:cubicBezTo>
                                      <a:pt x="106" y="58"/>
                                      <a:pt x="103" y="51"/>
                                      <a:pt x="97" y="45"/>
                                    </a:cubicBezTo>
                                    <a:cubicBezTo>
                                      <a:pt x="91" y="40"/>
                                      <a:pt x="82" y="37"/>
                                      <a:pt x="69" y="37"/>
                                    </a:cubicBezTo>
                                    <a:cubicBezTo>
                                      <a:pt x="61" y="37"/>
                                      <a:pt x="52" y="38"/>
                                      <a:pt x="44" y="41"/>
                                    </a:cubicBezTo>
                                    <a:cubicBezTo>
                                      <a:pt x="36" y="44"/>
                                      <a:pt x="29" y="47"/>
                                      <a:pt x="23" y="52"/>
                                    </a:cubicBezTo>
                                    <a:cubicBezTo>
                                      <a:pt x="6" y="19"/>
                                      <a:pt x="6" y="19"/>
                                      <a:pt x="6" y="19"/>
                                    </a:cubicBezTo>
                                    <a:cubicBezTo>
                                      <a:pt x="15" y="13"/>
                                      <a:pt x="26" y="8"/>
                                      <a:pt x="38" y="5"/>
                                    </a:cubicBezTo>
                                    <a:cubicBezTo>
                                      <a:pt x="50" y="2"/>
                                      <a:pt x="63" y="0"/>
                                      <a:pt x="76" y="0"/>
                                    </a:cubicBezTo>
                                    <a:cubicBezTo>
                                      <a:pt x="101" y="0"/>
                                      <a:pt x="120" y="6"/>
                                      <a:pt x="133" y="18"/>
                                    </a:cubicBezTo>
                                    <a:close/>
                                    <a:moveTo>
                                      <a:pt x="93" y="129"/>
                                    </a:moveTo>
                                    <a:cubicBezTo>
                                      <a:pt x="100" y="125"/>
                                      <a:pt x="104" y="119"/>
                                      <a:pt x="106" y="112"/>
                                    </a:cubicBezTo>
                                    <a:cubicBezTo>
                                      <a:pt x="106" y="96"/>
                                      <a:pt x="106" y="96"/>
                                      <a:pt x="106" y="96"/>
                                    </a:cubicBezTo>
                                    <a:cubicBezTo>
                                      <a:pt x="74" y="96"/>
                                      <a:pt x="74" y="96"/>
                                      <a:pt x="74" y="96"/>
                                    </a:cubicBezTo>
                                    <a:cubicBezTo>
                                      <a:pt x="55" y="96"/>
                                      <a:pt x="46" y="102"/>
                                      <a:pt x="46" y="115"/>
                                    </a:cubicBezTo>
                                    <a:cubicBezTo>
                                      <a:pt x="46" y="121"/>
                                      <a:pt x="48" y="125"/>
                                      <a:pt x="53" y="129"/>
                                    </a:cubicBezTo>
                                    <a:cubicBezTo>
                                      <a:pt x="57" y="132"/>
                                      <a:pt x="64" y="134"/>
                                      <a:pt x="72" y="134"/>
                                    </a:cubicBezTo>
                                    <a:cubicBezTo>
                                      <a:pt x="80" y="134"/>
                                      <a:pt x="87" y="132"/>
                                      <a:pt x="93" y="129"/>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44" name="Freeform 37"/>
                            <wps:cNvSpPr>
                              <a:spLocks/>
                            </wps:cNvSpPr>
                            <wps:spPr bwMode="auto">
                              <a:xfrm>
                                <a:off x="1074692" y="924119"/>
                                <a:ext cx="75480" cy="75480"/>
                              </a:xfrm>
                              <a:custGeom>
                                <a:avLst/>
                                <a:gdLst>
                                  <a:gd name="T0" fmla="*/ 146 w 165"/>
                                  <a:gd name="T1" fmla="*/ 18 h 163"/>
                                  <a:gd name="T2" fmla="*/ 165 w 165"/>
                                  <a:gd name="T3" fmla="*/ 71 h 163"/>
                                  <a:gd name="T4" fmla="*/ 165 w 165"/>
                                  <a:gd name="T5" fmla="*/ 163 h 163"/>
                                  <a:gd name="T6" fmla="*/ 118 w 165"/>
                                  <a:gd name="T7" fmla="*/ 163 h 163"/>
                                  <a:gd name="T8" fmla="*/ 118 w 165"/>
                                  <a:gd name="T9" fmla="*/ 78 h 163"/>
                                  <a:gd name="T10" fmla="*/ 110 w 165"/>
                                  <a:gd name="T11" fmla="*/ 50 h 163"/>
                                  <a:gd name="T12" fmla="*/ 86 w 165"/>
                                  <a:gd name="T13" fmla="*/ 40 h 163"/>
                                  <a:gd name="T14" fmla="*/ 57 w 165"/>
                                  <a:gd name="T15" fmla="*/ 51 h 163"/>
                                  <a:gd name="T16" fmla="*/ 47 w 165"/>
                                  <a:gd name="T17" fmla="*/ 84 h 163"/>
                                  <a:gd name="T18" fmla="*/ 47 w 165"/>
                                  <a:gd name="T19" fmla="*/ 163 h 163"/>
                                  <a:gd name="T20" fmla="*/ 0 w 165"/>
                                  <a:gd name="T21" fmla="*/ 163 h 163"/>
                                  <a:gd name="T22" fmla="*/ 0 w 165"/>
                                  <a:gd name="T23" fmla="*/ 2 h 163"/>
                                  <a:gd name="T24" fmla="*/ 45 w 165"/>
                                  <a:gd name="T25" fmla="*/ 2 h 163"/>
                                  <a:gd name="T26" fmla="*/ 45 w 165"/>
                                  <a:gd name="T27" fmla="*/ 21 h 163"/>
                                  <a:gd name="T28" fmla="*/ 68 w 165"/>
                                  <a:gd name="T29" fmla="*/ 5 h 163"/>
                                  <a:gd name="T30" fmla="*/ 98 w 165"/>
                                  <a:gd name="T31" fmla="*/ 0 h 163"/>
                                  <a:gd name="T32" fmla="*/ 146 w 165"/>
                                  <a:gd name="T33" fmla="*/ 18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65" h="163">
                                    <a:moveTo>
                                      <a:pt x="146" y="18"/>
                                    </a:moveTo>
                                    <a:cubicBezTo>
                                      <a:pt x="159" y="30"/>
                                      <a:pt x="165" y="48"/>
                                      <a:pt x="165" y="71"/>
                                    </a:cubicBezTo>
                                    <a:cubicBezTo>
                                      <a:pt x="165" y="163"/>
                                      <a:pt x="165" y="163"/>
                                      <a:pt x="165" y="163"/>
                                    </a:cubicBezTo>
                                    <a:cubicBezTo>
                                      <a:pt x="118" y="163"/>
                                      <a:pt x="118" y="163"/>
                                      <a:pt x="118" y="163"/>
                                    </a:cubicBezTo>
                                    <a:cubicBezTo>
                                      <a:pt x="118" y="78"/>
                                      <a:pt x="118" y="78"/>
                                      <a:pt x="118" y="78"/>
                                    </a:cubicBezTo>
                                    <a:cubicBezTo>
                                      <a:pt x="118" y="65"/>
                                      <a:pt x="115" y="56"/>
                                      <a:pt x="110" y="50"/>
                                    </a:cubicBezTo>
                                    <a:cubicBezTo>
                                      <a:pt x="104" y="43"/>
                                      <a:pt x="96" y="40"/>
                                      <a:pt x="86" y="40"/>
                                    </a:cubicBezTo>
                                    <a:cubicBezTo>
                                      <a:pt x="74" y="40"/>
                                      <a:pt x="64" y="44"/>
                                      <a:pt x="57" y="51"/>
                                    </a:cubicBezTo>
                                    <a:cubicBezTo>
                                      <a:pt x="50" y="58"/>
                                      <a:pt x="47" y="69"/>
                                      <a:pt x="47" y="84"/>
                                    </a:cubicBezTo>
                                    <a:cubicBezTo>
                                      <a:pt x="47" y="163"/>
                                      <a:pt x="47" y="163"/>
                                      <a:pt x="47" y="163"/>
                                    </a:cubicBezTo>
                                    <a:cubicBezTo>
                                      <a:pt x="0" y="163"/>
                                      <a:pt x="0" y="163"/>
                                      <a:pt x="0" y="163"/>
                                    </a:cubicBezTo>
                                    <a:cubicBezTo>
                                      <a:pt x="0" y="2"/>
                                      <a:pt x="0" y="2"/>
                                      <a:pt x="0" y="2"/>
                                    </a:cubicBezTo>
                                    <a:cubicBezTo>
                                      <a:pt x="45" y="2"/>
                                      <a:pt x="45" y="2"/>
                                      <a:pt x="45" y="2"/>
                                    </a:cubicBezTo>
                                    <a:cubicBezTo>
                                      <a:pt x="45" y="21"/>
                                      <a:pt x="45" y="21"/>
                                      <a:pt x="45" y="21"/>
                                    </a:cubicBezTo>
                                    <a:cubicBezTo>
                                      <a:pt x="51" y="14"/>
                                      <a:pt x="59" y="9"/>
                                      <a:pt x="68" y="5"/>
                                    </a:cubicBezTo>
                                    <a:cubicBezTo>
                                      <a:pt x="77" y="2"/>
                                      <a:pt x="87" y="0"/>
                                      <a:pt x="98" y="0"/>
                                    </a:cubicBezTo>
                                    <a:cubicBezTo>
                                      <a:pt x="118" y="0"/>
                                      <a:pt x="134" y="6"/>
                                      <a:pt x="146" y="18"/>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45" name="Freeform 38"/>
                            <wps:cNvSpPr>
                              <a:spLocks/>
                            </wps:cNvSpPr>
                            <wps:spPr bwMode="auto">
                              <a:xfrm>
                                <a:off x="1171139" y="924119"/>
                                <a:ext cx="73384" cy="76528"/>
                              </a:xfrm>
                              <a:custGeom>
                                <a:avLst/>
                                <a:gdLst>
                                  <a:gd name="T0" fmla="*/ 43 w 162"/>
                                  <a:gd name="T1" fmla="*/ 155 h 166"/>
                                  <a:gd name="T2" fmla="*/ 11 w 162"/>
                                  <a:gd name="T3" fmla="*/ 125 h 166"/>
                                  <a:gd name="T4" fmla="*/ 0 w 162"/>
                                  <a:gd name="T5" fmla="*/ 83 h 166"/>
                                  <a:gd name="T6" fmla="*/ 11 w 162"/>
                                  <a:gd name="T7" fmla="*/ 40 h 166"/>
                                  <a:gd name="T8" fmla="*/ 43 w 162"/>
                                  <a:gd name="T9" fmla="*/ 10 h 166"/>
                                  <a:gd name="T10" fmla="*/ 90 w 162"/>
                                  <a:gd name="T11" fmla="*/ 0 h 166"/>
                                  <a:gd name="T12" fmla="*/ 134 w 162"/>
                                  <a:gd name="T13" fmla="*/ 10 h 166"/>
                                  <a:gd name="T14" fmla="*/ 162 w 162"/>
                                  <a:gd name="T15" fmla="*/ 41 h 166"/>
                                  <a:gd name="T16" fmla="*/ 126 w 162"/>
                                  <a:gd name="T17" fmla="*/ 60 h 166"/>
                                  <a:gd name="T18" fmla="*/ 89 w 162"/>
                                  <a:gd name="T19" fmla="*/ 38 h 166"/>
                                  <a:gd name="T20" fmla="*/ 59 w 162"/>
                                  <a:gd name="T21" fmla="*/ 50 h 166"/>
                                  <a:gd name="T22" fmla="*/ 47 w 162"/>
                                  <a:gd name="T23" fmla="*/ 83 h 166"/>
                                  <a:gd name="T24" fmla="*/ 59 w 162"/>
                                  <a:gd name="T25" fmla="*/ 115 h 166"/>
                                  <a:gd name="T26" fmla="*/ 89 w 162"/>
                                  <a:gd name="T27" fmla="*/ 127 h 166"/>
                                  <a:gd name="T28" fmla="*/ 126 w 162"/>
                                  <a:gd name="T29" fmla="*/ 105 h 166"/>
                                  <a:gd name="T30" fmla="*/ 162 w 162"/>
                                  <a:gd name="T31" fmla="*/ 125 h 166"/>
                                  <a:gd name="T32" fmla="*/ 134 w 162"/>
                                  <a:gd name="T33" fmla="*/ 155 h 166"/>
                                  <a:gd name="T34" fmla="*/ 90 w 162"/>
                                  <a:gd name="T35" fmla="*/ 166 h 166"/>
                                  <a:gd name="T36" fmla="*/ 43 w 162"/>
                                  <a:gd name="T37" fmla="*/ 155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62" h="166">
                                    <a:moveTo>
                                      <a:pt x="43" y="155"/>
                                    </a:moveTo>
                                    <a:cubicBezTo>
                                      <a:pt x="30" y="148"/>
                                      <a:pt x="19" y="138"/>
                                      <a:pt x="11" y="125"/>
                                    </a:cubicBezTo>
                                    <a:cubicBezTo>
                                      <a:pt x="4" y="113"/>
                                      <a:pt x="0" y="99"/>
                                      <a:pt x="0" y="83"/>
                                    </a:cubicBezTo>
                                    <a:cubicBezTo>
                                      <a:pt x="0" y="67"/>
                                      <a:pt x="4" y="52"/>
                                      <a:pt x="11" y="40"/>
                                    </a:cubicBezTo>
                                    <a:cubicBezTo>
                                      <a:pt x="19" y="27"/>
                                      <a:pt x="30" y="18"/>
                                      <a:pt x="43" y="10"/>
                                    </a:cubicBezTo>
                                    <a:cubicBezTo>
                                      <a:pt x="57" y="3"/>
                                      <a:pt x="73" y="0"/>
                                      <a:pt x="90" y="0"/>
                                    </a:cubicBezTo>
                                    <a:cubicBezTo>
                                      <a:pt x="107" y="0"/>
                                      <a:pt x="121" y="3"/>
                                      <a:pt x="134" y="10"/>
                                    </a:cubicBezTo>
                                    <a:cubicBezTo>
                                      <a:pt x="147" y="18"/>
                                      <a:pt x="156" y="28"/>
                                      <a:pt x="162" y="41"/>
                                    </a:cubicBezTo>
                                    <a:cubicBezTo>
                                      <a:pt x="126" y="60"/>
                                      <a:pt x="126" y="60"/>
                                      <a:pt x="126" y="60"/>
                                    </a:cubicBezTo>
                                    <a:cubicBezTo>
                                      <a:pt x="117" y="46"/>
                                      <a:pt x="105" y="38"/>
                                      <a:pt x="89" y="38"/>
                                    </a:cubicBezTo>
                                    <a:cubicBezTo>
                                      <a:pt x="77" y="38"/>
                                      <a:pt x="67" y="42"/>
                                      <a:pt x="59" y="50"/>
                                    </a:cubicBezTo>
                                    <a:cubicBezTo>
                                      <a:pt x="51" y="58"/>
                                      <a:pt x="47" y="69"/>
                                      <a:pt x="47" y="83"/>
                                    </a:cubicBezTo>
                                    <a:cubicBezTo>
                                      <a:pt x="47" y="96"/>
                                      <a:pt x="51" y="107"/>
                                      <a:pt x="59" y="115"/>
                                    </a:cubicBezTo>
                                    <a:cubicBezTo>
                                      <a:pt x="67" y="123"/>
                                      <a:pt x="77" y="127"/>
                                      <a:pt x="89" y="127"/>
                                    </a:cubicBezTo>
                                    <a:cubicBezTo>
                                      <a:pt x="105" y="127"/>
                                      <a:pt x="117" y="120"/>
                                      <a:pt x="126" y="105"/>
                                    </a:cubicBezTo>
                                    <a:cubicBezTo>
                                      <a:pt x="162" y="125"/>
                                      <a:pt x="162" y="125"/>
                                      <a:pt x="162" y="125"/>
                                    </a:cubicBezTo>
                                    <a:cubicBezTo>
                                      <a:pt x="156" y="138"/>
                                      <a:pt x="147" y="148"/>
                                      <a:pt x="134" y="155"/>
                                    </a:cubicBezTo>
                                    <a:cubicBezTo>
                                      <a:pt x="121" y="162"/>
                                      <a:pt x="107" y="166"/>
                                      <a:pt x="90" y="166"/>
                                    </a:cubicBezTo>
                                    <a:cubicBezTo>
                                      <a:pt x="73" y="166"/>
                                      <a:pt x="57" y="162"/>
                                      <a:pt x="43" y="15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46" name="Freeform 39"/>
                            <wps:cNvSpPr>
                              <a:spLocks noEditPoints="1"/>
                            </wps:cNvSpPr>
                            <wps:spPr bwMode="auto">
                              <a:xfrm>
                                <a:off x="1259199" y="924119"/>
                                <a:ext cx="76529" cy="76528"/>
                              </a:xfrm>
                              <a:custGeom>
                                <a:avLst/>
                                <a:gdLst>
                                  <a:gd name="T0" fmla="*/ 168 w 169"/>
                                  <a:gd name="T1" fmla="*/ 96 h 166"/>
                                  <a:gd name="T2" fmla="*/ 47 w 169"/>
                                  <a:gd name="T3" fmla="*/ 96 h 166"/>
                                  <a:gd name="T4" fmla="*/ 62 w 169"/>
                                  <a:gd name="T5" fmla="*/ 119 h 166"/>
                                  <a:gd name="T6" fmla="*/ 93 w 169"/>
                                  <a:gd name="T7" fmla="*/ 128 h 166"/>
                                  <a:gd name="T8" fmla="*/ 115 w 169"/>
                                  <a:gd name="T9" fmla="*/ 124 h 166"/>
                                  <a:gd name="T10" fmla="*/ 133 w 169"/>
                                  <a:gd name="T11" fmla="*/ 113 h 166"/>
                                  <a:gd name="T12" fmla="*/ 158 w 169"/>
                                  <a:gd name="T13" fmla="*/ 140 h 166"/>
                                  <a:gd name="T14" fmla="*/ 92 w 169"/>
                                  <a:gd name="T15" fmla="*/ 166 h 166"/>
                                  <a:gd name="T16" fmla="*/ 43 w 169"/>
                                  <a:gd name="T17" fmla="*/ 155 h 166"/>
                                  <a:gd name="T18" fmla="*/ 11 w 169"/>
                                  <a:gd name="T19" fmla="*/ 125 h 166"/>
                                  <a:gd name="T20" fmla="*/ 0 w 169"/>
                                  <a:gd name="T21" fmla="*/ 83 h 166"/>
                                  <a:gd name="T22" fmla="*/ 11 w 169"/>
                                  <a:gd name="T23" fmla="*/ 40 h 166"/>
                                  <a:gd name="T24" fmla="*/ 42 w 169"/>
                                  <a:gd name="T25" fmla="*/ 10 h 166"/>
                                  <a:gd name="T26" fmla="*/ 86 w 169"/>
                                  <a:gd name="T27" fmla="*/ 0 h 166"/>
                                  <a:gd name="T28" fmla="*/ 128 w 169"/>
                                  <a:gd name="T29" fmla="*/ 10 h 166"/>
                                  <a:gd name="T30" fmla="*/ 158 w 169"/>
                                  <a:gd name="T31" fmla="*/ 39 h 166"/>
                                  <a:gd name="T32" fmla="*/ 169 w 169"/>
                                  <a:gd name="T33" fmla="*/ 83 h 166"/>
                                  <a:gd name="T34" fmla="*/ 168 w 169"/>
                                  <a:gd name="T35" fmla="*/ 96 h 166"/>
                                  <a:gd name="T36" fmla="*/ 59 w 169"/>
                                  <a:gd name="T37" fmla="*/ 44 h 166"/>
                                  <a:gd name="T38" fmla="*/ 46 w 169"/>
                                  <a:gd name="T39" fmla="*/ 69 h 166"/>
                                  <a:gd name="T40" fmla="*/ 125 w 169"/>
                                  <a:gd name="T41" fmla="*/ 69 h 166"/>
                                  <a:gd name="T42" fmla="*/ 112 w 169"/>
                                  <a:gd name="T43" fmla="*/ 44 h 166"/>
                                  <a:gd name="T44" fmla="*/ 86 w 169"/>
                                  <a:gd name="T45" fmla="*/ 35 h 166"/>
                                  <a:gd name="T46" fmla="*/ 59 w 169"/>
                                  <a:gd name="T47" fmla="*/ 44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69" h="166">
                                    <a:moveTo>
                                      <a:pt x="168" y="96"/>
                                    </a:moveTo>
                                    <a:cubicBezTo>
                                      <a:pt x="47" y="96"/>
                                      <a:pt x="47" y="96"/>
                                      <a:pt x="47" y="96"/>
                                    </a:cubicBezTo>
                                    <a:cubicBezTo>
                                      <a:pt x="49" y="106"/>
                                      <a:pt x="54" y="114"/>
                                      <a:pt x="62" y="119"/>
                                    </a:cubicBezTo>
                                    <a:cubicBezTo>
                                      <a:pt x="70" y="125"/>
                                      <a:pt x="81" y="128"/>
                                      <a:pt x="93" y="128"/>
                                    </a:cubicBezTo>
                                    <a:cubicBezTo>
                                      <a:pt x="101" y="128"/>
                                      <a:pt x="109" y="127"/>
                                      <a:pt x="115" y="124"/>
                                    </a:cubicBezTo>
                                    <a:cubicBezTo>
                                      <a:pt x="122" y="122"/>
                                      <a:pt x="128" y="118"/>
                                      <a:pt x="133" y="113"/>
                                    </a:cubicBezTo>
                                    <a:cubicBezTo>
                                      <a:pt x="158" y="140"/>
                                      <a:pt x="158" y="140"/>
                                      <a:pt x="158" y="140"/>
                                    </a:cubicBezTo>
                                    <a:cubicBezTo>
                                      <a:pt x="143" y="157"/>
                                      <a:pt x="121" y="166"/>
                                      <a:pt x="92" y="166"/>
                                    </a:cubicBezTo>
                                    <a:cubicBezTo>
                                      <a:pt x="73" y="166"/>
                                      <a:pt x="57" y="162"/>
                                      <a:pt x="43" y="155"/>
                                    </a:cubicBezTo>
                                    <a:cubicBezTo>
                                      <a:pt x="29" y="148"/>
                                      <a:pt x="19" y="138"/>
                                      <a:pt x="11" y="125"/>
                                    </a:cubicBezTo>
                                    <a:cubicBezTo>
                                      <a:pt x="4" y="113"/>
                                      <a:pt x="0" y="99"/>
                                      <a:pt x="0" y="83"/>
                                    </a:cubicBezTo>
                                    <a:cubicBezTo>
                                      <a:pt x="0" y="67"/>
                                      <a:pt x="3" y="53"/>
                                      <a:pt x="11" y="40"/>
                                    </a:cubicBezTo>
                                    <a:cubicBezTo>
                                      <a:pt x="18" y="27"/>
                                      <a:pt x="29" y="18"/>
                                      <a:pt x="42" y="10"/>
                                    </a:cubicBezTo>
                                    <a:cubicBezTo>
                                      <a:pt x="55" y="3"/>
                                      <a:pt x="69" y="0"/>
                                      <a:pt x="86" y="0"/>
                                    </a:cubicBezTo>
                                    <a:cubicBezTo>
                                      <a:pt x="101" y="0"/>
                                      <a:pt x="116" y="3"/>
                                      <a:pt x="128" y="10"/>
                                    </a:cubicBezTo>
                                    <a:cubicBezTo>
                                      <a:pt x="141" y="17"/>
                                      <a:pt x="151" y="27"/>
                                      <a:pt x="158" y="39"/>
                                    </a:cubicBezTo>
                                    <a:cubicBezTo>
                                      <a:pt x="166" y="52"/>
                                      <a:pt x="169" y="67"/>
                                      <a:pt x="169" y="83"/>
                                    </a:cubicBezTo>
                                    <a:cubicBezTo>
                                      <a:pt x="169" y="84"/>
                                      <a:pt x="169" y="88"/>
                                      <a:pt x="168" y="96"/>
                                    </a:cubicBezTo>
                                    <a:close/>
                                    <a:moveTo>
                                      <a:pt x="59" y="44"/>
                                    </a:moveTo>
                                    <a:cubicBezTo>
                                      <a:pt x="52" y="50"/>
                                      <a:pt x="48" y="58"/>
                                      <a:pt x="46" y="69"/>
                                    </a:cubicBezTo>
                                    <a:cubicBezTo>
                                      <a:pt x="125" y="69"/>
                                      <a:pt x="125" y="69"/>
                                      <a:pt x="125" y="69"/>
                                    </a:cubicBezTo>
                                    <a:cubicBezTo>
                                      <a:pt x="124" y="58"/>
                                      <a:pt x="119" y="50"/>
                                      <a:pt x="112" y="44"/>
                                    </a:cubicBezTo>
                                    <a:cubicBezTo>
                                      <a:pt x="105" y="38"/>
                                      <a:pt x="96" y="35"/>
                                      <a:pt x="86" y="35"/>
                                    </a:cubicBezTo>
                                    <a:cubicBezTo>
                                      <a:pt x="75" y="35"/>
                                      <a:pt x="66" y="38"/>
                                      <a:pt x="59" y="44"/>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47" name="Freeform 40"/>
                            <wps:cNvSpPr>
                              <a:spLocks noEditPoints="1"/>
                            </wps:cNvSpPr>
                            <wps:spPr bwMode="auto">
                              <a:xfrm>
                                <a:off x="1397579" y="902104"/>
                                <a:ext cx="91206" cy="98544"/>
                              </a:xfrm>
                              <a:custGeom>
                                <a:avLst/>
                                <a:gdLst>
                                  <a:gd name="T0" fmla="*/ 175 w 200"/>
                                  <a:gd name="T1" fmla="*/ 216 h 216"/>
                                  <a:gd name="T2" fmla="*/ 150 w 200"/>
                                  <a:gd name="T3" fmla="*/ 192 h 216"/>
                                  <a:gd name="T4" fmla="*/ 80 w 200"/>
                                  <a:gd name="T5" fmla="*/ 216 h 216"/>
                                  <a:gd name="T6" fmla="*/ 39 w 200"/>
                                  <a:gd name="T7" fmla="*/ 208 h 216"/>
                                  <a:gd name="T8" fmla="*/ 10 w 200"/>
                                  <a:gd name="T9" fmla="*/ 188 h 216"/>
                                  <a:gd name="T10" fmla="*/ 0 w 200"/>
                                  <a:gd name="T11" fmla="*/ 158 h 216"/>
                                  <a:gd name="T12" fmla="*/ 11 w 200"/>
                                  <a:gd name="T13" fmla="*/ 124 h 216"/>
                                  <a:gd name="T14" fmla="*/ 46 w 200"/>
                                  <a:gd name="T15" fmla="*/ 96 h 216"/>
                                  <a:gd name="T16" fmla="*/ 30 w 200"/>
                                  <a:gd name="T17" fmla="*/ 74 h 216"/>
                                  <a:gd name="T18" fmla="*/ 24 w 200"/>
                                  <a:gd name="T19" fmla="*/ 52 h 216"/>
                                  <a:gd name="T20" fmla="*/ 33 w 200"/>
                                  <a:gd name="T21" fmla="*/ 25 h 216"/>
                                  <a:gd name="T22" fmla="*/ 55 w 200"/>
                                  <a:gd name="T23" fmla="*/ 7 h 216"/>
                                  <a:gd name="T24" fmla="*/ 90 w 200"/>
                                  <a:gd name="T25" fmla="*/ 0 h 216"/>
                                  <a:gd name="T26" fmla="*/ 133 w 200"/>
                                  <a:gd name="T27" fmla="*/ 13 h 216"/>
                                  <a:gd name="T28" fmla="*/ 150 w 200"/>
                                  <a:gd name="T29" fmla="*/ 48 h 216"/>
                                  <a:gd name="T30" fmla="*/ 140 w 200"/>
                                  <a:gd name="T31" fmla="*/ 77 h 216"/>
                                  <a:gd name="T32" fmla="*/ 109 w 200"/>
                                  <a:gd name="T33" fmla="*/ 101 h 216"/>
                                  <a:gd name="T34" fmla="*/ 147 w 200"/>
                                  <a:gd name="T35" fmla="*/ 137 h 216"/>
                                  <a:gd name="T36" fmla="*/ 158 w 200"/>
                                  <a:gd name="T37" fmla="*/ 104 h 216"/>
                                  <a:gd name="T38" fmla="*/ 195 w 200"/>
                                  <a:gd name="T39" fmla="*/ 116 h 216"/>
                                  <a:gd name="T40" fmla="*/ 176 w 200"/>
                                  <a:gd name="T41" fmla="*/ 163 h 216"/>
                                  <a:gd name="T42" fmla="*/ 200 w 200"/>
                                  <a:gd name="T43" fmla="*/ 186 h 216"/>
                                  <a:gd name="T44" fmla="*/ 175 w 200"/>
                                  <a:gd name="T45" fmla="*/ 216 h 216"/>
                                  <a:gd name="T46" fmla="*/ 122 w 200"/>
                                  <a:gd name="T47" fmla="*/ 167 h 216"/>
                                  <a:gd name="T48" fmla="*/ 72 w 200"/>
                                  <a:gd name="T49" fmla="*/ 120 h 216"/>
                                  <a:gd name="T50" fmla="*/ 52 w 200"/>
                                  <a:gd name="T51" fmla="*/ 136 h 216"/>
                                  <a:gd name="T52" fmla="*/ 46 w 200"/>
                                  <a:gd name="T53" fmla="*/ 153 h 216"/>
                                  <a:gd name="T54" fmla="*/ 56 w 200"/>
                                  <a:gd name="T55" fmla="*/ 172 h 216"/>
                                  <a:gd name="T56" fmla="*/ 83 w 200"/>
                                  <a:gd name="T57" fmla="*/ 179 h 216"/>
                                  <a:gd name="T58" fmla="*/ 122 w 200"/>
                                  <a:gd name="T59" fmla="*/ 167 h 216"/>
                                  <a:gd name="T60" fmla="*/ 73 w 200"/>
                                  <a:gd name="T61" fmla="*/ 37 h 216"/>
                                  <a:gd name="T62" fmla="*/ 67 w 200"/>
                                  <a:gd name="T63" fmla="*/ 51 h 216"/>
                                  <a:gd name="T64" fmla="*/ 70 w 200"/>
                                  <a:gd name="T65" fmla="*/ 63 h 216"/>
                                  <a:gd name="T66" fmla="*/ 83 w 200"/>
                                  <a:gd name="T67" fmla="*/ 78 h 216"/>
                                  <a:gd name="T68" fmla="*/ 104 w 200"/>
                                  <a:gd name="T69" fmla="*/ 63 h 216"/>
                                  <a:gd name="T70" fmla="*/ 110 w 200"/>
                                  <a:gd name="T71" fmla="*/ 49 h 216"/>
                                  <a:gd name="T72" fmla="*/ 105 w 200"/>
                                  <a:gd name="T73" fmla="*/ 37 h 216"/>
                                  <a:gd name="T74" fmla="*/ 90 w 200"/>
                                  <a:gd name="T75" fmla="*/ 32 h 216"/>
                                  <a:gd name="T76" fmla="*/ 73 w 200"/>
                                  <a:gd name="T77" fmla="*/ 37 h 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00" h="216">
                                    <a:moveTo>
                                      <a:pt x="175" y="216"/>
                                    </a:moveTo>
                                    <a:cubicBezTo>
                                      <a:pt x="150" y="192"/>
                                      <a:pt x="150" y="192"/>
                                      <a:pt x="150" y="192"/>
                                    </a:cubicBezTo>
                                    <a:cubicBezTo>
                                      <a:pt x="130" y="208"/>
                                      <a:pt x="106" y="216"/>
                                      <a:pt x="80" y="216"/>
                                    </a:cubicBezTo>
                                    <a:cubicBezTo>
                                      <a:pt x="65" y="216"/>
                                      <a:pt x="51" y="213"/>
                                      <a:pt x="39" y="208"/>
                                    </a:cubicBezTo>
                                    <a:cubicBezTo>
                                      <a:pt x="27" y="204"/>
                                      <a:pt x="17" y="197"/>
                                      <a:pt x="10" y="188"/>
                                    </a:cubicBezTo>
                                    <a:cubicBezTo>
                                      <a:pt x="3" y="179"/>
                                      <a:pt x="0" y="169"/>
                                      <a:pt x="0" y="158"/>
                                    </a:cubicBezTo>
                                    <a:cubicBezTo>
                                      <a:pt x="0" y="145"/>
                                      <a:pt x="4" y="134"/>
                                      <a:pt x="11" y="124"/>
                                    </a:cubicBezTo>
                                    <a:cubicBezTo>
                                      <a:pt x="18" y="114"/>
                                      <a:pt x="30" y="105"/>
                                      <a:pt x="46" y="96"/>
                                    </a:cubicBezTo>
                                    <a:cubicBezTo>
                                      <a:pt x="38" y="88"/>
                                      <a:pt x="33" y="81"/>
                                      <a:pt x="30" y="74"/>
                                    </a:cubicBezTo>
                                    <a:cubicBezTo>
                                      <a:pt x="26" y="66"/>
                                      <a:pt x="24" y="59"/>
                                      <a:pt x="24" y="52"/>
                                    </a:cubicBezTo>
                                    <a:cubicBezTo>
                                      <a:pt x="24" y="41"/>
                                      <a:pt x="27" y="32"/>
                                      <a:pt x="33" y="25"/>
                                    </a:cubicBezTo>
                                    <a:cubicBezTo>
                                      <a:pt x="38" y="17"/>
                                      <a:pt x="46" y="11"/>
                                      <a:pt x="55" y="7"/>
                                    </a:cubicBezTo>
                                    <a:cubicBezTo>
                                      <a:pt x="65" y="2"/>
                                      <a:pt x="77" y="0"/>
                                      <a:pt x="90" y="0"/>
                                    </a:cubicBezTo>
                                    <a:cubicBezTo>
                                      <a:pt x="108" y="0"/>
                                      <a:pt x="122" y="4"/>
                                      <a:pt x="133" y="13"/>
                                    </a:cubicBezTo>
                                    <a:cubicBezTo>
                                      <a:pt x="144" y="22"/>
                                      <a:pt x="150" y="33"/>
                                      <a:pt x="150" y="48"/>
                                    </a:cubicBezTo>
                                    <a:cubicBezTo>
                                      <a:pt x="150" y="59"/>
                                      <a:pt x="147" y="69"/>
                                      <a:pt x="140" y="77"/>
                                    </a:cubicBezTo>
                                    <a:cubicBezTo>
                                      <a:pt x="134" y="85"/>
                                      <a:pt x="123" y="93"/>
                                      <a:pt x="109" y="101"/>
                                    </a:cubicBezTo>
                                    <a:cubicBezTo>
                                      <a:pt x="147" y="137"/>
                                      <a:pt x="147" y="137"/>
                                      <a:pt x="147" y="137"/>
                                    </a:cubicBezTo>
                                    <a:cubicBezTo>
                                      <a:pt x="152" y="127"/>
                                      <a:pt x="155" y="116"/>
                                      <a:pt x="158" y="104"/>
                                    </a:cubicBezTo>
                                    <a:cubicBezTo>
                                      <a:pt x="195" y="116"/>
                                      <a:pt x="195" y="116"/>
                                      <a:pt x="195" y="116"/>
                                    </a:cubicBezTo>
                                    <a:cubicBezTo>
                                      <a:pt x="191" y="134"/>
                                      <a:pt x="185" y="150"/>
                                      <a:pt x="176" y="163"/>
                                    </a:cubicBezTo>
                                    <a:cubicBezTo>
                                      <a:pt x="200" y="186"/>
                                      <a:pt x="200" y="186"/>
                                      <a:pt x="200" y="186"/>
                                    </a:cubicBezTo>
                                    <a:lnTo>
                                      <a:pt x="175" y="216"/>
                                    </a:lnTo>
                                    <a:close/>
                                    <a:moveTo>
                                      <a:pt x="122" y="167"/>
                                    </a:moveTo>
                                    <a:cubicBezTo>
                                      <a:pt x="72" y="120"/>
                                      <a:pt x="72" y="120"/>
                                      <a:pt x="72" y="120"/>
                                    </a:cubicBezTo>
                                    <a:cubicBezTo>
                                      <a:pt x="62" y="125"/>
                                      <a:pt x="56" y="130"/>
                                      <a:pt x="52" y="136"/>
                                    </a:cubicBezTo>
                                    <a:cubicBezTo>
                                      <a:pt x="48" y="141"/>
                                      <a:pt x="46" y="147"/>
                                      <a:pt x="46" y="153"/>
                                    </a:cubicBezTo>
                                    <a:cubicBezTo>
                                      <a:pt x="46" y="161"/>
                                      <a:pt x="49" y="167"/>
                                      <a:pt x="56" y="172"/>
                                    </a:cubicBezTo>
                                    <a:cubicBezTo>
                                      <a:pt x="63" y="177"/>
                                      <a:pt x="72" y="179"/>
                                      <a:pt x="83" y="179"/>
                                    </a:cubicBezTo>
                                    <a:cubicBezTo>
                                      <a:pt x="98" y="179"/>
                                      <a:pt x="111" y="175"/>
                                      <a:pt x="122" y="167"/>
                                    </a:cubicBezTo>
                                    <a:close/>
                                    <a:moveTo>
                                      <a:pt x="73" y="37"/>
                                    </a:moveTo>
                                    <a:cubicBezTo>
                                      <a:pt x="69" y="41"/>
                                      <a:pt x="67" y="45"/>
                                      <a:pt x="67" y="51"/>
                                    </a:cubicBezTo>
                                    <a:cubicBezTo>
                                      <a:pt x="67" y="55"/>
                                      <a:pt x="68" y="59"/>
                                      <a:pt x="70" y="63"/>
                                    </a:cubicBezTo>
                                    <a:cubicBezTo>
                                      <a:pt x="72" y="66"/>
                                      <a:pt x="77" y="71"/>
                                      <a:pt x="83" y="78"/>
                                    </a:cubicBezTo>
                                    <a:cubicBezTo>
                                      <a:pt x="93" y="72"/>
                                      <a:pt x="100" y="67"/>
                                      <a:pt x="104" y="63"/>
                                    </a:cubicBezTo>
                                    <a:cubicBezTo>
                                      <a:pt x="108" y="59"/>
                                      <a:pt x="110" y="54"/>
                                      <a:pt x="110" y="49"/>
                                    </a:cubicBezTo>
                                    <a:cubicBezTo>
                                      <a:pt x="110" y="44"/>
                                      <a:pt x="108" y="40"/>
                                      <a:pt x="105" y="37"/>
                                    </a:cubicBezTo>
                                    <a:cubicBezTo>
                                      <a:pt x="101" y="33"/>
                                      <a:pt x="96" y="32"/>
                                      <a:pt x="90" y="32"/>
                                    </a:cubicBezTo>
                                    <a:cubicBezTo>
                                      <a:pt x="83" y="32"/>
                                      <a:pt x="77" y="34"/>
                                      <a:pt x="73" y="37"/>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48" name="Freeform 41"/>
                            <wps:cNvSpPr>
                              <a:spLocks noEditPoints="1"/>
                            </wps:cNvSpPr>
                            <wps:spPr bwMode="auto">
                              <a:xfrm>
                                <a:off x="1555879" y="903152"/>
                                <a:ext cx="82819" cy="96447"/>
                              </a:xfrm>
                              <a:custGeom>
                                <a:avLst/>
                                <a:gdLst>
                                  <a:gd name="T0" fmla="*/ 139 w 182"/>
                                  <a:gd name="T1" fmla="*/ 9 h 209"/>
                                  <a:gd name="T2" fmla="*/ 171 w 182"/>
                                  <a:gd name="T3" fmla="*/ 35 h 209"/>
                                  <a:gd name="T4" fmla="*/ 182 w 182"/>
                                  <a:gd name="T5" fmla="*/ 76 h 209"/>
                                  <a:gd name="T6" fmla="*/ 171 w 182"/>
                                  <a:gd name="T7" fmla="*/ 116 h 209"/>
                                  <a:gd name="T8" fmla="*/ 139 w 182"/>
                                  <a:gd name="T9" fmla="*/ 142 h 209"/>
                                  <a:gd name="T10" fmla="*/ 91 w 182"/>
                                  <a:gd name="T11" fmla="*/ 151 h 209"/>
                                  <a:gd name="T12" fmla="*/ 49 w 182"/>
                                  <a:gd name="T13" fmla="*/ 151 h 209"/>
                                  <a:gd name="T14" fmla="*/ 49 w 182"/>
                                  <a:gd name="T15" fmla="*/ 209 h 209"/>
                                  <a:gd name="T16" fmla="*/ 0 w 182"/>
                                  <a:gd name="T17" fmla="*/ 209 h 209"/>
                                  <a:gd name="T18" fmla="*/ 0 w 182"/>
                                  <a:gd name="T19" fmla="*/ 0 h 209"/>
                                  <a:gd name="T20" fmla="*/ 91 w 182"/>
                                  <a:gd name="T21" fmla="*/ 0 h 209"/>
                                  <a:gd name="T22" fmla="*/ 139 w 182"/>
                                  <a:gd name="T23" fmla="*/ 9 h 209"/>
                                  <a:gd name="T24" fmla="*/ 121 w 182"/>
                                  <a:gd name="T25" fmla="*/ 103 h 209"/>
                                  <a:gd name="T26" fmla="*/ 133 w 182"/>
                                  <a:gd name="T27" fmla="*/ 76 h 209"/>
                                  <a:gd name="T28" fmla="*/ 121 w 182"/>
                                  <a:gd name="T29" fmla="*/ 49 h 209"/>
                                  <a:gd name="T30" fmla="*/ 88 w 182"/>
                                  <a:gd name="T31" fmla="*/ 39 h 209"/>
                                  <a:gd name="T32" fmla="*/ 49 w 182"/>
                                  <a:gd name="T33" fmla="*/ 39 h 209"/>
                                  <a:gd name="T34" fmla="*/ 49 w 182"/>
                                  <a:gd name="T35" fmla="*/ 112 h 209"/>
                                  <a:gd name="T36" fmla="*/ 88 w 182"/>
                                  <a:gd name="T37" fmla="*/ 112 h 209"/>
                                  <a:gd name="T38" fmla="*/ 121 w 182"/>
                                  <a:gd name="T39" fmla="*/ 103 h 2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82" h="209">
                                    <a:moveTo>
                                      <a:pt x="139" y="9"/>
                                    </a:moveTo>
                                    <a:cubicBezTo>
                                      <a:pt x="153" y="15"/>
                                      <a:pt x="163" y="24"/>
                                      <a:pt x="171" y="35"/>
                                    </a:cubicBezTo>
                                    <a:cubicBezTo>
                                      <a:pt x="178" y="47"/>
                                      <a:pt x="182" y="60"/>
                                      <a:pt x="182" y="76"/>
                                    </a:cubicBezTo>
                                    <a:cubicBezTo>
                                      <a:pt x="182" y="91"/>
                                      <a:pt x="178" y="105"/>
                                      <a:pt x="171" y="116"/>
                                    </a:cubicBezTo>
                                    <a:cubicBezTo>
                                      <a:pt x="163" y="127"/>
                                      <a:pt x="153" y="136"/>
                                      <a:pt x="139" y="142"/>
                                    </a:cubicBezTo>
                                    <a:cubicBezTo>
                                      <a:pt x="126" y="148"/>
                                      <a:pt x="109" y="151"/>
                                      <a:pt x="91" y="151"/>
                                    </a:cubicBezTo>
                                    <a:cubicBezTo>
                                      <a:pt x="49" y="151"/>
                                      <a:pt x="49" y="151"/>
                                      <a:pt x="49" y="151"/>
                                    </a:cubicBezTo>
                                    <a:cubicBezTo>
                                      <a:pt x="49" y="209"/>
                                      <a:pt x="49" y="209"/>
                                      <a:pt x="49" y="209"/>
                                    </a:cubicBezTo>
                                    <a:cubicBezTo>
                                      <a:pt x="0" y="209"/>
                                      <a:pt x="0" y="209"/>
                                      <a:pt x="0" y="209"/>
                                    </a:cubicBezTo>
                                    <a:cubicBezTo>
                                      <a:pt x="0" y="0"/>
                                      <a:pt x="0" y="0"/>
                                      <a:pt x="0" y="0"/>
                                    </a:cubicBezTo>
                                    <a:cubicBezTo>
                                      <a:pt x="91" y="0"/>
                                      <a:pt x="91" y="0"/>
                                      <a:pt x="91" y="0"/>
                                    </a:cubicBezTo>
                                    <a:cubicBezTo>
                                      <a:pt x="109" y="0"/>
                                      <a:pt x="126" y="3"/>
                                      <a:pt x="139" y="9"/>
                                    </a:cubicBezTo>
                                    <a:close/>
                                    <a:moveTo>
                                      <a:pt x="121" y="103"/>
                                    </a:moveTo>
                                    <a:cubicBezTo>
                                      <a:pt x="129" y="96"/>
                                      <a:pt x="133" y="87"/>
                                      <a:pt x="133" y="76"/>
                                    </a:cubicBezTo>
                                    <a:cubicBezTo>
                                      <a:pt x="133" y="64"/>
                                      <a:pt x="129" y="55"/>
                                      <a:pt x="121" y="49"/>
                                    </a:cubicBezTo>
                                    <a:cubicBezTo>
                                      <a:pt x="114" y="42"/>
                                      <a:pt x="103" y="39"/>
                                      <a:pt x="88" y="39"/>
                                    </a:cubicBezTo>
                                    <a:cubicBezTo>
                                      <a:pt x="49" y="39"/>
                                      <a:pt x="49" y="39"/>
                                      <a:pt x="49" y="39"/>
                                    </a:cubicBezTo>
                                    <a:cubicBezTo>
                                      <a:pt x="49" y="112"/>
                                      <a:pt x="49" y="112"/>
                                      <a:pt x="49" y="112"/>
                                    </a:cubicBezTo>
                                    <a:cubicBezTo>
                                      <a:pt x="88" y="112"/>
                                      <a:pt x="88" y="112"/>
                                      <a:pt x="88" y="112"/>
                                    </a:cubicBezTo>
                                    <a:cubicBezTo>
                                      <a:pt x="103" y="112"/>
                                      <a:pt x="114" y="109"/>
                                      <a:pt x="121" y="103"/>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49" name="Freeform 42"/>
                            <wps:cNvSpPr>
                              <a:spLocks/>
                            </wps:cNvSpPr>
                            <wps:spPr bwMode="auto">
                              <a:xfrm>
                                <a:off x="1661760" y="924119"/>
                                <a:ext cx="45079" cy="75480"/>
                              </a:xfrm>
                              <a:custGeom>
                                <a:avLst/>
                                <a:gdLst>
                                  <a:gd name="T0" fmla="*/ 67 w 100"/>
                                  <a:gd name="T1" fmla="*/ 6 h 163"/>
                                  <a:gd name="T2" fmla="*/ 100 w 100"/>
                                  <a:gd name="T3" fmla="*/ 0 h 163"/>
                                  <a:gd name="T4" fmla="*/ 100 w 100"/>
                                  <a:gd name="T5" fmla="*/ 43 h 163"/>
                                  <a:gd name="T6" fmla="*/ 89 w 100"/>
                                  <a:gd name="T7" fmla="*/ 42 h 163"/>
                                  <a:gd name="T8" fmla="*/ 58 w 100"/>
                                  <a:gd name="T9" fmla="*/ 54 h 163"/>
                                  <a:gd name="T10" fmla="*/ 47 w 100"/>
                                  <a:gd name="T11" fmla="*/ 87 h 163"/>
                                  <a:gd name="T12" fmla="*/ 47 w 100"/>
                                  <a:gd name="T13" fmla="*/ 163 h 163"/>
                                  <a:gd name="T14" fmla="*/ 0 w 100"/>
                                  <a:gd name="T15" fmla="*/ 163 h 163"/>
                                  <a:gd name="T16" fmla="*/ 0 w 100"/>
                                  <a:gd name="T17" fmla="*/ 2 h 163"/>
                                  <a:gd name="T18" fmla="*/ 45 w 100"/>
                                  <a:gd name="T19" fmla="*/ 2 h 163"/>
                                  <a:gd name="T20" fmla="*/ 45 w 100"/>
                                  <a:gd name="T21" fmla="*/ 23 h 163"/>
                                  <a:gd name="T22" fmla="*/ 67 w 100"/>
                                  <a:gd name="T23" fmla="*/ 6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0" h="163">
                                    <a:moveTo>
                                      <a:pt x="67" y="6"/>
                                    </a:moveTo>
                                    <a:cubicBezTo>
                                      <a:pt x="77" y="2"/>
                                      <a:pt x="87" y="0"/>
                                      <a:pt x="100" y="0"/>
                                    </a:cubicBezTo>
                                    <a:cubicBezTo>
                                      <a:pt x="100" y="43"/>
                                      <a:pt x="100" y="43"/>
                                      <a:pt x="100" y="43"/>
                                    </a:cubicBezTo>
                                    <a:cubicBezTo>
                                      <a:pt x="95" y="43"/>
                                      <a:pt x="91" y="42"/>
                                      <a:pt x="89" y="42"/>
                                    </a:cubicBezTo>
                                    <a:cubicBezTo>
                                      <a:pt x="76" y="42"/>
                                      <a:pt x="66" y="46"/>
                                      <a:pt x="58" y="54"/>
                                    </a:cubicBezTo>
                                    <a:cubicBezTo>
                                      <a:pt x="50" y="61"/>
                                      <a:pt x="47" y="72"/>
                                      <a:pt x="47" y="87"/>
                                    </a:cubicBezTo>
                                    <a:cubicBezTo>
                                      <a:pt x="47" y="163"/>
                                      <a:pt x="47" y="163"/>
                                      <a:pt x="47" y="163"/>
                                    </a:cubicBezTo>
                                    <a:cubicBezTo>
                                      <a:pt x="0" y="163"/>
                                      <a:pt x="0" y="163"/>
                                      <a:pt x="0" y="163"/>
                                    </a:cubicBezTo>
                                    <a:cubicBezTo>
                                      <a:pt x="0" y="2"/>
                                      <a:pt x="0" y="2"/>
                                      <a:pt x="0" y="2"/>
                                    </a:cubicBezTo>
                                    <a:cubicBezTo>
                                      <a:pt x="45" y="2"/>
                                      <a:pt x="45" y="2"/>
                                      <a:pt x="45" y="2"/>
                                    </a:cubicBezTo>
                                    <a:cubicBezTo>
                                      <a:pt x="45" y="23"/>
                                      <a:pt x="45" y="23"/>
                                      <a:pt x="45" y="23"/>
                                    </a:cubicBezTo>
                                    <a:cubicBezTo>
                                      <a:pt x="50" y="16"/>
                                      <a:pt x="58" y="10"/>
                                      <a:pt x="67" y="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50" name="Freeform 43"/>
                            <wps:cNvSpPr>
                              <a:spLocks noEditPoints="1"/>
                            </wps:cNvSpPr>
                            <wps:spPr bwMode="auto">
                              <a:xfrm>
                                <a:off x="1721516" y="924119"/>
                                <a:ext cx="80722" cy="76528"/>
                              </a:xfrm>
                              <a:custGeom>
                                <a:avLst/>
                                <a:gdLst>
                                  <a:gd name="T0" fmla="*/ 43 w 177"/>
                                  <a:gd name="T1" fmla="*/ 155 h 166"/>
                                  <a:gd name="T2" fmla="*/ 11 w 177"/>
                                  <a:gd name="T3" fmla="*/ 125 h 166"/>
                                  <a:gd name="T4" fmla="*/ 0 w 177"/>
                                  <a:gd name="T5" fmla="*/ 83 h 166"/>
                                  <a:gd name="T6" fmla="*/ 11 w 177"/>
                                  <a:gd name="T7" fmla="*/ 40 h 166"/>
                                  <a:gd name="T8" fmla="*/ 43 w 177"/>
                                  <a:gd name="T9" fmla="*/ 10 h 166"/>
                                  <a:gd name="T10" fmla="*/ 88 w 177"/>
                                  <a:gd name="T11" fmla="*/ 0 h 166"/>
                                  <a:gd name="T12" fmla="*/ 134 w 177"/>
                                  <a:gd name="T13" fmla="*/ 10 h 166"/>
                                  <a:gd name="T14" fmla="*/ 165 w 177"/>
                                  <a:gd name="T15" fmla="*/ 40 h 166"/>
                                  <a:gd name="T16" fmla="*/ 177 w 177"/>
                                  <a:gd name="T17" fmla="*/ 83 h 166"/>
                                  <a:gd name="T18" fmla="*/ 165 w 177"/>
                                  <a:gd name="T19" fmla="*/ 125 h 166"/>
                                  <a:gd name="T20" fmla="*/ 134 w 177"/>
                                  <a:gd name="T21" fmla="*/ 155 h 166"/>
                                  <a:gd name="T22" fmla="*/ 88 w 177"/>
                                  <a:gd name="T23" fmla="*/ 166 h 166"/>
                                  <a:gd name="T24" fmla="*/ 43 w 177"/>
                                  <a:gd name="T25" fmla="*/ 155 h 166"/>
                                  <a:gd name="T26" fmla="*/ 118 w 177"/>
                                  <a:gd name="T27" fmla="*/ 115 h 166"/>
                                  <a:gd name="T28" fmla="*/ 129 w 177"/>
                                  <a:gd name="T29" fmla="*/ 83 h 166"/>
                                  <a:gd name="T30" fmla="*/ 118 w 177"/>
                                  <a:gd name="T31" fmla="*/ 50 h 166"/>
                                  <a:gd name="T32" fmla="*/ 88 w 177"/>
                                  <a:gd name="T33" fmla="*/ 38 h 166"/>
                                  <a:gd name="T34" fmla="*/ 59 w 177"/>
                                  <a:gd name="T35" fmla="*/ 50 h 166"/>
                                  <a:gd name="T36" fmla="*/ 47 w 177"/>
                                  <a:gd name="T37" fmla="*/ 83 h 166"/>
                                  <a:gd name="T38" fmla="*/ 59 w 177"/>
                                  <a:gd name="T39" fmla="*/ 115 h 166"/>
                                  <a:gd name="T40" fmla="*/ 88 w 177"/>
                                  <a:gd name="T41" fmla="*/ 127 h 166"/>
                                  <a:gd name="T42" fmla="*/ 118 w 177"/>
                                  <a:gd name="T43" fmla="*/ 115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77" h="166">
                                    <a:moveTo>
                                      <a:pt x="43" y="155"/>
                                    </a:moveTo>
                                    <a:cubicBezTo>
                                      <a:pt x="29" y="148"/>
                                      <a:pt x="19" y="138"/>
                                      <a:pt x="11" y="125"/>
                                    </a:cubicBezTo>
                                    <a:cubicBezTo>
                                      <a:pt x="4" y="113"/>
                                      <a:pt x="0" y="99"/>
                                      <a:pt x="0" y="83"/>
                                    </a:cubicBezTo>
                                    <a:cubicBezTo>
                                      <a:pt x="0" y="67"/>
                                      <a:pt x="4" y="52"/>
                                      <a:pt x="11" y="40"/>
                                    </a:cubicBezTo>
                                    <a:cubicBezTo>
                                      <a:pt x="19" y="27"/>
                                      <a:pt x="29" y="18"/>
                                      <a:pt x="43" y="10"/>
                                    </a:cubicBezTo>
                                    <a:cubicBezTo>
                                      <a:pt x="56" y="3"/>
                                      <a:pt x="71" y="0"/>
                                      <a:pt x="88" y="0"/>
                                    </a:cubicBezTo>
                                    <a:cubicBezTo>
                                      <a:pt x="105" y="0"/>
                                      <a:pt x="120" y="3"/>
                                      <a:pt x="134" y="10"/>
                                    </a:cubicBezTo>
                                    <a:cubicBezTo>
                                      <a:pt x="147" y="18"/>
                                      <a:pt x="158" y="27"/>
                                      <a:pt x="165" y="40"/>
                                    </a:cubicBezTo>
                                    <a:cubicBezTo>
                                      <a:pt x="173" y="52"/>
                                      <a:pt x="177" y="67"/>
                                      <a:pt x="177" y="83"/>
                                    </a:cubicBezTo>
                                    <a:cubicBezTo>
                                      <a:pt x="177" y="99"/>
                                      <a:pt x="173" y="113"/>
                                      <a:pt x="165" y="125"/>
                                    </a:cubicBezTo>
                                    <a:cubicBezTo>
                                      <a:pt x="158" y="138"/>
                                      <a:pt x="147" y="148"/>
                                      <a:pt x="134" y="155"/>
                                    </a:cubicBezTo>
                                    <a:cubicBezTo>
                                      <a:pt x="120" y="162"/>
                                      <a:pt x="105" y="166"/>
                                      <a:pt x="88" y="166"/>
                                    </a:cubicBezTo>
                                    <a:cubicBezTo>
                                      <a:pt x="71" y="166"/>
                                      <a:pt x="56" y="162"/>
                                      <a:pt x="43" y="155"/>
                                    </a:cubicBezTo>
                                    <a:close/>
                                    <a:moveTo>
                                      <a:pt x="118" y="115"/>
                                    </a:moveTo>
                                    <a:cubicBezTo>
                                      <a:pt x="126" y="107"/>
                                      <a:pt x="129" y="96"/>
                                      <a:pt x="129" y="83"/>
                                    </a:cubicBezTo>
                                    <a:cubicBezTo>
                                      <a:pt x="129" y="69"/>
                                      <a:pt x="126" y="58"/>
                                      <a:pt x="118" y="50"/>
                                    </a:cubicBezTo>
                                    <a:cubicBezTo>
                                      <a:pt x="110" y="42"/>
                                      <a:pt x="100" y="38"/>
                                      <a:pt x="88" y="38"/>
                                    </a:cubicBezTo>
                                    <a:cubicBezTo>
                                      <a:pt x="76" y="38"/>
                                      <a:pt x="67" y="42"/>
                                      <a:pt x="59" y="50"/>
                                    </a:cubicBezTo>
                                    <a:cubicBezTo>
                                      <a:pt x="51" y="58"/>
                                      <a:pt x="47" y="69"/>
                                      <a:pt x="47" y="83"/>
                                    </a:cubicBezTo>
                                    <a:cubicBezTo>
                                      <a:pt x="47" y="96"/>
                                      <a:pt x="51" y="107"/>
                                      <a:pt x="59" y="115"/>
                                    </a:cubicBezTo>
                                    <a:cubicBezTo>
                                      <a:pt x="67" y="123"/>
                                      <a:pt x="76" y="127"/>
                                      <a:pt x="88" y="127"/>
                                    </a:cubicBezTo>
                                    <a:cubicBezTo>
                                      <a:pt x="100" y="127"/>
                                      <a:pt x="110" y="123"/>
                                      <a:pt x="118" y="11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51" name="Freeform 44"/>
                            <wps:cNvSpPr>
                              <a:spLocks/>
                            </wps:cNvSpPr>
                            <wps:spPr bwMode="auto">
                              <a:xfrm>
                                <a:off x="1814817" y="909442"/>
                                <a:ext cx="55562" cy="91205"/>
                              </a:xfrm>
                              <a:custGeom>
                                <a:avLst/>
                                <a:gdLst>
                                  <a:gd name="T0" fmla="*/ 122 w 122"/>
                                  <a:gd name="T1" fmla="*/ 188 h 199"/>
                                  <a:gd name="T2" fmla="*/ 106 w 122"/>
                                  <a:gd name="T3" fmla="*/ 196 h 199"/>
                                  <a:gd name="T4" fmla="*/ 85 w 122"/>
                                  <a:gd name="T5" fmla="*/ 199 h 199"/>
                                  <a:gd name="T6" fmla="*/ 40 w 122"/>
                                  <a:gd name="T7" fmla="*/ 184 h 199"/>
                                  <a:gd name="T8" fmla="*/ 24 w 122"/>
                                  <a:gd name="T9" fmla="*/ 141 h 199"/>
                                  <a:gd name="T10" fmla="*/ 24 w 122"/>
                                  <a:gd name="T11" fmla="*/ 75 h 199"/>
                                  <a:gd name="T12" fmla="*/ 0 w 122"/>
                                  <a:gd name="T13" fmla="*/ 75 h 199"/>
                                  <a:gd name="T14" fmla="*/ 0 w 122"/>
                                  <a:gd name="T15" fmla="*/ 39 h 199"/>
                                  <a:gd name="T16" fmla="*/ 24 w 122"/>
                                  <a:gd name="T17" fmla="*/ 39 h 199"/>
                                  <a:gd name="T18" fmla="*/ 24 w 122"/>
                                  <a:gd name="T19" fmla="*/ 0 h 199"/>
                                  <a:gd name="T20" fmla="*/ 71 w 122"/>
                                  <a:gd name="T21" fmla="*/ 0 h 199"/>
                                  <a:gd name="T22" fmla="*/ 71 w 122"/>
                                  <a:gd name="T23" fmla="*/ 39 h 199"/>
                                  <a:gd name="T24" fmla="*/ 111 w 122"/>
                                  <a:gd name="T25" fmla="*/ 39 h 199"/>
                                  <a:gd name="T26" fmla="*/ 111 w 122"/>
                                  <a:gd name="T27" fmla="*/ 75 h 199"/>
                                  <a:gd name="T28" fmla="*/ 71 w 122"/>
                                  <a:gd name="T29" fmla="*/ 75 h 199"/>
                                  <a:gd name="T30" fmla="*/ 71 w 122"/>
                                  <a:gd name="T31" fmla="*/ 140 h 199"/>
                                  <a:gd name="T32" fmla="*/ 76 w 122"/>
                                  <a:gd name="T33" fmla="*/ 156 h 199"/>
                                  <a:gd name="T34" fmla="*/ 91 w 122"/>
                                  <a:gd name="T35" fmla="*/ 161 h 199"/>
                                  <a:gd name="T36" fmla="*/ 110 w 122"/>
                                  <a:gd name="T37" fmla="*/ 155 h 199"/>
                                  <a:gd name="T38" fmla="*/ 122 w 122"/>
                                  <a:gd name="T39" fmla="*/ 188 h 1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22" h="199">
                                    <a:moveTo>
                                      <a:pt x="122" y="188"/>
                                    </a:moveTo>
                                    <a:cubicBezTo>
                                      <a:pt x="118" y="192"/>
                                      <a:pt x="112" y="194"/>
                                      <a:pt x="106" y="196"/>
                                    </a:cubicBezTo>
                                    <a:cubicBezTo>
                                      <a:pt x="99" y="198"/>
                                      <a:pt x="92" y="199"/>
                                      <a:pt x="85" y="199"/>
                                    </a:cubicBezTo>
                                    <a:cubicBezTo>
                                      <a:pt x="65" y="199"/>
                                      <a:pt x="51" y="194"/>
                                      <a:pt x="40" y="184"/>
                                    </a:cubicBezTo>
                                    <a:cubicBezTo>
                                      <a:pt x="30" y="174"/>
                                      <a:pt x="24" y="160"/>
                                      <a:pt x="24" y="141"/>
                                    </a:cubicBezTo>
                                    <a:cubicBezTo>
                                      <a:pt x="24" y="75"/>
                                      <a:pt x="24" y="75"/>
                                      <a:pt x="24" y="75"/>
                                    </a:cubicBezTo>
                                    <a:cubicBezTo>
                                      <a:pt x="0" y="75"/>
                                      <a:pt x="0" y="75"/>
                                      <a:pt x="0" y="75"/>
                                    </a:cubicBezTo>
                                    <a:cubicBezTo>
                                      <a:pt x="0" y="39"/>
                                      <a:pt x="0" y="39"/>
                                      <a:pt x="0" y="39"/>
                                    </a:cubicBezTo>
                                    <a:cubicBezTo>
                                      <a:pt x="24" y="39"/>
                                      <a:pt x="24" y="39"/>
                                      <a:pt x="24" y="39"/>
                                    </a:cubicBezTo>
                                    <a:cubicBezTo>
                                      <a:pt x="24" y="0"/>
                                      <a:pt x="24" y="0"/>
                                      <a:pt x="24" y="0"/>
                                    </a:cubicBezTo>
                                    <a:cubicBezTo>
                                      <a:pt x="71" y="0"/>
                                      <a:pt x="71" y="0"/>
                                      <a:pt x="71" y="0"/>
                                    </a:cubicBezTo>
                                    <a:cubicBezTo>
                                      <a:pt x="71" y="39"/>
                                      <a:pt x="71" y="39"/>
                                      <a:pt x="71" y="39"/>
                                    </a:cubicBezTo>
                                    <a:cubicBezTo>
                                      <a:pt x="111" y="39"/>
                                      <a:pt x="111" y="39"/>
                                      <a:pt x="111" y="39"/>
                                    </a:cubicBezTo>
                                    <a:cubicBezTo>
                                      <a:pt x="111" y="75"/>
                                      <a:pt x="111" y="75"/>
                                      <a:pt x="111" y="75"/>
                                    </a:cubicBezTo>
                                    <a:cubicBezTo>
                                      <a:pt x="71" y="75"/>
                                      <a:pt x="71" y="75"/>
                                      <a:pt x="71" y="75"/>
                                    </a:cubicBezTo>
                                    <a:cubicBezTo>
                                      <a:pt x="71" y="140"/>
                                      <a:pt x="71" y="140"/>
                                      <a:pt x="71" y="140"/>
                                    </a:cubicBezTo>
                                    <a:cubicBezTo>
                                      <a:pt x="71" y="147"/>
                                      <a:pt x="73" y="152"/>
                                      <a:pt x="76" y="156"/>
                                    </a:cubicBezTo>
                                    <a:cubicBezTo>
                                      <a:pt x="80" y="160"/>
                                      <a:pt x="85" y="161"/>
                                      <a:pt x="91" y="161"/>
                                    </a:cubicBezTo>
                                    <a:cubicBezTo>
                                      <a:pt x="98" y="161"/>
                                      <a:pt x="105" y="159"/>
                                      <a:pt x="110" y="155"/>
                                    </a:cubicBezTo>
                                    <a:lnTo>
                                      <a:pt x="122" y="188"/>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52" name="Freeform 45"/>
                            <wps:cNvSpPr>
                              <a:spLocks noEditPoints="1"/>
                            </wps:cNvSpPr>
                            <wps:spPr bwMode="auto">
                              <a:xfrm>
                                <a:off x="1884008" y="924119"/>
                                <a:ext cx="77577" cy="76528"/>
                              </a:xfrm>
                              <a:custGeom>
                                <a:avLst/>
                                <a:gdLst>
                                  <a:gd name="T0" fmla="*/ 169 w 170"/>
                                  <a:gd name="T1" fmla="*/ 96 h 166"/>
                                  <a:gd name="T2" fmla="*/ 47 w 170"/>
                                  <a:gd name="T3" fmla="*/ 96 h 166"/>
                                  <a:gd name="T4" fmla="*/ 63 w 170"/>
                                  <a:gd name="T5" fmla="*/ 119 h 166"/>
                                  <a:gd name="T6" fmla="*/ 94 w 170"/>
                                  <a:gd name="T7" fmla="*/ 128 h 166"/>
                                  <a:gd name="T8" fmla="*/ 116 w 170"/>
                                  <a:gd name="T9" fmla="*/ 124 h 166"/>
                                  <a:gd name="T10" fmla="*/ 134 w 170"/>
                                  <a:gd name="T11" fmla="*/ 113 h 166"/>
                                  <a:gd name="T12" fmla="*/ 159 w 170"/>
                                  <a:gd name="T13" fmla="*/ 140 h 166"/>
                                  <a:gd name="T14" fmla="*/ 92 w 170"/>
                                  <a:gd name="T15" fmla="*/ 166 h 166"/>
                                  <a:gd name="T16" fmla="*/ 44 w 170"/>
                                  <a:gd name="T17" fmla="*/ 155 h 166"/>
                                  <a:gd name="T18" fmla="*/ 12 w 170"/>
                                  <a:gd name="T19" fmla="*/ 125 h 166"/>
                                  <a:gd name="T20" fmla="*/ 0 w 170"/>
                                  <a:gd name="T21" fmla="*/ 83 h 166"/>
                                  <a:gd name="T22" fmla="*/ 12 w 170"/>
                                  <a:gd name="T23" fmla="*/ 40 h 166"/>
                                  <a:gd name="T24" fmla="*/ 43 w 170"/>
                                  <a:gd name="T25" fmla="*/ 10 h 166"/>
                                  <a:gd name="T26" fmla="*/ 86 w 170"/>
                                  <a:gd name="T27" fmla="*/ 0 h 166"/>
                                  <a:gd name="T28" fmla="*/ 129 w 170"/>
                                  <a:gd name="T29" fmla="*/ 10 h 166"/>
                                  <a:gd name="T30" fmla="*/ 159 w 170"/>
                                  <a:gd name="T31" fmla="*/ 39 h 166"/>
                                  <a:gd name="T32" fmla="*/ 170 w 170"/>
                                  <a:gd name="T33" fmla="*/ 83 h 166"/>
                                  <a:gd name="T34" fmla="*/ 169 w 170"/>
                                  <a:gd name="T35" fmla="*/ 96 h 166"/>
                                  <a:gd name="T36" fmla="*/ 60 w 170"/>
                                  <a:gd name="T37" fmla="*/ 44 h 166"/>
                                  <a:gd name="T38" fmla="*/ 47 w 170"/>
                                  <a:gd name="T39" fmla="*/ 69 h 166"/>
                                  <a:gd name="T40" fmla="*/ 126 w 170"/>
                                  <a:gd name="T41" fmla="*/ 69 h 166"/>
                                  <a:gd name="T42" fmla="*/ 113 w 170"/>
                                  <a:gd name="T43" fmla="*/ 44 h 166"/>
                                  <a:gd name="T44" fmla="*/ 87 w 170"/>
                                  <a:gd name="T45" fmla="*/ 35 h 166"/>
                                  <a:gd name="T46" fmla="*/ 60 w 170"/>
                                  <a:gd name="T47" fmla="*/ 44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70" h="166">
                                    <a:moveTo>
                                      <a:pt x="169" y="96"/>
                                    </a:moveTo>
                                    <a:cubicBezTo>
                                      <a:pt x="47" y="96"/>
                                      <a:pt x="47" y="96"/>
                                      <a:pt x="47" y="96"/>
                                    </a:cubicBezTo>
                                    <a:cubicBezTo>
                                      <a:pt x="50" y="106"/>
                                      <a:pt x="55" y="114"/>
                                      <a:pt x="63" y="119"/>
                                    </a:cubicBezTo>
                                    <a:cubicBezTo>
                                      <a:pt x="71" y="125"/>
                                      <a:pt x="81" y="128"/>
                                      <a:pt x="94" y="128"/>
                                    </a:cubicBezTo>
                                    <a:cubicBezTo>
                                      <a:pt x="102" y="128"/>
                                      <a:pt x="109" y="127"/>
                                      <a:pt x="116" y="124"/>
                                    </a:cubicBezTo>
                                    <a:cubicBezTo>
                                      <a:pt x="122" y="122"/>
                                      <a:pt x="128" y="118"/>
                                      <a:pt x="134" y="113"/>
                                    </a:cubicBezTo>
                                    <a:cubicBezTo>
                                      <a:pt x="159" y="140"/>
                                      <a:pt x="159" y="140"/>
                                      <a:pt x="159" y="140"/>
                                    </a:cubicBezTo>
                                    <a:cubicBezTo>
                                      <a:pt x="144" y="157"/>
                                      <a:pt x="121" y="166"/>
                                      <a:pt x="92" y="166"/>
                                    </a:cubicBezTo>
                                    <a:cubicBezTo>
                                      <a:pt x="74" y="166"/>
                                      <a:pt x="58" y="162"/>
                                      <a:pt x="44" y="155"/>
                                    </a:cubicBezTo>
                                    <a:cubicBezTo>
                                      <a:pt x="30" y="148"/>
                                      <a:pt x="19" y="138"/>
                                      <a:pt x="12" y="125"/>
                                    </a:cubicBezTo>
                                    <a:cubicBezTo>
                                      <a:pt x="4" y="113"/>
                                      <a:pt x="0" y="99"/>
                                      <a:pt x="0" y="83"/>
                                    </a:cubicBezTo>
                                    <a:cubicBezTo>
                                      <a:pt x="0" y="67"/>
                                      <a:pt x="4" y="53"/>
                                      <a:pt x="12" y="40"/>
                                    </a:cubicBezTo>
                                    <a:cubicBezTo>
                                      <a:pt x="19" y="27"/>
                                      <a:pt x="29" y="18"/>
                                      <a:pt x="43" y="10"/>
                                    </a:cubicBezTo>
                                    <a:cubicBezTo>
                                      <a:pt x="56" y="3"/>
                                      <a:pt x="70" y="0"/>
                                      <a:pt x="86" y="0"/>
                                    </a:cubicBezTo>
                                    <a:cubicBezTo>
                                      <a:pt x="102" y="0"/>
                                      <a:pt x="116" y="3"/>
                                      <a:pt x="129" y="10"/>
                                    </a:cubicBezTo>
                                    <a:cubicBezTo>
                                      <a:pt x="142" y="17"/>
                                      <a:pt x="152" y="27"/>
                                      <a:pt x="159" y="39"/>
                                    </a:cubicBezTo>
                                    <a:cubicBezTo>
                                      <a:pt x="166" y="52"/>
                                      <a:pt x="170" y="67"/>
                                      <a:pt x="170" y="83"/>
                                    </a:cubicBezTo>
                                    <a:cubicBezTo>
                                      <a:pt x="170" y="84"/>
                                      <a:pt x="170" y="88"/>
                                      <a:pt x="169" y="96"/>
                                    </a:cubicBezTo>
                                    <a:close/>
                                    <a:moveTo>
                                      <a:pt x="60" y="44"/>
                                    </a:moveTo>
                                    <a:cubicBezTo>
                                      <a:pt x="53" y="50"/>
                                      <a:pt x="48" y="58"/>
                                      <a:pt x="47" y="69"/>
                                    </a:cubicBezTo>
                                    <a:cubicBezTo>
                                      <a:pt x="126" y="69"/>
                                      <a:pt x="126" y="69"/>
                                      <a:pt x="126" y="69"/>
                                    </a:cubicBezTo>
                                    <a:cubicBezTo>
                                      <a:pt x="125" y="58"/>
                                      <a:pt x="120" y="50"/>
                                      <a:pt x="113" y="44"/>
                                    </a:cubicBezTo>
                                    <a:cubicBezTo>
                                      <a:pt x="106" y="38"/>
                                      <a:pt x="97" y="35"/>
                                      <a:pt x="87" y="35"/>
                                    </a:cubicBezTo>
                                    <a:cubicBezTo>
                                      <a:pt x="76" y="35"/>
                                      <a:pt x="67" y="38"/>
                                      <a:pt x="60" y="44"/>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53" name="Freeform 46"/>
                            <wps:cNvSpPr>
                              <a:spLocks/>
                            </wps:cNvSpPr>
                            <wps:spPr bwMode="auto">
                              <a:xfrm>
                                <a:off x="1977310" y="924119"/>
                                <a:ext cx="73384" cy="76528"/>
                              </a:xfrm>
                              <a:custGeom>
                                <a:avLst/>
                                <a:gdLst>
                                  <a:gd name="T0" fmla="*/ 44 w 162"/>
                                  <a:gd name="T1" fmla="*/ 155 h 166"/>
                                  <a:gd name="T2" fmla="*/ 12 w 162"/>
                                  <a:gd name="T3" fmla="*/ 125 h 166"/>
                                  <a:gd name="T4" fmla="*/ 0 w 162"/>
                                  <a:gd name="T5" fmla="*/ 83 h 166"/>
                                  <a:gd name="T6" fmla="*/ 12 w 162"/>
                                  <a:gd name="T7" fmla="*/ 40 h 166"/>
                                  <a:gd name="T8" fmla="*/ 44 w 162"/>
                                  <a:gd name="T9" fmla="*/ 10 h 166"/>
                                  <a:gd name="T10" fmla="*/ 90 w 162"/>
                                  <a:gd name="T11" fmla="*/ 0 h 166"/>
                                  <a:gd name="T12" fmla="*/ 134 w 162"/>
                                  <a:gd name="T13" fmla="*/ 10 h 166"/>
                                  <a:gd name="T14" fmla="*/ 162 w 162"/>
                                  <a:gd name="T15" fmla="*/ 41 h 166"/>
                                  <a:gd name="T16" fmla="*/ 126 w 162"/>
                                  <a:gd name="T17" fmla="*/ 60 h 166"/>
                                  <a:gd name="T18" fmla="*/ 90 w 162"/>
                                  <a:gd name="T19" fmla="*/ 38 h 166"/>
                                  <a:gd name="T20" fmla="*/ 59 w 162"/>
                                  <a:gd name="T21" fmla="*/ 50 h 166"/>
                                  <a:gd name="T22" fmla="*/ 47 w 162"/>
                                  <a:gd name="T23" fmla="*/ 83 h 166"/>
                                  <a:gd name="T24" fmla="*/ 59 w 162"/>
                                  <a:gd name="T25" fmla="*/ 115 h 166"/>
                                  <a:gd name="T26" fmla="*/ 90 w 162"/>
                                  <a:gd name="T27" fmla="*/ 127 h 166"/>
                                  <a:gd name="T28" fmla="*/ 126 w 162"/>
                                  <a:gd name="T29" fmla="*/ 105 h 166"/>
                                  <a:gd name="T30" fmla="*/ 162 w 162"/>
                                  <a:gd name="T31" fmla="*/ 125 h 166"/>
                                  <a:gd name="T32" fmla="*/ 134 w 162"/>
                                  <a:gd name="T33" fmla="*/ 155 h 166"/>
                                  <a:gd name="T34" fmla="*/ 90 w 162"/>
                                  <a:gd name="T35" fmla="*/ 166 h 166"/>
                                  <a:gd name="T36" fmla="*/ 44 w 162"/>
                                  <a:gd name="T37" fmla="*/ 155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62" h="166">
                                    <a:moveTo>
                                      <a:pt x="44" y="155"/>
                                    </a:moveTo>
                                    <a:cubicBezTo>
                                      <a:pt x="30" y="148"/>
                                      <a:pt x="19" y="138"/>
                                      <a:pt x="12" y="125"/>
                                    </a:cubicBezTo>
                                    <a:cubicBezTo>
                                      <a:pt x="4" y="113"/>
                                      <a:pt x="0" y="99"/>
                                      <a:pt x="0" y="83"/>
                                    </a:cubicBezTo>
                                    <a:cubicBezTo>
                                      <a:pt x="0" y="67"/>
                                      <a:pt x="4" y="52"/>
                                      <a:pt x="12" y="40"/>
                                    </a:cubicBezTo>
                                    <a:cubicBezTo>
                                      <a:pt x="19" y="27"/>
                                      <a:pt x="30" y="18"/>
                                      <a:pt x="44" y="10"/>
                                    </a:cubicBezTo>
                                    <a:cubicBezTo>
                                      <a:pt x="57" y="3"/>
                                      <a:pt x="73" y="0"/>
                                      <a:pt x="90" y="0"/>
                                    </a:cubicBezTo>
                                    <a:cubicBezTo>
                                      <a:pt x="107" y="0"/>
                                      <a:pt x="122" y="3"/>
                                      <a:pt x="134" y="10"/>
                                    </a:cubicBezTo>
                                    <a:cubicBezTo>
                                      <a:pt x="147" y="18"/>
                                      <a:pt x="156" y="28"/>
                                      <a:pt x="162" y="41"/>
                                    </a:cubicBezTo>
                                    <a:cubicBezTo>
                                      <a:pt x="126" y="60"/>
                                      <a:pt x="126" y="60"/>
                                      <a:pt x="126" y="60"/>
                                    </a:cubicBezTo>
                                    <a:cubicBezTo>
                                      <a:pt x="117" y="46"/>
                                      <a:pt x="105" y="38"/>
                                      <a:pt x="90" y="38"/>
                                    </a:cubicBezTo>
                                    <a:cubicBezTo>
                                      <a:pt x="77" y="38"/>
                                      <a:pt x="67" y="42"/>
                                      <a:pt x="59" y="50"/>
                                    </a:cubicBezTo>
                                    <a:cubicBezTo>
                                      <a:pt x="51" y="58"/>
                                      <a:pt x="47" y="69"/>
                                      <a:pt x="47" y="83"/>
                                    </a:cubicBezTo>
                                    <a:cubicBezTo>
                                      <a:pt x="47" y="96"/>
                                      <a:pt x="51" y="107"/>
                                      <a:pt x="59" y="115"/>
                                    </a:cubicBezTo>
                                    <a:cubicBezTo>
                                      <a:pt x="67" y="123"/>
                                      <a:pt x="77" y="127"/>
                                      <a:pt x="90" y="127"/>
                                    </a:cubicBezTo>
                                    <a:cubicBezTo>
                                      <a:pt x="106" y="127"/>
                                      <a:pt x="118" y="120"/>
                                      <a:pt x="126" y="105"/>
                                    </a:cubicBezTo>
                                    <a:cubicBezTo>
                                      <a:pt x="162" y="125"/>
                                      <a:pt x="162" y="125"/>
                                      <a:pt x="162" y="125"/>
                                    </a:cubicBezTo>
                                    <a:cubicBezTo>
                                      <a:pt x="156" y="138"/>
                                      <a:pt x="147" y="148"/>
                                      <a:pt x="134" y="155"/>
                                    </a:cubicBezTo>
                                    <a:cubicBezTo>
                                      <a:pt x="122" y="162"/>
                                      <a:pt x="107" y="166"/>
                                      <a:pt x="90" y="166"/>
                                    </a:cubicBezTo>
                                    <a:cubicBezTo>
                                      <a:pt x="73" y="166"/>
                                      <a:pt x="57" y="162"/>
                                      <a:pt x="44" y="15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54" name="Freeform 47"/>
                            <wps:cNvSpPr>
                              <a:spLocks/>
                            </wps:cNvSpPr>
                            <wps:spPr bwMode="auto">
                              <a:xfrm>
                                <a:off x="2061177" y="909442"/>
                                <a:ext cx="56610" cy="91205"/>
                              </a:xfrm>
                              <a:custGeom>
                                <a:avLst/>
                                <a:gdLst>
                                  <a:gd name="T0" fmla="*/ 123 w 123"/>
                                  <a:gd name="T1" fmla="*/ 188 h 199"/>
                                  <a:gd name="T2" fmla="*/ 106 w 123"/>
                                  <a:gd name="T3" fmla="*/ 196 h 199"/>
                                  <a:gd name="T4" fmla="*/ 85 w 123"/>
                                  <a:gd name="T5" fmla="*/ 199 h 199"/>
                                  <a:gd name="T6" fmla="*/ 40 w 123"/>
                                  <a:gd name="T7" fmla="*/ 184 h 199"/>
                                  <a:gd name="T8" fmla="*/ 25 w 123"/>
                                  <a:gd name="T9" fmla="*/ 141 h 199"/>
                                  <a:gd name="T10" fmla="*/ 25 w 123"/>
                                  <a:gd name="T11" fmla="*/ 75 h 199"/>
                                  <a:gd name="T12" fmla="*/ 0 w 123"/>
                                  <a:gd name="T13" fmla="*/ 75 h 199"/>
                                  <a:gd name="T14" fmla="*/ 0 w 123"/>
                                  <a:gd name="T15" fmla="*/ 39 h 199"/>
                                  <a:gd name="T16" fmla="*/ 25 w 123"/>
                                  <a:gd name="T17" fmla="*/ 39 h 199"/>
                                  <a:gd name="T18" fmla="*/ 25 w 123"/>
                                  <a:gd name="T19" fmla="*/ 0 h 199"/>
                                  <a:gd name="T20" fmla="*/ 71 w 123"/>
                                  <a:gd name="T21" fmla="*/ 0 h 199"/>
                                  <a:gd name="T22" fmla="*/ 71 w 123"/>
                                  <a:gd name="T23" fmla="*/ 39 h 199"/>
                                  <a:gd name="T24" fmla="*/ 111 w 123"/>
                                  <a:gd name="T25" fmla="*/ 39 h 199"/>
                                  <a:gd name="T26" fmla="*/ 111 w 123"/>
                                  <a:gd name="T27" fmla="*/ 75 h 199"/>
                                  <a:gd name="T28" fmla="*/ 71 w 123"/>
                                  <a:gd name="T29" fmla="*/ 75 h 199"/>
                                  <a:gd name="T30" fmla="*/ 71 w 123"/>
                                  <a:gd name="T31" fmla="*/ 140 h 199"/>
                                  <a:gd name="T32" fmla="*/ 76 w 123"/>
                                  <a:gd name="T33" fmla="*/ 156 h 199"/>
                                  <a:gd name="T34" fmla="*/ 91 w 123"/>
                                  <a:gd name="T35" fmla="*/ 161 h 199"/>
                                  <a:gd name="T36" fmla="*/ 110 w 123"/>
                                  <a:gd name="T37" fmla="*/ 155 h 199"/>
                                  <a:gd name="T38" fmla="*/ 123 w 123"/>
                                  <a:gd name="T39" fmla="*/ 188 h 1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23" h="199">
                                    <a:moveTo>
                                      <a:pt x="123" y="188"/>
                                    </a:moveTo>
                                    <a:cubicBezTo>
                                      <a:pt x="118" y="192"/>
                                      <a:pt x="112" y="194"/>
                                      <a:pt x="106" y="196"/>
                                    </a:cubicBezTo>
                                    <a:cubicBezTo>
                                      <a:pt x="99" y="198"/>
                                      <a:pt x="92" y="199"/>
                                      <a:pt x="85" y="199"/>
                                    </a:cubicBezTo>
                                    <a:cubicBezTo>
                                      <a:pt x="66" y="199"/>
                                      <a:pt x="51" y="194"/>
                                      <a:pt x="40" y="184"/>
                                    </a:cubicBezTo>
                                    <a:cubicBezTo>
                                      <a:pt x="30" y="174"/>
                                      <a:pt x="25" y="160"/>
                                      <a:pt x="25" y="141"/>
                                    </a:cubicBezTo>
                                    <a:cubicBezTo>
                                      <a:pt x="25" y="75"/>
                                      <a:pt x="25" y="75"/>
                                      <a:pt x="25" y="75"/>
                                    </a:cubicBezTo>
                                    <a:cubicBezTo>
                                      <a:pt x="0" y="75"/>
                                      <a:pt x="0" y="75"/>
                                      <a:pt x="0" y="75"/>
                                    </a:cubicBezTo>
                                    <a:cubicBezTo>
                                      <a:pt x="0" y="39"/>
                                      <a:pt x="0" y="39"/>
                                      <a:pt x="0" y="39"/>
                                    </a:cubicBezTo>
                                    <a:cubicBezTo>
                                      <a:pt x="25" y="39"/>
                                      <a:pt x="25" y="39"/>
                                      <a:pt x="25" y="39"/>
                                    </a:cubicBezTo>
                                    <a:cubicBezTo>
                                      <a:pt x="25" y="0"/>
                                      <a:pt x="25" y="0"/>
                                      <a:pt x="25" y="0"/>
                                    </a:cubicBezTo>
                                    <a:cubicBezTo>
                                      <a:pt x="71" y="0"/>
                                      <a:pt x="71" y="0"/>
                                      <a:pt x="71" y="0"/>
                                    </a:cubicBezTo>
                                    <a:cubicBezTo>
                                      <a:pt x="71" y="39"/>
                                      <a:pt x="71" y="39"/>
                                      <a:pt x="71" y="39"/>
                                    </a:cubicBezTo>
                                    <a:cubicBezTo>
                                      <a:pt x="111" y="39"/>
                                      <a:pt x="111" y="39"/>
                                      <a:pt x="111" y="39"/>
                                    </a:cubicBezTo>
                                    <a:cubicBezTo>
                                      <a:pt x="111" y="75"/>
                                      <a:pt x="111" y="75"/>
                                      <a:pt x="111" y="75"/>
                                    </a:cubicBezTo>
                                    <a:cubicBezTo>
                                      <a:pt x="71" y="75"/>
                                      <a:pt x="71" y="75"/>
                                      <a:pt x="71" y="75"/>
                                    </a:cubicBezTo>
                                    <a:cubicBezTo>
                                      <a:pt x="71" y="140"/>
                                      <a:pt x="71" y="140"/>
                                      <a:pt x="71" y="140"/>
                                    </a:cubicBezTo>
                                    <a:cubicBezTo>
                                      <a:pt x="71" y="147"/>
                                      <a:pt x="73" y="152"/>
                                      <a:pt x="76" y="156"/>
                                    </a:cubicBezTo>
                                    <a:cubicBezTo>
                                      <a:pt x="80" y="160"/>
                                      <a:pt x="85" y="161"/>
                                      <a:pt x="91" y="161"/>
                                    </a:cubicBezTo>
                                    <a:cubicBezTo>
                                      <a:pt x="99" y="161"/>
                                      <a:pt x="105" y="159"/>
                                      <a:pt x="110" y="155"/>
                                    </a:cubicBezTo>
                                    <a:lnTo>
                                      <a:pt x="123" y="188"/>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55" name="Freeform 48"/>
                            <wps:cNvSpPr>
                              <a:spLocks noEditPoints="1"/>
                            </wps:cNvSpPr>
                            <wps:spPr bwMode="auto">
                              <a:xfrm>
                                <a:off x="2133512" y="891621"/>
                                <a:ext cx="26209" cy="107978"/>
                              </a:xfrm>
                              <a:custGeom>
                                <a:avLst/>
                                <a:gdLst>
                                  <a:gd name="T0" fmla="*/ 8 w 58"/>
                                  <a:gd name="T1" fmla="*/ 44 h 235"/>
                                  <a:gd name="T2" fmla="*/ 0 w 58"/>
                                  <a:gd name="T3" fmla="*/ 26 h 235"/>
                                  <a:gd name="T4" fmla="*/ 8 w 58"/>
                                  <a:gd name="T5" fmla="*/ 7 h 235"/>
                                  <a:gd name="T6" fmla="*/ 29 w 58"/>
                                  <a:gd name="T7" fmla="*/ 0 h 235"/>
                                  <a:gd name="T8" fmla="*/ 50 w 58"/>
                                  <a:gd name="T9" fmla="*/ 7 h 235"/>
                                  <a:gd name="T10" fmla="*/ 58 w 58"/>
                                  <a:gd name="T11" fmla="*/ 25 h 235"/>
                                  <a:gd name="T12" fmla="*/ 50 w 58"/>
                                  <a:gd name="T13" fmla="*/ 44 h 235"/>
                                  <a:gd name="T14" fmla="*/ 29 w 58"/>
                                  <a:gd name="T15" fmla="*/ 52 h 235"/>
                                  <a:gd name="T16" fmla="*/ 8 w 58"/>
                                  <a:gd name="T17" fmla="*/ 44 h 235"/>
                                  <a:gd name="T18" fmla="*/ 6 w 58"/>
                                  <a:gd name="T19" fmla="*/ 74 h 235"/>
                                  <a:gd name="T20" fmla="*/ 53 w 58"/>
                                  <a:gd name="T21" fmla="*/ 74 h 235"/>
                                  <a:gd name="T22" fmla="*/ 53 w 58"/>
                                  <a:gd name="T23" fmla="*/ 235 h 235"/>
                                  <a:gd name="T24" fmla="*/ 6 w 58"/>
                                  <a:gd name="T25" fmla="*/ 235 h 235"/>
                                  <a:gd name="T26" fmla="*/ 6 w 58"/>
                                  <a:gd name="T27" fmla="*/ 74 h 2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8" h="235">
                                    <a:moveTo>
                                      <a:pt x="8" y="44"/>
                                    </a:moveTo>
                                    <a:cubicBezTo>
                                      <a:pt x="3" y="39"/>
                                      <a:pt x="0" y="33"/>
                                      <a:pt x="0" y="26"/>
                                    </a:cubicBezTo>
                                    <a:cubicBezTo>
                                      <a:pt x="0" y="18"/>
                                      <a:pt x="3" y="12"/>
                                      <a:pt x="8" y="7"/>
                                    </a:cubicBezTo>
                                    <a:cubicBezTo>
                                      <a:pt x="14" y="2"/>
                                      <a:pt x="21" y="0"/>
                                      <a:pt x="29" y="0"/>
                                    </a:cubicBezTo>
                                    <a:cubicBezTo>
                                      <a:pt x="38" y="0"/>
                                      <a:pt x="45" y="2"/>
                                      <a:pt x="50" y="7"/>
                                    </a:cubicBezTo>
                                    <a:cubicBezTo>
                                      <a:pt x="56" y="12"/>
                                      <a:pt x="58" y="18"/>
                                      <a:pt x="58" y="25"/>
                                    </a:cubicBezTo>
                                    <a:cubicBezTo>
                                      <a:pt x="58" y="33"/>
                                      <a:pt x="56" y="39"/>
                                      <a:pt x="50" y="44"/>
                                    </a:cubicBezTo>
                                    <a:cubicBezTo>
                                      <a:pt x="45" y="49"/>
                                      <a:pt x="38" y="52"/>
                                      <a:pt x="29" y="52"/>
                                    </a:cubicBezTo>
                                    <a:cubicBezTo>
                                      <a:pt x="21" y="52"/>
                                      <a:pt x="14" y="49"/>
                                      <a:pt x="8" y="44"/>
                                    </a:cubicBezTo>
                                    <a:close/>
                                    <a:moveTo>
                                      <a:pt x="6" y="74"/>
                                    </a:moveTo>
                                    <a:cubicBezTo>
                                      <a:pt x="53" y="74"/>
                                      <a:pt x="53" y="74"/>
                                      <a:pt x="53" y="74"/>
                                    </a:cubicBezTo>
                                    <a:cubicBezTo>
                                      <a:pt x="53" y="235"/>
                                      <a:pt x="53" y="235"/>
                                      <a:pt x="53" y="235"/>
                                    </a:cubicBezTo>
                                    <a:cubicBezTo>
                                      <a:pt x="6" y="235"/>
                                      <a:pt x="6" y="235"/>
                                      <a:pt x="6" y="235"/>
                                    </a:cubicBezTo>
                                    <a:lnTo>
                                      <a:pt x="6" y="7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58" name="Freeform 49"/>
                            <wps:cNvSpPr>
                              <a:spLocks noEditPoints="1"/>
                            </wps:cNvSpPr>
                            <wps:spPr bwMode="auto">
                              <a:xfrm>
                                <a:off x="2178590" y="924119"/>
                                <a:ext cx="80722" cy="76528"/>
                              </a:xfrm>
                              <a:custGeom>
                                <a:avLst/>
                                <a:gdLst>
                                  <a:gd name="T0" fmla="*/ 43 w 177"/>
                                  <a:gd name="T1" fmla="*/ 155 h 166"/>
                                  <a:gd name="T2" fmla="*/ 11 w 177"/>
                                  <a:gd name="T3" fmla="*/ 125 h 166"/>
                                  <a:gd name="T4" fmla="*/ 0 w 177"/>
                                  <a:gd name="T5" fmla="*/ 83 h 166"/>
                                  <a:gd name="T6" fmla="*/ 11 w 177"/>
                                  <a:gd name="T7" fmla="*/ 40 h 166"/>
                                  <a:gd name="T8" fmla="*/ 43 w 177"/>
                                  <a:gd name="T9" fmla="*/ 10 h 166"/>
                                  <a:gd name="T10" fmla="*/ 89 w 177"/>
                                  <a:gd name="T11" fmla="*/ 0 h 166"/>
                                  <a:gd name="T12" fmla="*/ 134 w 177"/>
                                  <a:gd name="T13" fmla="*/ 10 h 166"/>
                                  <a:gd name="T14" fmla="*/ 165 w 177"/>
                                  <a:gd name="T15" fmla="*/ 40 h 166"/>
                                  <a:gd name="T16" fmla="*/ 177 w 177"/>
                                  <a:gd name="T17" fmla="*/ 83 h 166"/>
                                  <a:gd name="T18" fmla="*/ 165 w 177"/>
                                  <a:gd name="T19" fmla="*/ 125 h 166"/>
                                  <a:gd name="T20" fmla="*/ 134 w 177"/>
                                  <a:gd name="T21" fmla="*/ 155 h 166"/>
                                  <a:gd name="T22" fmla="*/ 89 w 177"/>
                                  <a:gd name="T23" fmla="*/ 166 h 166"/>
                                  <a:gd name="T24" fmla="*/ 43 w 177"/>
                                  <a:gd name="T25" fmla="*/ 155 h 166"/>
                                  <a:gd name="T26" fmla="*/ 118 w 177"/>
                                  <a:gd name="T27" fmla="*/ 115 h 166"/>
                                  <a:gd name="T28" fmla="*/ 130 w 177"/>
                                  <a:gd name="T29" fmla="*/ 83 h 166"/>
                                  <a:gd name="T30" fmla="*/ 118 w 177"/>
                                  <a:gd name="T31" fmla="*/ 50 h 166"/>
                                  <a:gd name="T32" fmla="*/ 89 w 177"/>
                                  <a:gd name="T33" fmla="*/ 38 h 166"/>
                                  <a:gd name="T34" fmla="*/ 59 w 177"/>
                                  <a:gd name="T35" fmla="*/ 50 h 166"/>
                                  <a:gd name="T36" fmla="*/ 47 w 177"/>
                                  <a:gd name="T37" fmla="*/ 83 h 166"/>
                                  <a:gd name="T38" fmla="*/ 59 w 177"/>
                                  <a:gd name="T39" fmla="*/ 115 h 166"/>
                                  <a:gd name="T40" fmla="*/ 89 w 177"/>
                                  <a:gd name="T41" fmla="*/ 127 h 166"/>
                                  <a:gd name="T42" fmla="*/ 118 w 177"/>
                                  <a:gd name="T43" fmla="*/ 115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77" h="166">
                                    <a:moveTo>
                                      <a:pt x="43" y="155"/>
                                    </a:moveTo>
                                    <a:cubicBezTo>
                                      <a:pt x="29" y="148"/>
                                      <a:pt x="19" y="138"/>
                                      <a:pt x="11" y="125"/>
                                    </a:cubicBezTo>
                                    <a:cubicBezTo>
                                      <a:pt x="4" y="113"/>
                                      <a:pt x="0" y="99"/>
                                      <a:pt x="0" y="83"/>
                                    </a:cubicBezTo>
                                    <a:cubicBezTo>
                                      <a:pt x="0" y="67"/>
                                      <a:pt x="4" y="52"/>
                                      <a:pt x="11" y="40"/>
                                    </a:cubicBezTo>
                                    <a:cubicBezTo>
                                      <a:pt x="19" y="27"/>
                                      <a:pt x="29" y="18"/>
                                      <a:pt x="43" y="10"/>
                                    </a:cubicBezTo>
                                    <a:cubicBezTo>
                                      <a:pt x="56" y="3"/>
                                      <a:pt x="72" y="0"/>
                                      <a:pt x="89" y="0"/>
                                    </a:cubicBezTo>
                                    <a:cubicBezTo>
                                      <a:pt x="106" y="0"/>
                                      <a:pt x="121" y="3"/>
                                      <a:pt x="134" y="10"/>
                                    </a:cubicBezTo>
                                    <a:cubicBezTo>
                                      <a:pt x="147" y="18"/>
                                      <a:pt x="158" y="27"/>
                                      <a:pt x="165" y="40"/>
                                    </a:cubicBezTo>
                                    <a:cubicBezTo>
                                      <a:pt x="173" y="52"/>
                                      <a:pt x="177" y="67"/>
                                      <a:pt x="177" y="83"/>
                                    </a:cubicBezTo>
                                    <a:cubicBezTo>
                                      <a:pt x="177" y="99"/>
                                      <a:pt x="173" y="113"/>
                                      <a:pt x="165" y="125"/>
                                    </a:cubicBezTo>
                                    <a:cubicBezTo>
                                      <a:pt x="158" y="138"/>
                                      <a:pt x="147" y="148"/>
                                      <a:pt x="134" y="155"/>
                                    </a:cubicBezTo>
                                    <a:cubicBezTo>
                                      <a:pt x="121" y="162"/>
                                      <a:pt x="106" y="166"/>
                                      <a:pt x="89" y="166"/>
                                    </a:cubicBezTo>
                                    <a:cubicBezTo>
                                      <a:pt x="72" y="166"/>
                                      <a:pt x="56" y="162"/>
                                      <a:pt x="43" y="155"/>
                                    </a:cubicBezTo>
                                    <a:close/>
                                    <a:moveTo>
                                      <a:pt x="118" y="115"/>
                                    </a:moveTo>
                                    <a:cubicBezTo>
                                      <a:pt x="126" y="107"/>
                                      <a:pt x="130" y="96"/>
                                      <a:pt x="130" y="83"/>
                                    </a:cubicBezTo>
                                    <a:cubicBezTo>
                                      <a:pt x="130" y="69"/>
                                      <a:pt x="126" y="58"/>
                                      <a:pt x="118" y="50"/>
                                    </a:cubicBezTo>
                                    <a:cubicBezTo>
                                      <a:pt x="110" y="42"/>
                                      <a:pt x="101" y="38"/>
                                      <a:pt x="89" y="38"/>
                                    </a:cubicBezTo>
                                    <a:cubicBezTo>
                                      <a:pt x="77" y="38"/>
                                      <a:pt x="67" y="42"/>
                                      <a:pt x="59" y="50"/>
                                    </a:cubicBezTo>
                                    <a:cubicBezTo>
                                      <a:pt x="51" y="58"/>
                                      <a:pt x="47" y="69"/>
                                      <a:pt x="47" y="83"/>
                                    </a:cubicBezTo>
                                    <a:cubicBezTo>
                                      <a:pt x="47" y="96"/>
                                      <a:pt x="51" y="107"/>
                                      <a:pt x="59" y="115"/>
                                    </a:cubicBezTo>
                                    <a:cubicBezTo>
                                      <a:pt x="67" y="123"/>
                                      <a:pt x="77" y="127"/>
                                      <a:pt x="89" y="127"/>
                                    </a:cubicBezTo>
                                    <a:cubicBezTo>
                                      <a:pt x="101" y="127"/>
                                      <a:pt x="110" y="123"/>
                                      <a:pt x="118" y="11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59" name="Freeform 50"/>
                            <wps:cNvSpPr>
                              <a:spLocks/>
                            </wps:cNvSpPr>
                            <wps:spPr bwMode="auto">
                              <a:xfrm>
                                <a:off x="2281327" y="924119"/>
                                <a:ext cx="74432" cy="75480"/>
                              </a:xfrm>
                              <a:custGeom>
                                <a:avLst/>
                                <a:gdLst>
                                  <a:gd name="T0" fmla="*/ 146 w 164"/>
                                  <a:gd name="T1" fmla="*/ 18 h 163"/>
                                  <a:gd name="T2" fmla="*/ 164 w 164"/>
                                  <a:gd name="T3" fmla="*/ 71 h 163"/>
                                  <a:gd name="T4" fmla="*/ 164 w 164"/>
                                  <a:gd name="T5" fmla="*/ 163 h 163"/>
                                  <a:gd name="T6" fmla="*/ 118 w 164"/>
                                  <a:gd name="T7" fmla="*/ 163 h 163"/>
                                  <a:gd name="T8" fmla="*/ 118 w 164"/>
                                  <a:gd name="T9" fmla="*/ 78 h 163"/>
                                  <a:gd name="T10" fmla="*/ 109 w 164"/>
                                  <a:gd name="T11" fmla="*/ 50 h 163"/>
                                  <a:gd name="T12" fmla="*/ 85 w 164"/>
                                  <a:gd name="T13" fmla="*/ 40 h 163"/>
                                  <a:gd name="T14" fmla="*/ 57 w 164"/>
                                  <a:gd name="T15" fmla="*/ 51 h 163"/>
                                  <a:gd name="T16" fmla="*/ 47 w 164"/>
                                  <a:gd name="T17" fmla="*/ 84 h 163"/>
                                  <a:gd name="T18" fmla="*/ 47 w 164"/>
                                  <a:gd name="T19" fmla="*/ 163 h 163"/>
                                  <a:gd name="T20" fmla="*/ 0 w 164"/>
                                  <a:gd name="T21" fmla="*/ 163 h 163"/>
                                  <a:gd name="T22" fmla="*/ 0 w 164"/>
                                  <a:gd name="T23" fmla="*/ 2 h 163"/>
                                  <a:gd name="T24" fmla="*/ 44 w 164"/>
                                  <a:gd name="T25" fmla="*/ 2 h 163"/>
                                  <a:gd name="T26" fmla="*/ 44 w 164"/>
                                  <a:gd name="T27" fmla="*/ 21 h 163"/>
                                  <a:gd name="T28" fmla="*/ 67 w 164"/>
                                  <a:gd name="T29" fmla="*/ 5 h 163"/>
                                  <a:gd name="T30" fmla="*/ 98 w 164"/>
                                  <a:gd name="T31" fmla="*/ 0 h 163"/>
                                  <a:gd name="T32" fmla="*/ 146 w 164"/>
                                  <a:gd name="T33" fmla="*/ 18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64" h="163">
                                    <a:moveTo>
                                      <a:pt x="146" y="18"/>
                                    </a:moveTo>
                                    <a:cubicBezTo>
                                      <a:pt x="158" y="30"/>
                                      <a:pt x="164" y="48"/>
                                      <a:pt x="164" y="71"/>
                                    </a:cubicBezTo>
                                    <a:cubicBezTo>
                                      <a:pt x="164" y="163"/>
                                      <a:pt x="164" y="163"/>
                                      <a:pt x="164" y="163"/>
                                    </a:cubicBezTo>
                                    <a:cubicBezTo>
                                      <a:pt x="118" y="163"/>
                                      <a:pt x="118" y="163"/>
                                      <a:pt x="118" y="163"/>
                                    </a:cubicBezTo>
                                    <a:cubicBezTo>
                                      <a:pt x="118" y="78"/>
                                      <a:pt x="118" y="78"/>
                                      <a:pt x="118" y="78"/>
                                    </a:cubicBezTo>
                                    <a:cubicBezTo>
                                      <a:pt x="118" y="65"/>
                                      <a:pt x="115" y="56"/>
                                      <a:pt x="109" y="50"/>
                                    </a:cubicBezTo>
                                    <a:cubicBezTo>
                                      <a:pt x="104" y="43"/>
                                      <a:pt x="96" y="40"/>
                                      <a:pt x="85" y="40"/>
                                    </a:cubicBezTo>
                                    <a:cubicBezTo>
                                      <a:pt x="73" y="40"/>
                                      <a:pt x="64" y="44"/>
                                      <a:pt x="57" y="51"/>
                                    </a:cubicBezTo>
                                    <a:cubicBezTo>
                                      <a:pt x="50" y="58"/>
                                      <a:pt x="47" y="69"/>
                                      <a:pt x="47" y="84"/>
                                    </a:cubicBezTo>
                                    <a:cubicBezTo>
                                      <a:pt x="47" y="163"/>
                                      <a:pt x="47" y="163"/>
                                      <a:pt x="47" y="163"/>
                                    </a:cubicBezTo>
                                    <a:cubicBezTo>
                                      <a:pt x="0" y="163"/>
                                      <a:pt x="0" y="163"/>
                                      <a:pt x="0" y="163"/>
                                    </a:cubicBezTo>
                                    <a:cubicBezTo>
                                      <a:pt x="0" y="2"/>
                                      <a:pt x="0" y="2"/>
                                      <a:pt x="0" y="2"/>
                                    </a:cubicBezTo>
                                    <a:cubicBezTo>
                                      <a:pt x="44" y="2"/>
                                      <a:pt x="44" y="2"/>
                                      <a:pt x="44" y="2"/>
                                    </a:cubicBezTo>
                                    <a:cubicBezTo>
                                      <a:pt x="44" y="21"/>
                                      <a:pt x="44" y="21"/>
                                      <a:pt x="44" y="21"/>
                                    </a:cubicBezTo>
                                    <a:cubicBezTo>
                                      <a:pt x="51" y="14"/>
                                      <a:pt x="58" y="9"/>
                                      <a:pt x="67" y="5"/>
                                    </a:cubicBezTo>
                                    <a:cubicBezTo>
                                      <a:pt x="77" y="2"/>
                                      <a:pt x="87" y="0"/>
                                      <a:pt x="98" y="0"/>
                                    </a:cubicBezTo>
                                    <a:cubicBezTo>
                                      <a:pt x="118" y="0"/>
                                      <a:pt x="134" y="6"/>
                                      <a:pt x="146" y="18"/>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60" name="Freeform 51"/>
                            <wps:cNvSpPr>
                              <a:spLocks noEditPoints="1"/>
                            </wps:cNvSpPr>
                            <wps:spPr bwMode="auto">
                              <a:xfrm>
                                <a:off x="548427" y="1070886"/>
                                <a:ext cx="74432" cy="123704"/>
                              </a:xfrm>
                              <a:custGeom>
                                <a:avLst/>
                                <a:gdLst>
                                  <a:gd name="T0" fmla="*/ 71 w 71"/>
                                  <a:gd name="T1" fmla="*/ 101 h 118"/>
                                  <a:gd name="T2" fmla="*/ 71 w 71"/>
                                  <a:gd name="T3" fmla="*/ 118 h 118"/>
                                  <a:gd name="T4" fmla="*/ 0 w 71"/>
                                  <a:gd name="T5" fmla="*/ 118 h 118"/>
                                  <a:gd name="T6" fmla="*/ 0 w 71"/>
                                  <a:gd name="T7" fmla="*/ 27 h 118"/>
                                  <a:gd name="T8" fmla="*/ 70 w 71"/>
                                  <a:gd name="T9" fmla="*/ 27 h 118"/>
                                  <a:gd name="T10" fmla="*/ 70 w 71"/>
                                  <a:gd name="T11" fmla="*/ 44 h 118"/>
                                  <a:gd name="T12" fmla="*/ 22 w 71"/>
                                  <a:gd name="T13" fmla="*/ 44 h 118"/>
                                  <a:gd name="T14" fmla="*/ 22 w 71"/>
                                  <a:gd name="T15" fmla="*/ 63 h 118"/>
                                  <a:gd name="T16" fmla="*/ 64 w 71"/>
                                  <a:gd name="T17" fmla="*/ 63 h 118"/>
                                  <a:gd name="T18" fmla="*/ 64 w 71"/>
                                  <a:gd name="T19" fmla="*/ 80 h 118"/>
                                  <a:gd name="T20" fmla="*/ 22 w 71"/>
                                  <a:gd name="T21" fmla="*/ 80 h 118"/>
                                  <a:gd name="T22" fmla="*/ 22 w 71"/>
                                  <a:gd name="T23" fmla="*/ 101 h 118"/>
                                  <a:gd name="T24" fmla="*/ 71 w 71"/>
                                  <a:gd name="T25" fmla="*/ 101 h 118"/>
                                  <a:gd name="T26" fmla="*/ 41 w 71"/>
                                  <a:gd name="T27" fmla="*/ 0 h 118"/>
                                  <a:gd name="T28" fmla="*/ 63 w 71"/>
                                  <a:gd name="T29" fmla="*/ 0 h 118"/>
                                  <a:gd name="T30" fmla="*/ 39 w 71"/>
                                  <a:gd name="T31" fmla="*/ 19 h 118"/>
                                  <a:gd name="T32" fmla="*/ 23 w 71"/>
                                  <a:gd name="T33" fmla="*/ 19 h 118"/>
                                  <a:gd name="T34" fmla="*/ 41 w 71"/>
                                  <a:gd name="T35"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1" h="118">
                                    <a:moveTo>
                                      <a:pt x="71" y="101"/>
                                    </a:moveTo>
                                    <a:lnTo>
                                      <a:pt x="71" y="118"/>
                                    </a:lnTo>
                                    <a:lnTo>
                                      <a:pt x="0" y="118"/>
                                    </a:lnTo>
                                    <a:lnTo>
                                      <a:pt x="0" y="27"/>
                                    </a:lnTo>
                                    <a:lnTo>
                                      <a:pt x="70" y="27"/>
                                    </a:lnTo>
                                    <a:lnTo>
                                      <a:pt x="70" y="44"/>
                                    </a:lnTo>
                                    <a:lnTo>
                                      <a:pt x="22" y="44"/>
                                    </a:lnTo>
                                    <a:lnTo>
                                      <a:pt x="22" y="63"/>
                                    </a:lnTo>
                                    <a:lnTo>
                                      <a:pt x="64" y="63"/>
                                    </a:lnTo>
                                    <a:lnTo>
                                      <a:pt x="64" y="80"/>
                                    </a:lnTo>
                                    <a:lnTo>
                                      <a:pt x="22" y="80"/>
                                    </a:lnTo>
                                    <a:lnTo>
                                      <a:pt x="22" y="101"/>
                                    </a:lnTo>
                                    <a:lnTo>
                                      <a:pt x="71" y="101"/>
                                    </a:lnTo>
                                    <a:close/>
                                    <a:moveTo>
                                      <a:pt x="41" y="0"/>
                                    </a:moveTo>
                                    <a:lnTo>
                                      <a:pt x="63" y="0"/>
                                    </a:lnTo>
                                    <a:lnTo>
                                      <a:pt x="39" y="19"/>
                                    </a:lnTo>
                                    <a:lnTo>
                                      <a:pt x="23" y="19"/>
                                    </a:lnTo>
                                    <a:lnTo>
                                      <a:pt x="41" y="0"/>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61" name="Freeform 52"/>
                            <wps:cNvSpPr>
                              <a:spLocks noEditPoints="1"/>
                            </wps:cNvSpPr>
                            <wps:spPr bwMode="auto">
                              <a:xfrm>
                                <a:off x="645923" y="1120158"/>
                                <a:ext cx="79674" cy="100640"/>
                              </a:xfrm>
                              <a:custGeom>
                                <a:avLst/>
                                <a:gdLst>
                                  <a:gd name="T0" fmla="*/ 136 w 175"/>
                                  <a:gd name="T1" fmla="*/ 10 h 221"/>
                                  <a:gd name="T2" fmla="*/ 165 w 175"/>
                                  <a:gd name="T3" fmla="*/ 39 h 221"/>
                                  <a:gd name="T4" fmla="*/ 175 w 175"/>
                                  <a:gd name="T5" fmla="*/ 83 h 221"/>
                                  <a:gd name="T6" fmla="*/ 165 w 175"/>
                                  <a:gd name="T7" fmla="*/ 126 h 221"/>
                                  <a:gd name="T8" fmla="*/ 136 w 175"/>
                                  <a:gd name="T9" fmla="*/ 155 h 221"/>
                                  <a:gd name="T10" fmla="*/ 95 w 175"/>
                                  <a:gd name="T11" fmla="*/ 165 h 221"/>
                                  <a:gd name="T12" fmla="*/ 46 w 175"/>
                                  <a:gd name="T13" fmla="*/ 146 h 221"/>
                                  <a:gd name="T14" fmla="*/ 46 w 175"/>
                                  <a:gd name="T15" fmla="*/ 221 h 221"/>
                                  <a:gd name="T16" fmla="*/ 0 w 175"/>
                                  <a:gd name="T17" fmla="*/ 221 h 221"/>
                                  <a:gd name="T18" fmla="*/ 0 w 175"/>
                                  <a:gd name="T19" fmla="*/ 2 h 221"/>
                                  <a:gd name="T20" fmla="*/ 44 w 175"/>
                                  <a:gd name="T21" fmla="*/ 2 h 221"/>
                                  <a:gd name="T22" fmla="*/ 44 w 175"/>
                                  <a:gd name="T23" fmla="*/ 21 h 221"/>
                                  <a:gd name="T24" fmla="*/ 95 w 175"/>
                                  <a:gd name="T25" fmla="*/ 0 h 221"/>
                                  <a:gd name="T26" fmla="*/ 136 w 175"/>
                                  <a:gd name="T27" fmla="*/ 10 h 221"/>
                                  <a:gd name="T28" fmla="*/ 116 w 175"/>
                                  <a:gd name="T29" fmla="*/ 115 h 221"/>
                                  <a:gd name="T30" fmla="*/ 128 w 175"/>
                                  <a:gd name="T31" fmla="*/ 83 h 221"/>
                                  <a:gd name="T32" fmla="*/ 116 w 175"/>
                                  <a:gd name="T33" fmla="*/ 50 h 221"/>
                                  <a:gd name="T34" fmla="*/ 87 w 175"/>
                                  <a:gd name="T35" fmla="*/ 38 h 221"/>
                                  <a:gd name="T36" fmla="*/ 57 w 175"/>
                                  <a:gd name="T37" fmla="*/ 50 h 221"/>
                                  <a:gd name="T38" fmla="*/ 46 w 175"/>
                                  <a:gd name="T39" fmla="*/ 83 h 221"/>
                                  <a:gd name="T40" fmla="*/ 57 w 175"/>
                                  <a:gd name="T41" fmla="*/ 115 h 221"/>
                                  <a:gd name="T42" fmla="*/ 87 w 175"/>
                                  <a:gd name="T43" fmla="*/ 127 h 221"/>
                                  <a:gd name="T44" fmla="*/ 116 w 175"/>
                                  <a:gd name="T45" fmla="*/ 115 h 2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75" h="221">
                                    <a:moveTo>
                                      <a:pt x="136" y="10"/>
                                    </a:moveTo>
                                    <a:cubicBezTo>
                                      <a:pt x="148" y="17"/>
                                      <a:pt x="158" y="27"/>
                                      <a:pt x="165" y="39"/>
                                    </a:cubicBezTo>
                                    <a:cubicBezTo>
                                      <a:pt x="172" y="52"/>
                                      <a:pt x="175" y="66"/>
                                      <a:pt x="175" y="83"/>
                                    </a:cubicBezTo>
                                    <a:cubicBezTo>
                                      <a:pt x="175" y="99"/>
                                      <a:pt x="172" y="114"/>
                                      <a:pt x="165" y="126"/>
                                    </a:cubicBezTo>
                                    <a:cubicBezTo>
                                      <a:pt x="158" y="139"/>
                                      <a:pt x="148" y="148"/>
                                      <a:pt x="136" y="155"/>
                                    </a:cubicBezTo>
                                    <a:cubicBezTo>
                                      <a:pt x="123" y="162"/>
                                      <a:pt x="110" y="165"/>
                                      <a:pt x="95" y="165"/>
                                    </a:cubicBezTo>
                                    <a:cubicBezTo>
                                      <a:pt x="74" y="165"/>
                                      <a:pt x="58" y="159"/>
                                      <a:pt x="46" y="146"/>
                                    </a:cubicBezTo>
                                    <a:cubicBezTo>
                                      <a:pt x="46" y="221"/>
                                      <a:pt x="46" y="221"/>
                                      <a:pt x="46" y="221"/>
                                    </a:cubicBezTo>
                                    <a:cubicBezTo>
                                      <a:pt x="0" y="221"/>
                                      <a:pt x="0" y="221"/>
                                      <a:pt x="0" y="221"/>
                                    </a:cubicBezTo>
                                    <a:cubicBezTo>
                                      <a:pt x="0" y="2"/>
                                      <a:pt x="0" y="2"/>
                                      <a:pt x="0" y="2"/>
                                    </a:cubicBezTo>
                                    <a:cubicBezTo>
                                      <a:pt x="44" y="2"/>
                                      <a:pt x="44" y="2"/>
                                      <a:pt x="44" y="2"/>
                                    </a:cubicBezTo>
                                    <a:cubicBezTo>
                                      <a:pt x="44" y="21"/>
                                      <a:pt x="44" y="21"/>
                                      <a:pt x="44" y="21"/>
                                    </a:cubicBezTo>
                                    <a:cubicBezTo>
                                      <a:pt x="56" y="7"/>
                                      <a:pt x="73" y="0"/>
                                      <a:pt x="95" y="0"/>
                                    </a:cubicBezTo>
                                    <a:cubicBezTo>
                                      <a:pt x="110" y="0"/>
                                      <a:pt x="123" y="3"/>
                                      <a:pt x="136" y="10"/>
                                    </a:cubicBezTo>
                                    <a:close/>
                                    <a:moveTo>
                                      <a:pt x="116" y="115"/>
                                    </a:moveTo>
                                    <a:cubicBezTo>
                                      <a:pt x="124" y="107"/>
                                      <a:pt x="128" y="96"/>
                                      <a:pt x="128" y="83"/>
                                    </a:cubicBezTo>
                                    <a:cubicBezTo>
                                      <a:pt x="128" y="69"/>
                                      <a:pt x="124" y="58"/>
                                      <a:pt x="116" y="50"/>
                                    </a:cubicBezTo>
                                    <a:cubicBezTo>
                                      <a:pt x="109" y="42"/>
                                      <a:pt x="99" y="38"/>
                                      <a:pt x="87" y="38"/>
                                    </a:cubicBezTo>
                                    <a:cubicBezTo>
                                      <a:pt x="75" y="38"/>
                                      <a:pt x="65" y="42"/>
                                      <a:pt x="57" y="50"/>
                                    </a:cubicBezTo>
                                    <a:cubicBezTo>
                                      <a:pt x="50" y="58"/>
                                      <a:pt x="46" y="69"/>
                                      <a:pt x="46" y="83"/>
                                    </a:cubicBezTo>
                                    <a:cubicBezTo>
                                      <a:pt x="46" y="96"/>
                                      <a:pt x="50" y="107"/>
                                      <a:pt x="57" y="115"/>
                                    </a:cubicBezTo>
                                    <a:cubicBezTo>
                                      <a:pt x="65" y="123"/>
                                      <a:pt x="75" y="127"/>
                                      <a:pt x="87" y="127"/>
                                    </a:cubicBezTo>
                                    <a:cubicBezTo>
                                      <a:pt x="99" y="127"/>
                                      <a:pt x="109" y="123"/>
                                      <a:pt x="116" y="11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62" name="Freeform 53"/>
                            <wps:cNvSpPr>
                              <a:spLocks noEditPoints="1"/>
                            </wps:cNvSpPr>
                            <wps:spPr bwMode="auto">
                              <a:xfrm>
                                <a:off x="742370" y="1120158"/>
                                <a:ext cx="69190" cy="75480"/>
                              </a:xfrm>
                              <a:custGeom>
                                <a:avLst/>
                                <a:gdLst>
                                  <a:gd name="T0" fmla="*/ 132 w 152"/>
                                  <a:gd name="T1" fmla="*/ 17 h 165"/>
                                  <a:gd name="T2" fmla="*/ 152 w 152"/>
                                  <a:gd name="T3" fmla="*/ 71 h 165"/>
                                  <a:gd name="T4" fmla="*/ 152 w 152"/>
                                  <a:gd name="T5" fmla="*/ 163 h 165"/>
                                  <a:gd name="T6" fmla="*/ 109 w 152"/>
                                  <a:gd name="T7" fmla="*/ 163 h 165"/>
                                  <a:gd name="T8" fmla="*/ 109 w 152"/>
                                  <a:gd name="T9" fmla="*/ 143 h 165"/>
                                  <a:gd name="T10" fmla="*/ 60 w 152"/>
                                  <a:gd name="T11" fmla="*/ 165 h 165"/>
                                  <a:gd name="T12" fmla="*/ 28 w 152"/>
                                  <a:gd name="T13" fmla="*/ 159 h 165"/>
                                  <a:gd name="T14" fmla="*/ 7 w 152"/>
                                  <a:gd name="T15" fmla="*/ 142 h 165"/>
                                  <a:gd name="T16" fmla="*/ 0 w 152"/>
                                  <a:gd name="T17" fmla="*/ 117 h 165"/>
                                  <a:gd name="T18" fmla="*/ 17 w 152"/>
                                  <a:gd name="T19" fmla="*/ 81 h 165"/>
                                  <a:gd name="T20" fmla="*/ 69 w 152"/>
                                  <a:gd name="T21" fmla="*/ 69 h 165"/>
                                  <a:gd name="T22" fmla="*/ 106 w 152"/>
                                  <a:gd name="T23" fmla="*/ 69 h 165"/>
                                  <a:gd name="T24" fmla="*/ 97 w 152"/>
                                  <a:gd name="T25" fmla="*/ 45 h 165"/>
                                  <a:gd name="T26" fmla="*/ 69 w 152"/>
                                  <a:gd name="T27" fmla="*/ 37 h 165"/>
                                  <a:gd name="T28" fmla="*/ 43 w 152"/>
                                  <a:gd name="T29" fmla="*/ 41 h 165"/>
                                  <a:gd name="T30" fmla="*/ 22 w 152"/>
                                  <a:gd name="T31" fmla="*/ 52 h 165"/>
                                  <a:gd name="T32" fmla="*/ 6 w 152"/>
                                  <a:gd name="T33" fmla="*/ 19 h 165"/>
                                  <a:gd name="T34" fmla="*/ 37 w 152"/>
                                  <a:gd name="T35" fmla="*/ 5 h 165"/>
                                  <a:gd name="T36" fmla="*/ 75 w 152"/>
                                  <a:gd name="T37" fmla="*/ 0 h 165"/>
                                  <a:gd name="T38" fmla="*/ 132 w 152"/>
                                  <a:gd name="T39" fmla="*/ 17 h 165"/>
                                  <a:gd name="T40" fmla="*/ 93 w 152"/>
                                  <a:gd name="T41" fmla="*/ 128 h 165"/>
                                  <a:gd name="T42" fmla="*/ 106 w 152"/>
                                  <a:gd name="T43" fmla="*/ 112 h 165"/>
                                  <a:gd name="T44" fmla="*/ 106 w 152"/>
                                  <a:gd name="T45" fmla="*/ 96 h 165"/>
                                  <a:gd name="T46" fmla="*/ 74 w 152"/>
                                  <a:gd name="T47" fmla="*/ 96 h 165"/>
                                  <a:gd name="T48" fmla="*/ 45 w 152"/>
                                  <a:gd name="T49" fmla="*/ 115 h 165"/>
                                  <a:gd name="T50" fmla="*/ 52 w 152"/>
                                  <a:gd name="T51" fmla="*/ 129 h 165"/>
                                  <a:gd name="T52" fmla="*/ 71 w 152"/>
                                  <a:gd name="T53" fmla="*/ 134 h 165"/>
                                  <a:gd name="T54" fmla="*/ 93 w 152"/>
                                  <a:gd name="T55" fmla="*/ 128 h 1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52" h="165">
                                    <a:moveTo>
                                      <a:pt x="132" y="17"/>
                                    </a:moveTo>
                                    <a:cubicBezTo>
                                      <a:pt x="146" y="29"/>
                                      <a:pt x="152" y="47"/>
                                      <a:pt x="152" y="71"/>
                                    </a:cubicBezTo>
                                    <a:cubicBezTo>
                                      <a:pt x="152" y="163"/>
                                      <a:pt x="152" y="163"/>
                                      <a:pt x="152" y="163"/>
                                    </a:cubicBezTo>
                                    <a:cubicBezTo>
                                      <a:pt x="109" y="163"/>
                                      <a:pt x="109" y="163"/>
                                      <a:pt x="109" y="163"/>
                                    </a:cubicBezTo>
                                    <a:cubicBezTo>
                                      <a:pt x="109" y="143"/>
                                      <a:pt x="109" y="143"/>
                                      <a:pt x="109" y="143"/>
                                    </a:cubicBezTo>
                                    <a:cubicBezTo>
                                      <a:pt x="100" y="158"/>
                                      <a:pt x="84" y="165"/>
                                      <a:pt x="60" y="165"/>
                                    </a:cubicBezTo>
                                    <a:cubicBezTo>
                                      <a:pt x="47" y="165"/>
                                      <a:pt x="37" y="163"/>
                                      <a:pt x="28" y="159"/>
                                    </a:cubicBezTo>
                                    <a:cubicBezTo>
                                      <a:pt x="19" y="155"/>
                                      <a:pt x="12" y="149"/>
                                      <a:pt x="7" y="142"/>
                                    </a:cubicBezTo>
                                    <a:cubicBezTo>
                                      <a:pt x="2" y="134"/>
                                      <a:pt x="0" y="126"/>
                                      <a:pt x="0" y="117"/>
                                    </a:cubicBezTo>
                                    <a:cubicBezTo>
                                      <a:pt x="0" y="102"/>
                                      <a:pt x="5" y="90"/>
                                      <a:pt x="17" y="81"/>
                                    </a:cubicBezTo>
                                    <a:cubicBezTo>
                                      <a:pt x="28" y="73"/>
                                      <a:pt x="45" y="69"/>
                                      <a:pt x="69" y="69"/>
                                    </a:cubicBezTo>
                                    <a:cubicBezTo>
                                      <a:pt x="106" y="69"/>
                                      <a:pt x="106" y="69"/>
                                      <a:pt x="106" y="69"/>
                                    </a:cubicBezTo>
                                    <a:cubicBezTo>
                                      <a:pt x="106" y="58"/>
                                      <a:pt x="103" y="51"/>
                                      <a:pt x="97" y="45"/>
                                    </a:cubicBezTo>
                                    <a:cubicBezTo>
                                      <a:pt x="90" y="40"/>
                                      <a:pt x="81" y="37"/>
                                      <a:pt x="69" y="37"/>
                                    </a:cubicBezTo>
                                    <a:cubicBezTo>
                                      <a:pt x="60" y="37"/>
                                      <a:pt x="52" y="38"/>
                                      <a:pt x="43" y="41"/>
                                    </a:cubicBezTo>
                                    <a:cubicBezTo>
                                      <a:pt x="35" y="44"/>
                                      <a:pt x="28" y="47"/>
                                      <a:pt x="22" y="52"/>
                                    </a:cubicBezTo>
                                    <a:cubicBezTo>
                                      <a:pt x="6" y="19"/>
                                      <a:pt x="6" y="19"/>
                                      <a:pt x="6" y="19"/>
                                    </a:cubicBezTo>
                                    <a:cubicBezTo>
                                      <a:pt x="14" y="13"/>
                                      <a:pt x="25" y="8"/>
                                      <a:pt x="37" y="5"/>
                                    </a:cubicBezTo>
                                    <a:cubicBezTo>
                                      <a:pt x="49" y="1"/>
                                      <a:pt x="62" y="0"/>
                                      <a:pt x="75" y="0"/>
                                    </a:cubicBezTo>
                                    <a:cubicBezTo>
                                      <a:pt x="100" y="0"/>
                                      <a:pt x="119" y="6"/>
                                      <a:pt x="132" y="17"/>
                                    </a:cubicBezTo>
                                    <a:close/>
                                    <a:moveTo>
                                      <a:pt x="93" y="128"/>
                                    </a:moveTo>
                                    <a:cubicBezTo>
                                      <a:pt x="99" y="125"/>
                                      <a:pt x="103" y="119"/>
                                      <a:pt x="106" y="112"/>
                                    </a:cubicBezTo>
                                    <a:cubicBezTo>
                                      <a:pt x="106" y="96"/>
                                      <a:pt x="106" y="96"/>
                                      <a:pt x="106" y="96"/>
                                    </a:cubicBezTo>
                                    <a:cubicBezTo>
                                      <a:pt x="74" y="96"/>
                                      <a:pt x="74" y="96"/>
                                      <a:pt x="74" y="96"/>
                                    </a:cubicBezTo>
                                    <a:cubicBezTo>
                                      <a:pt x="55" y="96"/>
                                      <a:pt x="45" y="102"/>
                                      <a:pt x="45" y="115"/>
                                    </a:cubicBezTo>
                                    <a:cubicBezTo>
                                      <a:pt x="45" y="121"/>
                                      <a:pt x="47" y="125"/>
                                      <a:pt x="52" y="129"/>
                                    </a:cubicBezTo>
                                    <a:cubicBezTo>
                                      <a:pt x="57" y="132"/>
                                      <a:pt x="63" y="134"/>
                                      <a:pt x="71" y="134"/>
                                    </a:cubicBezTo>
                                    <a:cubicBezTo>
                                      <a:pt x="79" y="134"/>
                                      <a:pt x="86" y="132"/>
                                      <a:pt x="93" y="128"/>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63" name="Freeform 54"/>
                            <wps:cNvSpPr>
                              <a:spLocks/>
                            </wps:cNvSpPr>
                            <wps:spPr bwMode="auto">
                              <a:xfrm>
                                <a:off x="838817" y="1120158"/>
                                <a:ext cx="45079" cy="74432"/>
                              </a:xfrm>
                              <a:custGeom>
                                <a:avLst/>
                                <a:gdLst>
                                  <a:gd name="T0" fmla="*/ 67 w 100"/>
                                  <a:gd name="T1" fmla="*/ 6 h 163"/>
                                  <a:gd name="T2" fmla="*/ 100 w 100"/>
                                  <a:gd name="T3" fmla="*/ 0 h 163"/>
                                  <a:gd name="T4" fmla="*/ 100 w 100"/>
                                  <a:gd name="T5" fmla="*/ 43 h 163"/>
                                  <a:gd name="T6" fmla="*/ 89 w 100"/>
                                  <a:gd name="T7" fmla="*/ 42 h 163"/>
                                  <a:gd name="T8" fmla="*/ 58 w 100"/>
                                  <a:gd name="T9" fmla="*/ 53 h 163"/>
                                  <a:gd name="T10" fmla="*/ 46 w 100"/>
                                  <a:gd name="T11" fmla="*/ 87 h 163"/>
                                  <a:gd name="T12" fmla="*/ 46 w 100"/>
                                  <a:gd name="T13" fmla="*/ 163 h 163"/>
                                  <a:gd name="T14" fmla="*/ 0 w 100"/>
                                  <a:gd name="T15" fmla="*/ 163 h 163"/>
                                  <a:gd name="T16" fmla="*/ 0 w 100"/>
                                  <a:gd name="T17" fmla="*/ 2 h 163"/>
                                  <a:gd name="T18" fmla="*/ 44 w 100"/>
                                  <a:gd name="T19" fmla="*/ 2 h 163"/>
                                  <a:gd name="T20" fmla="*/ 44 w 100"/>
                                  <a:gd name="T21" fmla="*/ 23 h 163"/>
                                  <a:gd name="T22" fmla="*/ 67 w 100"/>
                                  <a:gd name="T23" fmla="*/ 6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0" h="163">
                                    <a:moveTo>
                                      <a:pt x="67" y="6"/>
                                    </a:moveTo>
                                    <a:cubicBezTo>
                                      <a:pt x="76" y="2"/>
                                      <a:pt x="87" y="0"/>
                                      <a:pt x="100" y="0"/>
                                    </a:cubicBezTo>
                                    <a:cubicBezTo>
                                      <a:pt x="100" y="43"/>
                                      <a:pt x="100" y="43"/>
                                      <a:pt x="100" y="43"/>
                                    </a:cubicBezTo>
                                    <a:cubicBezTo>
                                      <a:pt x="94" y="42"/>
                                      <a:pt x="91" y="42"/>
                                      <a:pt x="89" y="42"/>
                                    </a:cubicBezTo>
                                    <a:cubicBezTo>
                                      <a:pt x="76" y="42"/>
                                      <a:pt x="65" y="46"/>
                                      <a:pt x="58" y="53"/>
                                    </a:cubicBezTo>
                                    <a:cubicBezTo>
                                      <a:pt x="50" y="61"/>
                                      <a:pt x="46" y="72"/>
                                      <a:pt x="46" y="87"/>
                                    </a:cubicBezTo>
                                    <a:cubicBezTo>
                                      <a:pt x="46" y="163"/>
                                      <a:pt x="46" y="163"/>
                                      <a:pt x="46" y="163"/>
                                    </a:cubicBezTo>
                                    <a:cubicBezTo>
                                      <a:pt x="0" y="163"/>
                                      <a:pt x="0" y="163"/>
                                      <a:pt x="0" y="163"/>
                                    </a:cubicBezTo>
                                    <a:cubicBezTo>
                                      <a:pt x="0" y="2"/>
                                      <a:pt x="0" y="2"/>
                                      <a:pt x="0" y="2"/>
                                    </a:cubicBezTo>
                                    <a:cubicBezTo>
                                      <a:pt x="44" y="2"/>
                                      <a:pt x="44" y="2"/>
                                      <a:pt x="44" y="2"/>
                                    </a:cubicBezTo>
                                    <a:cubicBezTo>
                                      <a:pt x="44" y="23"/>
                                      <a:pt x="44" y="23"/>
                                      <a:pt x="44" y="23"/>
                                    </a:cubicBezTo>
                                    <a:cubicBezTo>
                                      <a:pt x="50" y="16"/>
                                      <a:pt x="57" y="10"/>
                                      <a:pt x="67" y="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64" name="Freeform 55"/>
                            <wps:cNvSpPr>
                              <a:spLocks noEditPoints="1"/>
                            </wps:cNvSpPr>
                            <wps:spPr bwMode="auto">
                              <a:xfrm>
                                <a:off x="898571" y="1120158"/>
                                <a:ext cx="80722" cy="101688"/>
                              </a:xfrm>
                              <a:custGeom>
                                <a:avLst/>
                                <a:gdLst>
                                  <a:gd name="T0" fmla="*/ 177 w 177"/>
                                  <a:gd name="T1" fmla="*/ 2 h 223"/>
                                  <a:gd name="T2" fmla="*/ 177 w 177"/>
                                  <a:gd name="T3" fmla="*/ 136 h 223"/>
                                  <a:gd name="T4" fmla="*/ 154 w 177"/>
                                  <a:gd name="T5" fmla="*/ 202 h 223"/>
                                  <a:gd name="T6" fmla="*/ 87 w 177"/>
                                  <a:gd name="T7" fmla="*/ 223 h 223"/>
                                  <a:gd name="T8" fmla="*/ 43 w 177"/>
                                  <a:gd name="T9" fmla="*/ 218 h 223"/>
                                  <a:gd name="T10" fmla="*/ 8 w 177"/>
                                  <a:gd name="T11" fmla="*/ 201 h 223"/>
                                  <a:gd name="T12" fmla="*/ 27 w 177"/>
                                  <a:gd name="T13" fmla="*/ 168 h 223"/>
                                  <a:gd name="T14" fmla="*/ 52 w 177"/>
                                  <a:gd name="T15" fmla="*/ 181 h 223"/>
                                  <a:gd name="T16" fmla="*/ 84 w 177"/>
                                  <a:gd name="T17" fmla="*/ 186 h 223"/>
                                  <a:gd name="T18" fmla="*/ 119 w 177"/>
                                  <a:gd name="T19" fmla="*/ 175 h 223"/>
                                  <a:gd name="T20" fmla="*/ 131 w 177"/>
                                  <a:gd name="T21" fmla="*/ 142 h 223"/>
                                  <a:gd name="T22" fmla="*/ 131 w 177"/>
                                  <a:gd name="T23" fmla="*/ 135 h 223"/>
                                  <a:gd name="T24" fmla="*/ 80 w 177"/>
                                  <a:gd name="T25" fmla="*/ 155 h 223"/>
                                  <a:gd name="T26" fmla="*/ 39 w 177"/>
                                  <a:gd name="T27" fmla="*/ 146 h 223"/>
                                  <a:gd name="T28" fmla="*/ 10 w 177"/>
                                  <a:gd name="T29" fmla="*/ 118 h 223"/>
                                  <a:gd name="T30" fmla="*/ 0 w 177"/>
                                  <a:gd name="T31" fmla="*/ 77 h 223"/>
                                  <a:gd name="T32" fmla="*/ 10 w 177"/>
                                  <a:gd name="T33" fmla="*/ 37 h 223"/>
                                  <a:gd name="T34" fmla="*/ 39 w 177"/>
                                  <a:gd name="T35" fmla="*/ 9 h 223"/>
                                  <a:gd name="T36" fmla="*/ 80 w 177"/>
                                  <a:gd name="T37" fmla="*/ 0 h 223"/>
                                  <a:gd name="T38" fmla="*/ 133 w 177"/>
                                  <a:gd name="T39" fmla="*/ 23 h 223"/>
                                  <a:gd name="T40" fmla="*/ 133 w 177"/>
                                  <a:gd name="T41" fmla="*/ 2 h 223"/>
                                  <a:gd name="T42" fmla="*/ 177 w 177"/>
                                  <a:gd name="T43" fmla="*/ 2 h 223"/>
                                  <a:gd name="T44" fmla="*/ 120 w 177"/>
                                  <a:gd name="T45" fmla="*/ 106 h 223"/>
                                  <a:gd name="T46" fmla="*/ 131 w 177"/>
                                  <a:gd name="T47" fmla="*/ 77 h 223"/>
                                  <a:gd name="T48" fmla="*/ 120 w 177"/>
                                  <a:gd name="T49" fmla="*/ 49 h 223"/>
                                  <a:gd name="T50" fmla="*/ 89 w 177"/>
                                  <a:gd name="T51" fmla="*/ 38 h 223"/>
                                  <a:gd name="T52" fmla="*/ 59 w 177"/>
                                  <a:gd name="T53" fmla="*/ 49 h 223"/>
                                  <a:gd name="T54" fmla="*/ 47 w 177"/>
                                  <a:gd name="T55" fmla="*/ 77 h 223"/>
                                  <a:gd name="T56" fmla="*/ 59 w 177"/>
                                  <a:gd name="T57" fmla="*/ 106 h 223"/>
                                  <a:gd name="T58" fmla="*/ 89 w 177"/>
                                  <a:gd name="T59" fmla="*/ 117 h 223"/>
                                  <a:gd name="T60" fmla="*/ 120 w 177"/>
                                  <a:gd name="T61" fmla="*/ 106 h 2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177" h="223">
                                    <a:moveTo>
                                      <a:pt x="177" y="2"/>
                                    </a:moveTo>
                                    <a:cubicBezTo>
                                      <a:pt x="177" y="136"/>
                                      <a:pt x="177" y="136"/>
                                      <a:pt x="177" y="136"/>
                                    </a:cubicBezTo>
                                    <a:cubicBezTo>
                                      <a:pt x="177" y="166"/>
                                      <a:pt x="170" y="188"/>
                                      <a:pt x="154" y="202"/>
                                    </a:cubicBezTo>
                                    <a:cubicBezTo>
                                      <a:pt x="139" y="216"/>
                                      <a:pt x="117" y="223"/>
                                      <a:pt x="87" y="223"/>
                                    </a:cubicBezTo>
                                    <a:cubicBezTo>
                                      <a:pt x="72" y="223"/>
                                      <a:pt x="57" y="222"/>
                                      <a:pt x="43" y="218"/>
                                    </a:cubicBezTo>
                                    <a:cubicBezTo>
                                      <a:pt x="29" y="214"/>
                                      <a:pt x="17" y="208"/>
                                      <a:pt x="8" y="201"/>
                                    </a:cubicBezTo>
                                    <a:cubicBezTo>
                                      <a:pt x="27" y="168"/>
                                      <a:pt x="27" y="168"/>
                                      <a:pt x="27" y="168"/>
                                    </a:cubicBezTo>
                                    <a:cubicBezTo>
                                      <a:pt x="34" y="173"/>
                                      <a:pt x="42" y="178"/>
                                      <a:pt x="52" y="181"/>
                                    </a:cubicBezTo>
                                    <a:cubicBezTo>
                                      <a:pt x="63" y="184"/>
                                      <a:pt x="73" y="186"/>
                                      <a:pt x="84" y="186"/>
                                    </a:cubicBezTo>
                                    <a:cubicBezTo>
                                      <a:pt x="100" y="186"/>
                                      <a:pt x="112" y="182"/>
                                      <a:pt x="119" y="175"/>
                                    </a:cubicBezTo>
                                    <a:cubicBezTo>
                                      <a:pt x="127" y="168"/>
                                      <a:pt x="131" y="157"/>
                                      <a:pt x="131" y="142"/>
                                    </a:cubicBezTo>
                                    <a:cubicBezTo>
                                      <a:pt x="131" y="135"/>
                                      <a:pt x="131" y="135"/>
                                      <a:pt x="131" y="135"/>
                                    </a:cubicBezTo>
                                    <a:cubicBezTo>
                                      <a:pt x="119" y="149"/>
                                      <a:pt x="102" y="155"/>
                                      <a:pt x="80" y="155"/>
                                    </a:cubicBezTo>
                                    <a:cubicBezTo>
                                      <a:pt x="65" y="155"/>
                                      <a:pt x="52" y="152"/>
                                      <a:pt x="39" y="146"/>
                                    </a:cubicBezTo>
                                    <a:cubicBezTo>
                                      <a:pt x="27" y="139"/>
                                      <a:pt x="17" y="130"/>
                                      <a:pt x="10" y="118"/>
                                    </a:cubicBezTo>
                                    <a:cubicBezTo>
                                      <a:pt x="3" y="106"/>
                                      <a:pt x="0" y="93"/>
                                      <a:pt x="0" y="77"/>
                                    </a:cubicBezTo>
                                    <a:cubicBezTo>
                                      <a:pt x="0" y="62"/>
                                      <a:pt x="3" y="49"/>
                                      <a:pt x="10" y="37"/>
                                    </a:cubicBezTo>
                                    <a:cubicBezTo>
                                      <a:pt x="17" y="25"/>
                                      <a:pt x="27" y="16"/>
                                      <a:pt x="39" y="9"/>
                                    </a:cubicBezTo>
                                    <a:cubicBezTo>
                                      <a:pt x="52" y="3"/>
                                      <a:pt x="65" y="0"/>
                                      <a:pt x="80" y="0"/>
                                    </a:cubicBezTo>
                                    <a:cubicBezTo>
                                      <a:pt x="103" y="0"/>
                                      <a:pt x="121" y="7"/>
                                      <a:pt x="133" y="23"/>
                                    </a:cubicBezTo>
                                    <a:cubicBezTo>
                                      <a:pt x="133" y="2"/>
                                      <a:pt x="133" y="2"/>
                                      <a:pt x="133" y="2"/>
                                    </a:cubicBezTo>
                                    <a:lnTo>
                                      <a:pt x="177" y="2"/>
                                    </a:lnTo>
                                    <a:close/>
                                    <a:moveTo>
                                      <a:pt x="120" y="106"/>
                                    </a:moveTo>
                                    <a:cubicBezTo>
                                      <a:pt x="127" y="99"/>
                                      <a:pt x="131" y="89"/>
                                      <a:pt x="131" y="77"/>
                                    </a:cubicBezTo>
                                    <a:cubicBezTo>
                                      <a:pt x="131" y="66"/>
                                      <a:pt x="127" y="56"/>
                                      <a:pt x="120" y="49"/>
                                    </a:cubicBezTo>
                                    <a:cubicBezTo>
                                      <a:pt x="112" y="42"/>
                                      <a:pt x="102" y="38"/>
                                      <a:pt x="89" y="38"/>
                                    </a:cubicBezTo>
                                    <a:cubicBezTo>
                                      <a:pt x="77" y="38"/>
                                      <a:pt x="67" y="42"/>
                                      <a:pt x="59" y="49"/>
                                    </a:cubicBezTo>
                                    <a:cubicBezTo>
                                      <a:pt x="51" y="56"/>
                                      <a:pt x="47" y="66"/>
                                      <a:pt x="47" y="77"/>
                                    </a:cubicBezTo>
                                    <a:cubicBezTo>
                                      <a:pt x="47" y="89"/>
                                      <a:pt x="51" y="99"/>
                                      <a:pt x="59" y="106"/>
                                    </a:cubicBezTo>
                                    <a:cubicBezTo>
                                      <a:pt x="67" y="113"/>
                                      <a:pt x="77" y="117"/>
                                      <a:pt x="89" y="117"/>
                                    </a:cubicBezTo>
                                    <a:cubicBezTo>
                                      <a:pt x="102" y="117"/>
                                      <a:pt x="112" y="113"/>
                                      <a:pt x="120" y="10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65" name="Freeform 56"/>
                            <wps:cNvSpPr>
                              <a:spLocks/>
                            </wps:cNvSpPr>
                            <wps:spPr bwMode="auto">
                              <a:xfrm>
                                <a:off x="1006550" y="1120158"/>
                                <a:ext cx="74432" cy="74432"/>
                              </a:xfrm>
                              <a:custGeom>
                                <a:avLst/>
                                <a:gdLst>
                                  <a:gd name="T0" fmla="*/ 146 w 164"/>
                                  <a:gd name="T1" fmla="*/ 18 h 163"/>
                                  <a:gd name="T2" fmla="*/ 164 w 164"/>
                                  <a:gd name="T3" fmla="*/ 71 h 163"/>
                                  <a:gd name="T4" fmla="*/ 164 w 164"/>
                                  <a:gd name="T5" fmla="*/ 163 h 163"/>
                                  <a:gd name="T6" fmla="*/ 117 w 164"/>
                                  <a:gd name="T7" fmla="*/ 163 h 163"/>
                                  <a:gd name="T8" fmla="*/ 117 w 164"/>
                                  <a:gd name="T9" fmla="*/ 78 h 163"/>
                                  <a:gd name="T10" fmla="*/ 109 w 164"/>
                                  <a:gd name="T11" fmla="*/ 50 h 163"/>
                                  <a:gd name="T12" fmla="*/ 85 w 164"/>
                                  <a:gd name="T13" fmla="*/ 40 h 163"/>
                                  <a:gd name="T14" fmla="*/ 57 w 164"/>
                                  <a:gd name="T15" fmla="*/ 51 h 163"/>
                                  <a:gd name="T16" fmla="*/ 46 w 164"/>
                                  <a:gd name="T17" fmla="*/ 83 h 163"/>
                                  <a:gd name="T18" fmla="*/ 46 w 164"/>
                                  <a:gd name="T19" fmla="*/ 163 h 163"/>
                                  <a:gd name="T20" fmla="*/ 0 w 164"/>
                                  <a:gd name="T21" fmla="*/ 163 h 163"/>
                                  <a:gd name="T22" fmla="*/ 0 w 164"/>
                                  <a:gd name="T23" fmla="*/ 2 h 163"/>
                                  <a:gd name="T24" fmla="*/ 44 w 164"/>
                                  <a:gd name="T25" fmla="*/ 2 h 163"/>
                                  <a:gd name="T26" fmla="*/ 44 w 164"/>
                                  <a:gd name="T27" fmla="*/ 21 h 163"/>
                                  <a:gd name="T28" fmla="*/ 67 w 164"/>
                                  <a:gd name="T29" fmla="*/ 5 h 163"/>
                                  <a:gd name="T30" fmla="*/ 97 w 164"/>
                                  <a:gd name="T31" fmla="*/ 0 h 163"/>
                                  <a:gd name="T32" fmla="*/ 146 w 164"/>
                                  <a:gd name="T33" fmla="*/ 18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64" h="163">
                                    <a:moveTo>
                                      <a:pt x="146" y="18"/>
                                    </a:moveTo>
                                    <a:cubicBezTo>
                                      <a:pt x="158" y="30"/>
                                      <a:pt x="164" y="47"/>
                                      <a:pt x="164" y="71"/>
                                    </a:cubicBezTo>
                                    <a:cubicBezTo>
                                      <a:pt x="164" y="163"/>
                                      <a:pt x="164" y="163"/>
                                      <a:pt x="164" y="163"/>
                                    </a:cubicBezTo>
                                    <a:cubicBezTo>
                                      <a:pt x="117" y="163"/>
                                      <a:pt x="117" y="163"/>
                                      <a:pt x="117" y="163"/>
                                    </a:cubicBezTo>
                                    <a:cubicBezTo>
                                      <a:pt x="117" y="78"/>
                                      <a:pt x="117" y="78"/>
                                      <a:pt x="117" y="78"/>
                                    </a:cubicBezTo>
                                    <a:cubicBezTo>
                                      <a:pt x="117" y="65"/>
                                      <a:pt x="115" y="56"/>
                                      <a:pt x="109" y="50"/>
                                    </a:cubicBezTo>
                                    <a:cubicBezTo>
                                      <a:pt x="103" y="43"/>
                                      <a:pt x="95" y="40"/>
                                      <a:pt x="85" y="40"/>
                                    </a:cubicBezTo>
                                    <a:cubicBezTo>
                                      <a:pt x="73" y="40"/>
                                      <a:pt x="64" y="44"/>
                                      <a:pt x="57" y="51"/>
                                    </a:cubicBezTo>
                                    <a:cubicBezTo>
                                      <a:pt x="50" y="58"/>
                                      <a:pt x="46" y="69"/>
                                      <a:pt x="46" y="83"/>
                                    </a:cubicBezTo>
                                    <a:cubicBezTo>
                                      <a:pt x="46" y="163"/>
                                      <a:pt x="46" y="163"/>
                                      <a:pt x="46" y="163"/>
                                    </a:cubicBezTo>
                                    <a:cubicBezTo>
                                      <a:pt x="0" y="163"/>
                                      <a:pt x="0" y="163"/>
                                      <a:pt x="0" y="163"/>
                                    </a:cubicBezTo>
                                    <a:cubicBezTo>
                                      <a:pt x="0" y="2"/>
                                      <a:pt x="0" y="2"/>
                                      <a:pt x="0" y="2"/>
                                    </a:cubicBezTo>
                                    <a:cubicBezTo>
                                      <a:pt x="44" y="2"/>
                                      <a:pt x="44" y="2"/>
                                      <a:pt x="44" y="2"/>
                                    </a:cubicBezTo>
                                    <a:cubicBezTo>
                                      <a:pt x="44" y="21"/>
                                      <a:pt x="44" y="21"/>
                                      <a:pt x="44" y="21"/>
                                    </a:cubicBezTo>
                                    <a:cubicBezTo>
                                      <a:pt x="50" y="14"/>
                                      <a:pt x="58" y="9"/>
                                      <a:pt x="67" y="5"/>
                                    </a:cubicBezTo>
                                    <a:cubicBezTo>
                                      <a:pt x="76" y="2"/>
                                      <a:pt x="86" y="0"/>
                                      <a:pt x="97" y="0"/>
                                    </a:cubicBezTo>
                                    <a:cubicBezTo>
                                      <a:pt x="117" y="0"/>
                                      <a:pt x="133" y="6"/>
                                      <a:pt x="146" y="18"/>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66" name="Freeform 57"/>
                            <wps:cNvSpPr>
                              <a:spLocks noEditPoints="1"/>
                            </wps:cNvSpPr>
                            <wps:spPr bwMode="auto">
                              <a:xfrm>
                                <a:off x="1101949" y="1120158"/>
                                <a:ext cx="77577" cy="75480"/>
                              </a:xfrm>
                              <a:custGeom>
                                <a:avLst/>
                                <a:gdLst>
                                  <a:gd name="T0" fmla="*/ 169 w 170"/>
                                  <a:gd name="T1" fmla="*/ 96 h 165"/>
                                  <a:gd name="T2" fmla="*/ 47 w 170"/>
                                  <a:gd name="T3" fmla="*/ 96 h 165"/>
                                  <a:gd name="T4" fmla="*/ 63 w 170"/>
                                  <a:gd name="T5" fmla="*/ 119 h 165"/>
                                  <a:gd name="T6" fmla="*/ 93 w 170"/>
                                  <a:gd name="T7" fmla="*/ 128 h 165"/>
                                  <a:gd name="T8" fmla="*/ 116 w 170"/>
                                  <a:gd name="T9" fmla="*/ 124 h 165"/>
                                  <a:gd name="T10" fmla="*/ 134 w 170"/>
                                  <a:gd name="T11" fmla="*/ 112 h 165"/>
                                  <a:gd name="T12" fmla="*/ 158 w 170"/>
                                  <a:gd name="T13" fmla="*/ 139 h 165"/>
                                  <a:gd name="T14" fmla="*/ 92 w 170"/>
                                  <a:gd name="T15" fmla="*/ 165 h 165"/>
                                  <a:gd name="T16" fmla="*/ 44 w 170"/>
                                  <a:gd name="T17" fmla="*/ 155 h 165"/>
                                  <a:gd name="T18" fmla="*/ 12 w 170"/>
                                  <a:gd name="T19" fmla="*/ 125 h 165"/>
                                  <a:gd name="T20" fmla="*/ 0 w 170"/>
                                  <a:gd name="T21" fmla="*/ 83 h 165"/>
                                  <a:gd name="T22" fmla="*/ 11 w 170"/>
                                  <a:gd name="T23" fmla="*/ 40 h 165"/>
                                  <a:gd name="T24" fmla="*/ 42 w 170"/>
                                  <a:gd name="T25" fmla="*/ 10 h 165"/>
                                  <a:gd name="T26" fmla="*/ 86 w 170"/>
                                  <a:gd name="T27" fmla="*/ 0 h 165"/>
                                  <a:gd name="T28" fmla="*/ 129 w 170"/>
                                  <a:gd name="T29" fmla="*/ 10 h 165"/>
                                  <a:gd name="T30" fmla="*/ 159 w 170"/>
                                  <a:gd name="T31" fmla="*/ 39 h 165"/>
                                  <a:gd name="T32" fmla="*/ 170 w 170"/>
                                  <a:gd name="T33" fmla="*/ 83 h 165"/>
                                  <a:gd name="T34" fmla="*/ 169 w 170"/>
                                  <a:gd name="T35" fmla="*/ 96 h 165"/>
                                  <a:gd name="T36" fmla="*/ 60 w 170"/>
                                  <a:gd name="T37" fmla="*/ 44 h 165"/>
                                  <a:gd name="T38" fmla="*/ 47 w 170"/>
                                  <a:gd name="T39" fmla="*/ 69 h 165"/>
                                  <a:gd name="T40" fmla="*/ 126 w 170"/>
                                  <a:gd name="T41" fmla="*/ 69 h 165"/>
                                  <a:gd name="T42" fmla="*/ 113 w 170"/>
                                  <a:gd name="T43" fmla="*/ 44 h 165"/>
                                  <a:gd name="T44" fmla="*/ 86 w 170"/>
                                  <a:gd name="T45" fmla="*/ 35 h 165"/>
                                  <a:gd name="T46" fmla="*/ 60 w 170"/>
                                  <a:gd name="T47" fmla="*/ 44 h 1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70" h="165">
                                    <a:moveTo>
                                      <a:pt x="169" y="96"/>
                                    </a:moveTo>
                                    <a:cubicBezTo>
                                      <a:pt x="47" y="96"/>
                                      <a:pt x="47" y="96"/>
                                      <a:pt x="47" y="96"/>
                                    </a:cubicBezTo>
                                    <a:cubicBezTo>
                                      <a:pt x="49" y="106"/>
                                      <a:pt x="55" y="114"/>
                                      <a:pt x="63" y="119"/>
                                    </a:cubicBezTo>
                                    <a:cubicBezTo>
                                      <a:pt x="71" y="125"/>
                                      <a:pt x="81" y="128"/>
                                      <a:pt x="93" y="128"/>
                                    </a:cubicBezTo>
                                    <a:cubicBezTo>
                                      <a:pt x="102" y="128"/>
                                      <a:pt x="109" y="127"/>
                                      <a:pt x="116" y="124"/>
                                    </a:cubicBezTo>
                                    <a:cubicBezTo>
                                      <a:pt x="122" y="122"/>
                                      <a:pt x="128" y="118"/>
                                      <a:pt x="134" y="112"/>
                                    </a:cubicBezTo>
                                    <a:cubicBezTo>
                                      <a:pt x="158" y="139"/>
                                      <a:pt x="158" y="139"/>
                                      <a:pt x="158" y="139"/>
                                    </a:cubicBezTo>
                                    <a:cubicBezTo>
                                      <a:pt x="143" y="157"/>
                                      <a:pt x="121" y="165"/>
                                      <a:pt x="92" y="165"/>
                                    </a:cubicBezTo>
                                    <a:cubicBezTo>
                                      <a:pt x="74" y="165"/>
                                      <a:pt x="58" y="162"/>
                                      <a:pt x="44" y="155"/>
                                    </a:cubicBezTo>
                                    <a:cubicBezTo>
                                      <a:pt x="30" y="148"/>
                                      <a:pt x="19" y="138"/>
                                      <a:pt x="12" y="125"/>
                                    </a:cubicBezTo>
                                    <a:cubicBezTo>
                                      <a:pt x="4" y="113"/>
                                      <a:pt x="0" y="99"/>
                                      <a:pt x="0" y="83"/>
                                    </a:cubicBezTo>
                                    <a:cubicBezTo>
                                      <a:pt x="0" y="67"/>
                                      <a:pt x="4" y="53"/>
                                      <a:pt x="11" y="40"/>
                                    </a:cubicBezTo>
                                    <a:cubicBezTo>
                                      <a:pt x="19" y="27"/>
                                      <a:pt x="29" y="17"/>
                                      <a:pt x="42" y="10"/>
                                    </a:cubicBezTo>
                                    <a:cubicBezTo>
                                      <a:pt x="55" y="3"/>
                                      <a:pt x="70" y="0"/>
                                      <a:pt x="86" y="0"/>
                                    </a:cubicBezTo>
                                    <a:cubicBezTo>
                                      <a:pt x="102" y="0"/>
                                      <a:pt x="116" y="3"/>
                                      <a:pt x="129" y="10"/>
                                    </a:cubicBezTo>
                                    <a:cubicBezTo>
                                      <a:pt x="142" y="17"/>
                                      <a:pt x="152" y="26"/>
                                      <a:pt x="159" y="39"/>
                                    </a:cubicBezTo>
                                    <a:cubicBezTo>
                                      <a:pt x="166" y="52"/>
                                      <a:pt x="170" y="66"/>
                                      <a:pt x="170" y="83"/>
                                    </a:cubicBezTo>
                                    <a:cubicBezTo>
                                      <a:pt x="170" y="84"/>
                                      <a:pt x="170" y="88"/>
                                      <a:pt x="169" y="96"/>
                                    </a:cubicBezTo>
                                    <a:close/>
                                    <a:moveTo>
                                      <a:pt x="60" y="44"/>
                                    </a:moveTo>
                                    <a:cubicBezTo>
                                      <a:pt x="53" y="50"/>
                                      <a:pt x="48" y="58"/>
                                      <a:pt x="47" y="69"/>
                                    </a:cubicBezTo>
                                    <a:cubicBezTo>
                                      <a:pt x="126" y="69"/>
                                      <a:pt x="126" y="69"/>
                                      <a:pt x="126" y="69"/>
                                    </a:cubicBezTo>
                                    <a:cubicBezTo>
                                      <a:pt x="124" y="58"/>
                                      <a:pt x="120" y="50"/>
                                      <a:pt x="113" y="44"/>
                                    </a:cubicBezTo>
                                    <a:cubicBezTo>
                                      <a:pt x="106" y="38"/>
                                      <a:pt x="97" y="35"/>
                                      <a:pt x="86" y="35"/>
                                    </a:cubicBezTo>
                                    <a:cubicBezTo>
                                      <a:pt x="76" y="35"/>
                                      <a:pt x="67" y="38"/>
                                      <a:pt x="60" y="44"/>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67" name="Freeform 58"/>
                            <wps:cNvSpPr>
                              <a:spLocks noEditPoints="1"/>
                            </wps:cNvSpPr>
                            <wps:spPr bwMode="auto">
                              <a:xfrm>
                                <a:off x="1241378" y="1097095"/>
                                <a:ext cx="91206" cy="99592"/>
                              </a:xfrm>
                              <a:custGeom>
                                <a:avLst/>
                                <a:gdLst>
                                  <a:gd name="T0" fmla="*/ 175 w 200"/>
                                  <a:gd name="T1" fmla="*/ 216 h 216"/>
                                  <a:gd name="T2" fmla="*/ 150 w 200"/>
                                  <a:gd name="T3" fmla="*/ 192 h 216"/>
                                  <a:gd name="T4" fmla="*/ 80 w 200"/>
                                  <a:gd name="T5" fmla="*/ 216 h 216"/>
                                  <a:gd name="T6" fmla="*/ 39 w 200"/>
                                  <a:gd name="T7" fmla="*/ 208 h 216"/>
                                  <a:gd name="T8" fmla="*/ 10 w 200"/>
                                  <a:gd name="T9" fmla="*/ 188 h 216"/>
                                  <a:gd name="T10" fmla="*/ 0 w 200"/>
                                  <a:gd name="T11" fmla="*/ 158 h 216"/>
                                  <a:gd name="T12" fmla="*/ 11 w 200"/>
                                  <a:gd name="T13" fmla="*/ 124 h 216"/>
                                  <a:gd name="T14" fmla="*/ 46 w 200"/>
                                  <a:gd name="T15" fmla="*/ 96 h 216"/>
                                  <a:gd name="T16" fmla="*/ 29 w 200"/>
                                  <a:gd name="T17" fmla="*/ 73 h 216"/>
                                  <a:gd name="T18" fmla="*/ 24 w 200"/>
                                  <a:gd name="T19" fmla="*/ 51 h 216"/>
                                  <a:gd name="T20" fmla="*/ 32 w 200"/>
                                  <a:gd name="T21" fmla="*/ 24 h 216"/>
                                  <a:gd name="T22" fmla="*/ 55 w 200"/>
                                  <a:gd name="T23" fmla="*/ 6 h 216"/>
                                  <a:gd name="T24" fmla="*/ 89 w 200"/>
                                  <a:gd name="T25" fmla="*/ 0 h 216"/>
                                  <a:gd name="T26" fmla="*/ 133 w 200"/>
                                  <a:gd name="T27" fmla="*/ 13 h 216"/>
                                  <a:gd name="T28" fmla="*/ 150 w 200"/>
                                  <a:gd name="T29" fmla="*/ 48 h 216"/>
                                  <a:gd name="T30" fmla="*/ 140 w 200"/>
                                  <a:gd name="T31" fmla="*/ 77 h 216"/>
                                  <a:gd name="T32" fmla="*/ 109 w 200"/>
                                  <a:gd name="T33" fmla="*/ 101 h 216"/>
                                  <a:gd name="T34" fmla="*/ 147 w 200"/>
                                  <a:gd name="T35" fmla="*/ 137 h 216"/>
                                  <a:gd name="T36" fmla="*/ 157 w 200"/>
                                  <a:gd name="T37" fmla="*/ 104 h 216"/>
                                  <a:gd name="T38" fmla="*/ 195 w 200"/>
                                  <a:gd name="T39" fmla="*/ 116 h 216"/>
                                  <a:gd name="T40" fmla="*/ 176 w 200"/>
                                  <a:gd name="T41" fmla="*/ 163 h 216"/>
                                  <a:gd name="T42" fmla="*/ 200 w 200"/>
                                  <a:gd name="T43" fmla="*/ 186 h 216"/>
                                  <a:gd name="T44" fmla="*/ 175 w 200"/>
                                  <a:gd name="T45" fmla="*/ 216 h 216"/>
                                  <a:gd name="T46" fmla="*/ 122 w 200"/>
                                  <a:gd name="T47" fmla="*/ 167 h 216"/>
                                  <a:gd name="T48" fmla="*/ 72 w 200"/>
                                  <a:gd name="T49" fmla="*/ 120 h 216"/>
                                  <a:gd name="T50" fmla="*/ 51 w 200"/>
                                  <a:gd name="T51" fmla="*/ 135 h 216"/>
                                  <a:gd name="T52" fmla="*/ 45 w 200"/>
                                  <a:gd name="T53" fmla="*/ 153 h 216"/>
                                  <a:gd name="T54" fmla="*/ 56 w 200"/>
                                  <a:gd name="T55" fmla="*/ 172 h 216"/>
                                  <a:gd name="T56" fmla="*/ 83 w 200"/>
                                  <a:gd name="T57" fmla="*/ 179 h 216"/>
                                  <a:gd name="T58" fmla="*/ 122 w 200"/>
                                  <a:gd name="T59" fmla="*/ 167 h 216"/>
                                  <a:gd name="T60" fmla="*/ 73 w 200"/>
                                  <a:gd name="T61" fmla="*/ 37 h 216"/>
                                  <a:gd name="T62" fmla="*/ 67 w 200"/>
                                  <a:gd name="T63" fmla="*/ 51 h 216"/>
                                  <a:gd name="T64" fmla="*/ 70 w 200"/>
                                  <a:gd name="T65" fmla="*/ 63 h 216"/>
                                  <a:gd name="T66" fmla="*/ 83 w 200"/>
                                  <a:gd name="T67" fmla="*/ 77 h 216"/>
                                  <a:gd name="T68" fmla="*/ 104 w 200"/>
                                  <a:gd name="T69" fmla="*/ 63 h 216"/>
                                  <a:gd name="T70" fmla="*/ 110 w 200"/>
                                  <a:gd name="T71" fmla="*/ 49 h 216"/>
                                  <a:gd name="T72" fmla="*/ 105 w 200"/>
                                  <a:gd name="T73" fmla="*/ 36 h 216"/>
                                  <a:gd name="T74" fmla="*/ 89 w 200"/>
                                  <a:gd name="T75" fmla="*/ 32 h 216"/>
                                  <a:gd name="T76" fmla="*/ 73 w 200"/>
                                  <a:gd name="T77" fmla="*/ 37 h 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00" h="216">
                                    <a:moveTo>
                                      <a:pt x="175" y="216"/>
                                    </a:moveTo>
                                    <a:cubicBezTo>
                                      <a:pt x="150" y="192"/>
                                      <a:pt x="150" y="192"/>
                                      <a:pt x="150" y="192"/>
                                    </a:cubicBezTo>
                                    <a:cubicBezTo>
                                      <a:pt x="130" y="208"/>
                                      <a:pt x="106" y="216"/>
                                      <a:pt x="80" y="216"/>
                                    </a:cubicBezTo>
                                    <a:cubicBezTo>
                                      <a:pt x="64" y="216"/>
                                      <a:pt x="51" y="213"/>
                                      <a:pt x="39" y="208"/>
                                    </a:cubicBezTo>
                                    <a:cubicBezTo>
                                      <a:pt x="26" y="203"/>
                                      <a:pt x="17" y="197"/>
                                      <a:pt x="10" y="188"/>
                                    </a:cubicBezTo>
                                    <a:cubicBezTo>
                                      <a:pt x="3" y="179"/>
                                      <a:pt x="0" y="169"/>
                                      <a:pt x="0" y="158"/>
                                    </a:cubicBezTo>
                                    <a:cubicBezTo>
                                      <a:pt x="0" y="145"/>
                                      <a:pt x="3" y="134"/>
                                      <a:pt x="11" y="124"/>
                                    </a:cubicBezTo>
                                    <a:cubicBezTo>
                                      <a:pt x="18" y="114"/>
                                      <a:pt x="30" y="105"/>
                                      <a:pt x="46" y="96"/>
                                    </a:cubicBezTo>
                                    <a:cubicBezTo>
                                      <a:pt x="38" y="88"/>
                                      <a:pt x="33" y="80"/>
                                      <a:pt x="29" y="73"/>
                                    </a:cubicBezTo>
                                    <a:cubicBezTo>
                                      <a:pt x="26" y="66"/>
                                      <a:pt x="24" y="59"/>
                                      <a:pt x="24" y="51"/>
                                    </a:cubicBezTo>
                                    <a:cubicBezTo>
                                      <a:pt x="24" y="41"/>
                                      <a:pt x="27" y="32"/>
                                      <a:pt x="32" y="24"/>
                                    </a:cubicBezTo>
                                    <a:cubicBezTo>
                                      <a:pt x="38" y="17"/>
                                      <a:pt x="45" y="11"/>
                                      <a:pt x="55" y="6"/>
                                    </a:cubicBezTo>
                                    <a:cubicBezTo>
                                      <a:pt x="65" y="2"/>
                                      <a:pt x="77" y="0"/>
                                      <a:pt x="89" y="0"/>
                                    </a:cubicBezTo>
                                    <a:cubicBezTo>
                                      <a:pt x="108" y="0"/>
                                      <a:pt x="122" y="4"/>
                                      <a:pt x="133" y="13"/>
                                    </a:cubicBezTo>
                                    <a:cubicBezTo>
                                      <a:pt x="144" y="22"/>
                                      <a:pt x="150" y="33"/>
                                      <a:pt x="150" y="48"/>
                                    </a:cubicBezTo>
                                    <a:cubicBezTo>
                                      <a:pt x="150" y="59"/>
                                      <a:pt x="146" y="68"/>
                                      <a:pt x="140" y="77"/>
                                    </a:cubicBezTo>
                                    <a:cubicBezTo>
                                      <a:pt x="133" y="85"/>
                                      <a:pt x="123" y="93"/>
                                      <a:pt x="109" y="101"/>
                                    </a:cubicBezTo>
                                    <a:cubicBezTo>
                                      <a:pt x="147" y="137"/>
                                      <a:pt x="147" y="137"/>
                                      <a:pt x="147" y="137"/>
                                    </a:cubicBezTo>
                                    <a:cubicBezTo>
                                      <a:pt x="151" y="127"/>
                                      <a:pt x="155" y="116"/>
                                      <a:pt x="157" y="104"/>
                                    </a:cubicBezTo>
                                    <a:cubicBezTo>
                                      <a:pt x="195" y="116"/>
                                      <a:pt x="195" y="116"/>
                                      <a:pt x="195" y="116"/>
                                    </a:cubicBezTo>
                                    <a:cubicBezTo>
                                      <a:pt x="191" y="134"/>
                                      <a:pt x="184" y="150"/>
                                      <a:pt x="176" y="163"/>
                                    </a:cubicBezTo>
                                    <a:cubicBezTo>
                                      <a:pt x="200" y="186"/>
                                      <a:pt x="200" y="186"/>
                                      <a:pt x="200" y="186"/>
                                    </a:cubicBezTo>
                                    <a:lnTo>
                                      <a:pt x="175" y="216"/>
                                    </a:lnTo>
                                    <a:close/>
                                    <a:moveTo>
                                      <a:pt x="122" y="167"/>
                                    </a:moveTo>
                                    <a:cubicBezTo>
                                      <a:pt x="72" y="120"/>
                                      <a:pt x="72" y="120"/>
                                      <a:pt x="72" y="120"/>
                                    </a:cubicBezTo>
                                    <a:cubicBezTo>
                                      <a:pt x="62" y="125"/>
                                      <a:pt x="55" y="130"/>
                                      <a:pt x="51" y="135"/>
                                    </a:cubicBezTo>
                                    <a:cubicBezTo>
                                      <a:pt x="47" y="141"/>
                                      <a:pt x="45" y="147"/>
                                      <a:pt x="45" y="153"/>
                                    </a:cubicBezTo>
                                    <a:cubicBezTo>
                                      <a:pt x="45" y="161"/>
                                      <a:pt x="49" y="167"/>
                                      <a:pt x="56" y="172"/>
                                    </a:cubicBezTo>
                                    <a:cubicBezTo>
                                      <a:pt x="62" y="177"/>
                                      <a:pt x="72" y="179"/>
                                      <a:pt x="83" y="179"/>
                                    </a:cubicBezTo>
                                    <a:cubicBezTo>
                                      <a:pt x="97" y="179"/>
                                      <a:pt x="111" y="175"/>
                                      <a:pt x="122" y="167"/>
                                    </a:cubicBezTo>
                                    <a:close/>
                                    <a:moveTo>
                                      <a:pt x="73" y="37"/>
                                    </a:moveTo>
                                    <a:cubicBezTo>
                                      <a:pt x="69" y="41"/>
                                      <a:pt x="67" y="45"/>
                                      <a:pt x="67" y="51"/>
                                    </a:cubicBezTo>
                                    <a:cubicBezTo>
                                      <a:pt x="67" y="55"/>
                                      <a:pt x="68" y="59"/>
                                      <a:pt x="70" y="63"/>
                                    </a:cubicBezTo>
                                    <a:cubicBezTo>
                                      <a:pt x="72" y="66"/>
                                      <a:pt x="77" y="71"/>
                                      <a:pt x="83" y="77"/>
                                    </a:cubicBezTo>
                                    <a:cubicBezTo>
                                      <a:pt x="93" y="72"/>
                                      <a:pt x="100" y="67"/>
                                      <a:pt x="104" y="63"/>
                                    </a:cubicBezTo>
                                    <a:cubicBezTo>
                                      <a:pt x="108" y="59"/>
                                      <a:pt x="110" y="54"/>
                                      <a:pt x="110" y="49"/>
                                    </a:cubicBezTo>
                                    <a:cubicBezTo>
                                      <a:pt x="110" y="44"/>
                                      <a:pt x="108" y="40"/>
                                      <a:pt x="105" y="36"/>
                                    </a:cubicBezTo>
                                    <a:cubicBezTo>
                                      <a:pt x="101" y="33"/>
                                      <a:pt x="96" y="32"/>
                                      <a:pt x="89" y="32"/>
                                    </a:cubicBezTo>
                                    <a:cubicBezTo>
                                      <a:pt x="82" y="32"/>
                                      <a:pt x="77" y="33"/>
                                      <a:pt x="73" y="37"/>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68" name="Freeform 59"/>
                            <wps:cNvSpPr>
                              <a:spLocks noEditPoints="1"/>
                            </wps:cNvSpPr>
                            <wps:spPr bwMode="auto">
                              <a:xfrm>
                                <a:off x="1399676" y="1099192"/>
                                <a:ext cx="84916" cy="95398"/>
                              </a:xfrm>
                              <a:custGeom>
                                <a:avLst/>
                                <a:gdLst>
                                  <a:gd name="T0" fmla="*/ 134 w 186"/>
                                  <a:gd name="T1" fmla="*/ 209 h 209"/>
                                  <a:gd name="T2" fmla="*/ 93 w 186"/>
                                  <a:gd name="T3" fmla="*/ 151 h 209"/>
                                  <a:gd name="T4" fmla="*/ 91 w 186"/>
                                  <a:gd name="T5" fmla="*/ 151 h 209"/>
                                  <a:gd name="T6" fmla="*/ 49 w 186"/>
                                  <a:gd name="T7" fmla="*/ 151 h 209"/>
                                  <a:gd name="T8" fmla="*/ 49 w 186"/>
                                  <a:gd name="T9" fmla="*/ 209 h 209"/>
                                  <a:gd name="T10" fmla="*/ 0 w 186"/>
                                  <a:gd name="T11" fmla="*/ 209 h 209"/>
                                  <a:gd name="T12" fmla="*/ 0 w 186"/>
                                  <a:gd name="T13" fmla="*/ 0 h 209"/>
                                  <a:gd name="T14" fmla="*/ 91 w 186"/>
                                  <a:gd name="T15" fmla="*/ 0 h 209"/>
                                  <a:gd name="T16" fmla="*/ 139 w 186"/>
                                  <a:gd name="T17" fmla="*/ 9 h 209"/>
                                  <a:gd name="T18" fmla="*/ 171 w 186"/>
                                  <a:gd name="T19" fmla="*/ 35 h 209"/>
                                  <a:gd name="T20" fmla="*/ 182 w 186"/>
                                  <a:gd name="T21" fmla="*/ 76 h 209"/>
                                  <a:gd name="T22" fmla="*/ 170 w 186"/>
                                  <a:gd name="T23" fmla="*/ 116 h 209"/>
                                  <a:gd name="T24" fmla="*/ 139 w 186"/>
                                  <a:gd name="T25" fmla="*/ 142 h 209"/>
                                  <a:gd name="T26" fmla="*/ 186 w 186"/>
                                  <a:gd name="T27" fmla="*/ 209 h 209"/>
                                  <a:gd name="T28" fmla="*/ 134 w 186"/>
                                  <a:gd name="T29" fmla="*/ 209 h 209"/>
                                  <a:gd name="T30" fmla="*/ 121 w 186"/>
                                  <a:gd name="T31" fmla="*/ 49 h 209"/>
                                  <a:gd name="T32" fmla="*/ 88 w 186"/>
                                  <a:gd name="T33" fmla="*/ 39 h 209"/>
                                  <a:gd name="T34" fmla="*/ 49 w 186"/>
                                  <a:gd name="T35" fmla="*/ 39 h 209"/>
                                  <a:gd name="T36" fmla="*/ 49 w 186"/>
                                  <a:gd name="T37" fmla="*/ 112 h 209"/>
                                  <a:gd name="T38" fmla="*/ 88 w 186"/>
                                  <a:gd name="T39" fmla="*/ 112 h 209"/>
                                  <a:gd name="T40" fmla="*/ 121 w 186"/>
                                  <a:gd name="T41" fmla="*/ 103 h 209"/>
                                  <a:gd name="T42" fmla="*/ 133 w 186"/>
                                  <a:gd name="T43" fmla="*/ 76 h 209"/>
                                  <a:gd name="T44" fmla="*/ 121 w 186"/>
                                  <a:gd name="T45" fmla="*/ 49 h 2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86" h="209">
                                    <a:moveTo>
                                      <a:pt x="134" y="209"/>
                                    </a:moveTo>
                                    <a:cubicBezTo>
                                      <a:pt x="93" y="151"/>
                                      <a:pt x="93" y="151"/>
                                      <a:pt x="93" y="151"/>
                                    </a:cubicBezTo>
                                    <a:cubicBezTo>
                                      <a:pt x="91" y="151"/>
                                      <a:pt x="91" y="151"/>
                                      <a:pt x="91" y="151"/>
                                    </a:cubicBezTo>
                                    <a:cubicBezTo>
                                      <a:pt x="49" y="151"/>
                                      <a:pt x="49" y="151"/>
                                      <a:pt x="49" y="151"/>
                                    </a:cubicBezTo>
                                    <a:cubicBezTo>
                                      <a:pt x="49" y="209"/>
                                      <a:pt x="49" y="209"/>
                                      <a:pt x="49" y="209"/>
                                    </a:cubicBezTo>
                                    <a:cubicBezTo>
                                      <a:pt x="0" y="209"/>
                                      <a:pt x="0" y="209"/>
                                      <a:pt x="0" y="209"/>
                                    </a:cubicBezTo>
                                    <a:cubicBezTo>
                                      <a:pt x="0" y="0"/>
                                      <a:pt x="0" y="0"/>
                                      <a:pt x="0" y="0"/>
                                    </a:cubicBezTo>
                                    <a:cubicBezTo>
                                      <a:pt x="91" y="0"/>
                                      <a:pt x="91" y="0"/>
                                      <a:pt x="91" y="0"/>
                                    </a:cubicBezTo>
                                    <a:cubicBezTo>
                                      <a:pt x="109" y="0"/>
                                      <a:pt x="125" y="3"/>
                                      <a:pt x="139" y="9"/>
                                    </a:cubicBezTo>
                                    <a:cubicBezTo>
                                      <a:pt x="153" y="15"/>
                                      <a:pt x="163" y="24"/>
                                      <a:pt x="171" y="35"/>
                                    </a:cubicBezTo>
                                    <a:cubicBezTo>
                                      <a:pt x="178" y="47"/>
                                      <a:pt x="182" y="60"/>
                                      <a:pt x="182" y="76"/>
                                    </a:cubicBezTo>
                                    <a:cubicBezTo>
                                      <a:pt x="182" y="91"/>
                                      <a:pt x="178" y="105"/>
                                      <a:pt x="170" y="116"/>
                                    </a:cubicBezTo>
                                    <a:cubicBezTo>
                                      <a:pt x="163" y="127"/>
                                      <a:pt x="152" y="136"/>
                                      <a:pt x="139" y="142"/>
                                    </a:cubicBezTo>
                                    <a:cubicBezTo>
                                      <a:pt x="186" y="209"/>
                                      <a:pt x="186" y="209"/>
                                      <a:pt x="186" y="209"/>
                                    </a:cubicBezTo>
                                    <a:lnTo>
                                      <a:pt x="134" y="209"/>
                                    </a:lnTo>
                                    <a:close/>
                                    <a:moveTo>
                                      <a:pt x="121" y="49"/>
                                    </a:moveTo>
                                    <a:cubicBezTo>
                                      <a:pt x="114" y="42"/>
                                      <a:pt x="103" y="39"/>
                                      <a:pt x="88" y="39"/>
                                    </a:cubicBezTo>
                                    <a:cubicBezTo>
                                      <a:pt x="49" y="39"/>
                                      <a:pt x="49" y="39"/>
                                      <a:pt x="49" y="39"/>
                                    </a:cubicBezTo>
                                    <a:cubicBezTo>
                                      <a:pt x="49" y="112"/>
                                      <a:pt x="49" y="112"/>
                                      <a:pt x="49" y="112"/>
                                    </a:cubicBezTo>
                                    <a:cubicBezTo>
                                      <a:pt x="88" y="112"/>
                                      <a:pt x="88" y="112"/>
                                      <a:pt x="88" y="112"/>
                                    </a:cubicBezTo>
                                    <a:cubicBezTo>
                                      <a:pt x="103" y="112"/>
                                      <a:pt x="114" y="109"/>
                                      <a:pt x="121" y="103"/>
                                    </a:cubicBezTo>
                                    <a:cubicBezTo>
                                      <a:pt x="129" y="96"/>
                                      <a:pt x="133" y="87"/>
                                      <a:pt x="133" y="76"/>
                                    </a:cubicBezTo>
                                    <a:cubicBezTo>
                                      <a:pt x="133" y="64"/>
                                      <a:pt x="129" y="55"/>
                                      <a:pt x="121" y="49"/>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69" name="Freeform 60"/>
                            <wps:cNvSpPr>
                              <a:spLocks noEditPoints="1"/>
                            </wps:cNvSpPr>
                            <wps:spPr bwMode="auto">
                              <a:xfrm>
                                <a:off x="1500316" y="1120158"/>
                                <a:ext cx="76529" cy="75480"/>
                              </a:xfrm>
                              <a:custGeom>
                                <a:avLst/>
                                <a:gdLst>
                                  <a:gd name="T0" fmla="*/ 168 w 169"/>
                                  <a:gd name="T1" fmla="*/ 96 h 165"/>
                                  <a:gd name="T2" fmla="*/ 47 w 169"/>
                                  <a:gd name="T3" fmla="*/ 96 h 165"/>
                                  <a:gd name="T4" fmla="*/ 62 w 169"/>
                                  <a:gd name="T5" fmla="*/ 119 h 165"/>
                                  <a:gd name="T6" fmla="*/ 93 w 169"/>
                                  <a:gd name="T7" fmla="*/ 128 h 165"/>
                                  <a:gd name="T8" fmla="*/ 115 w 169"/>
                                  <a:gd name="T9" fmla="*/ 124 h 165"/>
                                  <a:gd name="T10" fmla="*/ 133 w 169"/>
                                  <a:gd name="T11" fmla="*/ 112 h 165"/>
                                  <a:gd name="T12" fmla="*/ 158 w 169"/>
                                  <a:gd name="T13" fmla="*/ 139 h 165"/>
                                  <a:gd name="T14" fmla="*/ 91 w 169"/>
                                  <a:gd name="T15" fmla="*/ 165 h 165"/>
                                  <a:gd name="T16" fmla="*/ 43 w 169"/>
                                  <a:gd name="T17" fmla="*/ 155 h 165"/>
                                  <a:gd name="T18" fmla="*/ 11 w 169"/>
                                  <a:gd name="T19" fmla="*/ 125 h 165"/>
                                  <a:gd name="T20" fmla="*/ 0 w 169"/>
                                  <a:gd name="T21" fmla="*/ 83 h 165"/>
                                  <a:gd name="T22" fmla="*/ 11 w 169"/>
                                  <a:gd name="T23" fmla="*/ 40 h 165"/>
                                  <a:gd name="T24" fmla="*/ 42 w 169"/>
                                  <a:gd name="T25" fmla="*/ 10 h 165"/>
                                  <a:gd name="T26" fmla="*/ 86 w 169"/>
                                  <a:gd name="T27" fmla="*/ 0 h 165"/>
                                  <a:gd name="T28" fmla="*/ 128 w 169"/>
                                  <a:gd name="T29" fmla="*/ 10 h 165"/>
                                  <a:gd name="T30" fmla="*/ 158 w 169"/>
                                  <a:gd name="T31" fmla="*/ 39 h 165"/>
                                  <a:gd name="T32" fmla="*/ 169 w 169"/>
                                  <a:gd name="T33" fmla="*/ 83 h 165"/>
                                  <a:gd name="T34" fmla="*/ 168 w 169"/>
                                  <a:gd name="T35" fmla="*/ 96 h 165"/>
                                  <a:gd name="T36" fmla="*/ 59 w 169"/>
                                  <a:gd name="T37" fmla="*/ 44 h 165"/>
                                  <a:gd name="T38" fmla="*/ 46 w 169"/>
                                  <a:gd name="T39" fmla="*/ 69 h 165"/>
                                  <a:gd name="T40" fmla="*/ 125 w 169"/>
                                  <a:gd name="T41" fmla="*/ 69 h 165"/>
                                  <a:gd name="T42" fmla="*/ 112 w 169"/>
                                  <a:gd name="T43" fmla="*/ 44 h 165"/>
                                  <a:gd name="T44" fmla="*/ 86 w 169"/>
                                  <a:gd name="T45" fmla="*/ 35 h 165"/>
                                  <a:gd name="T46" fmla="*/ 59 w 169"/>
                                  <a:gd name="T47" fmla="*/ 44 h 1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69" h="165">
                                    <a:moveTo>
                                      <a:pt x="168" y="96"/>
                                    </a:moveTo>
                                    <a:cubicBezTo>
                                      <a:pt x="47" y="96"/>
                                      <a:pt x="47" y="96"/>
                                      <a:pt x="47" y="96"/>
                                    </a:cubicBezTo>
                                    <a:cubicBezTo>
                                      <a:pt x="49" y="106"/>
                                      <a:pt x="54" y="114"/>
                                      <a:pt x="62" y="119"/>
                                    </a:cubicBezTo>
                                    <a:cubicBezTo>
                                      <a:pt x="70" y="125"/>
                                      <a:pt x="81" y="128"/>
                                      <a:pt x="93" y="128"/>
                                    </a:cubicBezTo>
                                    <a:cubicBezTo>
                                      <a:pt x="101" y="128"/>
                                      <a:pt x="108" y="127"/>
                                      <a:pt x="115" y="124"/>
                                    </a:cubicBezTo>
                                    <a:cubicBezTo>
                                      <a:pt x="121" y="122"/>
                                      <a:pt x="127" y="118"/>
                                      <a:pt x="133" y="112"/>
                                    </a:cubicBezTo>
                                    <a:cubicBezTo>
                                      <a:pt x="158" y="139"/>
                                      <a:pt x="158" y="139"/>
                                      <a:pt x="158" y="139"/>
                                    </a:cubicBezTo>
                                    <a:cubicBezTo>
                                      <a:pt x="143" y="157"/>
                                      <a:pt x="121" y="165"/>
                                      <a:pt x="91" y="165"/>
                                    </a:cubicBezTo>
                                    <a:cubicBezTo>
                                      <a:pt x="73" y="165"/>
                                      <a:pt x="57" y="162"/>
                                      <a:pt x="43" y="155"/>
                                    </a:cubicBezTo>
                                    <a:cubicBezTo>
                                      <a:pt x="29" y="148"/>
                                      <a:pt x="19" y="138"/>
                                      <a:pt x="11" y="125"/>
                                    </a:cubicBezTo>
                                    <a:cubicBezTo>
                                      <a:pt x="3" y="113"/>
                                      <a:pt x="0" y="99"/>
                                      <a:pt x="0" y="83"/>
                                    </a:cubicBezTo>
                                    <a:cubicBezTo>
                                      <a:pt x="0" y="67"/>
                                      <a:pt x="3" y="53"/>
                                      <a:pt x="11" y="40"/>
                                    </a:cubicBezTo>
                                    <a:cubicBezTo>
                                      <a:pt x="18" y="27"/>
                                      <a:pt x="29" y="17"/>
                                      <a:pt x="42" y="10"/>
                                    </a:cubicBezTo>
                                    <a:cubicBezTo>
                                      <a:pt x="55" y="3"/>
                                      <a:pt x="69" y="0"/>
                                      <a:pt x="86" y="0"/>
                                    </a:cubicBezTo>
                                    <a:cubicBezTo>
                                      <a:pt x="101" y="0"/>
                                      <a:pt x="116" y="3"/>
                                      <a:pt x="128" y="10"/>
                                    </a:cubicBezTo>
                                    <a:cubicBezTo>
                                      <a:pt x="141" y="17"/>
                                      <a:pt x="151" y="26"/>
                                      <a:pt x="158" y="39"/>
                                    </a:cubicBezTo>
                                    <a:cubicBezTo>
                                      <a:pt x="166" y="52"/>
                                      <a:pt x="169" y="66"/>
                                      <a:pt x="169" y="83"/>
                                    </a:cubicBezTo>
                                    <a:cubicBezTo>
                                      <a:pt x="169" y="84"/>
                                      <a:pt x="169" y="88"/>
                                      <a:pt x="168" y="96"/>
                                    </a:cubicBezTo>
                                    <a:close/>
                                    <a:moveTo>
                                      <a:pt x="59" y="44"/>
                                    </a:moveTo>
                                    <a:cubicBezTo>
                                      <a:pt x="52" y="50"/>
                                      <a:pt x="48" y="58"/>
                                      <a:pt x="46" y="69"/>
                                    </a:cubicBezTo>
                                    <a:cubicBezTo>
                                      <a:pt x="125" y="69"/>
                                      <a:pt x="125" y="69"/>
                                      <a:pt x="125" y="69"/>
                                    </a:cubicBezTo>
                                    <a:cubicBezTo>
                                      <a:pt x="124" y="58"/>
                                      <a:pt x="119" y="50"/>
                                      <a:pt x="112" y="44"/>
                                    </a:cubicBezTo>
                                    <a:cubicBezTo>
                                      <a:pt x="105" y="38"/>
                                      <a:pt x="96" y="35"/>
                                      <a:pt x="86" y="35"/>
                                    </a:cubicBezTo>
                                    <a:cubicBezTo>
                                      <a:pt x="75" y="35"/>
                                      <a:pt x="66" y="38"/>
                                      <a:pt x="59" y="44"/>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70" name="Freeform 61"/>
                            <wps:cNvSpPr>
                              <a:spLocks/>
                            </wps:cNvSpPr>
                            <wps:spPr bwMode="auto">
                              <a:xfrm>
                                <a:off x="1589425" y="1104433"/>
                                <a:ext cx="56610" cy="91205"/>
                              </a:xfrm>
                              <a:custGeom>
                                <a:avLst/>
                                <a:gdLst>
                                  <a:gd name="T0" fmla="*/ 123 w 123"/>
                                  <a:gd name="T1" fmla="*/ 188 h 198"/>
                                  <a:gd name="T2" fmla="*/ 106 w 123"/>
                                  <a:gd name="T3" fmla="*/ 196 h 198"/>
                                  <a:gd name="T4" fmla="*/ 85 w 123"/>
                                  <a:gd name="T5" fmla="*/ 198 h 198"/>
                                  <a:gd name="T6" fmla="*/ 40 w 123"/>
                                  <a:gd name="T7" fmla="*/ 184 h 198"/>
                                  <a:gd name="T8" fmla="*/ 25 w 123"/>
                                  <a:gd name="T9" fmla="*/ 141 h 198"/>
                                  <a:gd name="T10" fmla="*/ 25 w 123"/>
                                  <a:gd name="T11" fmla="*/ 75 h 198"/>
                                  <a:gd name="T12" fmla="*/ 0 w 123"/>
                                  <a:gd name="T13" fmla="*/ 75 h 198"/>
                                  <a:gd name="T14" fmla="*/ 0 w 123"/>
                                  <a:gd name="T15" fmla="*/ 39 h 198"/>
                                  <a:gd name="T16" fmla="*/ 25 w 123"/>
                                  <a:gd name="T17" fmla="*/ 39 h 198"/>
                                  <a:gd name="T18" fmla="*/ 25 w 123"/>
                                  <a:gd name="T19" fmla="*/ 0 h 198"/>
                                  <a:gd name="T20" fmla="*/ 71 w 123"/>
                                  <a:gd name="T21" fmla="*/ 0 h 198"/>
                                  <a:gd name="T22" fmla="*/ 71 w 123"/>
                                  <a:gd name="T23" fmla="*/ 39 h 198"/>
                                  <a:gd name="T24" fmla="*/ 111 w 123"/>
                                  <a:gd name="T25" fmla="*/ 39 h 198"/>
                                  <a:gd name="T26" fmla="*/ 111 w 123"/>
                                  <a:gd name="T27" fmla="*/ 75 h 198"/>
                                  <a:gd name="T28" fmla="*/ 71 w 123"/>
                                  <a:gd name="T29" fmla="*/ 75 h 198"/>
                                  <a:gd name="T30" fmla="*/ 71 w 123"/>
                                  <a:gd name="T31" fmla="*/ 140 h 198"/>
                                  <a:gd name="T32" fmla="*/ 77 w 123"/>
                                  <a:gd name="T33" fmla="*/ 156 h 198"/>
                                  <a:gd name="T34" fmla="*/ 91 w 123"/>
                                  <a:gd name="T35" fmla="*/ 161 h 198"/>
                                  <a:gd name="T36" fmla="*/ 110 w 123"/>
                                  <a:gd name="T37" fmla="*/ 155 h 198"/>
                                  <a:gd name="T38" fmla="*/ 123 w 123"/>
                                  <a:gd name="T39" fmla="*/ 188 h 1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23" h="198">
                                    <a:moveTo>
                                      <a:pt x="123" y="188"/>
                                    </a:moveTo>
                                    <a:cubicBezTo>
                                      <a:pt x="118" y="192"/>
                                      <a:pt x="113" y="194"/>
                                      <a:pt x="106" y="196"/>
                                    </a:cubicBezTo>
                                    <a:cubicBezTo>
                                      <a:pt x="99" y="198"/>
                                      <a:pt x="92" y="198"/>
                                      <a:pt x="85" y="198"/>
                                    </a:cubicBezTo>
                                    <a:cubicBezTo>
                                      <a:pt x="66" y="198"/>
                                      <a:pt x="51" y="194"/>
                                      <a:pt x="40" y="184"/>
                                    </a:cubicBezTo>
                                    <a:cubicBezTo>
                                      <a:pt x="30" y="174"/>
                                      <a:pt x="25" y="160"/>
                                      <a:pt x="25" y="141"/>
                                    </a:cubicBezTo>
                                    <a:cubicBezTo>
                                      <a:pt x="25" y="75"/>
                                      <a:pt x="25" y="75"/>
                                      <a:pt x="25" y="75"/>
                                    </a:cubicBezTo>
                                    <a:cubicBezTo>
                                      <a:pt x="0" y="75"/>
                                      <a:pt x="0" y="75"/>
                                      <a:pt x="0" y="75"/>
                                    </a:cubicBezTo>
                                    <a:cubicBezTo>
                                      <a:pt x="0" y="39"/>
                                      <a:pt x="0" y="39"/>
                                      <a:pt x="0" y="39"/>
                                    </a:cubicBezTo>
                                    <a:cubicBezTo>
                                      <a:pt x="25" y="39"/>
                                      <a:pt x="25" y="39"/>
                                      <a:pt x="25" y="39"/>
                                    </a:cubicBezTo>
                                    <a:cubicBezTo>
                                      <a:pt x="25" y="0"/>
                                      <a:pt x="25" y="0"/>
                                      <a:pt x="25" y="0"/>
                                    </a:cubicBezTo>
                                    <a:cubicBezTo>
                                      <a:pt x="71" y="0"/>
                                      <a:pt x="71" y="0"/>
                                      <a:pt x="71" y="0"/>
                                    </a:cubicBezTo>
                                    <a:cubicBezTo>
                                      <a:pt x="71" y="39"/>
                                      <a:pt x="71" y="39"/>
                                      <a:pt x="71" y="39"/>
                                    </a:cubicBezTo>
                                    <a:cubicBezTo>
                                      <a:pt x="111" y="39"/>
                                      <a:pt x="111" y="39"/>
                                      <a:pt x="111" y="39"/>
                                    </a:cubicBezTo>
                                    <a:cubicBezTo>
                                      <a:pt x="111" y="75"/>
                                      <a:pt x="111" y="75"/>
                                      <a:pt x="111" y="75"/>
                                    </a:cubicBezTo>
                                    <a:cubicBezTo>
                                      <a:pt x="71" y="75"/>
                                      <a:pt x="71" y="75"/>
                                      <a:pt x="71" y="75"/>
                                    </a:cubicBezTo>
                                    <a:cubicBezTo>
                                      <a:pt x="71" y="140"/>
                                      <a:pt x="71" y="140"/>
                                      <a:pt x="71" y="140"/>
                                    </a:cubicBezTo>
                                    <a:cubicBezTo>
                                      <a:pt x="71" y="147"/>
                                      <a:pt x="73" y="152"/>
                                      <a:pt x="77" y="156"/>
                                    </a:cubicBezTo>
                                    <a:cubicBezTo>
                                      <a:pt x="80" y="159"/>
                                      <a:pt x="85" y="161"/>
                                      <a:pt x="91" y="161"/>
                                    </a:cubicBezTo>
                                    <a:cubicBezTo>
                                      <a:pt x="99" y="161"/>
                                      <a:pt x="105" y="159"/>
                                      <a:pt x="110" y="155"/>
                                    </a:cubicBezTo>
                                    <a:lnTo>
                                      <a:pt x="123" y="188"/>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71" name="Freeform 62"/>
                            <wps:cNvSpPr>
                              <a:spLocks/>
                            </wps:cNvSpPr>
                            <wps:spPr bwMode="auto">
                              <a:xfrm>
                                <a:off x="1664906" y="1120158"/>
                                <a:ext cx="45079" cy="74432"/>
                              </a:xfrm>
                              <a:custGeom>
                                <a:avLst/>
                                <a:gdLst>
                                  <a:gd name="T0" fmla="*/ 67 w 100"/>
                                  <a:gd name="T1" fmla="*/ 6 h 163"/>
                                  <a:gd name="T2" fmla="*/ 100 w 100"/>
                                  <a:gd name="T3" fmla="*/ 0 h 163"/>
                                  <a:gd name="T4" fmla="*/ 100 w 100"/>
                                  <a:gd name="T5" fmla="*/ 43 h 163"/>
                                  <a:gd name="T6" fmla="*/ 90 w 100"/>
                                  <a:gd name="T7" fmla="*/ 42 h 163"/>
                                  <a:gd name="T8" fmla="*/ 58 w 100"/>
                                  <a:gd name="T9" fmla="*/ 53 h 163"/>
                                  <a:gd name="T10" fmla="*/ 47 w 100"/>
                                  <a:gd name="T11" fmla="*/ 87 h 163"/>
                                  <a:gd name="T12" fmla="*/ 47 w 100"/>
                                  <a:gd name="T13" fmla="*/ 163 h 163"/>
                                  <a:gd name="T14" fmla="*/ 0 w 100"/>
                                  <a:gd name="T15" fmla="*/ 163 h 163"/>
                                  <a:gd name="T16" fmla="*/ 0 w 100"/>
                                  <a:gd name="T17" fmla="*/ 2 h 163"/>
                                  <a:gd name="T18" fmla="*/ 45 w 100"/>
                                  <a:gd name="T19" fmla="*/ 2 h 163"/>
                                  <a:gd name="T20" fmla="*/ 45 w 100"/>
                                  <a:gd name="T21" fmla="*/ 23 h 163"/>
                                  <a:gd name="T22" fmla="*/ 67 w 100"/>
                                  <a:gd name="T23" fmla="*/ 6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0" h="163">
                                    <a:moveTo>
                                      <a:pt x="67" y="6"/>
                                    </a:moveTo>
                                    <a:cubicBezTo>
                                      <a:pt x="77" y="2"/>
                                      <a:pt x="88" y="0"/>
                                      <a:pt x="100" y="0"/>
                                    </a:cubicBezTo>
                                    <a:cubicBezTo>
                                      <a:pt x="100" y="43"/>
                                      <a:pt x="100" y="43"/>
                                      <a:pt x="100" y="43"/>
                                    </a:cubicBezTo>
                                    <a:cubicBezTo>
                                      <a:pt x="95" y="42"/>
                                      <a:pt x="91" y="42"/>
                                      <a:pt x="90" y="42"/>
                                    </a:cubicBezTo>
                                    <a:cubicBezTo>
                                      <a:pt x="76" y="42"/>
                                      <a:pt x="66" y="46"/>
                                      <a:pt x="58" y="53"/>
                                    </a:cubicBezTo>
                                    <a:cubicBezTo>
                                      <a:pt x="51" y="61"/>
                                      <a:pt x="47" y="72"/>
                                      <a:pt x="47" y="87"/>
                                    </a:cubicBezTo>
                                    <a:cubicBezTo>
                                      <a:pt x="47" y="163"/>
                                      <a:pt x="47" y="163"/>
                                      <a:pt x="47" y="163"/>
                                    </a:cubicBezTo>
                                    <a:cubicBezTo>
                                      <a:pt x="0" y="163"/>
                                      <a:pt x="0" y="163"/>
                                      <a:pt x="0" y="163"/>
                                    </a:cubicBezTo>
                                    <a:cubicBezTo>
                                      <a:pt x="0" y="2"/>
                                      <a:pt x="0" y="2"/>
                                      <a:pt x="0" y="2"/>
                                    </a:cubicBezTo>
                                    <a:cubicBezTo>
                                      <a:pt x="45" y="2"/>
                                      <a:pt x="45" y="2"/>
                                      <a:pt x="45" y="2"/>
                                    </a:cubicBezTo>
                                    <a:cubicBezTo>
                                      <a:pt x="45" y="23"/>
                                      <a:pt x="45" y="23"/>
                                      <a:pt x="45" y="23"/>
                                    </a:cubicBezTo>
                                    <a:cubicBezTo>
                                      <a:pt x="50" y="16"/>
                                      <a:pt x="58" y="10"/>
                                      <a:pt x="67" y="6"/>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72" name="Freeform 63"/>
                            <wps:cNvSpPr>
                              <a:spLocks noEditPoints="1"/>
                            </wps:cNvSpPr>
                            <wps:spPr bwMode="auto">
                              <a:xfrm>
                                <a:off x="1725709" y="1120158"/>
                                <a:ext cx="69190" cy="75480"/>
                              </a:xfrm>
                              <a:custGeom>
                                <a:avLst/>
                                <a:gdLst>
                                  <a:gd name="T0" fmla="*/ 132 w 152"/>
                                  <a:gd name="T1" fmla="*/ 17 h 165"/>
                                  <a:gd name="T2" fmla="*/ 152 w 152"/>
                                  <a:gd name="T3" fmla="*/ 71 h 165"/>
                                  <a:gd name="T4" fmla="*/ 152 w 152"/>
                                  <a:gd name="T5" fmla="*/ 163 h 165"/>
                                  <a:gd name="T6" fmla="*/ 109 w 152"/>
                                  <a:gd name="T7" fmla="*/ 163 h 165"/>
                                  <a:gd name="T8" fmla="*/ 109 w 152"/>
                                  <a:gd name="T9" fmla="*/ 143 h 165"/>
                                  <a:gd name="T10" fmla="*/ 60 w 152"/>
                                  <a:gd name="T11" fmla="*/ 165 h 165"/>
                                  <a:gd name="T12" fmla="*/ 27 w 152"/>
                                  <a:gd name="T13" fmla="*/ 159 h 165"/>
                                  <a:gd name="T14" fmla="*/ 7 w 152"/>
                                  <a:gd name="T15" fmla="*/ 142 h 165"/>
                                  <a:gd name="T16" fmla="*/ 0 w 152"/>
                                  <a:gd name="T17" fmla="*/ 117 h 165"/>
                                  <a:gd name="T18" fmla="*/ 16 w 152"/>
                                  <a:gd name="T19" fmla="*/ 81 h 165"/>
                                  <a:gd name="T20" fmla="*/ 69 w 152"/>
                                  <a:gd name="T21" fmla="*/ 69 h 165"/>
                                  <a:gd name="T22" fmla="*/ 106 w 152"/>
                                  <a:gd name="T23" fmla="*/ 69 h 165"/>
                                  <a:gd name="T24" fmla="*/ 96 w 152"/>
                                  <a:gd name="T25" fmla="*/ 45 h 165"/>
                                  <a:gd name="T26" fmla="*/ 69 w 152"/>
                                  <a:gd name="T27" fmla="*/ 37 h 165"/>
                                  <a:gd name="T28" fmla="*/ 43 w 152"/>
                                  <a:gd name="T29" fmla="*/ 41 h 165"/>
                                  <a:gd name="T30" fmla="*/ 22 w 152"/>
                                  <a:gd name="T31" fmla="*/ 52 h 165"/>
                                  <a:gd name="T32" fmla="*/ 6 w 152"/>
                                  <a:gd name="T33" fmla="*/ 19 h 165"/>
                                  <a:gd name="T34" fmla="*/ 37 w 152"/>
                                  <a:gd name="T35" fmla="*/ 5 h 165"/>
                                  <a:gd name="T36" fmla="*/ 75 w 152"/>
                                  <a:gd name="T37" fmla="*/ 0 h 165"/>
                                  <a:gd name="T38" fmla="*/ 132 w 152"/>
                                  <a:gd name="T39" fmla="*/ 17 h 165"/>
                                  <a:gd name="T40" fmla="*/ 93 w 152"/>
                                  <a:gd name="T41" fmla="*/ 128 h 165"/>
                                  <a:gd name="T42" fmla="*/ 106 w 152"/>
                                  <a:gd name="T43" fmla="*/ 112 h 165"/>
                                  <a:gd name="T44" fmla="*/ 106 w 152"/>
                                  <a:gd name="T45" fmla="*/ 96 h 165"/>
                                  <a:gd name="T46" fmla="*/ 74 w 152"/>
                                  <a:gd name="T47" fmla="*/ 96 h 165"/>
                                  <a:gd name="T48" fmla="*/ 45 w 152"/>
                                  <a:gd name="T49" fmla="*/ 115 h 165"/>
                                  <a:gd name="T50" fmla="*/ 52 w 152"/>
                                  <a:gd name="T51" fmla="*/ 129 h 165"/>
                                  <a:gd name="T52" fmla="*/ 71 w 152"/>
                                  <a:gd name="T53" fmla="*/ 134 h 165"/>
                                  <a:gd name="T54" fmla="*/ 93 w 152"/>
                                  <a:gd name="T55" fmla="*/ 128 h 1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52" h="165">
                                    <a:moveTo>
                                      <a:pt x="132" y="17"/>
                                    </a:moveTo>
                                    <a:cubicBezTo>
                                      <a:pt x="146" y="29"/>
                                      <a:pt x="152" y="47"/>
                                      <a:pt x="152" y="71"/>
                                    </a:cubicBezTo>
                                    <a:cubicBezTo>
                                      <a:pt x="152" y="163"/>
                                      <a:pt x="152" y="163"/>
                                      <a:pt x="152" y="163"/>
                                    </a:cubicBezTo>
                                    <a:cubicBezTo>
                                      <a:pt x="109" y="163"/>
                                      <a:pt x="109" y="163"/>
                                      <a:pt x="109" y="163"/>
                                    </a:cubicBezTo>
                                    <a:cubicBezTo>
                                      <a:pt x="109" y="143"/>
                                      <a:pt x="109" y="143"/>
                                      <a:pt x="109" y="143"/>
                                    </a:cubicBezTo>
                                    <a:cubicBezTo>
                                      <a:pt x="100" y="158"/>
                                      <a:pt x="84" y="165"/>
                                      <a:pt x="60" y="165"/>
                                    </a:cubicBezTo>
                                    <a:cubicBezTo>
                                      <a:pt x="47" y="165"/>
                                      <a:pt x="37" y="163"/>
                                      <a:pt x="27" y="159"/>
                                    </a:cubicBezTo>
                                    <a:cubicBezTo>
                                      <a:pt x="18" y="155"/>
                                      <a:pt x="11" y="149"/>
                                      <a:pt x="7" y="142"/>
                                    </a:cubicBezTo>
                                    <a:cubicBezTo>
                                      <a:pt x="2" y="134"/>
                                      <a:pt x="0" y="126"/>
                                      <a:pt x="0" y="117"/>
                                    </a:cubicBezTo>
                                    <a:cubicBezTo>
                                      <a:pt x="0" y="102"/>
                                      <a:pt x="5" y="90"/>
                                      <a:pt x="16" y="81"/>
                                    </a:cubicBezTo>
                                    <a:cubicBezTo>
                                      <a:pt x="28" y="73"/>
                                      <a:pt x="45" y="69"/>
                                      <a:pt x="69" y="69"/>
                                    </a:cubicBezTo>
                                    <a:cubicBezTo>
                                      <a:pt x="106" y="69"/>
                                      <a:pt x="106" y="69"/>
                                      <a:pt x="106" y="69"/>
                                    </a:cubicBezTo>
                                    <a:cubicBezTo>
                                      <a:pt x="106" y="58"/>
                                      <a:pt x="103" y="51"/>
                                      <a:pt x="96" y="45"/>
                                    </a:cubicBezTo>
                                    <a:cubicBezTo>
                                      <a:pt x="90" y="40"/>
                                      <a:pt x="81" y="37"/>
                                      <a:pt x="69" y="37"/>
                                    </a:cubicBezTo>
                                    <a:cubicBezTo>
                                      <a:pt x="60" y="37"/>
                                      <a:pt x="52" y="38"/>
                                      <a:pt x="43" y="41"/>
                                    </a:cubicBezTo>
                                    <a:cubicBezTo>
                                      <a:pt x="35" y="44"/>
                                      <a:pt x="28" y="47"/>
                                      <a:pt x="22" y="52"/>
                                    </a:cubicBezTo>
                                    <a:cubicBezTo>
                                      <a:pt x="6" y="19"/>
                                      <a:pt x="6" y="19"/>
                                      <a:pt x="6" y="19"/>
                                    </a:cubicBezTo>
                                    <a:cubicBezTo>
                                      <a:pt x="14" y="13"/>
                                      <a:pt x="25" y="8"/>
                                      <a:pt x="37" y="5"/>
                                    </a:cubicBezTo>
                                    <a:cubicBezTo>
                                      <a:pt x="49" y="1"/>
                                      <a:pt x="62" y="0"/>
                                      <a:pt x="75" y="0"/>
                                    </a:cubicBezTo>
                                    <a:cubicBezTo>
                                      <a:pt x="100" y="0"/>
                                      <a:pt x="119" y="6"/>
                                      <a:pt x="132" y="17"/>
                                    </a:cubicBezTo>
                                    <a:close/>
                                    <a:moveTo>
                                      <a:pt x="93" y="128"/>
                                    </a:moveTo>
                                    <a:cubicBezTo>
                                      <a:pt x="99" y="125"/>
                                      <a:pt x="103" y="119"/>
                                      <a:pt x="106" y="112"/>
                                    </a:cubicBezTo>
                                    <a:cubicBezTo>
                                      <a:pt x="106" y="96"/>
                                      <a:pt x="106" y="96"/>
                                      <a:pt x="106" y="96"/>
                                    </a:cubicBezTo>
                                    <a:cubicBezTo>
                                      <a:pt x="74" y="96"/>
                                      <a:pt x="74" y="96"/>
                                      <a:pt x="74" y="96"/>
                                    </a:cubicBezTo>
                                    <a:cubicBezTo>
                                      <a:pt x="55" y="96"/>
                                      <a:pt x="45" y="102"/>
                                      <a:pt x="45" y="115"/>
                                    </a:cubicBezTo>
                                    <a:cubicBezTo>
                                      <a:pt x="45" y="121"/>
                                      <a:pt x="47" y="125"/>
                                      <a:pt x="52" y="129"/>
                                    </a:cubicBezTo>
                                    <a:cubicBezTo>
                                      <a:pt x="57" y="132"/>
                                      <a:pt x="63" y="134"/>
                                      <a:pt x="71" y="134"/>
                                    </a:cubicBezTo>
                                    <a:cubicBezTo>
                                      <a:pt x="79" y="134"/>
                                      <a:pt x="86" y="132"/>
                                      <a:pt x="93" y="128"/>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73" name="Freeform 64"/>
                            <wps:cNvSpPr>
                              <a:spLocks noEditPoints="1"/>
                            </wps:cNvSpPr>
                            <wps:spPr bwMode="auto">
                              <a:xfrm>
                                <a:off x="1819011" y="1086612"/>
                                <a:ext cx="26209" cy="107978"/>
                              </a:xfrm>
                              <a:custGeom>
                                <a:avLst/>
                                <a:gdLst>
                                  <a:gd name="T0" fmla="*/ 8 w 58"/>
                                  <a:gd name="T1" fmla="*/ 44 h 235"/>
                                  <a:gd name="T2" fmla="*/ 0 w 58"/>
                                  <a:gd name="T3" fmla="*/ 26 h 235"/>
                                  <a:gd name="T4" fmla="*/ 8 w 58"/>
                                  <a:gd name="T5" fmla="*/ 7 h 235"/>
                                  <a:gd name="T6" fmla="*/ 29 w 58"/>
                                  <a:gd name="T7" fmla="*/ 0 h 235"/>
                                  <a:gd name="T8" fmla="*/ 50 w 58"/>
                                  <a:gd name="T9" fmla="*/ 7 h 235"/>
                                  <a:gd name="T10" fmla="*/ 58 w 58"/>
                                  <a:gd name="T11" fmla="*/ 25 h 235"/>
                                  <a:gd name="T12" fmla="*/ 50 w 58"/>
                                  <a:gd name="T13" fmla="*/ 44 h 235"/>
                                  <a:gd name="T14" fmla="*/ 29 w 58"/>
                                  <a:gd name="T15" fmla="*/ 52 h 235"/>
                                  <a:gd name="T16" fmla="*/ 8 w 58"/>
                                  <a:gd name="T17" fmla="*/ 44 h 235"/>
                                  <a:gd name="T18" fmla="*/ 6 w 58"/>
                                  <a:gd name="T19" fmla="*/ 74 h 235"/>
                                  <a:gd name="T20" fmla="*/ 52 w 58"/>
                                  <a:gd name="T21" fmla="*/ 74 h 235"/>
                                  <a:gd name="T22" fmla="*/ 52 w 58"/>
                                  <a:gd name="T23" fmla="*/ 235 h 235"/>
                                  <a:gd name="T24" fmla="*/ 6 w 58"/>
                                  <a:gd name="T25" fmla="*/ 235 h 235"/>
                                  <a:gd name="T26" fmla="*/ 6 w 58"/>
                                  <a:gd name="T27" fmla="*/ 74 h 2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8" h="235">
                                    <a:moveTo>
                                      <a:pt x="8" y="44"/>
                                    </a:moveTo>
                                    <a:cubicBezTo>
                                      <a:pt x="3" y="39"/>
                                      <a:pt x="0" y="33"/>
                                      <a:pt x="0" y="26"/>
                                    </a:cubicBezTo>
                                    <a:cubicBezTo>
                                      <a:pt x="0" y="18"/>
                                      <a:pt x="3" y="12"/>
                                      <a:pt x="8" y="7"/>
                                    </a:cubicBezTo>
                                    <a:cubicBezTo>
                                      <a:pt x="13" y="2"/>
                                      <a:pt x="20" y="0"/>
                                      <a:pt x="29" y="0"/>
                                    </a:cubicBezTo>
                                    <a:cubicBezTo>
                                      <a:pt x="37" y="0"/>
                                      <a:pt x="44" y="2"/>
                                      <a:pt x="50" y="7"/>
                                    </a:cubicBezTo>
                                    <a:cubicBezTo>
                                      <a:pt x="55" y="12"/>
                                      <a:pt x="58" y="18"/>
                                      <a:pt x="58" y="25"/>
                                    </a:cubicBezTo>
                                    <a:cubicBezTo>
                                      <a:pt x="58" y="33"/>
                                      <a:pt x="55" y="39"/>
                                      <a:pt x="50" y="44"/>
                                    </a:cubicBezTo>
                                    <a:cubicBezTo>
                                      <a:pt x="44" y="49"/>
                                      <a:pt x="37" y="52"/>
                                      <a:pt x="29" y="52"/>
                                    </a:cubicBezTo>
                                    <a:cubicBezTo>
                                      <a:pt x="20" y="52"/>
                                      <a:pt x="13" y="49"/>
                                      <a:pt x="8" y="44"/>
                                    </a:cubicBezTo>
                                    <a:close/>
                                    <a:moveTo>
                                      <a:pt x="6" y="74"/>
                                    </a:moveTo>
                                    <a:cubicBezTo>
                                      <a:pt x="52" y="74"/>
                                      <a:pt x="52" y="74"/>
                                      <a:pt x="52" y="74"/>
                                    </a:cubicBezTo>
                                    <a:cubicBezTo>
                                      <a:pt x="52" y="235"/>
                                      <a:pt x="52" y="235"/>
                                      <a:pt x="52" y="235"/>
                                    </a:cubicBezTo>
                                    <a:cubicBezTo>
                                      <a:pt x="6" y="235"/>
                                      <a:pt x="6" y="235"/>
                                      <a:pt x="6" y="235"/>
                                    </a:cubicBezTo>
                                    <a:lnTo>
                                      <a:pt x="6" y="7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74" name="Freeform 65"/>
                            <wps:cNvSpPr>
                              <a:spLocks/>
                            </wps:cNvSpPr>
                            <wps:spPr bwMode="auto">
                              <a:xfrm>
                                <a:off x="1860944" y="1104433"/>
                                <a:ext cx="55562" cy="91205"/>
                              </a:xfrm>
                              <a:custGeom>
                                <a:avLst/>
                                <a:gdLst>
                                  <a:gd name="T0" fmla="*/ 123 w 123"/>
                                  <a:gd name="T1" fmla="*/ 188 h 198"/>
                                  <a:gd name="T2" fmla="*/ 106 w 123"/>
                                  <a:gd name="T3" fmla="*/ 196 h 198"/>
                                  <a:gd name="T4" fmla="*/ 85 w 123"/>
                                  <a:gd name="T5" fmla="*/ 198 h 198"/>
                                  <a:gd name="T6" fmla="*/ 41 w 123"/>
                                  <a:gd name="T7" fmla="*/ 184 h 198"/>
                                  <a:gd name="T8" fmla="*/ 25 w 123"/>
                                  <a:gd name="T9" fmla="*/ 141 h 198"/>
                                  <a:gd name="T10" fmla="*/ 25 w 123"/>
                                  <a:gd name="T11" fmla="*/ 75 h 198"/>
                                  <a:gd name="T12" fmla="*/ 0 w 123"/>
                                  <a:gd name="T13" fmla="*/ 75 h 198"/>
                                  <a:gd name="T14" fmla="*/ 0 w 123"/>
                                  <a:gd name="T15" fmla="*/ 39 h 198"/>
                                  <a:gd name="T16" fmla="*/ 25 w 123"/>
                                  <a:gd name="T17" fmla="*/ 39 h 198"/>
                                  <a:gd name="T18" fmla="*/ 25 w 123"/>
                                  <a:gd name="T19" fmla="*/ 0 h 198"/>
                                  <a:gd name="T20" fmla="*/ 72 w 123"/>
                                  <a:gd name="T21" fmla="*/ 0 h 198"/>
                                  <a:gd name="T22" fmla="*/ 72 w 123"/>
                                  <a:gd name="T23" fmla="*/ 39 h 198"/>
                                  <a:gd name="T24" fmla="*/ 112 w 123"/>
                                  <a:gd name="T25" fmla="*/ 39 h 198"/>
                                  <a:gd name="T26" fmla="*/ 112 w 123"/>
                                  <a:gd name="T27" fmla="*/ 75 h 198"/>
                                  <a:gd name="T28" fmla="*/ 72 w 123"/>
                                  <a:gd name="T29" fmla="*/ 75 h 198"/>
                                  <a:gd name="T30" fmla="*/ 72 w 123"/>
                                  <a:gd name="T31" fmla="*/ 140 h 198"/>
                                  <a:gd name="T32" fmla="*/ 77 w 123"/>
                                  <a:gd name="T33" fmla="*/ 156 h 198"/>
                                  <a:gd name="T34" fmla="*/ 92 w 123"/>
                                  <a:gd name="T35" fmla="*/ 161 h 198"/>
                                  <a:gd name="T36" fmla="*/ 111 w 123"/>
                                  <a:gd name="T37" fmla="*/ 155 h 198"/>
                                  <a:gd name="T38" fmla="*/ 123 w 123"/>
                                  <a:gd name="T39" fmla="*/ 188 h 1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23" h="198">
                                    <a:moveTo>
                                      <a:pt x="123" y="188"/>
                                    </a:moveTo>
                                    <a:cubicBezTo>
                                      <a:pt x="119" y="192"/>
                                      <a:pt x="113" y="194"/>
                                      <a:pt x="106" y="196"/>
                                    </a:cubicBezTo>
                                    <a:cubicBezTo>
                                      <a:pt x="100" y="198"/>
                                      <a:pt x="93" y="198"/>
                                      <a:pt x="85" y="198"/>
                                    </a:cubicBezTo>
                                    <a:cubicBezTo>
                                      <a:pt x="66" y="198"/>
                                      <a:pt x="51" y="194"/>
                                      <a:pt x="41" y="184"/>
                                    </a:cubicBezTo>
                                    <a:cubicBezTo>
                                      <a:pt x="30" y="174"/>
                                      <a:pt x="25" y="160"/>
                                      <a:pt x="25" y="141"/>
                                    </a:cubicBezTo>
                                    <a:cubicBezTo>
                                      <a:pt x="25" y="75"/>
                                      <a:pt x="25" y="75"/>
                                      <a:pt x="25" y="75"/>
                                    </a:cubicBezTo>
                                    <a:cubicBezTo>
                                      <a:pt x="0" y="75"/>
                                      <a:pt x="0" y="75"/>
                                      <a:pt x="0" y="75"/>
                                    </a:cubicBezTo>
                                    <a:cubicBezTo>
                                      <a:pt x="0" y="39"/>
                                      <a:pt x="0" y="39"/>
                                      <a:pt x="0" y="39"/>
                                    </a:cubicBezTo>
                                    <a:cubicBezTo>
                                      <a:pt x="25" y="39"/>
                                      <a:pt x="25" y="39"/>
                                      <a:pt x="25" y="39"/>
                                    </a:cubicBezTo>
                                    <a:cubicBezTo>
                                      <a:pt x="25" y="0"/>
                                      <a:pt x="25" y="0"/>
                                      <a:pt x="25" y="0"/>
                                    </a:cubicBezTo>
                                    <a:cubicBezTo>
                                      <a:pt x="72" y="0"/>
                                      <a:pt x="72" y="0"/>
                                      <a:pt x="72" y="0"/>
                                    </a:cubicBezTo>
                                    <a:cubicBezTo>
                                      <a:pt x="72" y="39"/>
                                      <a:pt x="72" y="39"/>
                                      <a:pt x="72" y="39"/>
                                    </a:cubicBezTo>
                                    <a:cubicBezTo>
                                      <a:pt x="112" y="39"/>
                                      <a:pt x="112" y="39"/>
                                      <a:pt x="112" y="39"/>
                                    </a:cubicBezTo>
                                    <a:cubicBezTo>
                                      <a:pt x="112" y="75"/>
                                      <a:pt x="112" y="75"/>
                                      <a:pt x="112" y="75"/>
                                    </a:cubicBezTo>
                                    <a:cubicBezTo>
                                      <a:pt x="72" y="75"/>
                                      <a:pt x="72" y="75"/>
                                      <a:pt x="72" y="75"/>
                                    </a:cubicBezTo>
                                    <a:cubicBezTo>
                                      <a:pt x="72" y="140"/>
                                      <a:pt x="72" y="140"/>
                                      <a:pt x="72" y="140"/>
                                    </a:cubicBezTo>
                                    <a:cubicBezTo>
                                      <a:pt x="72" y="147"/>
                                      <a:pt x="74" y="152"/>
                                      <a:pt x="77" y="156"/>
                                    </a:cubicBezTo>
                                    <a:cubicBezTo>
                                      <a:pt x="81" y="159"/>
                                      <a:pt x="86" y="161"/>
                                      <a:pt x="92" y="161"/>
                                    </a:cubicBezTo>
                                    <a:cubicBezTo>
                                      <a:pt x="99" y="161"/>
                                      <a:pt x="106" y="159"/>
                                      <a:pt x="111" y="155"/>
                                    </a:cubicBezTo>
                                    <a:lnTo>
                                      <a:pt x="123" y="188"/>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75" name="Freeform 66"/>
                            <wps:cNvSpPr>
                              <a:spLocks noEditPoints="1"/>
                            </wps:cNvSpPr>
                            <wps:spPr bwMode="auto">
                              <a:xfrm>
                                <a:off x="1930134" y="1120158"/>
                                <a:ext cx="77577" cy="75480"/>
                              </a:xfrm>
                              <a:custGeom>
                                <a:avLst/>
                                <a:gdLst>
                                  <a:gd name="T0" fmla="*/ 168 w 169"/>
                                  <a:gd name="T1" fmla="*/ 96 h 165"/>
                                  <a:gd name="T2" fmla="*/ 47 w 169"/>
                                  <a:gd name="T3" fmla="*/ 96 h 165"/>
                                  <a:gd name="T4" fmla="*/ 62 w 169"/>
                                  <a:gd name="T5" fmla="*/ 119 h 165"/>
                                  <a:gd name="T6" fmla="*/ 93 w 169"/>
                                  <a:gd name="T7" fmla="*/ 128 h 165"/>
                                  <a:gd name="T8" fmla="*/ 115 w 169"/>
                                  <a:gd name="T9" fmla="*/ 124 h 165"/>
                                  <a:gd name="T10" fmla="*/ 133 w 169"/>
                                  <a:gd name="T11" fmla="*/ 112 h 165"/>
                                  <a:gd name="T12" fmla="*/ 158 w 169"/>
                                  <a:gd name="T13" fmla="*/ 139 h 165"/>
                                  <a:gd name="T14" fmla="*/ 91 w 169"/>
                                  <a:gd name="T15" fmla="*/ 165 h 165"/>
                                  <a:gd name="T16" fmla="*/ 43 w 169"/>
                                  <a:gd name="T17" fmla="*/ 155 h 165"/>
                                  <a:gd name="T18" fmla="*/ 11 w 169"/>
                                  <a:gd name="T19" fmla="*/ 125 h 165"/>
                                  <a:gd name="T20" fmla="*/ 0 w 169"/>
                                  <a:gd name="T21" fmla="*/ 83 h 165"/>
                                  <a:gd name="T22" fmla="*/ 11 w 169"/>
                                  <a:gd name="T23" fmla="*/ 40 h 165"/>
                                  <a:gd name="T24" fmla="*/ 42 w 169"/>
                                  <a:gd name="T25" fmla="*/ 10 h 165"/>
                                  <a:gd name="T26" fmla="*/ 85 w 169"/>
                                  <a:gd name="T27" fmla="*/ 0 h 165"/>
                                  <a:gd name="T28" fmla="*/ 128 w 169"/>
                                  <a:gd name="T29" fmla="*/ 10 h 165"/>
                                  <a:gd name="T30" fmla="*/ 158 w 169"/>
                                  <a:gd name="T31" fmla="*/ 39 h 165"/>
                                  <a:gd name="T32" fmla="*/ 169 w 169"/>
                                  <a:gd name="T33" fmla="*/ 83 h 165"/>
                                  <a:gd name="T34" fmla="*/ 168 w 169"/>
                                  <a:gd name="T35" fmla="*/ 96 h 165"/>
                                  <a:gd name="T36" fmla="*/ 59 w 169"/>
                                  <a:gd name="T37" fmla="*/ 44 h 165"/>
                                  <a:gd name="T38" fmla="*/ 46 w 169"/>
                                  <a:gd name="T39" fmla="*/ 69 h 165"/>
                                  <a:gd name="T40" fmla="*/ 125 w 169"/>
                                  <a:gd name="T41" fmla="*/ 69 h 165"/>
                                  <a:gd name="T42" fmla="*/ 112 w 169"/>
                                  <a:gd name="T43" fmla="*/ 44 h 165"/>
                                  <a:gd name="T44" fmla="*/ 86 w 169"/>
                                  <a:gd name="T45" fmla="*/ 35 h 165"/>
                                  <a:gd name="T46" fmla="*/ 59 w 169"/>
                                  <a:gd name="T47" fmla="*/ 44 h 1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69" h="165">
                                    <a:moveTo>
                                      <a:pt x="168" y="96"/>
                                    </a:moveTo>
                                    <a:cubicBezTo>
                                      <a:pt x="47" y="96"/>
                                      <a:pt x="47" y="96"/>
                                      <a:pt x="47" y="96"/>
                                    </a:cubicBezTo>
                                    <a:cubicBezTo>
                                      <a:pt x="49" y="106"/>
                                      <a:pt x="54" y="114"/>
                                      <a:pt x="62" y="119"/>
                                    </a:cubicBezTo>
                                    <a:cubicBezTo>
                                      <a:pt x="70" y="125"/>
                                      <a:pt x="80" y="128"/>
                                      <a:pt x="93" y="128"/>
                                    </a:cubicBezTo>
                                    <a:cubicBezTo>
                                      <a:pt x="101" y="128"/>
                                      <a:pt x="108" y="127"/>
                                      <a:pt x="115" y="124"/>
                                    </a:cubicBezTo>
                                    <a:cubicBezTo>
                                      <a:pt x="121" y="122"/>
                                      <a:pt x="127" y="118"/>
                                      <a:pt x="133" y="112"/>
                                    </a:cubicBezTo>
                                    <a:cubicBezTo>
                                      <a:pt x="158" y="139"/>
                                      <a:pt x="158" y="139"/>
                                      <a:pt x="158" y="139"/>
                                    </a:cubicBezTo>
                                    <a:cubicBezTo>
                                      <a:pt x="143" y="157"/>
                                      <a:pt x="121" y="165"/>
                                      <a:pt x="91" y="165"/>
                                    </a:cubicBezTo>
                                    <a:cubicBezTo>
                                      <a:pt x="73" y="165"/>
                                      <a:pt x="57" y="162"/>
                                      <a:pt x="43" y="155"/>
                                    </a:cubicBezTo>
                                    <a:cubicBezTo>
                                      <a:pt x="29" y="148"/>
                                      <a:pt x="19" y="138"/>
                                      <a:pt x="11" y="125"/>
                                    </a:cubicBezTo>
                                    <a:cubicBezTo>
                                      <a:pt x="3" y="113"/>
                                      <a:pt x="0" y="99"/>
                                      <a:pt x="0" y="83"/>
                                    </a:cubicBezTo>
                                    <a:cubicBezTo>
                                      <a:pt x="0" y="67"/>
                                      <a:pt x="3" y="53"/>
                                      <a:pt x="11" y="40"/>
                                    </a:cubicBezTo>
                                    <a:cubicBezTo>
                                      <a:pt x="18" y="27"/>
                                      <a:pt x="29" y="17"/>
                                      <a:pt x="42" y="10"/>
                                    </a:cubicBezTo>
                                    <a:cubicBezTo>
                                      <a:pt x="55" y="3"/>
                                      <a:pt x="69" y="0"/>
                                      <a:pt x="85" y="0"/>
                                    </a:cubicBezTo>
                                    <a:cubicBezTo>
                                      <a:pt x="101" y="0"/>
                                      <a:pt x="115" y="3"/>
                                      <a:pt x="128" y="10"/>
                                    </a:cubicBezTo>
                                    <a:cubicBezTo>
                                      <a:pt x="141" y="17"/>
                                      <a:pt x="151" y="26"/>
                                      <a:pt x="158" y="39"/>
                                    </a:cubicBezTo>
                                    <a:cubicBezTo>
                                      <a:pt x="166" y="52"/>
                                      <a:pt x="169" y="66"/>
                                      <a:pt x="169" y="83"/>
                                    </a:cubicBezTo>
                                    <a:cubicBezTo>
                                      <a:pt x="169" y="84"/>
                                      <a:pt x="169" y="88"/>
                                      <a:pt x="168" y="96"/>
                                    </a:cubicBezTo>
                                    <a:close/>
                                    <a:moveTo>
                                      <a:pt x="59" y="44"/>
                                    </a:moveTo>
                                    <a:cubicBezTo>
                                      <a:pt x="52" y="50"/>
                                      <a:pt x="48" y="58"/>
                                      <a:pt x="46" y="69"/>
                                    </a:cubicBezTo>
                                    <a:cubicBezTo>
                                      <a:pt x="125" y="69"/>
                                      <a:pt x="125" y="69"/>
                                      <a:pt x="125" y="69"/>
                                    </a:cubicBezTo>
                                    <a:cubicBezTo>
                                      <a:pt x="124" y="58"/>
                                      <a:pt x="119" y="50"/>
                                      <a:pt x="112" y="44"/>
                                    </a:cubicBezTo>
                                    <a:cubicBezTo>
                                      <a:pt x="105" y="38"/>
                                      <a:pt x="96" y="35"/>
                                      <a:pt x="86" y="35"/>
                                    </a:cubicBezTo>
                                    <a:cubicBezTo>
                                      <a:pt x="75" y="35"/>
                                      <a:pt x="66" y="38"/>
                                      <a:pt x="59" y="44"/>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pic:pic xmlns:pic="http://schemas.openxmlformats.org/drawingml/2006/picture">
                          <pic:nvPicPr>
                            <pic:cNvPr id="176" name="Graphic 11"/>
                            <pic:cNvPicPr>
                              <a:picLocks noChangeAspect="1"/>
                            </pic:cNvPicPr>
                          </pic:nvPicPr>
                          <pic:blipFill>
                            <a:blip r:embed="rId132">
                              <a:extLst>
                                <a:ext uri="{96DAC541-7B7A-43D3-8B79-37D633B846F1}">
                                  <asvg:svgBlip xmlns:asvg="http://schemas.microsoft.com/office/drawing/2016/SVG/main" r:embed="rId133"/>
                                </a:ext>
                              </a:extLst>
                            </a:blip>
                            <a:stretch>
                              <a:fillRect/>
                            </a:stretch>
                          </pic:blipFill>
                          <pic:spPr>
                            <a:xfrm>
                              <a:off x="5221196" y="507600"/>
                              <a:ext cx="1802632" cy="632839"/>
                            </a:xfrm>
                            <a:prstGeom prst="rect">
                              <a:avLst/>
                            </a:prstGeom>
                          </pic:spPr>
                        </pic:pic>
                      </wpg:grpSp>
                      <wpg:grpSp>
                        <wpg:cNvPr id="177" name="Groupe 177"/>
                        <wpg:cNvGrpSpPr/>
                        <wpg:grpSpPr>
                          <a:xfrm>
                            <a:off x="2703828" y="8481271"/>
                            <a:ext cx="2152018" cy="392578"/>
                            <a:chOff x="2703828" y="8481271"/>
                            <a:chExt cx="2152018" cy="392578"/>
                          </a:xfrm>
                        </wpg:grpSpPr>
                        <pic:pic xmlns:pic="http://schemas.openxmlformats.org/drawingml/2006/picture">
                          <pic:nvPicPr>
                            <pic:cNvPr id="178" name="Graphic 12">
                              <a:hlinkClick r:id="rId134"/>
                            </pic:cNvPr>
                            <pic:cNvPicPr>
                              <a:picLocks noChangeAspect="1"/>
                            </pic:cNvPicPr>
                          </pic:nvPicPr>
                          <pic:blipFill>
                            <a:blip r:embed="rId135">
                              <a:extLst>
                                <a:ext uri="{96DAC541-7B7A-43D3-8B79-37D633B846F1}">
                                  <asvg:svgBlip xmlns:asvg="http://schemas.microsoft.com/office/drawing/2016/SVG/main" r:embed="rId136"/>
                                </a:ext>
                              </a:extLst>
                            </a:blip>
                            <a:stretch>
                              <a:fillRect/>
                            </a:stretch>
                          </pic:blipFill>
                          <pic:spPr>
                            <a:xfrm>
                              <a:off x="2703828" y="8481271"/>
                              <a:ext cx="374625" cy="374625"/>
                            </a:xfrm>
                            <a:prstGeom prst="rect">
                              <a:avLst/>
                            </a:prstGeom>
                          </pic:spPr>
                        </pic:pic>
                        <pic:pic xmlns:pic="http://schemas.openxmlformats.org/drawingml/2006/picture">
                          <pic:nvPicPr>
                            <pic:cNvPr id="179" name="Graphic 14">
                              <a:hlinkClick r:id="rId137"/>
                            </pic:cNvPr>
                            <pic:cNvPicPr>
                              <a:picLocks noChangeAspect="1"/>
                            </pic:cNvPicPr>
                          </pic:nvPicPr>
                          <pic:blipFill>
                            <a:blip r:embed="rId138">
                              <a:extLst>
                                <a:ext uri="{96DAC541-7B7A-43D3-8B79-37D633B846F1}">
                                  <asvg:svgBlip xmlns:asvg="http://schemas.microsoft.com/office/drawing/2016/SVG/main" r:embed="rId139"/>
                                </a:ext>
                              </a:extLst>
                            </a:blip>
                            <a:stretch>
                              <a:fillRect/>
                            </a:stretch>
                          </pic:blipFill>
                          <pic:spPr>
                            <a:xfrm>
                              <a:off x="3296292" y="8499224"/>
                              <a:ext cx="374625" cy="374625"/>
                            </a:xfrm>
                            <a:prstGeom prst="rect">
                              <a:avLst/>
                            </a:prstGeom>
                          </pic:spPr>
                        </pic:pic>
                        <pic:pic xmlns:pic="http://schemas.openxmlformats.org/drawingml/2006/picture">
                          <pic:nvPicPr>
                            <pic:cNvPr id="180" name="Graphic 16">
                              <a:hlinkClick r:id="rId140"/>
                            </pic:cNvPr>
                            <pic:cNvPicPr>
                              <a:picLocks noChangeAspect="1"/>
                            </pic:cNvPicPr>
                          </pic:nvPicPr>
                          <pic:blipFill>
                            <a:blip r:embed="rId141">
                              <a:extLst>
                                <a:ext uri="{96DAC541-7B7A-43D3-8B79-37D633B846F1}">
                                  <asvg:svgBlip xmlns:asvg="http://schemas.microsoft.com/office/drawing/2016/SVG/main" r:embed="rId142"/>
                                </a:ext>
                              </a:extLst>
                            </a:blip>
                            <a:stretch>
                              <a:fillRect/>
                            </a:stretch>
                          </pic:blipFill>
                          <pic:spPr>
                            <a:xfrm>
                              <a:off x="3888756" y="8499224"/>
                              <a:ext cx="344706" cy="344707"/>
                            </a:xfrm>
                            <a:prstGeom prst="rect">
                              <a:avLst/>
                            </a:prstGeom>
                          </pic:spPr>
                        </pic:pic>
                        <pic:pic xmlns:pic="http://schemas.openxmlformats.org/drawingml/2006/picture">
                          <pic:nvPicPr>
                            <pic:cNvPr id="181" name="Graphic 18">
                              <a:hlinkClick r:id="rId143"/>
                            </pic:cNvPr>
                            <pic:cNvPicPr>
                              <a:picLocks noChangeAspect="1"/>
                            </pic:cNvPicPr>
                          </pic:nvPicPr>
                          <pic:blipFill>
                            <a:blip r:embed="rId144">
                              <a:extLst>
                                <a:ext uri="{96DAC541-7B7A-43D3-8B79-37D633B846F1}">
                                  <asvg:svgBlip xmlns:asvg="http://schemas.microsoft.com/office/drawing/2016/SVG/main" r:embed="rId145"/>
                                </a:ext>
                              </a:extLst>
                            </a:blip>
                            <a:stretch>
                              <a:fillRect/>
                            </a:stretch>
                          </pic:blipFill>
                          <pic:spPr>
                            <a:xfrm>
                              <a:off x="4481221" y="8481271"/>
                              <a:ext cx="374625" cy="374625"/>
                            </a:xfrm>
                            <a:prstGeom prst="rect">
                              <a:avLst/>
                            </a:prstGeom>
                          </pic:spPr>
                        </pic:pic>
                      </wpg:grpSp>
                      <wps:wsp>
                        <wps:cNvPr id="182" name="[T2O] Espace réservé du texte 3">
                          <a:hlinkClick r:id="rId146"/>
                        </wps:cNvPr>
                        <wps:cNvSpPr/>
                        <wps:spPr>
                          <a:xfrm>
                            <a:off x="790022" y="7637589"/>
                            <a:ext cx="5980510" cy="370541"/>
                          </a:xfrm>
                          <a:custGeom>
                            <a:avLst/>
                            <a:gdLst/>
                            <a:ahLst/>
                            <a:cxnLst/>
                            <a:rect l="l" t="t" r="r" b="b"/>
                            <a:pathLst>
                              <a:path w="5980510" h="370541">
                                <a:moveTo>
                                  <a:pt x="5530958" y="277149"/>
                                </a:moveTo>
                                <a:cubicBezTo>
                                  <a:pt x="5543747" y="277149"/>
                                  <a:pt x="5554432" y="281608"/>
                                  <a:pt x="5563014" y="290526"/>
                                </a:cubicBezTo>
                                <a:cubicBezTo>
                                  <a:pt x="5571596" y="299445"/>
                                  <a:pt x="5575887" y="310635"/>
                                  <a:pt x="5575887" y="324097"/>
                                </a:cubicBezTo>
                                <a:cubicBezTo>
                                  <a:pt x="5575887" y="337223"/>
                                  <a:pt x="5571596" y="348245"/>
                                  <a:pt x="5563014" y="357163"/>
                                </a:cubicBezTo>
                                <a:cubicBezTo>
                                  <a:pt x="5554432" y="366082"/>
                                  <a:pt x="5543747" y="370541"/>
                                  <a:pt x="5530958" y="370541"/>
                                </a:cubicBezTo>
                                <a:cubicBezTo>
                                  <a:pt x="5518169" y="370541"/>
                                  <a:pt x="5507483" y="366082"/>
                                  <a:pt x="5498902" y="357163"/>
                                </a:cubicBezTo>
                                <a:cubicBezTo>
                                  <a:pt x="5490320" y="348245"/>
                                  <a:pt x="5486029" y="337223"/>
                                  <a:pt x="5486029" y="324097"/>
                                </a:cubicBezTo>
                                <a:cubicBezTo>
                                  <a:pt x="5486029" y="310635"/>
                                  <a:pt x="5490320" y="299445"/>
                                  <a:pt x="5498902" y="290526"/>
                                </a:cubicBezTo>
                                <a:cubicBezTo>
                                  <a:pt x="5507483" y="281608"/>
                                  <a:pt x="5518169" y="277149"/>
                                  <a:pt x="5530958" y="277149"/>
                                </a:cubicBezTo>
                                <a:close/>
                                <a:moveTo>
                                  <a:pt x="1235183" y="277149"/>
                                </a:moveTo>
                                <a:cubicBezTo>
                                  <a:pt x="1247972" y="277149"/>
                                  <a:pt x="1258657" y="281608"/>
                                  <a:pt x="1267239" y="290526"/>
                                </a:cubicBezTo>
                                <a:cubicBezTo>
                                  <a:pt x="1275821" y="299445"/>
                                  <a:pt x="1280112" y="310635"/>
                                  <a:pt x="1280112" y="324097"/>
                                </a:cubicBezTo>
                                <a:cubicBezTo>
                                  <a:pt x="1280112" y="337223"/>
                                  <a:pt x="1275821" y="348245"/>
                                  <a:pt x="1267239" y="357163"/>
                                </a:cubicBezTo>
                                <a:cubicBezTo>
                                  <a:pt x="1258657" y="366082"/>
                                  <a:pt x="1247972" y="370541"/>
                                  <a:pt x="1235183" y="370541"/>
                                </a:cubicBezTo>
                                <a:cubicBezTo>
                                  <a:pt x="1222394" y="370541"/>
                                  <a:pt x="1211708" y="366082"/>
                                  <a:pt x="1203127" y="357163"/>
                                </a:cubicBezTo>
                                <a:cubicBezTo>
                                  <a:pt x="1194545" y="348245"/>
                                  <a:pt x="1190254" y="337223"/>
                                  <a:pt x="1190254" y="324097"/>
                                </a:cubicBezTo>
                                <a:cubicBezTo>
                                  <a:pt x="1190254" y="310635"/>
                                  <a:pt x="1194545" y="299445"/>
                                  <a:pt x="1203127" y="290526"/>
                                </a:cubicBezTo>
                                <a:cubicBezTo>
                                  <a:pt x="1211708" y="281608"/>
                                  <a:pt x="1222394" y="277149"/>
                                  <a:pt x="1235183" y="277149"/>
                                </a:cubicBezTo>
                                <a:close/>
                                <a:moveTo>
                                  <a:pt x="4331408" y="247869"/>
                                </a:moveTo>
                                <a:cubicBezTo>
                                  <a:pt x="4305157" y="251571"/>
                                  <a:pt x="4286983" y="256955"/>
                                  <a:pt x="4276887" y="264023"/>
                                </a:cubicBezTo>
                                <a:cubicBezTo>
                                  <a:pt x="4266790" y="271091"/>
                                  <a:pt x="4261742" y="279504"/>
                                  <a:pt x="4261742" y="289264"/>
                                </a:cubicBezTo>
                                <a:cubicBezTo>
                                  <a:pt x="4261742" y="297342"/>
                                  <a:pt x="4264351" y="303315"/>
                                  <a:pt x="4269567" y="307186"/>
                                </a:cubicBezTo>
                                <a:cubicBezTo>
                                  <a:pt x="4274784" y="311056"/>
                                  <a:pt x="4281767" y="312991"/>
                                  <a:pt x="4290517" y="312991"/>
                                </a:cubicBezTo>
                                <a:cubicBezTo>
                                  <a:pt x="4298931" y="312991"/>
                                  <a:pt x="4306167" y="311140"/>
                                  <a:pt x="4312225" y="307438"/>
                                </a:cubicBezTo>
                                <a:cubicBezTo>
                                  <a:pt x="4318283" y="303736"/>
                                  <a:pt x="4324677" y="298519"/>
                                  <a:pt x="4331408" y="291788"/>
                                </a:cubicBezTo>
                                <a:close/>
                                <a:moveTo>
                                  <a:pt x="3140783" y="247869"/>
                                </a:moveTo>
                                <a:cubicBezTo>
                                  <a:pt x="3114532" y="251571"/>
                                  <a:pt x="3096358" y="256955"/>
                                  <a:pt x="3086262" y="264023"/>
                                </a:cubicBezTo>
                                <a:cubicBezTo>
                                  <a:pt x="3076165" y="271091"/>
                                  <a:pt x="3071117" y="279504"/>
                                  <a:pt x="3071117" y="289264"/>
                                </a:cubicBezTo>
                                <a:cubicBezTo>
                                  <a:pt x="3071117" y="297342"/>
                                  <a:pt x="3073725" y="303315"/>
                                  <a:pt x="3078942" y="307186"/>
                                </a:cubicBezTo>
                                <a:cubicBezTo>
                                  <a:pt x="3084158" y="311056"/>
                                  <a:pt x="3091142" y="312991"/>
                                  <a:pt x="3099892" y="312991"/>
                                </a:cubicBezTo>
                                <a:cubicBezTo>
                                  <a:pt x="3108306" y="312991"/>
                                  <a:pt x="3115542" y="311140"/>
                                  <a:pt x="3121599" y="307438"/>
                                </a:cubicBezTo>
                                <a:cubicBezTo>
                                  <a:pt x="3127658" y="303736"/>
                                  <a:pt x="3134052" y="298519"/>
                                  <a:pt x="3140783" y="291788"/>
                                </a:cubicBezTo>
                                <a:close/>
                                <a:moveTo>
                                  <a:pt x="1473908" y="247869"/>
                                </a:moveTo>
                                <a:cubicBezTo>
                                  <a:pt x="1447657" y="251571"/>
                                  <a:pt x="1429483" y="256955"/>
                                  <a:pt x="1419387" y="264023"/>
                                </a:cubicBezTo>
                                <a:cubicBezTo>
                                  <a:pt x="1409291" y="271091"/>
                                  <a:pt x="1404242" y="279504"/>
                                  <a:pt x="1404242" y="289264"/>
                                </a:cubicBezTo>
                                <a:cubicBezTo>
                                  <a:pt x="1404242" y="297342"/>
                                  <a:pt x="1406850" y="303315"/>
                                  <a:pt x="1412067" y="307186"/>
                                </a:cubicBezTo>
                                <a:cubicBezTo>
                                  <a:pt x="1417283" y="311056"/>
                                  <a:pt x="1424267" y="312991"/>
                                  <a:pt x="1433017" y="312991"/>
                                </a:cubicBezTo>
                                <a:cubicBezTo>
                                  <a:pt x="1441431" y="312991"/>
                                  <a:pt x="1448667" y="311140"/>
                                  <a:pt x="1454725" y="307438"/>
                                </a:cubicBezTo>
                                <a:cubicBezTo>
                                  <a:pt x="1460783" y="303736"/>
                                  <a:pt x="1467177" y="298519"/>
                                  <a:pt x="1473908" y="291788"/>
                                </a:cubicBezTo>
                                <a:close/>
                                <a:moveTo>
                                  <a:pt x="2828991" y="210512"/>
                                </a:moveTo>
                                <a:lnTo>
                                  <a:pt x="2953179" y="210512"/>
                                </a:lnTo>
                                <a:lnTo>
                                  <a:pt x="2953179" y="263013"/>
                                </a:lnTo>
                                <a:lnTo>
                                  <a:pt x="2828991" y="263013"/>
                                </a:lnTo>
                                <a:close/>
                                <a:moveTo>
                                  <a:pt x="1728492" y="168611"/>
                                </a:moveTo>
                                <a:cubicBezTo>
                                  <a:pt x="1713684" y="168611"/>
                                  <a:pt x="1699381" y="176184"/>
                                  <a:pt x="1685582" y="191328"/>
                                </a:cubicBezTo>
                                <a:lnTo>
                                  <a:pt x="1685582" y="293808"/>
                                </a:lnTo>
                                <a:cubicBezTo>
                                  <a:pt x="1692313" y="299866"/>
                                  <a:pt x="1699044" y="304072"/>
                                  <a:pt x="1705775" y="306428"/>
                                </a:cubicBezTo>
                                <a:cubicBezTo>
                                  <a:pt x="1712506" y="308784"/>
                                  <a:pt x="1719069" y="309962"/>
                                  <a:pt x="1725463" y="309962"/>
                                </a:cubicBezTo>
                                <a:cubicBezTo>
                                  <a:pt x="1738252" y="309962"/>
                                  <a:pt x="1749190" y="304157"/>
                                  <a:pt x="1758277" y="292546"/>
                                </a:cubicBezTo>
                                <a:cubicBezTo>
                                  <a:pt x="1767364" y="280935"/>
                                  <a:pt x="1771907" y="262172"/>
                                  <a:pt x="1771907" y="236258"/>
                                </a:cubicBezTo>
                                <a:cubicBezTo>
                                  <a:pt x="1771907" y="191160"/>
                                  <a:pt x="1757436" y="168611"/>
                                  <a:pt x="1728492" y="168611"/>
                                </a:cubicBezTo>
                                <a:close/>
                                <a:moveTo>
                                  <a:pt x="5107276" y="164573"/>
                                </a:moveTo>
                                <a:cubicBezTo>
                                  <a:pt x="5095497" y="164573"/>
                                  <a:pt x="5085149" y="168443"/>
                                  <a:pt x="5076229" y="176184"/>
                                </a:cubicBezTo>
                                <a:cubicBezTo>
                                  <a:pt x="5067311" y="183924"/>
                                  <a:pt x="5061506" y="195872"/>
                                  <a:pt x="5058813" y="212026"/>
                                </a:cubicBezTo>
                                <a:lnTo>
                                  <a:pt x="5149177" y="212026"/>
                                </a:lnTo>
                                <a:cubicBezTo>
                                  <a:pt x="5149177" y="197891"/>
                                  <a:pt x="5145980" y="186448"/>
                                  <a:pt x="5139585" y="177698"/>
                                </a:cubicBezTo>
                                <a:cubicBezTo>
                                  <a:pt x="5133191" y="168948"/>
                                  <a:pt x="5122421" y="164573"/>
                                  <a:pt x="5107276" y="164573"/>
                                </a:cubicBezTo>
                                <a:close/>
                                <a:moveTo>
                                  <a:pt x="2687926" y="164573"/>
                                </a:moveTo>
                                <a:cubicBezTo>
                                  <a:pt x="2676147" y="164573"/>
                                  <a:pt x="2665798" y="168443"/>
                                  <a:pt x="2656880" y="176184"/>
                                </a:cubicBezTo>
                                <a:cubicBezTo>
                                  <a:pt x="2647961" y="183924"/>
                                  <a:pt x="2642156" y="195872"/>
                                  <a:pt x="2639463" y="212026"/>
                                </a:cubicBezTo>
                                <a:lnTo>
                                  <a:pt x="2729827" y="212026"/>
                                </a:lnTo>
                                <a:cubicBezTo>
                                  <a:pt x="2729827" y="197891"/>
                                  <a:pt x="2726629" y="186448"/>
                                  <a:pt x="2720235" y="177698"/>
                                </a:cubicBezTo>
                                <a:cubicBezTo>
                                  <a:pt x="2713841" y="168948"/>
                                  <a:pt x="2703071" y="164573"/>
                                  <a:pt x="2687926" y="164573"/>
                                </a:cubicBezTo>
                                <a:close/>
                                <a:moveTo>
                                  <a:pt x="2002126" y="164573"/>
                                </a:moveTo>
                                <a:cubicBezTo>
                                  <a:pt x="1990347" y="164573"/>
                                  <a:pt x="1979998" y="168443"/>
                                  <a:pt x="1971080" y="176184"/>
                                </a:cubicBezTo>
                                <a:cubicBezTo>
                                  <a:pt x="1962161" y="183924"/>
                                  <a:pt x="1956356" y="195872"/>
                                  <a:pt x="1953663" y="212026"/>
                                </a:cubicBezTo>
                                <a:lnTo>
                                  <a:pt x="2044027" y="212026"/>
                                </a:lnTo>
                                <a:cubicBezTo>
                                  <a:pt x="2044027" y="197891"/>
                                  <a:pt x="2040830" y="186448"/>
                                  <a:pt x="2034435" y="177698"/>
                                </a:cubicBezTo>
                                <a:cubicBezTo>
                                  <a:pt x="2028041" y="168948"/>
                                  <a:pt x="2017271" y="164573"/>
                                  <a:pt x="2002126" y="164573"/>
                                </a:cubicBezTo>
                                <a:close/>
                                <a:moveTo>
                                  <a:pt x="3713874" y="114090"/>
                                </a:moveTo>
                                <a:lnTo>
                                  <a:pt x="3788083" y="114090"/>
                                </a:lnTo>
                                <a:lnTo>
                                  <a:pt x="3788083" y="259984"/>
                                </a:lnTo>
                                <a:cubicBezTo>
                                  <a:pt x="3788083" y="278158"/>
                                  <a:pt x="3790607" y="290611"/>
                                  <a:pt x="3795655" y="297342"/>
                                </a:cubicBezTo>
                                <a:cubicBezTo>
                                  <a:pt x="3800704" y="304072"/>
                                  <a:pt x="3808613" y="307438"/>
                                  <a:pt x="3819382" y="307438"/>
                                </a:cubicBezTo>
                                <a:cubicBezTo>
                                  <a:pt x="3828805" y="307438"/>
                                  <a:pt x="3836715" y="305250"/>
                                  <a:pt x="3843109" y="300875"/>
                                </a:cubicBezTo>
                                <a:cubicBezTo>
                                  <a:pt x="3849503" y="296500"/>
                                  <a:pt x="3856403" y="289433"/>
                                  <a:pt x="3863807" y="279673"/>
                                </a:cubicBezTo>
                                <a:lnTo>
                                  <a:pt x="3863807" y="114090"/>
                                </a:lnTo>
                                <a:lnTo>
                                  <a:pt x="3938016" y="114090"/>
                                </a:lnTo>
                                <a:lnTo>
                                  <a:pt x="3938016" y="364483"/>
                                </a:lnTo>
                                <a:lnTo>
                                  <a:pt x="3877437" y="364483"/>
                                </a:lnTo>
                                <a:lnTo>
                                  <a:pt x="3871884" y="329650"/>
                                </a:lnTo>
                                <a:lnTo>
                                  <a:pt x="3870369" y="329650"/>
                                </a:lnTo>
                                <a:cubicBezTo>
                                  <a:pt x="3859600" y="342439"/>
                                  <a:pt x="3848073" y="352452"/>
                                  <a:pt x="3835789" y="359687"/>
                                </a:cubicBezTo>
                                <a:cubicBezTo>
                                  <a:pt x="3823505" y="366923"/>
                                  <a:pt x="3808781" y="370541"/>
                                  <a:pt x="3791617" y="370541"/>
                                </a:cubicBezTo>
                                <a:cubicBezTo>
                                  <a:pt x="3764356" y="370541"/>
                                  <a:pt x="3744584" y="361623"/>
                                  <a:pt x="3732300" y="343785"/>
                                </a:cubicBezTo>
                                <a:cubicBezTo>
                                  <a:pt x="3720016" y="325948"/>
                                  <a:pt x="3713874" y="301212"/>
                                  <a:pt x="3713874" y="269576"/>
                                </a:cubicBezTo>
                                <a:close/>
                                <a:moveTo>
                                  <a:pt x="2154298" y="114090"/>
                                </a:moveTo>
                                <a:lnTo>
                                  <a:pt x="2228507" y="114090"/>
                                </a:lnTo>
                                <a:lnTo>
                                  <a:pt x="2228507" y="364483"/>
                                </a:lnTo>
                                <a:lnTo>
                                  <a:pt x="2154298" y="364483"/>
                                </a:lnTo>
                                <a:close/>
                                <a:moveTo>
                                  <a:pt x="781050" y="114090"/>
                                </a:moveTo>
                                <a:lnTo>
                                  <a:pt x="854755" y="114090"/>
                                </a:lnTo>
                                <a:lnTo>
                                  <a:pt x="878986" y="230200"/>
                                </a:lnTo>
                                <a:cubicBezTo>
                                  <a:pt x="881006" y="242652"/>
                                  <a:pt x="882856" y="254936"/>
                                  <a:pt x="884539" y="267052"/>
                                </a:cubicBezTo>
                                <a:cubicBezTo>
                                  <a:pt x="886222" y="279168"/>
                                  <a:pt x="888073" y="291620"/>
                                  <a:pt x="890092" y="304409"/>
                                </a:cubicBezTo>
                                <a:lnTo>
                                  <a:pt x="892112" y="304409"/>
                                </a:lnTo>
                                <a:cubicBezTo>
                                  <a:pt x="894467" y="291620"/>
                                  <a:pt x="896739" y="279000"/>
                                  <a:pt x="898927" y="266547"/>
                                </a:cubicBezTo>
                                <a:cubicBezTo>
                                  <a:pt x="901114" y="254095"/>
                                  <a:pt x="903723" y="241979"/>
                                  <a:pt x="906751" y="230200"/>
                                </a:cubicBezTo>
                                <a:lnTo>
                                  <a:pt x="934517" y="114090"/>
                                </a:lnTo>
                                <a:lnTo>
                                  <a:pt x="998630" y="114090"/>
                                </a:lnTo>
                                <a:lnTo>
                                  <a:pt x="1026900" y="230200"/>
                                </a:lnTo>
                                <a:cubicBezTo>
                                  <a:pt x="1029929" y="242652"/>
                                  <a:pt x="1032621" y="254936"/>
                                  <a:pt x="1034977" y="267052"/>
                                </a:cubicBezTo>
                                <a:cubicBezTo>
                                  <a:pt x="1037333" y="279168"/>
                                  <a:pt x="1039857" y="291620"/>
                                  <a:pt x="1042549" y="304409"/>
                                </a:cubicBezTo>
                                <a:lnTo>
                                  <a:pt x="1044569" y="304409"/>
                                </a:lnTo>
                                <a:cubicBezTo>
                                  <a:pt x="1046925" y="291620"/>
                                  <a:pt x="1048860" y="279168"/>
                                  <a:pt x="1050374" y="267052"/>
                                </a:cubicBezTo>
                                <a:cubicBezTo>
                                  <a:pt x="1051889" y="254936"/>
                                  <a:pt x="1053824" y="242652"/>
                                  <a:pt x="1056180" y="230200"/>
                                </a:cubicBezTo>
                                <a:lnTo>
                                  <a:pt x="1079906" y="114090"/>
                                </a:lnTo>
                                <a:lnTo>
                                  <a:pt x="1148563" y="114090"/>
                                </a:lnTo>
                                <a:lnTo>
                                  <a:pt x="1088488" y="364483"/>
                                </a:lnTo>
                                <a:lnTo>
                                  <a:pt x="1001659" y="364483"/>
                                </a:lnTo>
                                <a:lnTo>
                                  <a:pt x="978942" y="264528"/>
                                </a:lnTo>
                                <a:cubicBezTo>
                                  <a:pt x="976249" y="252749"/>
                                  <a:pt x="973893" y="240969"/>
                                  <a:pt x="971874" y="229190"/>
                                </a:cubicBezTo>
                                <a:cubicBezTo>
                                  <a:pt x="969855" y="217411"/>
                                  <a:pt x="967667" y="204790"/>
                                  <a:pt x="965311" y="191328"/>
                                </a:cubicBezTo>
                                <a:lnTo>
                                  <a:pt x="963292" y="191328"/>
                                </a:lnTo>
                                <a:cubicBezTo>
                                  <a:pt x="960936" y="204790"/>
                                  <a:pt x="958833" y="217411"/>
                                  <a:pt x="956981" y="229190"/>
                                </a:cubicBezTo>
                                <a:cubicBezTo>
                                  <a:pt x="955130" y="240969"/>
                                  <a:pt x="953027" y="252749"/>
                                  <a:pt x="950671" y="264528"/>
                                </a:cubicBezTo>
                                <a:lnTo>
                                  <a:pt x="928459" y="364483"/>
                                </a:lnTo>
                                <a:lnTo>
                                  <a:pt x="843649" y="364483"/>
                                </a:lnTo>
                                <a:close/>
                                <a:moveTo>
                                  <a:pt x="390525" y="114090"/>
                                </a:moveTo>
                                <a:lnTo>
                                  <a:pt x="464230" y="114090"/>
                                </a:lnTo>
                                <a:lnTo>
                                  <a:pt x="488461" y="230200"/>
                                </a:lnTo>
                                <a:cubicBezTo>
                                  <a:pt x="490481" y="242652"/>
                                  <a:pt x="492332" y="254936"/>
                                  <a:pt x="494014" y="267052"/>
                                </a:cubicBezTo>
                                <a:cubicBezTo>
                                  <a:pt x="495697" y="279168"/>
                                  <a:pt x="497548" y="291620"/>
                                  <a:pt x="499567" y="304409"/>
                                </a:cubicBezTo>
                                <a:lnTo>
                                  <a:pt x="501586" y="304409"/>
                                </a:lnTo>
                                <a:cubicBezTo>
                                  <a:pt x="503943" y="291620"/>
                                  <a:pt x="506214" y="279000"/>
                                  <a:pt x="508402" y="266547"/>
                                </a:cubicBezTo>
                                <a:cubicBezTo>
                                  <a:pt x="510589" y="254095"/>
                                  <a:pt x="513198" y="241979"/>
                                  <a:pt x="516227" y="230200"/>
                                </a:cubicBezTo>
                                <a:lnTo>
                                  <a:pt x="543992" y="114090"/>
                                </a:lnTo>
                                <a:lnTo>
                                  <a:pt x="608105" y="114090"/>
                                </a:lnTo>
                                <a:lnTo>
                                  <a:pt x="636375" y="230200"/>
                                </a:lnTo>
                                <a:cubicBezTo>
                                  <a:pt x="639404" y="242652"/>
                                  <a:pt x="642096" y="254936"/>
                                  <a:pt x="644452" y="267052"/>
                                </a:cubicBezTo>
                                <a:cubicBezTo>
                                  <a:pt x="646808" y="279168"/>
                                  <a:pt x="649332" y="291620"/>
                                  <a:pt x="652025" y="304409"/>
                                </a:cubicBezTo>
                                <a:lnTo>
                                  <a:pt x="654044" y="304409"/>
                                </a:lnTo>
                                <a:cubicBezTo>
                                  <a:pt x="656399" y="291620"/>
                                  <a:pt x="658335" y="279168"/>
                                  <a:pt x="659849" y="267052"/>
                                </a:cubicBezTo>
                                <a:cubicBezTo>
                                  <a:pt x="661364" y="254936"/>
                                  <a:pt x="663299" y="242652"/>
                                  <a:pt x="665655" y="230200"/>
                                </a:cubicBezTo>
                                <a:lnTo>
                                  <a:pt x="689381" y="114090"/>
                                </a:lnTo>
                                <a:lnTo>
                                  <a:pt x="758038" y="114090"/>
                                </a:lnTo>
                                <a:lnTo>
                                  <a:pt x="697964" y="364483"/>
                                </a:lnTo>
                                <a:lnTo>
                                  <a:pt x="611134" y="364483"/>
                                </a:lnTo>
                                <a:lnTo>
                                  <a:pt x="588417" y="264528"/>
                                </a:lnTo>
                                <a:cubicBezTo>
                                  <a:pt x="585724" y="252749"/>
                                  <a:pt x="583368" y="240969"/>
                                  <a:pt x="581349" y="229190"/>
                                </a:cubicBezTo>
                                <a:cubicBezTo>
                                  <a:pt x="579330" y="217411"/>
                                  <a:pt x="577142" y="204790"/>
                                  <a:pt x="574786" y="191328"/>
                                </a:cubicBezTo>
                                <a:lnTo>
                                  <a:pt x="572767" y="191328"/>
                                </a:lnTo>
                                <a:cubicBezTo>
                                  <a:pt x="570411" y="204790"/>
                                  <a:pt x="568308" y="217411"/>
                                  <a:pt x="566457" y="229190"/>
                                </a:cubicBezTo>
                                <a:cubicBezTo>
                                  <a:pt x="564606" y="240969"/>
                                  <a:pt x="562502" y="252749"/>
                                  <a:pt x="560146" y="264528"/>
                                </a:cubicBezTo>
                                <a:lnTo>
                                  <a:pt x="537934" y="364483"/>
                                </a:lnTo>
                                <a:lnTo>
                                  <a:pt x="453123" y="364483"/>
                                </a:lnTo>
                                <a:close/>
                                <a:moveTo>
                                  <a:pt x="0" y="114090"/>
                                </a:moveTo>
                                <a:lnTo>
                                  <a:pt x="73704" y="114090"/>
                                </a:lnTo>
                                <a:lnTo>
                                  <a:pt x="97936" y="230200"/>
                                </a:lnTo>
                                <a:cubicBezTo>
                                  <a:pt x="99956" y="242652"/>
                                  <a:pt x="101806" y="254936"/>
                                  <a:pt x="103489" y="267052"/>
                                </a:cubicBezTo>
                                <a:cubicBezTo>
                                  <a:pt x="105172" y="279168"/>
                                  <a:pt x="107023" y="291620"/>
                                  <a:pt x="109042" y="304409"/>
                                </a:cubicBezTo>
                                <a:lnTo>
                                  <a:pt x="111062" y="304409"/>
                                </a:lnTo>
                                <a:cubicBezTo>
                                  <a:pt x="113417" y="291620"/>
                                  <a:pt x="115689" y="279000"/>
                                  <a:pt x="117877" y="266547"/>
                                </a:cubicBezTo>
                                <a:cubicBezTo>
                                  <a:pt x="120064" y="254095"/>
                                  <a:pt x="122673" y="241979"/>
                                  <a:pt x="125701" y="230200"/>
                                </a:cubicBezTo>
                                <a:lnTo>
                                  <a:pt x="153467" y="114090"/>
                                </a:lnTo>
                                <a:lnTo>
                                  <a:pt x="217580" y="114090"/>
                                </a:lnTo>
                                <a:lnTo>
                                  <a:pt x="245850" y="230200"/>
                                </a:lnTo>
                                <a:cubicBezTo>
                                  <a:pt x="248879" y="242652"/>
                                  <a:pt x="251571" y="254936"/>
                                  <a:pt x="253927" y="267052"/>
                                </a:cubicBezTo>
                                <a:cubicBezTo>
                                  <a:pt x="256283" y="279168"/>
                                  <a:pt x="258807" y="291620"/>
                                  <a:pt x="261499" y="304409"/>
                                </a:cubicBezTo>
                                <a:lnTo>
                                  <a:pt x="263519" y="304409"/>
                                </a:lnTo>
                                <a:cubicBezTo>
                                  <a:pt x="265875" y="291620"/>
                                  <a:pt x="267810" y="279168"/>
                                  <a:pt x="269324" y="267052"/>
                                </a:cubicBezTo>
                                <a:cubicBezTo>
                                  <a:pt x="270839" y="254936"/>
                                  <a:pt x="272774" y="242652"/>
                                  <a:pt x="275130" y="230200"/>
                                </a:cubicBezTo>
                                <a:lnTo>
                                  <a:pt x="298857" y="114090"/>
                                </a:lnTo>
                                <a:lnTo>
                                  <a:pt x="367513" y="114090"/>
                                </a:lnTo>
                                <a:lnTo>
                                  <a:pt x="307439" y="364483"/>
                                </a:lnTo>
                                <a:lnTo>
                                  <a:pt x="220609" y="364483"/>
                                </a:lnTo>
                                <a:lnTo>
                                  <a:pt x="197891" y="264528"/>
                                </a:lnTo>
                                <a:cubicBezTo>
                                  <a:pt x="195199" y="252749"/>
                                  <a:pt x="192843" y="240969"/>
                                  <a:pt x="190824" y="229190"/>
                                </a:cubicBezTo>
                                <a:cubicBezTo>
                                  <a:pt x="188805" y="217411"/>
                                  <a:pt x="186617" y="204790"/>
                                  <a:pt x="184261" y="191328"/>
                                </a:cubicBezTo>
                                <a:lnTo>
                                  <a:pt x="182242" y="191328"/>
                                </a:lnTo>
                                <a:cubicBezTo>
                                  <a:pt x="179886" y="204790"/>
                                  <a:pt x="177783" y="217411"/>
                                  <a:pt x="175932" y="229190"/>
                                </a:cubicBezTo>
                                <a:cubicBezTo>
                                  <a:pt x="174081" y="240969"/>
                                  <a:pt x="171977" y="252749"/>
                                  <a:pt x="169621" y="264528"/>
                                </a:cubicBezTo>
                                <a:lnTo>
                                  <a:pt x="147409" y="364483"/>
                                </a:lnTo>
                                <a:lnTo>
                                  <a:pt x="62598" y="364483"/>
                                </a:lnTo>
                                <a:close/>
                                <a:moveTo>
                                  <a:pt x="5950725" y="108032"/>
                                </a:moveTo>
                                <a:cubicBezTo>
                                  <a:pt x="5957792" y="108032"/>
                                  <a:pt x="5963598" y="108453"/>
                                  <a:pt x="5968141" y="109294"/>
                                </a:cubicBezTo>
                                <a:cubicBezTo>
                                  <a:pt x="5972685" y="110136"/>
                                  <a:pt x="5976808" y="111398"/>
                                  <a:pt x="5980510" y="113080"/>
                                </a:cubicBezTo>
                                <a:lnTo>
                                  <a:pt x="5968394" y="177193"/>
                                </a:lnTo>
                                <a:cubicBezTo>
                                  <a:pt x="5963682" y="175847"/>
                                  <a:pt x="5959307" y="174837"/>
                                  <a:pt x="5955268" y="174164"/>
                                </a:cubicBezTo>
                                <a:cubicBezTo>
                                  <a:pt x="5951230" y="173491"/>
                                  <a:pt x="5946518" y="173155"/>
                                  <a:pt x="5941133" y="173155"/>
                                </a:cubicBezTo>
                                <a:cubicBezTo>
                                  <a:pt x="5931710" y="173155"/>
                                  <a:pt x="5921866" y="176520"/>
                                  <a:pt x="5911601" y="183251"/>
                                </a:cubicBezTo>
                                <a:cubicBezTo>
                                  <a:pt x="5901336" y="189982"/>
                                  <a:pt x="5892838" y="201930"/>
                                  <a:pt x="5886107" y="219094"/>
                                </a:cubicBezTo>
                                <a:lnTo>
                                  <a:pt x="5886107" y="364483"/>
                                </a:lnTo>
                                <a:lnTo>
                                  <a:pt x="5811898" y="364483"/>
                                </a:lnTo>
                                <a:lnTo>
                                  <a:pt x="5811898" y="114090"/>
                                </a:lnTo>
                                <a:lnTo>
                                  <a:pt x="5872477" y="114090"/>
                                </a:lnTo>
                                <a:lnTo>
                                  <a:pt x="5877525" y="158010"/>
                                </a:lnTo>
                                <a:lnTo>
                                  <a:pt x="5879544" y="158010"/>
                                </a:lnTo>
                                <a:cubicBezTo>
                                  <a:pt x="5888632" y="140846"/>
                                  <a:pt x="5899569" y="128225"/>
                                  <a:pt x="5912358" y="120148"/>
                                </a:cubicBezTo>
                                <a:cubicBezTo>
                                  <a:pt x="5925147" y="112071"/>
                                  <a:pt x="5937936" y="108032"/>
                                  <a:pt x="5950725" y="108032"/>
                                </a:cubicBezTo>
                                <a:close/>
                                <a:moveTo>
                                  <a:pt x="5355298" y="108032"/>
                                </a:moveTo>
                                <a:cubicBezTo>
                                  <a:pt x="5374482" y="108032"/>
                                  <a:pt x="5391308" y="111314"/>
                                  <a:pt x="5405781" y="117876"/>
                                </a:cubicBezTo>
                                <a:cubicBezTo>
                                  <a:pt x="5420252" y="124439"/>
                                  <a:pt x="5432873" y="131759"/>
                                  <a:pt x="5443642" y="139836"/>
                                </a:cubicBezTo>
                                <a:lnTo>
                                  <a:pt x="5410324" y="184261"/>
                                </a:lnTo>
                                <a:cubicBezTo>
                                  <a:pt x="5401237" y="177530"/>
                                  <a:pt x="5392318" y="172313"/>
                                  <a:pt x="5383568" y="168611"/>
                                </a:cubicBezTo>
                                <a:cubicBezTo>
                                  <a:pt x="5374818" y="164909"/>
                                  <a:pt x="5366068" y="163058"/>
                                  <a:pt x="5357318" y="163058"/>
                                </a:cubicBezTo>
                                <a:cubicBezTo>
                                  <a:pt x="5338470" y="163058"/>
                                  <a:pt x="5329047" y="169621"/>
                                  <a:pt x="5329047" y="182746"/>
                                </a:cubicBezTo>
                                <a:cubicBezTo>
                                  <a:pt x="5329047" y="186785"/>
                                  <a:pt x="5330393" y="190234"/>
                                  <a:pt x="5333086" y="193095"/>
                                </a:cubicBezTo>
                                <a:cubicBezTo>
                                  <a:pt x="5335778" y="195956"/>
                                  <a:pt x="5339396" y="198564"/>
                                  <a:pt x="5343939" y="200920"/>
                                </a:cubicBezTo>
                                <a:cubicBezTo>
                                  <a:pt x="5348483" y="203276"/>
                                  <a:pt x="5353699" y="205548"/>
                                  <a:pt x="5359589" y="207735"/>
                                </a:cubicBezTo>
                                <a:cubicBezTo>
                                  <a:pt x="5365479" y="209923"/>
                                  <a:pt x="5371621" y="212194"/>
                                  <a:pt x="5378015" y="214550"/>
                                </a:cubicBezTo>
                                <a:cubicBezTo>
                                  <a:pt x="5386093" y="217579"/>
                                  <a:pt x="5394085" y="221029"/>
                                  <a:pt x="5401994" y="224899"/>
                                </a:cubicBezTo>
                                <a:cubicBezTo>
                                  <a:pt x="5409903" y="228769"/>
                                  <a:pt x="5417139" y="233565"/>
                                  <a:pt x="5423702" y="239287"/>
                                </a:cubicBezTo>
                                <a:cubicBezTo>
                                  <a:pt x="5430265" y="245008"/>
                                  <a:pt x="5435565" y="251991"/>
                                  <a:pt x="5439604" y="260237"/>
                                </a:cubicBezTo>
                                <a:cubicBezTo>
                                  <a:pt x="5443642" y="268482"/>
                                  <a:pt x="5445662" y="278326"/>
                                  <a:pt x="5445662" y="289769"/>
                                </a:cubicBezTo>
                                <a:cubicBezTo>
                                  <a:pt x="5445662" y="301212"/>
                                  <a:pt x="5443474" y="311813"/>
                                  <a:pt x="5439099" y="321573"/>
                                </a:cubicBezTo>
                                <a:cubicBezTo>
                                  <a:pt x="5434724" y="331333"/>
                                  <a:pt x="5428161" y="339831"/>
                                  <a:pt x="5419411" y="347067"/>
                                </a:cubicBezTo>
                                <a:cubicBezTo>
                                  <a:pt x="5410660" y="354303"/>
                                  <a:pt x="5399891" y="360024"/>
                                  <a:pt x="5387102" y="364231"/>
                                </a:cubicBezTo>
                                <a:cubicBezTo>
                                  <a:pt x="5374313" y="368438"/>
                                  <a:pt x="5359505" y="370541"/>
                                  <a:pt x="5342678" y="370541"/>
                                </a:cubicBezTo>
                                <a:cubicBezTo>
                                  <a:pt x="5326186" y="370541"/>
                                  <a:pt x="5309275" y="367344"/>
                                  <a:pt x="5291942" y="360949"/>
                                </a:cubicBezTo>
                                <a:cubicBezTo>
                                  <a:pt x="5274610" y="354555"/>
                                  <a:pt x="5259550" y="346141"/>
                                  <a:pt x="5246761" y="335708"/>
                                </a:cubicBezTo>
                                <a:lnTo>
                                  <a:pt x="5280079" y="289264"/>
                                </a:lnTo>
                                <a:cubicBezTo>
                                  <a:pt x="5291522" y="298015"/>
                                  <a:pt x="5302460" y="304577"/>
                                  <a:pt x="5312893" y="308952"/>
                                </a:cubicBezTo>
                                <a:cubicBezTo>
                                  <a:pt x="5323326" y="313328"/>
                                  <a:pt x="5333927" y="315515"/>
                                  <a:pt x="5344697" y="315515"/>
                                </a:cubicBezTo>
                                <a:cubicBezTo>
                                  <a:pt x="5355803" y="315515"/>
                                  <a:pt x="5363880" y="313664"/>
                                  <a:pt x="5368928" y="309962"/>
                                </a:cubicBezTo>
                                <a:cubicBezTo>
                                  <a:pt x="5373976" y="306260"/>
                                  <a:pt x="5376501" y="301044"/>
                                  <a:pt x="5376501" y="294313"/>
                                </a:cubicBezTo>
                                <a:cubicBezTo>
                                  <a:pt x="5376501" y="290274"/>
                                  <a:pt x="5375071" y="286656"/>
                                  <a:pt x="5372210" y="283459"/>
                                </a:cubicBezTo>
                                <a:cubicBezTo>
                                  <a:pt x="5369349" y="280262"/>
                                  <a:pt x="5365479" y="277317"/>
                                  <a:pt x="5360599" y="274624"/>
                                </a:cubicBezTo>
                                <a:cubicBezTo>
                                  <a:pt x="5355719" y="271932"/>
                                  <a:pt x="5350250" y="269492"/>
                                  <a:pt x="5344192" y="267304"/>
                                </a:cubicBezTo>
                                <a:cubicBezTo>
                                  <a:pt x="5338134" y="265117"/>
                                  <a:pt x="5331908" y="262677"/>
                                  <a:pt x="5325514" y="259984"/>
                                </a:cubicBezTo>
                                <a:cubicBezTo>
                                  <a:pt x="5317773" y="256955"/>
                                  <a:pt x="5310032" y="253422"/>
                                  <a:pt x="5302291" y="249383"/>
                                </a:cubicBezTo>
                                <a:cubicBezTo>
                                  <a:pt x="5294550" y="245345"/>
                                  <a:pt x="5287483" y="240380"/>
                                  <a:pt x="5281089" y="234491"/>
                                </a:cubicBezTo>
                                <a:cubicBezTo>
                                  <a:pt x="5274694" y="228601"/>
                                  <a:pt x="5269478" y="221702"/>
                                  <a:pt x="5265439" y="213793"/>
                                </a:cubicBezTo>
                                <a:cubicBezTo>
                                  <a:pt x="5261401" y="205884"/>
                                  <a:pt x="5259381" y="196713"/>
                                  <a:pt x="5259381" y="186280"/>
                                </a:cubicBezTo>
                                <a:cubicBezTo>
                                  <a:pt x="5259381" y="174837"/>
                                  <a:pt x="5261653" y="164236"/>
                                  <a:pt x="5266196" y="154476"/>
                                </a:cubicBezTo>
                                <a:cubicBezTo>
                                  <a:pt x="5270740" y="144716"/>
                                  <a:pt x="5277218" y="136471"/>
                                  <a:pt x="5285632" y="129740"/>
                                </a:cubicBezTo>
                                <a:cubicBezTo>
                                  <a:pt x="5294046" y="123009"/>
                                  <a:pt x="5304142" y="117708"/>
                                  <a:pt x="5315922" y="113838"/>
                                </a:cubicBezTo>
                                <a:cubicBezTo>
                                  <a:pt x="5327701" y="109967"/>
                                  <a:pt x="5340826" y="108032"/>
                                  <a:pt x="5355298" y="108032"/>
                                </a:cubicBezTo>
                                <a:close/>
                                <a:moveTo>
                                  <a:pt x="5105762" y="108032"/>
                                </a:moveTo>
                                <a:cubicBezTo>
                                  <a:pt x="5123599" y="108032"/>
                                  <a:pt x="5139165" y="111061"/>
                                  <a:pt x="5152459" y="117119"/>
                                </a:cubicBezTo>
                                <a:cubicBezTo>
                                  <a:pt x="5165752" y="123177"/>
                                  <a:pt x="5176858" y="131591"/>
                                  <a:pt x="5185777" y="142360"/>
                                </a:cubicBezTo>
                                <a:cubicBezTo>
                                  <a:pt x="5194695" y="153130"/>
                                  <a:pt x="5201342" y="165835"/>
                                  <a:pt x="5205717" y="180475"/>
                                </a:cubicBezTo>
                                <a:cubicBezTo>
                                  <a:pt x="5210093" y="195114"/>
                                  <a:pt x="5212280" y="211016"/>
                                  <a:pt x="5212280" y="228180"/>
                                </a:cubicBezTo>
                                <a:cubicBezTo>
                                  <a:pt x="5212280" y="234911"/>
                                  <a:pt x="5211943" y="241306"/>
                                  <a:pt x="5211271" y="247364"/>
                                </a:cubicBezTo>
                                <a:cubicBezTo>
                                  <a:pt x="5210597" y="253422"/>
                                  <a:pt x="5209924" y="257965"/>
                                  <a:pt x="5209251" y="260994"/>
                                </a:cubicBezTo>
                                <a:lnTo>
                                  <a:pt x="5059318" y="260994"/>
                                </a:lnTo>
                                <a:cubicBezTo>
                                  <a:pt x="5062684" y="279168"/>
                                  <a:pt x="5070172" y="292546"/>
                                  <a:pt x="5081783" y="301128"/>
                                </a:cubicBezTo>
                                <a:cubicBezTo>
                                  <a:pt x="5093394" y="309710"/>
                                  <a:pt x="5107613" y="314001"/>
                                  <a:pt x="5124440" y="314001"/>
                                </a:cubicBezTo>
                                <a:cubicBezTo>
                                  <a:pt x="5142278" y="314001"/>
                                  <a:pt x="5160283" y="308448"/>
                                  <a:pt x="5178457" y="297342"/>
                                </a:cubicBezTo>
                                <a:lnTo>
                                  <a:pt x="5203193" y="342271"/>
                                </a:lnTo>
                                <a:cubicBezTo>
                                  <a:pt x="5190404" y="351021"/>
                                  <a:pt x="5176185" y="357921"/>
                                  <a:pt x="5160535" y="362969"/>
                                </a:cubicBezTo>
                                <a:cubicBezTo>
                                  <a:pt x="5144886" y="368017"/>
                                  <a:pt x="5129489" y="370541"/>
                                  <a:pt x="5114344" y="370541"/>
                                </a:cubicBezTo>
                                <a:cubicBezTo>
                                  <a:pt x="5096507" y="370541"/>
                                  <a:pt x="5079848" y="367596"/>
                                  <a:pt x="5064366" y="361707"/>
                                </a:cubicBezTo>
                                <a:cubicBezTo>
                                  <a:pt x="5048885" y="355817"/>
                                  <a:pt x="5035423" y="347235"/>
                                  <a:pt x="5023980" y="335961"/>
                                </a:cubicBezTo>
                                <a:cubicBezTo>
                                  <a:pt x="5012537" y="324686"/>
                                  <a:pt x="5003619" y="310972"/>
                                  <a:pt x="4997224" y="294817"/>
                                </a:cubicBezTo>
                                <a:cubicBezTo>
                                  <a:pt x="4990830" y="278663"/>
                                  <a:pt x="4987633" y="260153"/>
                                  <a:pt x="4987633" y="239287"/>
                                </a:cubicBezTo>
                                <a:cubicBezTo>
                                  <a:pt x="4987633" y="219094"/>
                                  <a:pt x="4990999" y="200836"/>
                                  <a:pt x="4997730" y="184513"/>
                                </a:cubicBezTo>
                                <a:cubicBezTo>
                                  <a:pt x="5004461" y="168190"/>
                                  <a:pt x="5013295" y="154392"/>
                                  <a:pt x="5024233" y="143117"/>
                                </a:cubicBezTo>
                                <a:cubicBezTo>
                                  <a:pt x="5035171" y="131843"/>
                                  <a:pt x="5047707" y="123177"/>
                                  <a:pt x="5061842" y="117119"/>
                                </a:cubicBezTo>
                                <a:cubicBezTo>
                                  <a:pt x="5075977" y="111061"/>
                                  <a:pt x="5090617" y="108032"/>
                                  <a:pt x="5105762" y="108032"/>
                                </a:cubicBezTo>
                                <a:close/>
                                <a:moveTo>
                                  <a:pt x="4879753" y="108032"/>
                                </a:moveTo>
                                <a:cubicBezTo>
                                  <a:pt x="4895234" y="108032"/>
                                  <a:pt x="4908948" y="110556"/>
                                  <a:pt x="4920896" y="115605"/>
                                </a:cubicBezTo>
                                <a:cubicBezTo>
                                  <a:pt x="4932843" y="120653"/>
                                  <a:pt x="4943529" y="127047"/>
                                  <a:pt x="4952953" y="134788"/>
                                </a:cubicBezTo>
                                <a:lnTo>
                                  <a:pt x="4918119" y="182746"/>
                                </a:lnTo>
                                <a:cubicBezTo>
                                  <a:pt x="4906340" y="172986"/>
                                  <a:pt x="4895066" y="168106"/>
                                  <a:pt x="4884296" y="168106"/>
                                </a:cubicBezTo>
                                <a:cubicBezTo>
                                  <a:pt x="4866123" y="168106"/>
                                  <a:pt x="4851819" y="174501"/>
                                  <a:pt x="4841386" y="187290"/>
                                </a:cubicBezTo>
                                <a:cubicBezTo>
                                  <a:pt x="4830953" y="200079"/>
                                  <a:pt x="4825737" y="217411"/>
                                  <a:pt x="4825737" y="239287"/>
                                </a:cubicBezTo>
                                <a:cubicBezTo>
                                  <a:pt x="4825737" y="261162"/>
                                  <a:pt x="4831037" y="278495"/>
                                  <a:pt x="4841639" y="291284"/>
                                </a:cubicBezTo>
                                <a:cubicBezTo>
                                  <a:pt x="4852240" y="304072"/>
                                  <a:pt x="4865618" y="310467"/>
                                  <a:pt x="4881772" y="310467"/>
                                </a:cubicBezTo>
                                <a:cubicBezTo>
                                  <a:pt x="4889850" y="310467"/>
                                  <a:pt x="4897674" y="308700"/>
                                  <a:pt x="4905246" y="305166"/>
                                </a:cubicBezTo>
                                <a:cubicBezTo>
                                  <a:pt x="4912819" y="301633"/>
                                  <a:pt x="4919970" y="297342"/>
                                  <a:pt x="4926701" y="292293"/>
                                </a:cubicBezTo>
                                <a:lnTo>
                                  <a:pt x="4955982" y="340756"/>
                                </a:lnTo>
                                <a:cubicBezTo>
                                  <a:pt x="4943529" y="351526"/>
                                  <a:pt x="4930067" y="359183"/>
                                  <a:pt x="4915596" y="363726"/>
                                </a:cubicBezTo>
                                <a:cubicBezTo>
                                  <a:pt x="4901124" y="368269"/>
                                  <a:pt x="4886989" y="370541"/>
                                  <a:pt x="4873190" y="370541"/>
                                </a:cubicBezTo>
                                <a:cubicBezTo>
                                  <a:pt x="4855689" y="370541"/>
                                  <a:pt x="4839451" y="367596"/>
                                  <a:pt x="4824474" y="361707"/>
                                </a:cubicBezTo>
                                <a:cubicBezTo>
                                  <a:pt x="4809498" y="355817"/>
                                  <a:pt x="4796457" y="347319"/>
                                  <a:pt x="4785350" y="336213"/>
                                </a:cubicBezTo>
                                <a:cubicBezTo>
                                  <a:pt x="4774244" y="325107"/>
                                  <a:pt x="4765494" y="311392"/>
                                  <a:pt x="4759100" y="295070"/>
                                </a:cubicBezTo>
                                <a:cubicBezTo>
                                  <a:pt x="4752705" y="278747"/>
                                  <a:pt x="4749508" y="260153"/>
                                  <a:pt x="4749508" y="239287"/>
                                </a:cubicBezTo>
                                <a:cubicBezTo>
                                  <a:pt x="4749508" y="218421"/>
                                  <a:pt x="4753042" y="199826"/>
                                  <a:pt x="4760109" y="183503"/>
                                </a:cubicBezTo>
                                <a:cubicBezTo>
                                  <a:pt x="4767177" y="167181"/>
                                  <a:pt x="4776684" y="153466"/>
                                  <a:pt x="4788632" y="142360"/>
                                </a:cubicBezTo>
                                <a:cubicBezTo>
                                  <a:pt x="4800579" y="131254"/>
                                  <a:pt x="4814462" y="122756"/>
                                  <a:pt x="4830280" y="116867"/>
                                </a:cubicBezTo>
                                <a:cubicBezTo>
                                  <a:pt x="4846098" y="110977"/>
                                  <a:pt x="4862589" y="108032"/>
                                  <a:pt x="4879753" y="108032"/>
                                </a:cubicBezTo>
                                <a:close/>
                                <a:moveTo>
                                  <a:pt x="4626312" y="108032"/>
                                </a:moveTo>
                                <a:cubicBezTo>
                                  <a:pt x="4653572" y="108032"/>
                                  <a:pt x="4673344" y="116951"/>
                                  <a:pt x="4685629" y="134788"/>
                                </a:cubicBezTo>
                                <a:cubicBezTo>
                                  <a:pt x="4697913" y="152625"/>
                                  <a:pt x="4704055" y="177361"/>
                                  <a:pt x="4704055" y="208997"/>
                                </a:cubicBezTo>
                                <a:lnTo>
                                  <a:pt x="4704055" y="364483"/>
                                </a:lnTo>
                                <a:lnTo>
                                  <a:pt x="4629845" y="364483"/>
                                </a:lnTo>
                                <a:lnTo>
                                  <a:pt x="4629845" y="218589"/>
                                </a:lnTo>
                                <a:cubicBezTo>
                                  <a:pt x="4629845" y="200415"/>
                                  <a:pt x="4627405" y="187963"/>
                                  <a:pt x="4622525" y="181232"/>
                                </a:cubicBezTo>
                                <a:cubicBezTo>
                                  <a:pt x="4617646" y="174501"/>
                                  <a:pt x="4609821" y="171135"/>
                                  <a:pt x="4599051" y="171135"/>
                                </a:cubicBezTo>
                                <a:cubicBezTo>
                                  <a:pt x="4589628" y="171135"/>
                                  <a:pt x="4581550" y="173239"/>
                                  <a:pt x="4574820" y="177446"/>
                                </a:cubicBezTo>
                                <a:cubicBezTo>
                                  <a:pt x="4568089" y="181652"/>
                                  <a:pt x="4560684" y="187626"/>
                                  <a:pt x="4552607" y="195367"/>
                                </a:cubicBezTo>
                                <a:lnTo>
                                  <a:pt x="4552607" y="364483"/>
                                </a:lnTo>
                                <a:lnTo>
                                  <a:pt x="4478398" y="364483"/>
                                </a:lnTo>
                                <a:lnTo>
                                  <a:pt x="4478398" y="114090"/>
                                </a:lnTo>
                                <a:lnTo>
                                  <a:pt x="4538977" y="114090"/>
                                </a:lnTo>
                                <a:lnTo>
                                  <a:pt x="4544025" y="145894"/>
                                </a:lnTo>
                                <a:lnTo>
                                  <a:pt x="4546044" y="145894"/>
                                </a:lnTo>
                                <a:cubicBezTo>
                                  <a:pt x="4556814" y="135798"/>
                                  <a:pt x="4568593" y="126963"/>
                                  <a:pt x="4581382" y="119391"/>
                                </a:cubicBezTo>
                                <a:cubicBezTo>
                                  <a:pt x="4594171" y="111818"/>
                                  <a:pt x="4609147" y="108032"/>
                                  <a:pt x="4626312" y="108032"/>
                                </a:cubicBezTo>
                                <a:close/>
                                <a:moveTo>
                                  <a:pt x="4306167" y="108032"/>
                                </a:moveTo>
                                <a:cubicBezTo>
                                  <a:pt x="4338476" y="108032"/>
                                  <a:pt x="4363128" y="117203"/>
                                  <a:pt x="4380124" y="135545"/>
                                </a:cubicBezTo>
                                <a:cubicBezTo>
                                  <a:pt x="4397119" y="153887"/>
                                  <a:pt x="4405617" y="182410"/>
                                  <a:pt x="4405617" y="221113"/>
                                </a:cubicBezTo>
                                <a:lnTo>
                                  <a:pt x="4405617" y="364483"/>
                                </a:lnTo>
                                <a:lnTo>
                                  <a:pt x="4345038" y="364483"/>
                                </a:lnTo>
                                <a:lnTo>
                                  <a:pt x="4339990" y="338737"/>
                                </a:lnTo>
                                <a:lnTo>
                                  <a:pt x="4337971" y="338737"/>
                                </a:lnTo>
                                <a:cubicBezTo>
                                  <a:pt x="4327201" y="348161"/>
                                  <a:pt x="4315927" y="355817"/>
                                  <a:pt x="4304148" y="361707"/>
                                </a:cubicBezTo>
                                <a:cubicBezTo>
                                  <a:pt x="4292368" y="367596"/>
                                  <a:pt x="4279411" y="370541"/>
                                  <a:pt x="4265276" y="370541"/>
                                </a:cubicBezTo>
                                <a:cubicBezTo>
                                  <a:pt x="4253833" y="370541"/>
                                  <a:pt x="4243484" y="368606"/>
                                  <a:pt x="4234229" y="364736"/>
                                </a:cubicBezTo>
                                <a:cubicBezTo>
                                  <a:pt x="4224974" y="360865"/>
                                  <a:pt x="4217149" y="355481"/>
                                  <a:pt x="4210755" y="348581"/>
                                </a:cubicBezTo>
                                <a:cubicBezTo>
                                  <a:pt x="4204361" y="341682"/>
                                  <a:pt x="4199396" y="333689"/>
                                  <a:pt x="4195863" y="324602"/>
                                </a:cubicBezTo>
                                <a:cubicBezTo>
                                  <a:pt x="4192329" y="315515"/>
                                  <a:pt x="4190562" y="305587"/>
                                  <a:pt x="4190562" y="294817"/>
                                </a:cubicBezTo>
                                <a:cubicBezTo>
                                  <a:pt x="4190562" y="268566"/>
                                  <a:pt x="4201668" y="248037"/>
                                  <a:pt x="4223880" y="233229"/>
                                </a:cubicBezTo>
                                <a:cubicBezTo>
                                  <a:pt x="4246093" y="218421"/>
                                  <a:pt x="4281935" y="208492"/>
                                  <a:pt x="4331408" y="203444"/>
                                </a:cubicBezTo>
                                <a:cubicBezTo>
                                  <a:pt x="4330735" y="192338"/>
                                  <a:pt x="4327454" y="183503"/>
                                  <a:pt x="4321564" y="176941"/>
                                </a:cubicBezTo>
                                <a:cubicBezTo>
                                  <a:pt x="4315674" y="170378"/>
                                  <a:pt x="4305830" y="167097"/>
                                  <a:pt x="4292032" y="167097"/>
                                </a:cubicBezTo>
                                <a:cubicBezTo>
                                  <a:pt x="4281262" y="167097"/>
                                  <a:pt x="4270577" y="169116"/>
                                  <a:pt x="4259975" y="173155"/>
                                </a:cubicBezTo>
                                <a:cubicBezTo>
                                  <a:pt x="4249374" y="177193"/>
                                  <a:pt x="4238015" y="182746"/>
                                  <a:pt x="4225900" y="189814"/>
                                </a:cubicBezTo>
                                <a:lnTo>
                                  <a:pt x="4199144" y="140846"/>
                                </a:lnTo>
                                <a:cubicBezTo>
                                  <a:pt x="4215298" y="131086"/>
                                  <a:pt x="4232210" y="123177"/>
                                  <a:pt x="4249879" y="117119"/>
                                </a:cubicBezTo>
                                <a:cubicBezTo>
                                  <a:pt x="4267548" y="111061"/>
                                  <a:pt x="4286311" y="108032"/>
                                  <a:pt x="4306167" y="108032"/>
                                </a:cubicBezTo>
                                <a:close/>
                                <a:moveTo>
                                  <a:pt x="4140975" y="108032"/>
                                </a:moveTo>
                                <a:cubicBezTo>
                                  <a:pt x="4148042" y="108032"/>
                                  <a:pt x="4153848" y="108453"/>
                                  <a:pt x="4158391" y="109294"/>
                                </a:cubicBezTo>
                                <a:cubicBezTo>
                                  <a:pt x="4162935" y="110136"/>
                                  <a:pt x="4167058" y="111398"/>
                                  <a:pt x="4170759" y="113080"/>
                                </a:cubicBezTo>
                                <a:lnTo>
                                  <a:pt x="4158644" y="177193"/>
                                </a:lnTo>
                                <a:cubicBezTo>
                                  <a:pt x="4153932" y="175847"/>
                                  <a:pt x="4149557" y="174837"/>
                                  <a:pt x="4145518" y="174164"/>
                                </a:cubicBezTo>
                                <a:cubicBezTo>
                                  <a:pt x="4141480" y="173491"/>
                                  <a:pt x="4136768" y="173155"/>
                                  <a:pt x="4131383" y="173155"/>
                                </a:cubicBezTo>
                                <a:cubicBezTo>
                                  <a:pt x="4121960" y="173155"/>
                                  <a:pt x="4112115" y="176520"/>
                                  <a:pt x="4101851" y="183251"/>
                                </a:cubicBezTo>
                                <a:cubicBezTo>
                                  <a:pt x="4091586" y="189982"/>
                                  <a:pt x="4083088" y="201930"/>
                                  <a:pt x="4076357" y="219094"/>
                                </a:cubicBezTo>
                                <a:lnTo>
                                  <a:pt x="4076357" y="364483"/>
                                </a:lnTo>
                                <a:lnTo>
                                  <a:pt x="4002148" y="364483"/>
                                </a:lnTo>
                                <a:lnTo>
                                  <a:pt x="4002148" y="114090"/>
                                </a:lnTo>
                                <a:lnTo>
                                  <a:pt x="4062727" y="114090"/>
                                </a:lnTo>
                                <a:lnTo>
                                  <a:pt x="4067775" y="158010"/>
                                </a:lnTo>
                                <a:lnTo>
                                  <a:pt x="4069794" y="158010"/>
                                </a:lnTo>
                                <a:cubicBezTo>
                                  <a:pt x="4078881" y="140846"/>
                                  <a:pt x="4089819" y="128225"/>
                                  <a:pt x="4102608" y="120148"/>
                                </a:cubicBezTo>
                                <a:cubicBezTo>
                                  <a:pt x="4115397" y="112071"/>
                                  <a:pt x="4128186" y="108032"/>
                                  <a:pt x="4140975" y="108032"/>
                                </a:cubicBezTo>
                                <a:close/>
                                <a:moveTo>
                                  <a:pt x="3583648" y="108032"/>
                                </a:moveTo>
                                <a:cubicBezTo>
                                  <a:pt x="3602831" y="108032"/>
                                  <a:pt x="3619659" y="111314"/>
                                  <a:pt x="3634130" y="117876"/>
                                </a:cubicBezTo>
                                <a:cubicBezTo>
                                  <a:pt x="3648602" y="124439"/>
                                  <a:pt x="3661223" y="131759"/>
                                  <a:pt x="3671992" y="139836"/>
                                </a:cubicBezTo>
                                <a:lnTo>
                                  <a:pt x="3638674" y="184261"/>
                                </a:lnTo>
                                <a:cubicBezTo>
                                  <a:pt x="3629587" y="177530"/>
                                  <a:pt x="3620668" y="172313"/>
                                  <a:pt x="3611918" y="168611"/>
                                </a:cubicBezTo>
                                <a:cubicBezTo>
                                  <a:pt x="3603168" y="164909"/>
                                  <a:pt x="3594417" y="163058"/>
                                  <a:pt x="3585667" y="163058"/>
                                </a:cubicBezTo>
                                <a:cubicBezTo>
                                  <a:pt x="3566820" y="163058"/>
                                  <a:pt x="3557397" y="169621"/>
                                  <a:pt x="3557397" y="182746"/>
                                </a:cubicBezTo>
                                <a:cubicBezTo>
                                  <a:pt x="3557397" y="186785"/>
                                  <a:pt x="3558743" y="190234"/>
                                  <a:pt x="3561435" y="193095"/>
                                </a:cubicBezTo>
                                <a:cubicBezTo>
                                  <a:pt x="3564128" y="195956"/>
                                  <a:pt x="3567746" y="198564"/>
                                  <a:pt x="3572289" y="200920"/>
                                </a:cubicBezTo>
                                <a:cubicBezTo>
                                  <a:pt x="3576833" y="203276"/>
                                  <a:pt x="3582049" y="205548"/>
                                  <a:pt x="3587939" y="207735"/>
                                </a:cubicBezTo>
                                <a:cubicBezTo>
                                  <a:pt x="3593829" y="209923"/>
                                  <a:pt x="3599971" y="212194"/>
                                  <a:pt x="3606365" y="214550"/>
                                </a:cubicBezTo>
                                <a:cubicBezTo>
                                  <a:pt x="3614442" y="217579"/>
                                  <a:pt x="3622435" y="221029"/>
                                  <a:pt x="3630344" y="224899"/>
                                </a:cubicBezTo>
                                <a:cubicBezTo>
                                  <a:pt x="3638253" y="228769"/>
                                  <a:pt x="3645489" y="233565"/>
                                  <a:pt x="3652052" y="239287"/>
                                </a:cubicBezTo>
                                <a:cubicBezTo>
                                  <a:pt x="3658614" y="245008"/>
                                  <a:pt x="3663915" y="251991"/>
                                  <a:pt x="3667954" y="260237"/>
                                </a:cubicBezTo>
                                <a:cubicBezTo>
                                  <a:pt x="3671992" y="268482"/>
                                  <a:pt x="3674012" y="278326"/>
                                  <a:pt x="3674012" y="289769"/>
                                </a:cubicBezTo>
                                <a:cubicBezTo>
                                  <a:pt x="3674012" y="301212"/>
                                  <a:pt x="3671824" y="311813"/>
                                  <a:pt x="3667449" y="321573"/>
                                </a:cubicBezTo>
                                <a:cubicBezTo>
                                  <a:pt x="3663074" y="331333"/>
                                  <a:pt x="3656511" y="339831"/>
                                  <a:pt x="3647761" y="347067"/>
                                </a:cubicBezTo>
                                <a:cubicBezTo>
                                  <a:pt x="3639010" y="354303"/>
                                  <a:pt x="3628241" y="360024"/>
                                  <a:pt x="3615452" y="364231"/>
                                </a:cubicBezTo>
                                <a:cubicBezTo>
                                  <a:pt x="3602663" y="368438"/>
                                  <a:pt x="3587855" y="370541"/>
                                  <a:pt x="3571027" y="370541"/>
                                </a:cubicBezTo>
                                <a:cubicBezTo>
                                  <a:pt x="3554536" y="370541"/>
                                  <a:pt x="3537625" y="367344"/>
                                  <a:pt x="3520292" y="360949"/>
                                </a:cubicBezTo>
                                <a:cubicBezTo>
                                  <a:pt x="3502960" y="354555"/>
                                  <a:pt x="3487899" y="346141"/>
                                  <a:pt x="3475110" y="335708"/>
                                </a:cubicBezTo>
                                <a:lnTo>
                                  <a:pt x="3508429" y="289264"/>
                                </a:lnTo>
                                <a:cubicBezTo>
                                  <a:pt x="3519872" y="298015"/>
                                  <a:pt x="3530809" y="304577"/>
                                  <a:pt x="3541242" y="308952"/>
                                </a:cubicBezTo>
                                <a:cubicBezTo>
                                  <a:pt x="3551676" y="313328"/>
                                  <a:pt x="3562277" y="315515"/>
                                  <a:pt x="3573047" y="315515"/>
                                </a:cubicBezTo>
                                <a:cubicBezTo>
                                  <a:pt x="3584153" y="315515"/>
                                  <a:pt x="3592230" y="313664"/>
                                  <a:pt x="3597278" y="309962"/>
                                </a:cubicBezTo>
                                <a:cubicBezTo>
                                  <a:pt x="3602327" y="306260"/>
                                  <a:pt x="3604851" y="301044"/>
                                  <a:pt x="3604851" y="294313"/>
                                </a:cubicBezTo>
                                <a:cubicBezTo>
                                  <a:pt x="3604851" y="290274"/>
                                  <a:pt x="3603420" y="286656"/>
                                  <a:pt x="3600560" y="283459"/>
                                </a:cubicBezTo>
                                <a:cubicBezTo>
                                  <a:pt x="3597699" y="280262"/>
                                  <a:pt x="3593829" y="277317"/>
                                  <a:pt x="3588949" y="274624"/>
                                </a:cubicBezTo>
                                <a:cubicBezTo>
                                  <a:pt x="3584069" y="271932"/>
                                  <a:pt x="3578600" y="269492"/>
                                  <a:pt x="3572542" y="267304"/>
                                </a:cubicBezTo>
                                <a:cubicBezTo>
                                  <a:pt x="3566484" y="265117"/>
                                  <a:pt x="3560258" y="262677"/>
                                  <a:pt x="3553863" y="259984"/>
                                </a:cubicBezTo>
                                <a:cubicBezTo>
                                  <a:pt x="3546122" y="256955"/>
                                  <a:pt x="3538382" y="253422"/>
                                  <a:pt x="3530641" y="249383"/>
                                </a:cubicBezTo>
                                <a:cubicBezTo>
                                  <a:pt x="3522901" y="245345"/>
                                  <a:pt x="3515833" y="240380"/>
                                  <a:pt x="3509439" y="234491"/>
                                </a:cubicBezTo>
                                <a:cubicBezTo>
                                  <a:pt x="3503044" y="228601"/>
                                  <a:pt x="3497828" y="221702"/>
                                  <a:pt x="3493789" y="213793"/>
                                </a:cubicBezTo>
                                <a:cubicBezTo>
                                  <a:pt x="3489750" y="205884"/>
                                  <a:pt x="3487731" y="196713"/>
                                  <a:pt x="3487731" y="186280"/>
                                </a:cubicBezTo>
                                <a:cubicBezTo>
                                  <a:pt x="3487731" y="174837"/>
                                  <a:pt x="3490003" y="164236"/>
                                  <a:pt x="3494546" y="154476"/>
                                </a:cubicBezTo>
                                <a:cubicBezTo>
                                  <a:pt x="3499090" y="144716"/>
                                  <a:pt x="3505568" y="136471"/>
                                  <a:pt x="3513982" y="129740"/>
                                </a:cubicBezTo>
                                <a:cubicBezTo>
                                  <a:pt x="3522396" y="123009"/>
                                  <a:pt x="3532492" y="117708"/>
                                  <a:pt x="3544271" y="113838"/>
                                </a:cubicBezTo>
                                <a:cubicBezTo>
                                  <a:pt x="3556051" y="109967"/>
                                  <a:pt x="3569176" y="108032"/>
                                  <a:pt x="3583648" y="108032"/>
                                </a:cubicBezTo>
                                <a:close/>
                                <a:moveTo>
                                  <a:pt x="3364573" y="108032"/>
                                </a:moveTo>
                                <a:cubicBezTo>
                                  <a:pt x="3383756" y="108032"/>
                                  <a:pt x="3400584" y="111314"/>
                                  <a:pt x="3415055" y="117876"/>
                                </a:cubicBezTo>
                                <a:cubicBezTo>
                                  <a:pt x="3429527" y="124439"/>
                                  <a:pt x="3442148" y="131759"/>
                                  <a:pt x="3452917" y="139836"/>
                                </a:cubicBezTo>
                                <a:lnTo>
                                  <a:pt x="3419599" y="184261"/>
                                </a:lnTo>
                                <a:cubicBezTo>
                                  <a:pt x="3410512" y="177530"/>
                                  <a:pt x="3401593" y="172313"/>
                                  <a:pt x="3392843" y="168611"/>
                                </a:cubicBezTo>
                                <a:cubicBezTo>
                                  <a:pt x="3384093" y="164909"/>
                                  <a:pt x="3375342" y="163058"/>
                                  <a:pt x="3366592" y="163058"/>
                                </a:cubicBezTo>
                                <a:cubicBezTo>
                                  <a:pt x="3347745" y="163058"/>
                                  <a:pt x="3338322" y="169621"/>
                                  <a:pt x="3338322" y="182746"/>
                                </a:cubicBezTo>
                                <a:cubicBezTo>
                                  <a:pt x="3338322" y="186785"/>
                                  <a:pt x="3339668" y="190234"/>
                                  <a:pt x="3342360" y="193095"/>
                                </a:cubicBezTo>
                                <a:cubicBezTo>
                                  <a:pt x="3345053" y="195956"/>
                                  <a:pt x="3348671" y="198564"/>
                                  <a:pt x="3353214" y="200920"/>
                                </a:cubicBezTo>
                                <a:cubicBezTo>
                                  <a:pt x="3357758" y="203276"/>
                                  <a:pt x="3362974" y="205548"/>
                                  <a:pt x="3368864" y="207735"/>
                                </a:cubicBezTo>
                                <a:cubicBezTo>
                                  <a:pt x="3374754" y="209923"/>
                                  <a:pt x="3380896" y="212194"/>
                                  <a:pt x="3387290" y="214550"/>
                                </a:cubicBezTo>
                                <a:cubicBezTo>
                                  <a:pt x="3395367" y="217579"/>
                                  <a:pt x="3403360" y="221029"/>
                                  <a:pt x="3411269" y="224899"/>
                                </a:cubicBezTo>
                                <a:cubicBezTo>
                                  <a:pt x="3419178" y="228769"/>
                                  <a:pt x="3426414" y="233565"/>
                                  <a:pt x="3432977" y="239287"/>
                                </a:cubicBezTo>
                                <a:cubicBezTo>
                                  <a:pt x="3439539" y="245008"/>
                                  <a:pt x="3444840" y="251991"/>
                                  <a:pt x="3448879" y="260237"/>
                                </a:cubicBezTo>
                                <a:cubicBezTo>
                                  <a:pt x="3452917" y="268482"/>
                                  <a:pt x="3454936" y="278326"/>
                                  <a:pt x="3454936" y="289769"/>
                                </a:cubicBezTo>
                                <a:cubicBezTo>
                                  <a:pt x="3454936" y="301212"/>
                                  <a:pt x="3452749" y="311813"/>
                                  <a:pt x="3448374" y="321573"/>
                                </a:cubicBezTo>
                                <a:cubicBezTo>
                                  <a:pt x="3443999" y="331333"/>
                                  <a:pt x="3437436" y="339831"/>
                                  <a:pt x="3428686" y="347067"/>
                                </a:cubicBezTo>
                                <a:cubicBezTo>
                                  <a:pt x="3419935" y="354303"/>
                                  <a:pt x="3409166" y="360024"/>
                                  <a:pt x="3396377" y="364231"/>
                                </a:cubicBezTo>
                                <a:cubicBezTo>
                                  <a:pt x="3383588" y="368438"/>
                                  <a:pt x="3368780" y="370541"/>
                                  <a:pt x="3351952" y="370541"/>
                                </a:cubicBezTo>
                                <a:cubicBezTo>
                                  <a:pt x="3335461" y="370541"/>
                                  <a:pt x="3318550" y="367344"/>
                                  <a:pt x="3301217" y="360949"/>
                                </a:cubicBezTo>
                                <a:cubicBezTo>
                                  <a:pt x="3283885" y="354555"/>
                                  <a:pt x="3268824" y="346141"/>
                                  <a:pt x="3256035" y="335708"/>
                                </a:cubicBezTo>
                                <a:lnTo>
                                  <a:pt x="3289354" y="289264"/>
                                </a:lnTo>
                                <a:cubicBezTo>
                                  <a:pt x="3300797" y="298015"/>
                                  <a:pt x="3311734" y="304577"/>
                                  <a:pt x="3322167" y="308952"/>
                                </a:cubicBezTo>
                                <a:cubicBezTo>
                                  <a:pt x="3332601" y="313328"/>
                                  <a:pt x="3343202" y="315515"/>
                                  <a:pt x="3353972" y="315515"/>
                                </a:cubicBezTo>
                                <a:cubicBezTo>
                                  <a:pt x="3365078" y="315515"/>
                                  <a:pt x="3373155" y="313664"/>
                                  <a:pt x="3378203" y="309962"/>
                                </a:cubicBezTo>
                                <a:cubicBezTo>
                                  <a:pt x="3383251" y="306260"/>
                                  <a:pt x="3385776" y="301044"/>
                                  <a:pt x="3385776" y="294313"/>
                                </a:cubicBezTo>
                                <a:cubicBezTo>
                                  <a:pt x="3385776" y="290274"/>
                                  <a:pt x="3384345" y="286656"/>
                                  <a:pt x="3381485" y="283459"/>
                                </a:cubicBezTo>
                                <a:cubicBezTo>
                                  <a:pt x="3378624" y="280262"/>
                                  <a:pt x="3374754" y="277317"/>
                                  <a:pt x="3369874" y="274624"/>
                                </a:cubicBezTo>
                                <a:cubicBezTo>
                                  <a:pt x="3364994" y="271932"/>
                                  <a:pt x="3359525" y="269492"/>
                                  <a:pt x="3353467" y="267304"/>
                                </a:cubicBezTo>
                                <a:cubicBezTo>
                                  <a:pt x="3347409" y="265117"/>
                                  <a:pt x="3341183" y="262677"/>
                                  <a:pt x="3334788" y="259984"/>
                                </a:cubicBezTo>
                                <a:cubicBezTo>
                                  <a:pt x="3327047" y="256955"/>
                                  <a:pt x="3319307" y="253422"/>
                                  <a:pt x="3311566" y="249383"/>
                                </a:cubicBezTo>
                                <a:cubicBezTo>
                                  <a:pt x="3303826" y="245345"/>
                                  <a:pt x="3296758" y="240380"/>
                                  <a:pt x="3290364" y="234491"/>
                                </a:cubicBezTo>
                                <a:cubicBezTo>
                                  <a:pt x="3283969" y="228601"/>
                                  <a:pt x="3278753" y="221702"/>
                                  <a:pt x="3274714" y="213793"/>
                                </a:cubicBezTo>
                                <a:cubicBezTo>
                                  <a:pt x="3270675" y="205884"/>
                                  <a:pt x="3268656" y="196713"/>
                                  <a:pt x="3268656" y="186280"/>
                                </a:cubicBezTo>
                                <a:cubicBezTo>
                                  <a:pt x="3268656" y="174837"/>
                                  <a:pt x="3270928" y="164236"/>
                                  <a:pt x="3275471" y="154476"/>
                                </a:cubicBezTo>
                                <a:cubicBezTo>
                                  <a:pt x="3280015" y="144716"/>
                                  <a:pt x="3286493" y="136471"/>
                                  <a:pt x="3294907" y="129740"/>
                                </a:cubicBezTo>
                                <a:cubicBezTo>
                                  <a:pt x="3303321" y="123009"/>
                                  <a:pt x="3313417" y="117708"/>
                                  <a:pt x="3325196" y="113838"/>
                                </a:cubicBezTo>
                                <a:cubicBezTo>
                                  <a:pt x="3336976" y="109967"/>
                                  <a:pt x="3350101" y="108032"/>
                                  <a:pt x="3364573" y="108032"/>
                                </a:cubicBezTo>
                                <a:close/>
                                <a:moveTo>
                                  <a:pt x="3115542" y="108032"/>
                                </a:moveTo>
                                <a:cubicBezTo>
                                  <a:pt x="3147851" y="108032"/>
                                  <a:pt x="3172503" y="117203"/>
                                  <a:pt x="3189499" y="135545"/>
                                </a:cubicBezTo>
                                <a:cubicBezTo>
                                  <a:pt x="3206494" y="153887"/>
                                  <a:pt x="3214992" y="182410"/>
                                  <a:pt x="3214992" y="221113"/>
                                </a:cubicBezTo>
                                <a:lnTo>
                                  <a:pt x="3214992" y="364483"/>
                                </a:lnTo>
                                <a:lnTo>
                                  <a:pt x="3154413" y="364483"/>
                                </a:lnTo>
                                <a:lnTo>
                                  <a:pt x="3149365" y="338737"/>
                                </a:lnTo>
                                <a:lnTo>
                                  <a:pt x="3147346" y="338737"/>
                                </a:lnTo>
                                <a:cubicBezTo>
                                  <a:pt x="3136576" y="348161"/>
                                  <a:pt x="3125302" y="355817"/>
                                  <a:pt x="3113522" y="361707"/>
                                </a:cubicBezTo>
                                <a:cubicBezTo>
                                  <a:pt x="3101743" y="367596"/>
                                  <a:pt x="3088786" y="370541"/>
                                  <a:pt x="3074651" y="370541"/>
                                </a:cubicBezTo>
                                <a:cubicBezTo>
                                  <a:pt x="3063208" y="370541"/>
                                  <a:pt x="3052859" y="368606"/>
                                  <a:pt x="3043604" y="364736"/>
                                </a:cubicBezTo>
                                <a:cubicBezTo>
                                  <a:pt x="3034349" y="360865"/>
                                  <a:pt x="3026524" y="355481"/>
                                  <a:pt x="3020130" y="348581"/>
                                </a:cubicBezTo>
                                <a:cubicBezTo>
                                  <a:pt x="3013735" y="341682"/>
                                  <a:pt x="3008771" y="333689"/>
                                  <a:pt x="3005237" y="324602"/>
                                </a:cubicBezTo>
                                <a:cubicBezTo>
                                  <a:pt x="3001704" y="315515"/>
                                  <a:pt x="2999937" y="305587"/>
                                  <a:pt x="2999937" y="294817"/>
                                </a:cubicBezTo>
                                <a:cubicBezTo>
                                  <a:pt x="2999937" y="268566"/>
                                  <a:pt x="3011043" y="248037"/>
                                  <a:pt x="3033255" y="233229"/>
                                </a:cubicBezTo>
                                <a:cubicBezTo>
                                  <a:pt x="3055467" y="218421"/>
                                  <a:pt x="3091310" y="208492"/>
                                  <a:pt x="3140783" y="203444"/>
                                </a:cubicBezTo>
                                <a:cubicBezTo>
                                  <a:pt x="3140110" y="192338"/>
                                  <a:pt x="3136829" y="183503"/>
                                  <a:pt x="3130939" y="176941"/>
                                </a:cubicBezTo>
                                <a:cubicBezTo>
                                  <a:pt x="3125049" y="170378"/>
                                  <a:pt x="3115205" y="167097"/>
                                  <a:pt x="3101407" y="167097"/>
                                </a:cubicBezTo>
                                <a:cubicBezTo>
                                  <a:pt x="3090637" y="167097"/>
                                  <a:pt x="3079951" y="169116"/>
                                  <a:pt x="3069350" y="173155"/>
                                </a:cubicBezTo>
                                <a:cubicBezTo>
                                  <a:pt x="3058749" y="177193"/>
                                  <a:pt x="3047390" y="182746"/>
                                  <a:pt x="3035275" y="189814"/>
                                </a:cubicBezTo>
                                <a:lnTo>
                                  <a:pt x="3008519" y="140846"/>
                                </a:lnTo>
                                <a:cubicBezTo>
                                  <a:pt x="3024673" y="131086"/>
                                  <a:pt x="3041585" y="123177"/>
                                  <a:pt x="3059254" y="117119"/>
                                </a:cubicBezTo>
                                <a:cubicBezTo>
                                  <a:pt x="3076923" y="111061"/>
                                  <a:pt x="3095685" y="108032"/>
                                  <a:pt x="3115542" y="108032"/>
                                </a:cubicBezTo>
                                <a:close/>
                                <a:moveTo>
                                  <a:pt x="2686412" y="108032"/>
                                </a:moveTo>
                                <a:cubicBezTo>
                                  <a:pt x="2704249" y="108032"/>
                                  <a:pt x="2719814" y="111061"/>
                                  <a:pt x="2733108" y="117119"/>
                                </a:cubicBezTo>
                                <a:cubicBezTo>
                                  <a:pt x="2746402" y="123177"/>
                                  <a:pt x="2757508" y="131591"/>
                                  <a:pt x="2766427" y="142360"/>
                                </a:cubicBezTo>
                                <a:cubicBezTo>
                                  <a:pt x="2775345" y="153130"/>
                                  <a:pt x="2781992" y="165835"/>
                                  <a:pt x="2786367" y="180475"/>
                                </a:cubicBezTo>
                                <a:cubicBezTo>
                                  <a:pt x="2790742" y="195114"/>
                                  <a:pt x="2792930" y="211016"/>
                                  <a:pt x="2792930" y="228180"/>
                                </a:cubicBezTo>
                                <a:cubicBezTo>
                                  <a:pt x="2792930" y="234911"/>
                                  <a:pt x="2792593" y="241306"/>
                                  <a:pt x="2791920" y="247364"/>
                                </a:cubicBezTo>
                                <a:cubicBezTo>
                                  <a:pt x="2791247" y="253422"/>
                                  <a:pt x="2790574" y="257965"/>
                                  <a:pt x="2789901" y="260994"/>
                                </a:cubicBezTo>
                                <a:lnTo>
                                  <a:pt x="2639968" y="260994"/>
                                </a:lnTo>
                                <a:cubicBezTo>
                                  <a:pt x="2643333" y="279168"/>
                                  <a:pt x="2650822" y="292546"/>
                                  <a:pt x="2662433" y="301128"/>
                                </a:cubicBezTo>
                                <a:cubicBezTo>
                                  <a:pt x="2674044" y="309710"/>
                                  <a:pt x="2688263" y="314001"/>
                                  <a:pt x="2705090" y="314001"/>
                                </a:cubicBezTo>
                                <a:cubicBezTo>
                                  <a:pt x="2722928" y="314001"/>
                                  <a:pt x="2740933" y="308448"/>
                                  <a:pt x="2759107" y="297342"/>
                                </a:cubicBezTo>
                                <a:lnTo>
                                  <a:pt x="2783843" y="342271"/>
                                </a:lnTo>
                                <a:cubicBezTo>
                                  <a:pt x="2771054" y="351021"/>
                                  <a:pt x="2756835" y="357921"/>
                                  <a:pt x="2741185" y="362969"/>
                                </a:cubicBezTo>
                                <a:cubicBezTo>
                                  <a:pt x="2725536" y="368017"/>
                                  <a:pt x="2710139" y="370541"/>
                                  <a:pt x="2694994" y="370541"/>
                                </a:cubicBezTo>
                                <a:cubicBezTo>
                                  <a:pt x="2677157" y="370541"/>
                                  <a:pt x="2660497" y="367596"/>
                                  <a:pt x="2645016" y="361707"/>
                                </a:cubicBezTo>
                                <a:cubicBezTo>
                                  <a:pt x="2629535" y="355817"/>
                                  <a:pt x="2616073" y="347235"/>
                                  <a:pt x="2604630" y="335961"/>
                                </a:cubicBezTo>
                                <a:cubicBezTo>
                                  <a:pt x="2593188" y="324686"/>
                                  <a:pt x="2584269" y="310972"/>
                                  <a:pt x="2577875" y="294817"/>
                                </a:cubicBezTo>
                                <a:cubicBezTo>
                                  <a:pt x="2571480" y="278663"/>
                                  <a:pt x="2568283" y="260153"/>
                                  <a:pt x="2568283" y="239287"/>
                                </a:cubicBezTo>
                                <a:cubicBezTo>
                                  <a:pt x="2568283" y="219094"/>
                                  <a:pt x="2571648" y="200836"/>
                                  <a:pt x="2578379" y="184513"/>
                                </a:cubicBezTo>
                                <a:cubicBezTo>
                                  <a:pt x="2585111" y="168190"/>
                                  <a:pt x="2593945" y="154392"/>
                                  <a:pt x="2604882" y="143117"/>
                                </a:cubicBezTo>
                                <a:cubicBezTo>
                                  <a:pt x="2615820" y="131843"/>
                                  <a:pt x="2628357" y="123177"/>
                                  <a:pt x="2642492" y="117119"/>
                                </a:cubicBezTo>
                                <a:cubicBezTo>
                                  <a:pt x="2656627" y="111061"/>
                                  <a:pt x="2671267" y="108032"/>
                                  <a:pt x="2686412" y="108032"/>
                                </a:cubicBezTo>
                                <a:close/>
                                <a:moveTo>
                                  <a:pt x="2000612" y="108032"/>
                                </a:moveTo>
                                <a:cubicBezTo>
                                  <a:pt x="2018449" y="108032"/>
                                  <a:pt x="2034014" y="111061"/>
                                  <a:pt x="2047308" y="117119"/>
                                </a:cubicBezTo>
                                <a:cubicBezTo>
                                  <a:pt x="2060602" y="123177"/>
                                  <a:pt x="2071708" y="131591"/>
                                  <a:pt x="2080627" y="142360"/>
                                </a:cubicBezTo>
                                <a:cubicBezTo>
                                  <a:pt x="2089545" y="153130"/>
                                  <a:pt x="2096192" y="165835"/>
                                  <a:pt x="2100567" y="180475"/>
                                </a:cubicBezTo>
                                <a:cubicBezTo>
                                  <a:pt x="2104942" y="195114"/>
                                  <a:pt x="2107130" y="211016"/>
                                  <a:pt x="2107130" y="228180"/>
                                </a:cubicBezTo>
                                <a:cubicBezTo>
                                  <a:pt x="2107130" y="234911"/>
                                  <a:pt x="2106794" y="241306"/>
                                  <a:pt x="2106120" y="247364"/>
                                </a:cubicBezTo>
                                <a:cubicBezTo>
                                  <a:pt x="2105447" y="253422"/>
                                  <a:pt x="2104774" y="257965"/>
                                  <a:pt x="2104101" y="260994"/>
                                </a:cubicBezTo>
                                <a:lnTo>
                                  <a:pt x="1954168" y="260994"/>
                                </a:lnTo>
                                <a:cubicBezTo>
                                  <a:pt x="1957533" y="279168"/>
                                  <a:pt x="1965022" y="292546"/>
                                  <a:pt x="1976633" y="301128"/>
                                </a:cubicBezTo>
                                <a:cubicBezTo>
                                  <a:pt x="1988244" y="309710"/>
                                  <a:pt x="2002463" y="314001"/>
                                  <a:pt x="2019291" y="314001"/>
                                </a:cubicBezTo>
                                <a:cubicBezTo>
                                  <a:pt x="2037128" y="314001"/>
                                  <a:pt x="2055133" y="308448"/>
                                  <a:pt x="2073307" y="297342"/>
                                </a:cubicBezTo>
                                <a:lnTo>
                                  <a:pt x="2098043" y="342271"/>
                                </a:lnTo>
                                <a:cubicBezTo>
                                  <a:pt x="2085254" y="351021"/>
                                  <a:pt x="2071035" y="357921"/>
                                  <a:pt x="2055385" y="362969"/>
                                </a:cubicBezTo>
                                <a:cubicBezTo>
                                  <a:pt x="2039736" y="368017"/>
                                  <a:pt x="2024339" y="370541"/>
                                  <a:pt x="2009194" y="370541"/>
                                </a:cubicBezTo>
                                <a:cubicBezTo>
                                  <a:pt x="1991357" y="370541"/>
                                  <a:pt x="1974698" y="367596"/>
                                  <a:pt x="1959216" y="361707"/>
                                </a:cubicBezTo>
                                <a:cubicBezTo>
                                  <a:pt x="1943735" y="355817"/>
                                  <a:pt x="1930273" y="347235"/>
                                  <a:pt x="1918830" y="335961"/>
                                </a:cubicBezTo>
                                <a:cubicBezTo>
                                  <a:pt x="1907387" y="324686"/>
                                  <a:pt x="1898469" y="310972"/>
                                  <a:pt x="1892075" y="294817"/>
                                </a:cubicBezTo>
                                <a:cubicBezTo>
                                  <a:pt x="1885680" y="278663"/>
                                  <a:pt x="1882483" y="260153"/>
                                  <a:pt x="1882483" y="239287"/>
                                </a:cubicBezTo>
                                <a:cubicBezTo>
                                  <a:pt x="1882483" y="219094"/>
                                  <a:pt x="1885848" y="200836"/>
                                  <a:pt x="1892579" y="184513"/>
                                </a:cubicBezTo>
                                <a:cubicBezTo>
                                  <a:pt x="1899310" y="168190"/>
                                  <a:pt x="1908145" y="154392"/>
                                  <a:pt x="1919083" y="143117"/>
                                </a:cubicBezTo>
                                <a:cubicBezTo>
                                  <a:pt x="1930021" y="131843"/>
                                  <a:pt x="1942557" y="123177"/>
                                  <a:pt x="1956692" y="117119"/>
                                </a:cubicBezTo>
                                <a:cubicBezTo>
                                  <a:pt x="1970827" y="111061"/>
                                  <a:pt x="1985467" y="108032"/>
                                  <a:pt x="2000612" y="108032"/>
                                </a:cubicBezTo>
                                <a:close/>
                                <a:moveTo>
                                  <a:pt x="1448667" y="108032"/>
                                </a:moveTo>
                                <a:cubicBezTo>
                                  <a:pt x="1480976" y="108032"/>
                                  <a:pt x="1505628" y="117203"/>
                                  <a:pt x="1522624" y="135545"/>
                                </a:cubicBezTo>
                                <a:cubicBezTo>
                                  <a:pt x="1539620" y="153887"/>
                                  <a:pt x="1548117" y="182410"/>
                                  <a:pt x="1548117" y="221113"/>
                                </a:cubicBezTo>
                                <a:lnTo>
                                  <a:pt x="1548117" y="364483"/>
                                </a:lnTo>
                                <a:lnTo>
                                  <a:pt x="1487538" y="364483"/>
                                </a:lnTo>
                                <a:lnTo>
                                  <a:pt x="1482490" y="338737"/>
                                </a:lnTo>
                                <a:lnTo>
                                  <a:pt x="1480471" y="338737"/>
                                </a:lnTo>
                                <a:cubicBezTo>
                                  <a:pt x="1469701" y="348161"/>
                                  <a:pt x="1458427" y="355817"/>
                                  <a:pt x="1446648" y="361707"/>
                                </a:cubicBezTo>
                                <a:cubicBezTo>
                                  <a:pt x="1434868" y="367596"/>
                                  <a:pt x="1421911" y="370541"/>
                                  <a:pt x="1407776" y="370541"/>
                                </a:cubicBezTo>
                                <a:cubicBezTo>
                                  <a:pt x="1396333" y="370541"/>
                                  <a:pt x="1385984" y="368606"/>
                                  <a:pt x="1376729" y="364736"/>
                                </a:cubicBezTo>
                                <a:cubicBezTo>
                                  <a:pt x="1367474" y="360865"/>
                                  <a:pt x="1359649" y="355481"/>
                                  <a:pt x="1353255" y="348581"/>
                                </a:cubicBezTo>
                                <a:cubicBezTo>
                                  <a:pt x="1346860" y="341682"/>
                                  <a:pt x="1341896" y="333689"/>
                                  <a:pt x="1338362" y="324602"/>
                                </a:cubicBezTo>
                                <a:cubicBezTo>
                                  <a:pt x="1334829" y="315515"/>
                                  <a:pt x="1333062" y="305587"/>
                                  <a:pt x="1333062" y="294817"/>
                                </a:cubicBezTo>
                                <a:cubicBezTo>
                                  <a:pt x="1333062" y="268566"/>
                                  <a:pt x="1344168" y="248037"/>
                                  <a:pt x="1366380" y="233229"/>
                                </a:cubicBezTo>
                                <a:cubicBezTo>
                                  <a:pt x="1388593" y="218421"/>
                                  <a:pt x="1424435" y="208492"/>
                                  <a:pt x="1473908" y="203444"/>
                                </a:cubicBezTo>
                                <a:cubicBezTo>
                                  <a:pt x="1473235" y="192338"/>
                                  <a:pt x="1469954" y="183503"/>
                                  <a:pt x="1464064" y="176941"/>
                                </a:cubicBezTo>
                                <a:cubicBezTo>
                                  <a:pt x="1458174" y="170378"/>
                                  <a:pt x="1448330" y="167097"/>
                                  <a:pt x="1434532" y="167097"/>
                                </a:cubicBezTo>
                                <a:cubicBezTo>
                                  <a:pt x="1423762" y="167097"/>
                                  <a:pt x="1413077" y="169116"/>
                                  <a:pt x="1402475" y="173155"/>
                                </a:cubicBezTo>
                                <a:cubicBezTo>
                                  <a:pt x="1391874" y="177193"/>
                                  <a:pt x="1380515" y="182746"/>
                                  <a:pt x="1368400" y="189814"/>
                                </a:cubicBezTo>
                                <a:lnTo>
                                  <a:pt x="1341644" y="140846"/>
                                </a:lnTo>
                                <a:cubicBezTo>
                                  <a:pt x="1357798" y="131086"/>
                                  <a:pt x="1374710" y="123177"/>
                                  <a:pt x="1392379" y="117119"/>
                                </a:cubicBezTo>
                                <a:cubicBezTo>
                                  <a:pt x="1410048" y="111061"/>
                                  <a:pt x="1428810" y="108032"/>
                                  <a:pt x="1448667" y="108032"/>
                                </a:cubicBezTo>
                                <a:close/>
                                <a:moveTo>
                                  <a:pt x="2440048" y="10601"/>
                                </a:moveTo>
                                <a:lnTo>
                                  <a:pt x="2514257" y="10601"/>
                                </a:lnTo>
                                <a:lnTo>
                                  <a:pt x="2514257" y="289769"/>
                                </a:lnTo>
                                <a:cubicBezTo>
                                  <a:pt x="2514257" y="297510"/>
                                  <a:pt x="2515687" y="302895"/>
                                  <a:pt x="2518548" y="305924"/>
                                </a:cubicBezTo>
                                <a:cubicBezTo>
                                  <a:pt x="2521409" y="308952"/>
                                  <a:pt x="2524353" y="310467"/>
                                  <a:pt x="2527382" y="310467"/>
                                </a:cubicBezTo>
                                <a:cubicBezTo>
                                  <a:pt x="2529065" y="310467"/>
                                  <a:pt x="2530495" y="310467"/>
                                  <a:pt x="2531674" y="310467"/>
                                </a:cubicBezTo>
                                <a:cubicBezTo>
                                  <a:pt x="2532851" y="310467"/>
                                  <a:pt x="2534450" y="310130"/>
                                  <a:pt x="2536469" y="309457"/>
                                </a:cubicBezTo>
                                <a:lnTo>
                                  <a:pt x="2545556" y="364483"/>
                                </a:lnTo>
                                <a:cubicBezTo>
                                  <a:pt x="2541517" y="366166"/>
                                  <a:pt x="2536385" y="367596"/>
                                  <a:pt x="2530159" y="368774"/>
                                </a:cubicBezTo>
                                <a:cubicBezTo>
                                  <a:pt x="2523933" y="369952"/>
                                  <a:pt x="2516613" y="370541"/>
                                  <a:pt x="2508199" y="370541"/>
                                </a:cubicBezTo>
                                <a:cubicBezTo>
                                  <a:pt x="2495410" y="370541"/>
                                  <a:pt x="2484641" y="368522"/>
                                  <a:pt x="2475890" y="364483"/>
                                </a:cubicBezTo>
                                <a:cubicBezTo>
                                  <a:pt x="2467140" y="360445"/>
                                  <a:pt x="2460157" y="354807"/>
                                  <a:pt x="2454940" y="347572"/>
                                </a:cubicBezTo>
                                <a:cubicBezTo>
                                  <a:pt x="2449724" y="340336"/>
                                  <a:pt x="2445938" y="331585"/>
                                  <a:pt x="2443581" y="321321"/>
                                </a:cubicBezTo>
                                <a:cubicBezTo>
                                  <a:pt x="2441226" y="311056"/>
                                  <a:pt x="2440048" y="299529"/>
                                  <a:pt x="2440048" y="286740"/>
                                </a:cubicBezTo>
                                <a:close/>
                                <a:moveTo>
                                  <a:pt x="2297173" y="10601"/>
                                </a:moveTo>
                                <a:lnTo>
                                  <a:pt x="2371382" y="10601"/>
                                </a:lnTo>
                                <a:lnTo>
                                  <a:pt x="2371382" y="289769"/>
                                </a:lnTo>
                                <a:cubicBezTo>
                                  <a:pt x="2371382" y="297510"/>
                                  <a:pt x="2372812" y="302895"/>
                                  <a:pt x="2375673" y="305924"/>
                                </a:cubicBezTo>
                                <a:cubicBezTo>
                                  <a:pt x="2378534" y="308952"/>
                                  <a:pt x="2381479" y="310467"/>
                                  <a:pt x="2384508" y="310467"/>
                                </a:cubicBezTo>
                                <a:cubicBezTo>
                                  <a:pt x="2386190" y="310467"/>
                                  <a:pt x="2387620" y="310467"/>
                                  <a:pt x="2388799" y="310467"/>
                                </a:cubicBezTo>
                                <a:cubicBezTo>
                                  <a:pt x="2389976" y="310467"/>
                                  <a:pt x="2391575" y="310130"/>
                                  <a:pt x="2393595" y="309457"/>
                                </a:cubicBezTo>
                                <a:lnTo>
                                  <a:pt x="2402681" y="364483"/>
                                </a:lnTo>
                                <a:cubicBezTo>
                                  <a:pt x="2398643" y="366166"/>
                                  <a:pt x="2393510" y="367596"/>
                                  <a:pt x="2387284" y="368774"/>
                                </a:cubicBezTo>
                                <a:cubicBezTo>
                                  <a:pt x="2381058" y="369952"/>
                                  <a:pt x="2373738" y="370541"/>
                                  <a:pt x="2365324" y="370541"/>
                                </a:cubicBezTo>
                                <a:cubicBezTo>
                                  <a:pt x="2352535" y="370541"/>
                                  <a:pt x="2341766" y="368522"/>
                                  <a:pt x="2333015" y="364483"/>
                                </a:cubicBezTo>
                                <a:cubicBezTo>
                                  <a:pt x="2324265" y="360445"/>
                                  <a:pt x="2317282" y="354807"/>
                                  <a:pt x="2312065" y="347572"/>
                                </a:cubicBezTo>
                                <a:cubicBezTo>
                                  <a:pt x="2306849" y="340336"/>
                                  <a:pt x="2303062" y="331585"/>
                                  <a:pt x="2300707" y="321321"/>
                                </a:cubicBezTo>
                                <a:cubicBezTo>
                                  <a:pt x="2298350" y="311056"/>
                                  <a:pt x="2297173" y="299529"/>
                                  <a:pt x="2297173" y="286740"/>
                                </a:cubicBezTo>
                                <a:close/>
                                <a:moveTo>
                                  <a:pt x="1611373" y="10601"/>
                                </a:moveTo>
                                <a:lnTo>
                                  <a:pt x="1685582" y="10601"/>
                                </a:lnTo>
                                <a:lnTo>
                                  <a:pt x="1685582" y="97431"/>
                                </a:lnTo>
                                <a:lnTo>
                                  <a:pt x="1683563" y="135798"/>
                                </a:lnTo>
                                <a:cubicBezTo>
                                  <a:pt x="1693323" y="127047"/>
                                  <a:pt x="1703840" y="120232"/>
                                  <a:pt x="1715114" y="115352"/>
                                </a:cubicBezTo>
                                <a:cubicBezTo>
                                  <a:pt x="1726389" y="110472"/>
                                  <a:pt x="1737916" y="108032"/>
                                  <a:pt x="1749695" y="108032"/>
                                </a:cubicBezTo>
                                <a:cubicBezTo>
                                  <a:pt x="1764839" y="108032"/>
                                  <a:pt x="1778470" y="111061"/>
                                  <a:pt x="1790586" y="117119"/>
                                </a:cubicBezTo>
                                <a:cubicBezTo>
                                  <a:pt x="1802702" y="123177"/>
                                  <a:pt x="1813050" y="131675"/>
                                  <a:pt x="1821632" y="142613"/>
                                </a:cubicBezTo>
                                <a:cubicBezTo>
                                  <a:pt x="1830214" y="153551"/>
                                  <a:pt x="1836777" y="166844"/>
                                  <a:pt x="1841321" y="182494"/>
                                </a:cubicBezTo>
                                <a:cubicBezTo>
                                  <a:pt x="1845864" y="198143"/>
                                  <a:pt x="1848136" y="215560"/>
                                  <a:pt x="1848136" y="234743"/>
                                </a:cubicBezTo>
                                <a:cubicBezTo>
                                  <a:pt x="1848136" y="256282"/>
                                  <a:pt x="1845191" y="275466"/>
                                  <a:pt x="1839301" y="292293"/>
                                </a:cubicBezTo>
                                <a:cubicBezTo>
                                  <a:pt x="1833412" y="309121"/>
                                  <a:pt x="1825503" y="323340"/>
                                  <a:pt x="1815575" y="334951"/>
                                </a:cubicBezTo>
                                <a:cubicBezTo>
                                  <a:pt x="1805646" y="346562"/>
                                  <a:pt x="1794372" y="355396"/>
                                  <a:pt x="1781751" y="361454"/>
                                </a:cubicBezTo>
                                <a:cubicBezTo>
                                  <a:pt x="1769131" y="367512"/>
                                  <a:pt x="1756089" y="370541"/>
                                  <a:pt x="1742627" y="370541"/>
                                </a:cubicBezTo>
                                <a:cubicBezTo>
                                  <a:pt x="1731521" y="370541"/>
                                  <a:pt x="1720331" y="367765"/>
                                  <a:pt x="1709057" y="362212"/>
                                </a:cubicBezTo>
                                <a:cubicBezTo>
                                  <a:pt x="1697782" y="356658"/>
                                  <a:pt x="1687265" y="348497"/>
                                  <a:pt x="1677505" y="337727"/>
                                </a:cubicBezTo>
                                <a:lnTo>
                                  <a:pt x="1675486" y="337727"/>
                                </a:lnTo>
                                <a:lnTo>
                                  <a:pt x="1669428" y="364483"/>
                                </a:lnTo>
                                <a:lnTo>
                                  <a:pt x="1611373" y="364483"/>
                                </a:lnTo>
                                <a:close/>
                                <a:moveTo>
                                  <a:pt x="5745452" y="4543"/>
                                </a:moveTo>
                                <a:cubicBezTo>
                                  <a:pt x="5755884" y="4543"/>
                                  <a:pt x="5765392" y="5553"/>
                                  <a:pt x="5773974" y="7572"/>
                                </a:cubicBezTo>
                                <a:cubicBezTo>
                                  <a:pt x="5782556" y="9591"/>
                                  <a:pt x="5789708" y="11611"/>
                                  <a:pt x="5795429" y="13630"/>
                                </a:cubicBezTo>
                                <a:lnTo>
                                  <a:pt x="5781799" y="68151"/>
                                </a:lnTo>
                                <a:cubicBezTo>
                                  <a:pt x="5772375" y="64785"/>
                                  <a:pt x="5763793" y="63103"/>
                                  <a:pt x="5756053" y="63103"/>
                                </a:cubicBezTo>
                                <a:cubicBezTo>
                                  <a:pt x="5746966" y="63103"/>
                                  <a:pt x="5739899" y="65879"/>
                                  <a:pt x="5734850" y="71432"/>
                                </a:cubicBezTo>
                                <a:cubicBezTo>
                                  <a:pt x="5729802" y="76985"/>
                                  <a:pt x="5727278" y="86156"/>
                                  <a:pt x="5727278" y="98945"/>
                                </a:cubicBezTo>
                                <a:lnTo>
                                  <a:pt x="5727278" y="114090"/>
                                </a:lnTo>
                                <a:lnTo>
                                  <a:pt x="5772207" y="114090"/>
                                </a:lnTo>
                                <a:lnTo>
                                  <a:pt x="5772207" y="172145"/>
                                </a:lnTo>
                                <a:lnTo>
                                  <a:pt x="5727278" y="172145"/>
                                </a:lnTo>
                                <a:lnTo>
                                  <a:pt x="5727278" y="364483"/>
                                </a:lnTo>
                                <a:lnTo>
                                  <a:pt x="5653069" y="364483"/>
                                </a:lnTo>
                                <a:lnTo>
                                  <a:pt x="5653069" y="172145"/>
                                </a:lnTo>
                                <a:lnTo>
                                  <a:pt x="5619750" y="172145"/>
                                </a:lnTo>
                                <a:lnTo>
                                  <a:pt x="5619750" y="117119"/>
                                </a:lnTo>
                                <a:lnTo>
                                  <a:pt x="5653069" y="114595"/>
                                </a:lnTo>
                                <a:lnTo>
                                  <a:pt x="5653069" y="100965"/>
                                </a:lnTo>
                                <a:cubicBezTo>
                                  <a:pt x="5653069" y="87839"/>
                                  <a:pt x="5654667" y="75387"/>
                                  <a:pt x="5657864" y="63608"/>
                                </a:cubicBezTo>
                                <a:cubicBezTo>
                                  <a:pt x="5661062" y="51828"/>
                                  <a:pt x="5666362" y="41563"/>
                                  <a:pt x="5673767" y="32813"/>
                                </a:cubicBezTo>
                                <a:cubicBezTo>
                                  <a:pt x="5681170" y="24063"/>
                                  <a:pt x="5690762" y="17164"/>
                                  <a:pt x="5702542" y="12115"/>
                                </a:cubicBezTo>
                                <a:cubicBezTo>
                                  <a:pt x="5714321" y="7067"/>
                                  <a:pt x="5728624" y="4543"/>
                                  <a:pt x="5745452" y="4543"/>
                                </a:cubicBezTo>
                                <a:close/>
                                <a:moveTo>
                                  <a:pt x="2191150" y="0"/>
                                </a:moveTo>
                                <a:cubicBezTo>
                                  <a:pt x="2203939" y="0"/>
                                  <a:pt x="2214288" y="3533"/>
                                  <a:pt x="2222197" y="10601"/>
                                </a:cubicBezTo>
                                <a:cubicBezTo>
                                  <a:pt x="2230106" y="17668"/>
                                  <a:pt x="2234060" y="26924"/>
                                  <a:pt x="2234060" y="38366"/>
                                </a:cubicBezTo>
                                <a:cubicBezTo>
                                  <a:pt x="2234060" y="49809"/>
                                  <a:pt x="2230106" y="59148"/>
                                  <a:pt x="2222197" y="66384"/>
                                </a:cubicBezTo>
                                <a:cubicBezTo>
                                  <a:pt x="2214288" y="73620"/>
                                  <a:pt x="2203939" y="77238"/>
                                  <a:pt x="2191150" y="77238"/>
                                </a:cubicBezTo>
                                <a:cubicBezTo>
                                  <a:pt x="2178698" y="77238"/>
                                  <a:pt x="2168433" y="73620"/>
                                  <a:pt x="2160356" y="66384"/>
                                </a:cubicBezTo>
                                <a:cubicBezTo>
                                  <a:pt x="2152278" y="59148"/>
                                  <a:pt x="2148240" y="49809"/>
                                  <a:pt x="2148240" y="38366"/>
                                </a:cubicBezTo>
                                <a:cubicBezTo>
                                  <a:pt x="2148240" y="26924"/>
                                  <a:pt x="2152278" y="17668"/>
                                  <a:pt x="2160356" y="10601"/>
                                </a:cubicBezTo>
                                <a:cubicBezTo>
                                  <a:pt x="2168433" y="3533"/>
                                  <a:pt x="2178698" y="0"/>
                                  <a:pt x="2191150" y="0"/>
                                </a:cubicBez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1F5871" id="Groupe 8" o:spid="_x0000_s1026" style="position:absolute;margin-left:-16.5pt;margin-top:-80.65pt;width:609.7pt;height:891.15pt;z-index:251301888;mso-position-horizontal-relative:page;mso-width-relative:margin;mso-height-relative:margin" coordsize="75596,106891" o:gfxdata="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">
                <v:shape id="Image 133" o:spid="_x0000_s1027" type="#_x0000_t75" style="position:absolute;width:75596;height:106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">
                  <v:imagedata r:id="rId151" o:title=""/>
                </v:shape>
                <v:group id="Groupe 134" o:spid="_x0000_s1028" style="position:absolute;left:5358;top:5076;width:64880;height:6571" coordorigin="5358,5076" coordsize="64879,6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group id="Groupe 135" o:spid="_x0000_s1029" style="position:absolute;left:5358;top:8916;width:15053;height:2731" coordorigin="5358,8916" coordsize="18199,3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Freeform 31" o:spid="_x0000_s1030" style="position:absolute;left:5358;top:9031;width:1080;height:964;visibility:visible;mso-wrap-style:square;v-text-anchor:top" coordsize="10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" path="m72,72r-42,l22,92,,92,41,,62,r41,92l81,92,72,72xm66,56l51,21,37,56r29,xe" filled="f" stroked="f">
                      <v:path arrowok="t" o:connecttype="custom" o:connectlocs="75480,75480;31450,75480;23063,96447;0,96447;42982,0;64997,0;107979,96447;84916,96447;75480,75480;69190,58707;53465,22015;38789,58707;69190,58707" o:connectangles="0,0,0,0,0,0,0,0,0,0,0,0,0"/>
                      <o:lock v:ext="edit" verticies="t"/>
                    </v:shape>
                    <v:shape id="Freeform 32" o:spid="_x0000_s1031" style="position:absolute;left:6522;top:9241;width:660;height:765;visibility:visible;mso-wrap-style:square;v-text-anchor:top" coordsize="145,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" path="m30,161c17,157,7,153,,148,15,115,15,115,15,115v7,4,16,8,26,11c51,129,61,130,71,130v20,,30,-5,30,-14c101,111,98,108,93,106v-6,-2,-14,-4,-25,-5c55,99,44,96,35,94,27,91,19,87,13,80,7,73,3,64,3,52,3,42,6,33,12,25,18,17,27,11,38,6,49,2,63,,78,v11,,23,1,34,4c123,6,133,10,140,14,124,47,124,47,124,47,110,39,95,35,78,35v-10,,-17,2,-22,4c51,42,48,46,48,50v,5,3,9,8,11c62,63,70,64,82,66v13,2,24,5,32,7c123,76,130,80,136,87v6,6,9,16,9,27c145,124,142,133,136,141v-6,8,-14,14,-26,18c99,163,85,166,69,166v-13,,-26,-2,-39,-5xe" filled="f" stroked="f">
                      <v:path arrowok="t" o:connecttype="custom" o:connectlocs="13665,74223;0,68230;6832,53016;18675,58088;32340,59932;46004,53477;42361,48867;30973,46562;15942,43335;5921,36881;1366,23973;5466,11525;17309,2766;35528,0;51015,1844;63769,6454;56481,21668;35528,16135;25507,17979;21864,23051;25507,28122;37350,30427;51926,33654;61947,40108;66046,52555;61947,65003;50104,73301;31429,76528;13665,74223" o:connectangles="0,0,0,0,0,0,0,0,0,0,0,0,0,0,0,0,0,0,0,0,0,0,0,0,0,0,0,0,0"/>
                    </v:shape>
                    <v:shape id="Freeform 33" o:spid="_x0000_s1032" style="position:absolute;left:7308;top:9241;width:671;height:765;visibility:visible;mso-wrap-style:square;v-text-anchor:top" coordsize="14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" path="m31,161c18,157,8,153,,148,16,115,16,115,16,115v7,4,16,8,26,11c52,129,62,130,72,130v20,,29,-5,29,-14c101,111,99,108,93,106v-5,-2,-13,-4,-24,-5c55,99,45,96,36,94,27,91,20,87,14,80,7,73,4,64,4,52,4,42,7,33,13,25,19,17,28,11,39,6,50,2,63,,79,v11,,22,1,34,4c124,6,133,10,141,14,125,47,125,47,125,47,111,39,96,35,79,35v-10,,-18,2,-23,4c51,42,49,46,49,50v,5,3,9,8,11c62,63,71,64,83,66v13,2,24,5,32,7c123,76,131,80,137,87v6,6,9,16,9,27c146,124,143,133,137,141v-6,8,-15,14,-26,18c99,163,86,166,70,166v-13,,-26,-2,-39,-5xe" filled="f" stroked="f">
                      <v:path arrowok="t" o:connecttype="custom" o:connectlocs="14246,74223;0,68230;7353,53016;19301,58088;33087,59932;46414,53477;42738,48867;31709,46562;16544,43335;6434,36881;1838,23973;5974,11525;17922,2766;36304,0;51929,1844;64796,6454;57443,21668;36304,16135;25735,17979;22518,23051;26194,28122;38142,30427;52848,33654;62958,40108;67094,52555;62958,65003;51010,73301;32168,76528;14246,74223" o:connectangles="0,0,0,0,0,0,0,0,0,0,0,0,0,0,0,0,0,0,0,0,0,0,0,0,0,0,0,0,0"/>
                    </v:shape>
                    <v:shape id="Freeform 34" o:spid="_x0000_s1033" style="position:absolute;left:8178;top:9251;width:744;height:755;visibility:visible;mso-wrap-style:square;v-text-anchor:top" coordsize="163,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" path="m163,v,161,,161,,161c119,161,119,161,119,161v,-19,,-19,,-19c112,149,105,154,96,158v-8,4,-17,6,-27,6c47,164,31,157,18,145,6,133,,115,,91,,,,,,,46,,46,,46,v,84,,84,,84c46,110,57,123,79,123v11,,20,-3,27,-11c113,105,116,94,116,80,116,,116,,116,r47,xe" filled="f" stroked="f">
                      <v:path arrowok="t" o:connecttype="custom" o:connectlocs="74432,0;74432,74099;54340,74099;54340,65355;43837,72719;31508,75480;8219,66735;0,41882;0,0;21005,0;21005,38660;36074,56610;48404,51547;52970,36820;52970,0;74432,0" o:connectangles="0,0,0,0,0,0,0,0,0,0,0,0,0,0,0,0"/>
                    </v:shape>
                    <v:shape id="Freeform 35" o:spid="_x0000_s1034" style="position:absolute;left:9184;top:9241;width:451;height:754;visibility:visible;mso-wrap-style:square;v-text-anchor:top" coordsize="100,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" path="m67,6c77,2,87,,100,v,43,,43,,43c95,43,91,42,89,42,76,42,65,46,58,54,50,61,47,72,47,87v,76,,76,,76c,163,,163,,163,,2,,2,,2v44,,44,,44,c44,23,44,23,44,23,50,16,58,10,67,6xe" filled="f" stroked="f">
                      <v:path arrowok="t" o:connecttype="custom" o:connectlocs="30203,2778;45079,0;45079,19912;40120,19449;26146,25006;21187,40287;21187,75480;0,75480;0,926;19835,926;19835,10651;30203,2778" o:connectangles="0,0,0,0,0,0,0,0,0,0,0,0"/>
                    </v:shape>
                    <v:shape id="Freeform 36" o:spid="_x0000_s1035" style="position:absolute;left:9792;top:9241;width:703;height:765;visibility:visible;mso-wrap-style:square;v-text-anchor:top" coordsize="1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" path="m133,18v13,12,20,29,20,53c153,163,153,163,153,163v-44,,-44,,-44,c109,143,109,143,109,143v-8,15,-25,23,-49,23c48,166,37,163,28,159,19,155,12,149,7,142,3,135,,126,,117,,102,6,90,17,82,28,73,46,69,69,69v37,,37,,37,c106,58,103,51,97,45,91,40,82,37,69,37v-8,,-17,1,-25,4c36,44,29,47,23,52,6,19,6,19,6,19,15,13,26,8,38,5,50,2,63,,76,v25,,44,6,57,18xm93,129v7,-4,11,-10,13,-17c106,96,106,96,106,96v-32,,-32,,-32,c55,96,46,102,46,115v,6,2,10,7,14c57,132,64,134,72,134v8,,15,-2,21,-5xe" filled="f" stroked="f">
                      <v:path arrowok="t" o:connecttype="custom" o:connectlocs="61057,8298;70239,32732;70239,75145;50040,75145;50040,65925;27545,76528;12854,73301;3214,65464;0,53938;7804,37803;31676,31810;48662,31810;44531,20746;31676,17057;20199,18901;10559,23973;2754,8759;17445,2305;34890,0;61057,8298;42694,59471;48662,51633;48662,44257;33972,44257;21118,53016;24331,59471;33054,61776;42694,59471" o:connectangles="0,0,0,0,0,0,0,0,0,0,0,0,0,0,0,0,0,0,0,0,0,0,0,0,0,0,0,0"/>
                      <o:lock v:ext="edit" verticies="t"/>
                    </v:shape>
                    <v:shape id="Freeform 37" o:spid="_x0000_s1036" style="position:absolute;left:10746;top:9241;width:755;height:754;visibility:visible;mso-wrap-style:square;v-text-anchor:top" coordsize="165,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" path="m146,18v13,12,19,30,19,53c165,163,165,163,165,163v-47,,-47,,-47,c118,78,118,78,118,78v,-13,-3,-22,-8,-28c104,43,96,40,86,40,74,40,64,44,57,51,50,58,47,69,47,84v,79,,79,,79c,163,,163,,163,,2,,2,,2v45,,45,,45,c45,21,45,21,45,21,51,14,59,9,68,5,77,2,87,,98,v20,,36,6,48,18xe" filled="f" stroked="f">
                      <v:path arrowok="t" o:connecttype="custom" o:connectlocs="66788,8335;75480,32878;75480,75480;53980,75480;53980,36119;50320,23153;39341,18523;26075,23616;21500,38898;21500,75480;0,75480;0,926;20585,926;20585,9724;31107,2315;44831,0;66788,8335" o:connectangles="0,0,0,0,0,0,0,0,0,0,0,0,0,0,0,0,0"/>
                    </v:shape>
                    <v:shape id="Freeform 38" o:spid="_x0000_s1037" style="position:absolute;left:11711;top:9241;width:734;height:765;visibility:visible;mso-wrap-style:square;v-text-anchor:top" coordsize="162,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" path="m43,155c30,148,19,138,11,125,4,113,,99,,83,,67,4,52,11,40,19,27,30,18,43,10,57,3,73,,90,v17,,31,3,44,10c147,18,156,28,162,41,126,60,126,60,126,60,117,46,105,38,89,38,77,38,67,42,59,50,51,58,47,69,47,83v,13,4,24,12,32c67,123,77,127,89,127v16,,28,-7,37,-22c162,125,162,125,162,125v-6,13,-15,23,-28,30c121,162,107,166,90,166v-17,,-33,-4,-47,-11xe" filled="f" stroked="f">
                      <v:path arrowok="t" o:connecttype="custom" o:connectlocs="19478,71457;4983,57627;0,38264;4983,18440;19478,4610;40769,0;60700,4610;73384,18901;57076,27661;40316,17518;26726,23051;21290,38264;26726,53016;40316,58549;57076,48406;73384,57627;60700,71457;40769,76528;19478,71457" o:connectangles="0,0,0,0,0,0,0,0,0,0,0,0,0,0,0,0,0,0,0"/>
                    </v:shape>
                    <v:shape id="Freeform 39" o:spid="_x0000_s1038" style="position:absolute;left:12591;top:9241;width:766;height:765;visibility:visible;mso-wrap-style:square;v-text-anchor:top" coordsize="169,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" path="m168,96c47,96,47,96,47,96v2,10,7,18,15,23c70,125,81,128,93,128v8,,16,-1,22,-4c122,122,128,118,133,113v25,27,25,27,25,27c143,157,121,166,92,166v-19,,-35,-4,-49,-11c29,148,19,138,11,125,4,113,,99,,83,,67,3,53,11,40,18,27,29,18,42,10,55,3,69,,86,v15,,30,3,42,10c141,17,151,27,158,39v8,13,11,28,11,44c169,84,169,88,168,96xm59,44c52,50,48,58,46,69v79,,79,,79,c124,58,119,50,112,44,105,38,96,35,86,35v-11,,-20,3,-27,9xe" filled="f" stroked="f">
                      <v:path arrowok="t" o:connecttype="custom" o:connectlocs="76076,44257;21283,44257;28076,54860;42114,59010;52076,57165;60227,52094;71548,64542;41661,76528;19472,71457;4981,57627;0,38264;4981,18440;19019,4610;38944,0;57963,4610;71548,17979;76529,38264;76076,44257;26717,20285;20830,31810;56604,31810;50717,20285;38944,16135;26717,20285" o:connectangles="0,0,0,0,0,0,0,0,0,0,0,0,0,0,0,0,0,0,0,0,0,0,0,0"/>
                      <o:lock v:ext="edit" verticies="t"/>
                    </v:shape>
                    <v:shape id="Freeform 40" o:spid="_x0000_s1039" style="position:absolute;left:13975;top:9021;width:912;height:985;visibility:visible;mso-wrap-style:square;v-text-anchor:top" coordsize="200,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" path="m175,216c150,192,150,192,150,192v-20,16,-44,24,-70,24c65,216,51,213,39,208,27,204,17,197,10,188,3,179,,169,,158,,145,4,134,11,124,18,114,30,105,46,96,38,88,33,81,30,74,26,66,24,59,24,52v,-11,3,-20,9,-27c38,17,46,11,55,7,65,2,77,,90,v18,,32,4,43,13c144,22,150,33,150,48v,11,-3,21,-10,29c134,85,123,93,109,101v38,36,38,36,38,36c152,127,155,116,158,104v37,12,37,12,37,12c191,134,185,150,176,163v24,23,24,23,24,23l175,216xm122,167c72,120,72,120,72,120v-10,5,-16,10,-20,16c48,141,46,147,46,153v,8,3,14,10,19c63,177,72,179,83,179v15,,28,-4,39,-12xm73,37v-4,4,-6,8,-6,14c67,55,68,59,70,63v2,3,7,8,13,15c93,72,100,67,104,63v4,-4,6,-9,6,-14c110,44,108,40,105,37,101,33,96,32,90,32v-7,,-13,2,-17,5xe" filled="f" stroked="f">
                      <v:path arrowok="t" o:connecttype="custom" o:connectlocs="79805,98544;68405,87595;36482,98544;17785,94894;4560,85770;0,72083;5016,56572;20977,43797;13681,33760;10945,23724;15049,11406;25082,3194;41043,0;60652,5931;68405,21899;63844,35129;49707,46078;67036,62502;72053,47447;88926,52922;80261,74364;91206,84857;79805,98544;55636,76189;32834,54747;23714,62046;20977,69802;25538,78470;37850,81664;55636,76189;33290,16880;30554,23267;31922,28742;37850,35585;47427,28742;50163,22355;47883,16880;41043,14599;33290,16880" o:connectangles="0,0,0,0,0,0,0,0,0,0,0,0,0,0,0,0,0,0,0,0,0,0,0,0,0,0,0,0,0,0,0,0,0,0,0,0,0,0,0"/>
                      <o:lock v:ext="edit" verticies="t"/>
                    </v:shape>
                    <v:shape id="Freeform 41" o:spid="_x0000_s1040" style="position:absolute;left:15558;top:9031;width:828;height:964;visibility:visible;mso-wrap-style:square;v-text-anchor:top" coordsize="182,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" path="m139,9v14,6,24,15,32,26c178,47,182,60,182,76v,15,-4,29,-11,40c163,127,153,136,139,142v-13,6,-30,9,-48,9c49,151,49,151,49,151v,58,,58,,58c,209,,209,,209,,,,,,,91,,91,,91,v18,,35,3,48,9xm121,103v8,-7,12,-16,12,-27c133,64,129,55,121,49,114,42,103,39,88,39v-39,,-39,,-39,c49,112,49,112,49,112v39,,39,,39,c103,112,114,109,121,103xe" filled="f" stroked="f">
                      <v:path arrowok="t" o:connecttype="custom" o:connectlocs="63252,4153;77813,16151;82819,35072;77813,53530;63252,65529;41410,69682;22297,69682;22297,96447;0,96447;0,0;41410,0;63252,4153;55061,47531;60522,35072;55061,22612;40044,17997;22297,17997;22297,51685;40044,51685;55061,47531" o:connectangles="0,0,0,0,0,0,0,0,0,0,0,0,0,0,0,0,0,0,0,0"/>
                      <o:lock v:ext="edit" verticies="t"/>
                    </v:shape>
                    <v:shape id="Freeform 42" o:spid="_x0000_s1041" style="position:absolute;left:16617;top:9241;width:451;height:754;visibility:visible;mso-wrap-style:square;v-text-anchor:top" coordsize="100,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" path="m67,6c77,2,87,,100,v,43,,43,,43c95,43,91,42,89,42,76,42,66,46,58,54,50,61,47,72,47,87v,76,,76,,76c,163,,163,,163,,2,,2,,2v45,,45,,45,c45,23,45,23,45,23,50,16,58,10,67,6xe" filled="f" stroked="f">
                      <v:path arrowok="t" o:connecttype="custom" o:connectlocs="30203,2778;45079,0;45079,19912;40120,19449;26146,25006;21187,40287;21187,75480;0,75480;0,926;20286,926;20286,10651;30203,2778" o:connectangles="0,0,0,0,0,0,0,0,0,0,0,0"/>
                    </v:shape>
                    <v:shape id="Freeform 43" o:spid="_x0000_s1042" style="position:absolute;left:17215;top:9241;width:807;height:765;visibility:visible;mso-wrap-style:square;v-text-anchor:top" coordsize="177,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" path="m43,155c29,148,19,138,11,125,4,113,,99,,83,,67,4,52,11,40,19,27,29,18,43,10,56,3,71,,88,v17,,32,3,46,10c147,18,158,27,165,40v8,12,12,27,12,43c177,99,173,113,165,125v-7,13,-18,23,-31,30c120,162,105,166,88,166v-17,,-32,-4,-45,-11xm118,115v8,-8,11,-19,11,-32c129,69,126,58,118,50,110,42,100,38,88,38,76,38,67,42,59,50,51,58,47,69,47,83v,13,4,24,12,32c67,123,76,127,88,127v12,,22,-4,30,-12xe" filled="f" stroked="f">
                      <v:path arrowok="t" o:connecttype="custom" o:connectlocs="19610,71457;5017,57627;0,38264;5017,18440;19610,4610;40133,0;61112,4610;75249,18440;80722,38264;75249,57627;61112,71457;40133,76528;19610,71457;53815,53016;58831,38264;53815,23051;40133,17518;26907,23051;21435,38264;26907,53016;40133,58549;53815,53016" o:connectangles="0,0,0,0,0,0,0,0,0,0,0,0,0,0,0,0,0,0,0,0,0,0"/>
                      <o:lock v:ext="edit" verticies="t"/>
                    </v:shape>
                    <v:shape id="Freeform 44" o:spid="_x0000_s1043" style="position:absolute;left:18148;top:9094;width:555;height:912;visibility:visible;mso-wrap-style:square;v-text-anchor:top" coordsize="122,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" path="m122,188v-4,4,-10,6,-16,8c99,198,92,199,85,199v-20,,-34,-5,-45,-15c30,174,24,160,24,141v,-66,,-66,,-66c,75,,75,,75,,39,,39,,39v24,,24,,24,c24,,24,,24,,71,,71,,71,v,39,,39,,39c111,39,111,39,111,39v,36,,36,,36c71,75,71,75,71,75v,65,,65,,65c71,147,73,152,76,156v4,4,9,5,15,5c98,161,105,159,110,155r12,33xe" filled="f" stroked="f">
                      <v:path arrowok="t" o:connecttype="custom" o:connectlocs="55562,86164;48275,89830;38711,91205;18217,84330;10930,64623;10930,34374;0,34374;0,17874;10930,17874;10930,0;32335,0;32335,17874;50552,17874;50552,34374;32335,34374;32335,64164;34612,71497;41444,73789;50097,71039;55562,86164" o:connectangles="0,0,0,0,0,0,0,0,0,0,0,0,0,0,0,0,0,0,0,0"/>
                    </v:shape>
                    <v:shape id="Freeform 45" o:spid="_x0000_s1044" style="position:absolute;left:18840;top:9241;width:775;height:765;visibility:visible;mso-wrap-style:square;v-text-anchor:top" coordsize="170,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" path="m169,96c47,96,47,96,47,96v3,10,8,18,16,23c71,125,81,128,94,128v8,,15,-1,22,-4c122,122,128,118,134,113v25,27,25,27,25,27c144,157,121,166,92,166v-18,,-34,-4,-48,-11c30,148,19,138,12,125,4,113,,99,,83,,67,4,53,12,40,19,27,29,18,43,10,56,3,70,,86,v16,,30,3,43,10c142,17,152,27,159,39v7,13,11,28,11,44c170,84,170,88,169,96xm60,44c53,50,48,58,47,69v79,,79,,79,c125,58,120,50,113,44,106,38,97,35,87,35v-11,,-20,3,-27,9xe" filled="f" stroked="f">
                      <v:path arrowok="t" o:connecttype="custom" o:connectlocs="77121,44257;21448,44257;28749,54860;42896,59010;52935,57165;61149,52094;72557,64542;41983,76528;20079,71457;5476,57627;0,38264;5476,18440;19622,4610;39245,0;58867,4610;72557,17979;77577,38264;77121,44257;27380,20285;21448,31810;57498,31810;51566,20285;39701,16135;27380,20285" o:connectangles="0,0,0,0,0,0,0,0,0,0,0,0,0,0,0,0,0,0,0,0,0,0,0,0"/>
                      <o:lock v:ext="edit" verticies="t"/>
                    </v:shape>
                    <v:shape id="Freeform 46" o:spid="_x0000_s1045" style="position:absolute;left:19773;top:9241;width:733;height:765;visibility:visible;mso-wrap-style:square;v-text-anchor:top" coordsize="162,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" path="m44,155c30,148,19,138,12,125,4,113,,99,,83,,67,4,52,12,40,19,27,30,18,44,10,57,3,73,,90,v17,,32,3,44,10c147,18,156,28,162,41,126,60,126,60,126,60,117,46,105,38,90,38,77,38,67,42,59,50,51,58,47,69,47,83v,13,4,24,12,32c67,123,77,127,90,127v16,,28,-7,36,-22c162,125,162,125,162,125v-6,13,-15,23,-28,30c122,162,107,166,90,166v-17,,-33,-4,-46,-11xe" filled="f" stroked="f">
                      <v:path arrowok="t" o:connecttype="custom" o:connectlocs="19931,71457;5436,57627;0,38264;5436,18440;19931,4610;40769,0;60700,4610;73384,18901;57076,27661;40769,17518;26726,23051;21290,38264;26726,53016;40769,58549;57076,48406;73384,57627;60700,71457;40769,76528;19931,71457" o:connectangles="0,0,0,0,0,0,0,0,0,0,0,0,0,0,0,0,0,0,0"/>
                    </v:shape>
                    <v:shape id="Freeform 47" o:spid="_x0000_s1046" style="position:absolute;left:20611;top:9094;width:566;height:912;visibility:visible;mso-wrap-style:square;v-text-anchor:top" coordsize="123,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" path="m123,188v-5,4,-11,6,-17,8c99,198,92,199,85,199v-19,,-34,-5,-45,-15c30,174,25,160,25,141v,-66,,-66,,-66c,75,,75,,75,,39,,39,,39v25,,25,,25,c25,,25,,25,,71,,71,,71,v,39,,39,,39c111,39,111,39,111,39v,36,,36,,36c71,75,71,75,71,75v,65,,65,,65c71,147,73,152,76,156v4,4,9,5,15,5c99,161,105,159,110,155r13,33xe" filled="f" stroked="f">
                      <v:path arrowok="t" o:connecttype="custom" o:connectlocs="56610,86164;48786,89830;39121,91205;18410,84330;11506,64623;11506,34374;0,34374;0,17874;11506,17874;11506,0;32677,0;32677,17874;51087,17874;51087,34374;32677,34374;32677,64164;34979,71497;41882,73789;50627,71039;56610,86164" o:connectangles="0,0,0,0,0,0,0,0,0,0,0,0,0,0,0,0,0,0,0,0"/>
                    </v:shape>
                    <v:shape id="Freeform 48" o:spid="_x0000_s1047" style="position:absolute;left:21335;top:8916;width:262;height:1079;visibility:visible;mso-wrap-style:square;v-text-anchor:top" coordsize="5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" path="m8,44c3,39,,33,,26,,18,3,12,8,7,14,2,21,,29,v9,,16,2,21,7c56,12,58,18,58,25v,8,-2,14,-8,19c45,49,38,52,29,52,21,52,14,49,8,44xm6,74v47,,47,,47,c53,235,53,235,53,235v-47,,-47,,-47,l6,74xe" filled="f" stroked="f">
                      <v:path arrowok="t" o:connecttype="custom" o:connectlocs="3615,20217;0,11947;3615,3216;13105,0;22594,3216;26209,11487;22594,20217;13105,23893;3615,20217;2711,34002;23950,34002;23950,107978;2711,107978;2711,34002" o:connectangles="0,0,0,0,0,0,0,0,0,0,0,0,0,0"/>
                      <o:lock v:ext="edit" verticies="t"/>
                    </v:shape>
                    <v:shape id="Freeform 49" o:spid="_x0000_s1048" style="position:absolute;left:21785;top:9241;width:808;height:765;visibility:visible;mso-wrap-style:square;v-text-anchor:top" coordsize="177,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" path="m43,155c29,148,19,138,11,125,4,113,,99,,83,,67,4,52,11,40,19,27,29,18,43,10,56,3,72,,89,v17,,32,3,45,10c147,18,158,27,165,40v8,12,12,27,12,43c177,99,173,113,165,125v-7,13,-18,23,-31,30c121,162,106,166,89,166v-17,,-33,-4,-46,-11xm118,115v8,-8,12,-19,12,-32c130,69,126,58,118,50,110,42,101,38,89,38,77,38,67,42,59,50,51,58,47,69,47,83v,13,4,24,12,32c67,123,77,127,89,127v12,,21,-4,29,-12xe" filled="f" stroked="f">
                      <v:path arrowok="t" o:connecttype="custom" o:connectlocs="19610,71457;5017,57627;0,38264;5017,18440;19610,4610;40589,0;61112,4610;75249,18440;80722,38264;75249,57627;61112,71457;40589,76528;19610,71457;53815,53016;59287,38264;53815,23051;40589,17518;26907,23051;21435,38264;26907,53016;40589,58549;53815,53016" o:connectangles="0,0,0,0,0,0,0,0,0,0,0,0,0,0,0,0,0,0,0,0,0,0"/>
                      <o:lock v:ext="edit" verticies="t"/>
                    </v:shape>
                    <v:shape id="Freeform 50" o:spid="_x0000_s1049" style="position:absolute;left:22813;top:9241;width:744;height:754;visibility:visible;mso-wrap-style:square;v-text-anchor:top" coordsize="164,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" path="m146,18v12,12,18,30,18,53c164,163,164,163,164,163v-46,,-46,,-46,c118,78,118,78,118,78v,-13,-3,-22,-9,-28c104,43,96,40,85,40,73,40,64,44,57,51,50,58,47,69,47,84v,79,,79,,79c,163,,163,,163,,2,,2,,2v44,,44,,44,c44,21,44,21,44,21,51,14,58,9,67,5,77,2,87,,98,v20,,36,6,48,18xe" filled="f" stroked="f">
                      <v:path arrowok="t" o:connecttype="custom" o:connectlocs="66263,8335;74432,32878;74432,75480;53555,75480;53555,36119;49470,23153;38578,18523;25870,23616;21331,38898;21331,75480;0,75480;0,926;19970,926;19970,9724;30408,2315;44478,0;66263,8335" o:connectangles="0,0,0,0,0,0,0,0,0,0,0,0,0,0,0,0,0"/>
                    </v:shape>
                    <v:shape id="Freeform 51" o:spid="_x0000_s1050" style="position:absolute;left:5484;top:10708;width:744;height:1237;visibility:visible;mso-wrap-style:square;v-text-anchor:top" coordsize="71,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" path="m71,101r,17l,118,,27r70,l70,44r-48,l22,63r42,l64,80r-42,l22,101r49,xm41,l63,,39,19r-16,l41,xe" filled="f" stroked="f">
                      <v:path arrowok="t" o:connecttype="custom" o:connectlocs="74432,105882;74432,123704;0,123704;0,28305;73384,28305;73384,46127;23063,46127;23063,66045;67094,66045;67094,83867;23063,83867;23063,105882;74432,105882;42982,0;66045,0;40885,19918;24112,19918;42982,0" o:connectangles="0,0,0,0,0,0,0,0,0,0,0,0,0,0,0,0,0,0"/>
                      <o:lock v:ext="edit" verticies="t"/>
                    </v:shape>
                    <v:shape id="Freeform 52" o:spid="_x0000_s1051" style="position:absolute;left:6459;top:11201;width:796;height:1006;visibility:visible;mso-wrap-style:square;v-text-anchor:top" coordsize="175,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" path="m136,10v12,7,22,17,29,29c172,52,175,66,175,83v,16,-3,31,-10,43c158,139,148,148,136,155v-13,7,-26,10,-41,10c74,165,58,159,46,146v,75,,75,,75c,221,,221,,221,,2,,2,,2v44,,44,,44,c44,21,44,21,44,21,56,7,73,,95,v15,,28,3,41,10xm116,115v8,-8,12,-19,12,-32c128,69,124,58,116,50,109,42,99,38,87,38,75,38,65,42,57,50,50,58,46,69,46,83v,13,4,24,11,32c65,123,75,127,87,127v12,,22,-4,29,-12xe" filled="f" stroked="f">
                      <v:path arrowok="t" o:connecttype="custom" o:connectlocs="61918,4554;75121,17760;79674,37797;75121,57378;61918,70585;43252,75138;20943,66486;20943,100640;0,100640;0,911;20032,911;20032,9563;43252,0;61918,4554;52812,52369;58276,37797;52812,22769;39609,17305;25951,22769;20943,37797;25951,52369;39609,57834;52812,52369" o:connectangles="0,0,0,0,0,0,0,0,0,0,0,0,0,0,0,0,0,0,0,0,0,0,0"/>
                      <o:lock v:ext="edit" verticies="t"/>
                    </v:shape>
                    <v:shape id="Freeform 53" o:spid="_x0000_s1052" style="position:absolute;left:7423;top:11201;width:692;height:755;visibility:visible;mso-wrap-style:square;v-text-anchor:top" coordsize="15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" path="m132,17v14,12,20,30,20,54c152,163,152,163,152,163v-43,,-43,,-43,c109,143,109,143,109,143v-9,15,-25,22,-49,22c47,165,37,163,28,159,19,155,12,149,7,142,2,134,,126,,117,,102,5,90,17,81,28,73,45,69,69,69v37,,37,,37,c106,58,103,51,97,45,90,40,81,37,69,37v-9,,-17,1,-26,4c35,44,28,47,22,52,6,19,6,19,6,19,14,13,25,8,37,5,49,1,62,,75,v25,,44,6,57,17xm93,128v6,-3,10,-9,13,-16c106,96,106,96,106,96v-32,,-32,,-32,c55,96,45,102,45,115v,6,2,10,7,14c57,132,63,134,71,134v8,,15,-2,22,-6xe" filled="f" stroked="f">
                      <v:path arrowok="t" o:connecttype="custom" o:connectlocs="60086,7777;69190,32479;69190,74565;49617,74565;49617,65416;27312,75480;12746,72735;3186,64959;0,53522;7738,37054;31409,31564;48251,31564;44154,20585;31409,16926;19573,18756;10014,23788;2731,8692;16842,2287;34140,0;60086,7777;42333,58554;48251,51235;48251,43916;33685,43916;20484,52607;23670,59012;32319,61299;42333,58554" o:connectangles="0,0,0,0,0,0,0,0,0,0,0,0,0,0,0,0,0,0,0,0,0,0,0,0,0,0,0,0"/>
                      <o:lock v:ext="edit" verticies="t"/>
                    </v:shape>
                    <v:shape id="Freeform 54" o:spid="_x0000_s1053" style="position:absolute;left:8388;top:11201;width:450;height:744;visibility:visible;mso-wrap-style:square;v-text-anchor:top" coordsize="100,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" path="m67,6c76,2,87,,100,v,43,,43,,43c94,42,91,42,89,42,76,42,65,46,58,53,50,61,46,72,46,87v,76,,76,,76c,163,,163,,163,,2,,2,,2v44,,44,,44,c44,23,44,23,44,23,50,16,57,10,67,6xe" filled="f" stroked="f">
                      <v:path arrowok="t" o:connecttype="custom" o:connectlocs="30203,2740;45079,0;45079,19635;40120,19179;26146,24202;20736,39728;20736,74432;0,74432;0,913;19835,913;19835,10503;30203,2740" o:connectangles="0,0,0,0,0,0,0,0,0,0,0,0"/>
                    </v:shape>
                    <v:shape id="Freeform 55" o:spid="_x0000_s1054" style="position:absolute;left:8985;top:11201;width:807;height:1017;visibility:visible;mso-wrap-style:square;v-text-anchor:top" coordsize="17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" path="m177,2v,134,,134,,134c177,166,170,188,154,202v-15,14,-37,21,-67,21c72,223,57,222,43,218,29,214,17,208,8,201,27,168,27,168,27,168v7,5,15,10,25,13c63,184,73,186,84,186v16,,28,-4,35,-11c127,168,131,157,131,142v,-7,,-7,,-7c119,149,102,155,80,155v-15,,-28,-3,-41,-9c27,139,17,130,10,118,3,106,,93,,77,,62,3,49,10,37,17,25,27,16,39,9,52,3,65,,80,v23,,41,7,53,23c133,2,133,2,133,2r44,xm120,106v7,-7,11,-17,11,-29c131,66,127,56,120,49,112,42,102,38,89,38,77,38,67,42,59,49,51,56,47,66,47,77v,12,4,22,12,29c67,113,77,117,89,117v13,,23,-4,31,-11xe" filled="f" stroked="f">
                      <v:path arrowok="t" o:connecttype="custom" o:connectlocs="80722,912;80722,62016;70233,92112;39677,101688;19610,99408;3648,91656;12314,76608;23715,82536;38309,84816;54271,79800;59743,64752;59743,61560;36485,70680;17786,66576;4561,53808;0,35112;4561,16872;17786,4104;36485,0;60656,10488;60656,912;80722,912;54727,48336;59743,35112;54727,22344;40589,17328;26907,22344;21435,35112;26907,48336;40589,53352;54727,48336" o:connectangles="0,0,0,0,0,0,0,0,0,0,0,0,0,0,0,0,0,0,0,0,0,0,0,0,0,0,0,0,0,0,0"/>
                      <o:lock v:ext="edit" verticies="t"/>
                    </v:shape>
                    <v:shape id="Freeform 56" o:spid="_x0000_s1055" style="position:absolute;left:10065;top:11201;width:744;height:744;visibility:visible;mso-wrap-style:square;v-text-anchor:top" coordsize="164,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" path="m146,18v12,12,18,29,18,53c164,163,164,163,164,163v-47,,-47,,-47,c117,78,117,78,117,78v,-13,-2,-22,-8,-28c103,43,95,40,85,40,73,40,64,44,57,51,50,58,46,69,46,83v,80,,80,,80c,163,,163,,163,,2,,2,,2v44,,44,,44,c44,21,44,21,44,21,50,14,58,9,67,5,76,2,86,,97,v20,,36,6,49,18xe" filled="f" stroked="f">
                      <v:path arrowok="t" o:connecttype="custom" o:connectlocs="66263,8219;74432,32421;74432,74432;53101,74432;53101,35618;49470,22832;38578,18266;25870,23289;20877,37901;20877,74432;0,74432;0,913;19970,913;19970,9589;30408,2283;44024,0;66263,8219" o:connectangles="0,0,0,0,0,0,0,0,0,0,0,0,0,0,0,0,0"/>
                    </v:shape>
                    <v:shape id="Freeform 57" o:spid="_x0000_s1056" style="position:absolute;left:11019;top:11201;width:776;height:755;visibility:visible;mso-wrap-style:square;v-text-anchor:top" coordsize="17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" path="m169,96c47,96,47,96,47,96v2,10,8,18,16,23c71,125,81,128,93,128v9,,16,-1,23,-4c122,122,128,118,134,112v24,27,24,27,24,27c143,157,121,165,92,165v-18,,-34,-3,-48,-10c30,148,19,138,12,125,4,113,,99,,83,,67,4,53,11,40,19,27,29,17,42,10,55,3,70,,86,v16,,30,3,43,10c142,17,152,26,159,39v7,13,11,27,11,44c170,84,170,88,169,96xm60,44c53,50,48,58,47,69v79,,79,,79,c124,58,120,50,113,44,106,38,97,35,86,35v-10,,-19,3,-26,9xe" filled="f" stroked="f">
                      <v:path arrowok="t" o:connecttype="custom" o:connectlocs="77121,43916;21448,43916;28749,54437;42439,58554;52935,56724;61149,51235;72101,63586;41983,75480;20079,70905;5476,57182;0,37969;5020,18298;19166,4575;39245,0;58867,4575;72557,17841;77577,37969;77121,43916;27380,20128;21448,31564;57498,31564;51566,20128;39245,16011;27380,20128" o:connectangles="0,0,0,0,0,0,0,0,0,0,0,0,0,0,0,0,0,0,0,0,0,0,0,0"/>
                      <o:lock v:ext="edit" verticies="t"/>
                    </v:shape>
                    <v:shape id="Freeform 58" o:spid="_x0000_s1057" style="position:absolute;left:12413;top:10970;width:912;height:996;visibility:visible;mso-wrap-style:square;v-text-anchor:top" coordsize="200,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" path="m175,216c150,192,150,192,150,192v-20,16,-44,24,-70,24c64,216,51,213,39,208,26,203,17,197,10,188,3,179,,169,,158,,145,3,134,11,124,18,114,30,105,46,96,38,88,33,80,29,73,26,66,24,59,24,51v,-10,3,-19,8,-27c38,17,45,11,55,6,65,2,77,,89,v19,,33,4,44,13c144,22,150,33,150,48v,11,-4,20,-10,29c133,85,123,93,109,101v38,36,38,36,38,36c151,127,155,116,157,104v38,12,38,12,38,12c191,134,184,150,176,163v24,23,24,23,24,23l175,216xm122,167c72,120,72,120,72,120v-10,5,-17,10,-21,15c47,141,45,147,45,153v,8,4,14,11,19c62,177,72,179,83,179v14,,28,-4,39,-12xm73,37v-4,4,-6,8,-6,14c67,55,68,59,70,63v2,3,7,8,13,14c93,72,100,67,104,63v4,-4,6,-9,6,-14c110,44,108,40,105,36,101,33,96,32,89,32v-7,,-12,1,-16,5xe" filled="f" stroked="f">
                      <v:path arrowok="t" o:connecttype="custom" o:connectlocs="79805,99592;68405,88526;36482,99592;17785,95903;4560,86682;0,72850;5016,57173;20977,44263;13225,33658;10945,23515;14593,11066;25082,2766;40587,0;60652,5994;68405,22132;63844,35503;49707,46568;67036,63167;71597,47952;88926,53485;80261,75155;91206,85760;79805,99592;55636,76999;32834,55329;23258,62245;20521,70544;25538,79305;37850,82532;55636,76999;33290,17060;30554,23515;31922,29048;37850,35503;47427,29048;50163,22593;47883,16599;40587,14754;33290,17060" o:connectangles="0,0,0,0,0,0,0,0,0,0,0,0,0,0,0,0,0,0,0,0,0,0,0,0,0,0,0,0,0,0,0,0,0,0,0,0,0,0,0"/>
                      <o:lock v:ext="edit" verticies="t"/>
                    </v:shape>
                    <v:shape id="Freeform 59" o:spid="_x0000_s1058" style="position:absolute;left:13996;top:10991;width:849;height:954;visibility:visible;mso-wrap-style:square;v-text-anchor:top" coordsize="186,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" path="m134,209c93,151,93,151,93,151v-2,,-2,,-2,c49,151,49,151,49,151v,58,,58,,58c,209,,209,,209,,,,,,,91,,91,,91,v18,,34,3,48,9c153,15,163,24,171,35v7,12,11,25,11,41c182,91,178,105,170,116v-7,11,-18,20,-31,26c186,209,186,209,186,209r-52,xm121,49c114,42,103,39,88,39v-39,,-39,,-39,c49,112,49,112,49,112v39,,39,,39,c103,112,114,109,121,103v8,-7,12,-16,12,-27c133,64,129,55,121,49xe" filled="f" stroked="f">
                      <v:path arrowok="t" o:connecttype="custom" o:connectlocs="61176,95398;42458,68924;41545,68924;22370,68924;22370,95398;0,95398;0,0;41545,0;63459,4108;78068,15976;83090,34690;77611,52948;63459,64816;84916,95398;61176,95398;55241,22366;40175,17802;22370,17802;22370,51122;40175,51122;55241,47014;60720,34690;55241,22366" o:connectangles="0,0,0,0,0,0,0,0,0,0,0,0,0,0,0,0,0,0,0,0,0,0,0"/>
                      <o:lock v:ext="edit" verticies="t"/>
                    </v:shape>
                    <v:shape id="Freeform 60" o:spid="_x0000_s1059" style="position:absolute;left:15003;top:11201;width:765;height:755;visibility:visible;mso-wrap-style:square;v-text-anchor:top" coordsize="1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" path="m168,96c47,96,47,96,47,96v2,10,7,18,15,23c70,125,81,128,93,128v8,,15,-1,22,-4c121,122,127,118,133,112v25,27,25,27,25,27c143,157,121,165,91,165v-18,,-34,-3,-48,-10c29,148,19,138,11,125,3,113,,99,,83,,67,3,53,11,40,18,27,29,17,42,10,55,3,69,,86,v15,,30,3,42,10c141,17,151,26,158,39v8,13,11,27,11,44c169,84,169,88,168,96xm59,44c52,50,48,58,46,69v79,,79,,79,c124,58,119,50,112,44,105,38,96,35,86,35v-11,,-20,3,-27,9xe" filled="f" stroked="f">
                      <v:path arrowok="t" o:connecttype="custom" o:connectlocs="76076,43916;21283,43916;28076,54437;42114,58554;52076,56724;60227,51235;71548,63586;41208,75480;19472,70905;4981,57182;0,37969;4981,18298;19019,4575;38944,0;57963,4575;71548,17841;76529,37969;76076,43916;26717,20128;20830,31564;56604,31564;50717,20128;38944,16011;26717,20128" o:connectangles="0,0,0,0,0,0,0,0,0,0,0,0,0,0,0,0,0,0,0,0,0,0,0,0"/>
                      <o:lock v:ext="edit" verticies="t"/>
                    </v:shape>
                    <v:shape id="Freeform 61" o:spid="_x0000_s1060" style="position:absolute;left:15894;top:11044;width:566;height:912;visibility:visible;mso-wrap-style:square;v-text-anchor:top" coordsize="12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" path="m123,188v-5,4,-10,6,-17,8c99,198,92,198,85,198v-19,,-34,-4,-45,-14c30,174,25,160,25,141v,-66,,-66,,-66c,75,,75,,75,,39,,39,,39v25,,25,,25,c25,,25,,25,,71,,71,,71,v,39,,39,,39c111,39,111,39,111,39v,36,,36,,36c71,75,71,75,71,75v,65,,65,,65c71,147,73,152,77,156v3,3,8,5,14,5c99,161,105,159,110,155r13,33xe" filled="f" stroked="f">
                      <v:path arrowok="t" o:connecttype="custom" o:connectlocs="56610,86599;48786,90284;39121,91205;18410,84756;11506,64949;11506,34547;0,34547;0,17965;11506,17965;11506,0;32677,0;32677,17965;51087,17965;51087,34547;32677,34547;32677,64488;35439,71858;41882,74162;50627,71398;56610,86599" o:connectangles="0,0,0,0,0,0,0,0,0,0,0,0,0,0,0,0,0,0,0,0"/>
                    </v:shape>
                    <v:shape id="Freeform 62" o:spid="_x0000_s1061" style="position:absolute;left:16649;top:11201;width:450;height:744;visibility:visible;mso-wrap-style:square;v-text-anchor:top" coordsize="100,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" path="m67,6c77,2,88,,100,v,43,,43,,43c95,42,91,42,90,42,76,42,66,46,58,53,51,61,47,72,47,87v,76,,76,,76c,163,,163,,163,,2,,2,,2v45,,45,,45,c45,23,45,23,45,23,50,16,58,10,67,6xe" filled="f" stroked="f">
                      <v:path arrowok="t" o:connecttype="custom" o:connectlocs="30203,2740;45079,0;45079,19635;40571,19179;26146,24202;21187,39728;21187,74432;0,74432;0,913;20286,913;20286,10503;30203,2740" o:connectangles="0,0,0,0,0,0,0,0,0,0,0,0"/>
                    </v:shape>
                    <v:shape id="Freeform 63" o:spid="_x0000_s1062" style="position:absolute;left:17257;top:11201;width:691;height:755;visibility:visible;mso-wrap-style:square;v-text-anchor:top" coordsize="15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" path="m132,17v14,12,20,30,20,54c152,163,152,163,152,163v-43,,-43,,-43,c109,143,109,143,109,143v-9,15,-25,22,-49,22c47,165,37,163,27,159,18,155,11,149,7,142,2,134,,126,,117,,102,5,90,16,81,28,73,45,69,69,69v37,,37,,37,c106,58,103,51,96,45,90,40,81,37,69,37v-9,,-17,1,-26,4c35,44,28,47,22,52,6,19,6,19,6,19,14,13,25,8,37,5,49,1,62,,75,v25,,44,6,57,17xm93,128v6,-3,10,-9,13,-16c106,96,106,96,106,96v-32,,-32,,-32,c55,96,45,102,45,115v,6,2,10,7,14c57,132,63,134,71,134v8,,15,-2,22,-6xe" filled="f" stroked="f">
                      <v:path arrowok="t" o:connecttype="custom" o:connectlocs="60086,7777;69190,32479;69190,74565;49617,74565;49617,65416;27312,75480;12290,72735;3186,64959;0,53522;7283,37054;31409,31564;48251,31564;43699,20585;31409,16926;19573,18756;10014,23788;2731,8692;16842,2287;34140,0;60086,7777;42333,58554;48251,51235;48251,43916;33685,43916;20484,52607;23670,59012;32319,61299;42333,58554" o:connectangles="0,0,0,0,0,0,0,0,0,0,0,0,0,0,0,0,0,0,0,0,0,0,0,0,0,0,0,0"/>
                      <o:lock v:ext="edit" verticies="t"/>
                    </v:shape>
                    <v:shape id="Freeform 64" o:spid="_x0000_s1063" style="position:absolute;left:18190;top:10866;width:262;height:1079;visibility:visible;mso-wrap-style:square;v-text-anchor:top" coordsize="5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" path="m8,44c3,39,,33,,26,,18,3,12,8,7,13,2,20,,29,v8,,15,2,21,7c55,12,58,18,58,25v,8,-3,14,-8,19c44,49,37,52,29,52,20,52,13,49,8,44xm6,74v46,,46,,46,c52,235,52,235,52,235v-46,,-46,,-46,l6,74xe" filled="f" stroked="f">
                      <v:path arrowok="t" o:connecttype="custom" o:connectlocs="3615,20217;0,11947;3615,3216;13105,0;22594,3216;26209,11487;22594,20217;13105,23893;3615,20217;2711,34002;23498,34002;23498,107978;2711,107978;2711,34002" o:connectangles="0,0,0,0,0,0,0,0,0,0,0,0,0,0"/>
                      <o:lock v:ext="edit" verticies="t"/>
                    </v:shape>
                    <v:shape id="Freeform 65" o:spid="_x0000_s1064" style="position:absolute;left:18609;top:11044;width:556;height:912;visibility:visible;mso-wrap-style:square;v-text-anchor:top" coordsize="12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" path="m123,188v-4,4,-10,6,-17,8c100,198,93,198,85,198v-19,,-34,-4,-44,-14c30,174,25,160,25,141v,-66,,-66,,-66c,75,,75,,75,,39,,39,,39v25,,25,,25,c25,,25,,25,,72,,72,,72,v,39,,39,,39c112,39,112,39,112,39v,36,,36,,36c72,75,72,75,72,75v,65,,65,,65c72,147,74,152,77,156v4,3,9,5,15,5c99,161,106,159,111,155r12,33xe" filled="f" stroked="f">
                      <v:path arrowok="t" o:connecttype="custom" o:connectlocs="55562,86599;47883,90284;38397,91205;18521,84756;11293,64949;11293,34547;0,34547;0,17965;11293,17965;11293,0;32524,0;32524,17965;50593,17965;50593,34547;32524,34547;32524,64488;34783,71858;41559,74162;50141,71398;55562,86599" o:connectangles="0,0,0,0,0,0,0,0,0,0,0,0,0,0,0,0,0,0,0,0"/>
                    </v:shape>
                    <v:shape id="Freeform 66" o:spid="_x0000_s1065" style="position:absolute;left:19301;top:11201;width:776;height:755;visibility:visible;mso-wrap-style:square;v-text-anchor:top" coordsize="1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" path="m168,96c47,96,47,96,47,96v2,10,7,18,15,23c70,125,80,128,93,128v8,,15,-1,22,-4c121,122,127,118,133,112v25,27,25,27,25,27c143,157,121,165,91,165v-18,,-34,-3,-48,-10c29,148,19,138,11,125,3,113,,99,,83,,67,3,53,11,40,18,27,29,17,42,10,55,3,69,,85,v16,,30,3,43,10c141,17,151,26,158,39v8,13,11,27,11,44c169,84,169,88,168,96xm59,44c52,50,48,58,46,69v79,,79,,79,c124,58,119,50,112,44,105,38,96,35,86,35v-11,,-20,3,-27,9xe" filled="f" stroked="f">
                      <v:path arrowok="t" o:connecttype="custom" o:connectlocs="77118,43916;21575,43916;28460,54437;42690,58554;52789,56724;61052,51235;72528,63586;41772,75480;19739,70905;5049,57182;0,37969;5049,18298;19279,4575;39018,0;58757,4575;72528,17841;77577,37969;77118,43916;27083,20128;21116,31564;57379,31564;51412,20128;39477,16011;27083,20128" o:connectangles="0,0,0,0,0,0,0,0,0,0,0,0,0,0,0,0,0,0,0,0,0,0,0,0"/>
                      <o:lock v:ext="edit" verticies="t"/>
                    </v:shape>
                  </v:group>
                  <v:shape id="Graphic 11" o:spid="_x0000_s1066" type="#_x0000_t75" style="position:absolute;left:52211;top:5076;width:18027;height:6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">
                    <v:imagedata r:id="rId152" o:title=""/>
                  </v:shape>
                </v:group>
                <v:group id="Groupe 177" o:spid="_x0000_s1067" style="position:absolute;left:27038;top:84812;width:21520;height:3926" coordorigin="27038,84812" coordsize="21520,3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shape id="Graphic 12" o:spid="_x0000_s1068" type="#_x0000_t75" href="https://www.facebook.com/AvivaFrance" style="position:absolute;left:27038;top:84812;width:3746;height:3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" o:button="t">
                    <v:fill o:detectmouseclick="t"/>
                    <v:imagedata r:id="rId153" o:title=""/>
                  </v:shape>
                  <v:shape id="Graphic 14" o:spid="_x0000_s1069" type="#_x0000_t75" href="https://twitter.com/AvivaFrance" style="position:absolute;left:32962;top:84992;width:3747;height:3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" o:button="t">
                    <v:fill o:detectmouseclick="t"/>
                    <v:imagedata r:id="rId154" o:title=""/>
                  </v:shape>
                  <v:shape id="Graphic 16" o:spid="_x0000_s1070" type="#_x0000_t75" href="https://www.linkedin.com/company/abeille-assurances/mycompany/" style="position:absolute;left:38887;top:84992;width:3447;height:3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" o:button="t">
                    <v:fill o:detectmouseclick="t"/>
                    <v:imagedata r:id="rId155" o:title=""/>
                  </v:shape>
                  <v:shape id="Graphic 18" o:spid="_x0000_s1071" type="#_x0000_t75" href="https://www.instagram.com/avivafrance/" style="position:absolute;left:44812;top:84812;width:3746;height:3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" o:button="t">
                    <v:fill o:detectmouseclick="t"/>
                    <v:imagedata r:id="rId156" o:title=""/>
                  </v:shape>
                </v:group>
                <v:shape id="[T2O] Espace réservé du texte 3" o:spid="_x0000_s1072" href="http://www.abeille-assurances.fr/" style="position:absolute;left:7900;top:76375;width:59805;height:3706;visibility:visible;mso-wrap-style:square;v-text-anchor:middle" coordsize="5980510,370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" o:button="t" path="m5530958,277149v12789,,23474,4459,32056,13377c5571596,299445,5575887,310635,5575887,324097v,13126,-4291,24148,-12873,33066c5554432,366082,5543747,370541,5530958,370541v-12789,,-23475,-4459,-32056,-13378c5490320,348245,5486029,337223,5486029,324097v,-13462,4291,-24652,12873,-33571c5507483,281608,5518169,277149,5530958,277149xm1235183,277149v12789,,23474,4459,32056,13377c1275821,299445,1280112,310635,1280112,324097v,13126,-4291,24148,-12873,33066c1258657,366082,1247972,370541,1235183,370541v-12789,,-23475,-4459,-32056,-13378c1194545,348245,1190254,337223,1190254,324097v,-13462,4291,-24652,12873,-33571c1211708,281608,1222394,277149,1235183,277149xm4331408,247869v-26251,3702,-44425,9086,-54521,16154c4266790,271091,4261742,279504,4261742,289264v,8078,2609,14051,7825,17922c4274784,311056,4281767,312991,4290517,312991v8414,,15650,-1851,21708,-5553c4318283,303736,4324677,298519,4331408,291788r,-43919xm3140783,247869v-26251,3702,-44425,9086,-54521,16154c3076165,271091,3071117,279504,3071117,289264v,8078,2608,14051,7825,17922c3084158,311056,3091142,312991,3099892,312991v8414,,15650,-1851,21707,-5553c3127658,303736,3134052,298519,3140783,291788r,-43919xm1473908,247869v-26251,3702,-44425,9086,-54521,16154c1409291,271091,1404242,279504,1404242,289264v,8078,2608,14051,7825,17922c1417283,311056,1424267,312991,1433017,312991v8414,,15650,-1851,21708,-5553c1460783,303736,1467177,298519,1473908,291788r,-43919xm2828991,210512r124188,l2953179,263013r-124188,l2828991,210512xm1728492,168611v-14808,,-29111,7573,-42910,22717l1685582,293808v6731,6058,13462,10264,20193,12620c1712506,308784,1719069,309962,1725463,309962v12789,,23727,-5805,32814,-17416c1767364,280935,1771907,262172,1771907,236258v,-45098,-14471,-67647,-43415,-67647xm5107276,164573v-11779,,-22127,3870,-31047,11611c5067311,183924,5061506,195872,5058813,212026r90364,c5149177,197891,5145980,186448,5139585,177698v-6394,-8750,-17164,-13125,-32309,-13125xm2687926,164573v-11779,,-22128,3870,-31046,11611c2647961,183924,2642156,195872,2639463,212026r90364,c2729827,197891,2726629,186448,2720235,177698v-6394,-8750,-17164,-13125,-32309,-13125xm2002126,164573v-11779,,-22128,3870,-31046,11611c1962161,183924,1956356,195872,1953663,212026r90364,c2044027,197891,2040830,186448,2034435,177698v-6394,-8750,-17164,-13125,-32309,-13125xm3713874,114090r74209,l3788083,259984v,18174,2524,30627,7572,37358c3800704,304072,3808613,307438,3819382,307438v9423,,17333,-2188,23727,-6563c3849503,296500,3856403,289433,3863807,279673r,-165583l3938016,114090r,250393l3877437,364483r-5553,-34833l3870369,329650v-10769,12789,-22296,22802,-34580,30037c3823505,366923,3808781,370541,3791617,370541v-27261,,-47033,-8918,-59317,-26756c3720016,325948,3713874,301212,3713874,269576r,-155486xm2154298,114090r74209,l2228507,364483r-74209,l2154298,114090xm781050,114090r73705,l878986,230200v2020,12452,3870,24736,5553,36852c886222,279168,888073,291620,890092,304409r2020,c894467,291620,896739,279000,898927,266547v2187,-12452,4796,-24568,7824,-36347l934517,114090r64113,l1026900,230200v3029,12452,5721,24736,8077,36852c1037333,279168,1039857,291620,1042549,304409r2020,c1046925,291620,1048860,279168,1050374,267052v1515,-12116,3450,-24400,5806,-36852l1079906,114090r68657,l1088488,364483r-86829,l978942,264528v-2693,-11779,-5049,-23559,-7068,-35338c969855,217411,967667,204790,965311,191328r-2019,c960936,204790,958833,217411,956981,229190v-1851,11779,-3954,23559,-6310,35338l928459,364483r-84810,l781050,114090xm390525,114090r73705,l488461,230200v2020,12452,3871,24736,5553,36852c495697,279168,497548,291620,499567,304409r2019,c503943,291620,506214,279000,508402,266547v2187,-12452,4796,-24568,7825,-36347l543992,114090r64113,l636375,230200v3029,12452,5721,24736,8077,36852c646808,279168,649332,291620,652025,304409r2019,c656399,291620,658335,279168,659849,267052v1515,-12116,3450,-24400,5806,-36852l689381,114090r68657,l697964,364483r-86830,l588417,264528v-2693,-11779,-5049,-23559,-7068,-35338c579330,217411,577142,204790,574786,191328r-2019,c570411,204790,568308,217411,566457,229190v-1851,11779,-3955,23559,-6311,35338l537934,364483r-84811,l390525,114090xm,114090r73704,l97936,230200v2020,12452,3870,24736,5553,36852c105172,279168,107023,291620,109042,304409r2020,c113417,291620,115689,279000,117877,266547v2187,-12452,4796,-24568,7824,-36347l153467,114090r64113,l245850,230200v3029,12452,5721,24736,8077,36852c256283,279168,258807,291620,261499,304409r2020,c265875,291620,267810,279168,269324,267052v1515,-12116,3450,-24400,5806,-36852l298857,114090r68656,l307439,364483r-86830,l197891,264528v-2692,-11779,-5048,-23559,-7067,-35338c188805,217411,186617,204790,184261,191328r-2019,c179886,204790,177783,217411,175932,229190v-1851,11779,-3955,23559,-6311,35338l147409,364483r-84811,l,114090xm5950725,108032v7067,,12873,421,17416,1262c5972685,110136,5976808,111398,5980510,113080r-12116,64113c5963682,175847,5959307,174837,5955268,174164v-4038,-673,-8750,-1009,-14135,-1009c5931710,173155,5921866,176520,5911601,183251v-10265,6731,-18763,18679,-25494,35843l5886107,364483r-74209,l5811898,114090r60579,l5877525,158010r2019,c5888632,140846,5899569,128225,5912358,120148v12789,-8077,25578,-12116,38367,-12116xm5355298,108032v19184,,36010,3282,50483,9844c5420252,124439,5432873,131759,5443642,139836r-33318,44425c5401237,177530,5392318,172313,5383568,168611v-8750,-3702,-17500,-5553,-26250,-5553c5338470,163058,5329047,169621,5329047,182746v,4039,1346,7488,4039,10349c5335778,195956,5339396,198564,5343939,200920v4544,2356,9760,4628,15650,6815c5365479,209923,5371621,212194,5378015,214550v8078,3029,16070,6479,23979,10349c5409903,228769,5417139,233565,5423702,239287v6563,5721,11863,12704,15902,20950c5443642,268482,5445662,278326,5445662,289769v,11443,-2188,22044,-6563,31804c5434724,331333,5428161,339831,5419411,347067v-8751,7236,-19520,12957,-32309,17164c5374313,368438,5359505,370541,5342678,370541v-16492,,-33403,-3197,-50736,-9592c5274610,354555,5259550,346141,5246761,335708r33318,-46444c5291522,298015,5302460,304577,5312893,308952v10433,4376,21034,6563,31804,6563c5355803,315515,5363880,313664,5368928,309962v5048,-3702,7573,-8918,7573,-15649c5376501,290274,5375071,286656,5372210,283459v-2861,-3197,-6731,-6142,-11611,-8835c5355719,271932,5350250,269492,5344192,267304v-6058,-2187,-12284,-4627,-18678,-7320c5317773,256955,5310032,253422,5302291,249383v-7741,-4038,-14808,-9003,-21202,-14892c5274694,228601,5269478,221702,5265439,213793v-4038,-7909,-6058,-17080,-6058,-27513c5259381,174837,5261653,164236,5266196,154476v4544,-9760,11022,-18005,19436,-24736c5294046,123009,5304142,117708,5315922,113838v11779,-3871,24904,-5806,39376,-5806xm5105762,108032v17837,,33403,3029,46697,9087c5165752,123177,5176858,131591,5185777,142360v8918,10770,15565,23475,19940,38115c5210093,195114,5212280,211016,5212280,228180v,6731,-337,13126,-1009,19184c5210597,253422,5209924,257965,5209251,260994r-149933,c5062684,279168,5070172,292546,5081783,301128v11611,8582,25830,12873,42657,12873c5142278,314001,5160283,308448,5178457,297342r24736,44929c5190404,351021,5176185,357921,5160535,362969v-15649,5048,-31046,7572,-46191,7572c5096507,370541,5079848,367596,5064366,361707v-15481,-5890,-28943,-14472,-40386,-25746c5012537,324686,5003619,310972,4997224,294817v-6394,-16154,-9591,-34664,-9591,-55530c4987633,219094,4990999,200836,4997730,184513v6731,-16323,15565,-30121,26503,-41396c5035171,131843,5047707,123177,5061842,117119v14135,-6058,28775,-9087,43920,-9087xm4879753,108032v15481,,29195,2524,41143,7573c4932843,120653,4943529,127047,4952953,134788r-34834,47958c4906340,172986,4895066,168106,4884296,168106v-18173,,-32477,6395,-42910,19184c4830953,200079,4825737,217411,4825737,239287v,21875,5300,39208,15902,51997c4852240,304072,4865618,310467,4881772,310467v8078,,15902,-1767,23474,-5301c4912819,301633,4919970,297342,4926701,292293r29281,48463c4943529,351526,4930067,359183,4915596,363726v-14472,4543,-28607,6815,-42406,6815c4855689,370541,4839451,367596,4824474,361707v-14976,-5890,-28017,-14388,-39124,-25494c4774244,325107,4765494,311392,4759100,295070v-6395,-16323,-9592,-34917,-9592,-55783c4749508,218421,4753042,199826,4760109,183503v7068,-16322,16575,-30037,28523,-41143c4800579,131254,4814462,122756,4830280,116867v15818,-5890,32309,-8835,49473,-8835xm4626312,108032v27260,,47032,8919,59317,26756c4697913,152625,4704055,177361,4704055,208997r,155486l4629845,364483r,-145894c4629845,200415,4627405,187963,4622525,181232v-4879,-6731,-12704,-10097,-23474,-10097c4589628,171135,4581550,173239,4574820,177446v-6731,4206,-14136,10180,-22213,17921l4552607,364483r-74209,l4478398,114090r60579,l4544025,145894r2019,c4556814,135798,4568593,126963,4581382,119391v12789,-7573,27765,-11359,44930,-11359xm4306167,108032v32309,,56961,9171,73957,27513c4397119,153887,4405617,182410,4405617,221113r,143370l4345038,364483r-5048,-25746l4337971,338737v-10770,9424,-22044,17080,-33823,22970c4292368,367596,4279411,370541,4265276,370541v-11443,,-21792,-1935,-31047,-5805c4224974,360865,4217149,355481,4210755,348581v-6394,-6899,-11359,-14892,-14892,-23979c4192329,315515,4190562,305587,4190562,294817v,-26251,11106,-46780,33318,-61588c4246093,218421,4281935,208492,4331408,203444v-673,-11106,-3954,-19941,-9844,-26503c4315674,170378,4305830,167097,4292032,167097v-10770,,-21455,2019,-32057,6058c4249374,177193,4238015,182746,4225900,189814r-26756,-48968c4215298,131086,4232210,123177,4249879,117119v17669,-6058,36432,-9087,56288,-9087xm4140975,108032v7067,,12873,421,17416,1262c4162935,110136,4167058,111398,4170759,113080r-12115,64113c4153932,175847,4149557,174837,4145518,174164v-4038,-673,-8750,-1009,-14135,-1009c4121960,173155,4112115,176520,4101851,183251v-10265,6731,-18763,18679,-25494,35843l4076357,364483r-74209,l4002148,114090r60579,l4067775,158010r2019,c4078881,140846,4089819,128225,4102608,120148v12789,-8077,25578,-12116,38367,-12116xm3583648,108032v19183,,36011,3282,50482,9844c3648602,124439,3661223,131759,3671992,139836r-33318,44425c3629587,177530,3620668,172313,3611918,168611v-8750,-3702,-17501,-5553,-26251,-5553c3566820,163058,3557397,169621,3557397,182746v,4039,1346,7488,4038,10349c3564128,195956,3567746,198564,3572289,200920v4544,2356,9760,4628,15650,6815c3593829,209923,3599971,212194,3606365,214550v8077,3029,16070,6479,23979,10349c3638253,228769,3645489,233565,3652052,239287v6562,5721,11863,12704,15902,20950c3671992,268482,3674012,278326,3674012,289769v,11443,-2188,22044,-6563,31804c3663074,331333,3656511,339831,3647761,347067v-8751,7236,-19520,12957,-32309,17164c3602663,368438,3587855,370541,3571027,370541v-16491,,-33402,-3197,-50735,-9592c3502960,354555,3487899,346141,3475110,335708r33319,-46444c3519872,298015,3530809,304577,3541242,308952v10434,4376,21035,6563,31805,6563c3584153,315515,3592230,313664,3597278,309962v5049,-3702,7573,-8918,7573,-15649c3604851,290274,3603420,286656,3600560,283459v-2861,-3197,-6731,-6142,-11611,-8835c3584069,271932,3578600,269492,3572542,267304v-6058,-2187,-12284,-4627,-18679,-7320c3546122,256955,3538382,253422,3530641,249383v-7740,-4038,-14808,-9003,-21202,-14892c3503044,228601,3497828,221702,3493789,213793v-4039,-7909,-6058,-17080,-6058,-27513c3487731,174837,3490003,164236,3494546,154476v4544,-9760,11022,-18005,19436,-24736c3522396,123009,3532492,117708,3544271,113838v11780,-3871,24905,-5806,39377,-5806xm3364573,108032v19183,,36011,3282,50482,9844c3429527,124439,3442148,131759,3452917,139836r-33318,44425c3410512,177530,3401593,172313,3392843,168611v-8750,-3702,-17501,-5553,-26251,-5553c3347745,163058,3338322,169621,3338322,182746v,4039,1346,7488,4038,10349c3345053,195956,3348671,198564,3353214,200920v4544,2356,9760,4628,15650,6815c3374754,209923,3380896,212194,3387290,214550v8077,3029,16070,6479,23979,10349c3419178,228769,3426414,233565,3432977,239287v6562,5721,11863,12704,15902,20950c3452917,268482,3454936,278326,3454936,289769v,11443,-2187,22044,-6562,31804c3443999,331333,3437436,339831,3428686,347067v-8751,7236,-19520,12957,-32309,17164c3383588,368438,3368780,370541,3351952,370541v-16491,,-33402,-3197,-50735,-9592c3283885,354555,3268824,346141,3256035,335708r33319,-46444c3300797,298015,3311734,304577,3322167,308952v10434,4376,21035,6563,31805,6563c3365078,315515,3373155,313664,3378203,309962v5048,-3702,7573,-8918,7573,-15649c3385776,290274,3384345,286656,3381485,283459v-2861,-3197,-6731,-6142,-11611,-8835c3364994,271932,3359525,269492,3353467,267304v-6058,-2187,-12284,-4627,-18679,-7320c3327047,256955,3319307,253422,3311566,249383v-7740,-4038,-14808,-9003,-21202,-14892c3283969,228601,3278753,221702,3274714,213793v-4039,-7909,-6058,-17080,-6058,-27513c3268656,174837,3270928,164236,3275471,154476v4544,-9760,11022,-18005,19436,-24736c3303321,123009,3313417,117708,3325196,113838v11780,-3871,24905,-5806,39377,-5806xm3115542,108032v32309,,56961,9171,73957,27513c3206494,153887,3214992,182410,3214992,221113r,143370l3154413,364483r-5048,-25746l3147346,338737v-10770,9424,-22044,17080,-33824,22970c3101743,367596,3088786,370541,3074651,370541v-11443,,-21792,-1935,-31047,-5805c3034349,360865,3026524,355481,3020130,348581v-6395,-6899,-11359,-14892,-14893,-23979c3001704,315515,2999937,305587,2999937,294817v,-26251,11106,-46780,33318,-61588c3055467,218421,3091310,208492,3140783,203444v-673,-11106,-3954,-19941,-9844,-26503c3125049,170378,3115205,167097,3101407,167097v-10770,,-21456,2019,-32057,6058c3058749,177193,3047390,182746,3035275,189814r-26756,-48968c3024673,131086,3041585,123177,3059254,117119v17669,-6058,36431,-9087,56288,-9087xm2686412,108032v17837,,33402,3029,46696,9087c2746402,123177,2757508,131591,2766427,142360v8918,10770,15565,23475,19940,38115c2790742,195114,2792930,211016,2792930,228180v,6731,-337,13126,-1010,19184c2791247,253422,2790574,257965,2789901,260994r-149933,c2643333,279168,2650822,292546,2662433,301128v11611,8582,25830,12873,42657,12873c2722928,314001,2740933,308448,2759107,297342r24736,44929c2771054,351021,2756835,357921,2741185,362969v-15649,5048,-31046,7572,-46191,7572c2677157,370541,2660497,367596,2645016,361707v-15481,-5890,-28943,-14472,-40386,-25746c2593188,324686,2584269,310972,2577875,294817v-6395,-16154,-9592,-34664,-9592,-55530c2568283,219094,2571648,200836,2578379,184513v6732,-16323,15566,-30121,26503,-41396c2615820,131843,2628357,123177,2642492,117119v14135,-6058,28775,-9087,43920,-9087xm2000612,108032v17837,,33402,3029,46696,9087c2060602,123177,2071708,131591,2080627,142360v8918,10770,15565,23475,19940,38115c2104942,195114,2107130,211016,2107130,228180v,6731,-336,13126,-1010,19184c2105447,253422,2104774,257965,2104101,260994r-149933,c1957533,279168,1965022,292546,1976633,301128v11611,8582,25830,12873,42658,12873c2037128,314001,2055133,308448,2073307,297342r24736,44929c2085254,351021,2071035,357921,2055385,362969v-15649,5048,-31046,7572,-46191,7572c1991357,370541,1974698,367596,1959216,361707v-15481,-5890,-28943,-14472,-40386,-25746c1907387,324686,1898469,310972,1892075,294817v-6395,-16154,-9592,-34664,-9592,-55530c1882483,219094,1885848,200836,1892579,184513v6731,-16323,15566,-30121,26504,-41396c1930021,131843,1942557,123177,1956692,117119v14135,-6058,28775,-9087,43920,-9087xm1448667,108032v32309,,56961,9171,73957,27513c1539620,153887,1548117,182410,1548117,221113r,143370l1487538,364483r-5048,-25746l1480471,338737v-10770,9424,-22044,17080,-33823,22970c1434868,367596,1421911,370541,1407776,370541v-11443,,-21792,-1935,-31047,-5805c1367474,360865,1359649,355481,1353255,348581v-6395,-6899,-11359,-14892,-14893,-23979c1334829,315515,1333062,305587,1333062,294817v,-26251,11106,-46780,33318,-61588c1388593,218421,1424435,208492,1473908,203444v-673,-11106,-3954,-19941,-9844,-26503c1458174,170378,1448330,167097,1434532,167097v-10770,,-21455,2019,-32057,6058c1391874,177193,1380515,182746,1368400,189814r-26756,-48968c1357798,131086,1374710,123177,1392379,117119v17669,-6058,36431,-9087,56288,-9087xm2440048,10601r74209,l2514257,289769v,7741,1430,13126,4291,16155c2521409,308952,2524353,310467,2527382,310467v1683,,3113,,4292,c2532851,310467,2534450,310130,2536469,309457r9087,55026c2541517,366166,2536385,367596,2530159,368774v-6226,1178,-13546,1767,-21960,1767c2495410,370541,2484641,368522,2475890,364483v-8750,-4038,-15733,-9676,-20950,-16911c2449724,340336,2445938,331585,2443581,321321v-2355,-10265,-3533,-21792,-3533,-34581l2440048,10601xm2297173,10601r74209,l2371382,289769v,7741,1430,13126,4291,16155c2378534,308952,2381479,310467,2384508,310467v1682,,3112,,4291,c2389976,310467,2391575,310130,2393595,309457r9086,55026c2398643,366166,2393510,367596,2387284,368774v-6226,1178,-13546,1767,-21960,1767c2352535,370541,2341766,368522,2333015,364483v-8750,-4038,-15733,-9676,-20950,-16911c2306849,340336,2303062,331585,2300707,321321v-2357,-10265,-3534,-21792,-3534,-34581l2297173,10601xm1611373,10601r74209,l1685582,97431r-2019,38367c1693323,127047,1703840,120232,1715114,115352v11275,-4880,22802,-7320,34581,-7320c1764839,108032,1778470,111061,1790586,117119v12116,6058,22464,14556,31046,25494c1830214,153551,1836777,166844,1841321,182494v4543,15649,6815,33066,6815,52249c1848136,256282,1845191,275466,1839301,292293v-5889,16828,-13798,31047,-23726,42658c1805646,346562,1794372,355396,1781751,361454v-12620,6058,-25662,9087,-39124,9087c1731521,370541,1720331,367765,1709057,362212v-11275,-5554,-21792,-13715,-31552,-24485l1675486,337727r-6058,26756l1611373,364483r,-353882xm5745452,4543v10432,,19940,1010,28522,3029c5782556,9591,5789708,11611,5795429,13630r-13630,54521c5772375,64785,5763793,63103,5756053,63103v-9087,,-16154,2776,-21203,8329c5729802,76985,5727278,86156,5727278,98945r,15145l5772207,114090r,58055l5727278,172145r,192338l5653069,364483r,-192338l5619750,172145r,-55026l5653069,114595r,-13630c5653069,87839,5654667,75387,5657864,63608v3198,-11780,8498,-22045,15903,-30795c5681170,24063,5690762,17164,5702542,12115v11779,-5048,26082,-7572,42910,-7572xm2191150,v12789,,23138,3533,31047,10601c2230106,17668,2234060,26924,2234060,38366v,11443,-3954,20782,-11863,28018c2214288,73620,2203939,77238,2191150,77238v-12452,,-22717,-3618,-30794,-10854c2152278,59148,2148240,49809,2148240,38366v,-11442,4038,-20698,12116,-27765c2168433,3533,2178698,,2191150,xe" fillcolor="#ffd400 [3204]" stroked="f" strokeweight="1pt">
                  <v:fill o:detectmouseclick="t"/>
                  <v:stroke joinstyle="miter"/>
                  <v:path arrowok="t"/>
                </v:shape>
                <w10:wrap anchorx="page"/>
              </v:group>
            </w:pict>
          </mc:Fallback>
        </mc:AlternateContent>
      </w:r>
    </w:p>
    <w:p w14:paraId="73083CAD" w14:textId="6C7EAB01" w:rsidR="00190527" w:rsidRPr="00A74D23" w:rsidRDefault="00190527" w:rsidP="009D6EE5">
      <w:pPr>
        <w:spacing w:line="22" w:lineRule="atLeast"/>
        <w:jc w:val="both"/>
        <w:rPr>
          <w:rFonts w:asciiTheme="minorHAnsi" w:hAnsiTheme="minorHAnsi" w:cs="Open Sans"/>
          <w:sz w:val="20"/>
        </w:rPr>
      </w:pPr>
    </w:p>
    <w:p w14:paraId="67F6271F" w14:textId="4E5B4182" w:rsidR="00190527" w:rsidRPr="00A74D23" w:rsidRDefault="00190527" w:rsidP="009D6EE5">
      <w:pPr>
        <w:spacing w:line="22" w:lineRule="atLeast"/>
        <w:jc w:val="both"/>
        <w:rPr>
          <w:rFonts w:asciiTheme="minorHAnsi" w:hAnsiTheme="minorHAnsi" w:cs="Open Sans"/>
          <w:sz w:val="20"/>
        </w:rPr>
      </w:pPr>
    </w:p>
    <w:p w14:paraId="00F5EF59" w14:textId="7D921449" w:rsidR="00190527" w:rsidRPr="00A74D23" w:rsidRDefault="00190527" w:rsidP="009D6EE5">
      <w:pPr>
        <w:spacing w:line="22" w:lineRule="atLeast"/>
        <w:jc w:val="both"/>
        <w:rPr>
          <w:rFonts w:asciiTheme="minorHAnsi" w:hAnsiTheme="minorHAnsi" w:cs="Open Sans"/>
          <w:sz w:val="20"/>
        </w:rPr>
      </w:pPr>
    </w:p>
    <w:p w14:paraId="762F0F9A" w14:textId="35702A85" w:rsidR="00190527" w:rsidRPr="00A74D23" w:rsidRDefault="00190527" w:rsidP="009D6EE5">
      <w:pPr>
        <w:spacing w:line="22" w:lineRule="atLeast"/>
        <w:jc w:val="both"/>
        <w:rPr>
          <w:rFonts w:asciiTheme="minorHAnsi" w:hAnsiTheme="minorHAnsi" w:cs="Open Sans"/>
          <w:sz w:val="20"/>
        </w:rPr>
      </w:pPr>
    </w:p>
    <w:p w14:paraId="080F7DE3" w14:textId="555D3399" w:rsidR="00190527" w:rsidRPr="00A74D23" w:rsidRDefault="00190527" w:rsidP="009D6EE5">
      <w:pPr>
        <w:spacing w:line="22" w:lineRule="atLeast"/>
        <w:jc w:val="both"/>
        <w:rPr>
          <w:rFonts w:asciiTheme="minorHAnsi" w:hAnsiTheme="minorHAnsi" w:cs="Open Sans"/>
          <w:sz w:val="20"/>
        </w:rPr>
      </w:pPr>
    </w:p>
    <w:p w14:paraId="73914F05" w14:textId="5DC018F9" w:rsidR="00190527" w:rsidRPr="00A74D23" w:rsidRDefault="00190527" w:rsidP="009D6EE5">
      <w:pPr>
        <w:spacing w:line="22" w:lineRule="atLeast"/>
        <w:jc w:val="both"/>
        <w:rPr>
          <w:rFonts w:asciiTheme="minorHAnsi" w:hAnsiTheme="minorHAnsi" w:cs="Open Sans"/>
          <w:sz w:val="20"/>
        </w:rPr>
      </w:pPr>
    </w:p>
    <w:p w14:paraId="6A982AF2" w14:textId="47682A2B" w:rsidR="00190527" w:rsidRPr="00A74D23" w:rsidRDefault="00190527" w:rsidP="009D6EE5">
      <w:pPr>
        <w:spacing w:line="22" w:lineRule="atLeast"/>
        <w:jc w:val="both"/>
        <w:rPr>
          <w:rFonts w:asciiTheme="minorHAnsi" w:hAnsiTheme="minorHAnsi" w:cs="Open Sans"/>
          <w:sz w:val="20"/>
        </w:rPr>
      </w:pPr>
    </w:p>
    <w:p w14:paraId="2596579B" w14:textId="0B1AF203" w:rsidR="00190527" w:rsidRPr="00A74D23" w:rsidRDefault="00190527" w:rsidP="009D6EE5">
      <w:pPr>
        <w:spacing w:line="22" w:lineRule="atLeast"/>
        <w:jc w:val="both"/>
        <w:rPr>
          <w:rFonts w:asciiTheme="minorHAnsi" w:hAnsiTheme="minorHAnsi" w:cs="Open Sans"/>
          <w:sz w:val="20"/>
        </w:rPr>
      </w:pPr>
    </w:p>
    <w:p w14:paraId="38BF20C4" w14:textId="6A808E22" w:rsidR="00190527" w:rsidRPr="00A74D23" w:rsidRDefault="00190527" w:rsidP="009D6EE5">
      <w:pPr>
        <w:spacing w:line="22" w:lineRule="atLeast"/>
        <w:jc w:val="both"/>
        <w:rPr>
          <w:rFonts w:asciiTheme="minorHAnsi" w:hAnsiTheme="minorHAnsi" w:cs="Open Sans"/>
          <w:sz w:val="20"/>
        </w:rPr>
      </w:pPr>
    </w:p>
    <w:p w14:paraId="4734E50A" w14:textId="0103749C" w:rsidR="00190527" w:rsidRPr="00A74D23" w:rsidRDefault="00190527" w:rsidP="009D6EE5">
      <w:pPr>
        <w:spacing w:line="22" w:lineRule="atLeast"/>
        <w:jc w:val="both"/>
        <w:rPr>
          <w:rFonts w:asciiTheme="minorHAnsi" w:hAnsiTheme="minorHAnsi" w:cs="Open Sans"/>
          <w:sz w:val="20"/>
        </w:rPr>
      </w:pPr>
    </w:p>
    <w:p w14:paraId="3A0C63AB" w14:textId="172DEA50" w:rsidR="00190527" w:rsidRPr="00A74D23" w:rsidRDefault="00190527" w:rsidP="009D6EE5">
      <w:pPr>
        <w:spacing w:line="22" w:lineRule="atLeast"/>
        <w:jc w:val="both"/>
        <w:rPr>
          <w:rFonts w:asciiTheme="minorHAnsi" w:hAnsiTheme="minorHAnsi" w:cs="Open Sans"/>
          <w:sz w:val="20"/>
        </w:rPr>
      </w:pPr>
    </w:p>
    <w:p w14:paraId="44513AC5" w14:textId="2D1A3DFA" w:rsidR="00190527" w:rsidRPr="00A74D23" w:rsidRDefault="00190527" w:rsidP="009D6EE5">
      <w:pPr>
        <w:spacing w:line="22" w:lineRule="atLeast"/>
        <w:jc w:val="both"/>
        <w:rPr>
          <w:rFonts w:asciiTheme="minorHAnsi" w:hAnsiTheme="minorHAnsi" w:cs="Open Sans"/>
          <w:sz w:val="20"/>
        </w:rPr>
      </w:pPr>
    </w:p>
    <w:sectPr w:rsidR="00190527" w:rsidRPr="00A74D23" w:rsidSect="00C90A08">
      <w:pgSz w:w="11906" w:h="16838"/>
      <w:pgMar w:top="1418" w:right="991" w:bottom="1418" w:left="993" w:header="397"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E874A4" w14:textId="77777777" w:rsidR="00947814" w:rsidRDefault="00947814" w:rsidP="00315947">
      <w:r>
        <w:separator/>
      </w:r>
    </w:p>
    <w:p w14:paraId="59CFC4BE" w14:textId="77777777" w:rsidR="00947814" w:rsidRDefault="00947814"/>
  </w:endnote>
  <w:endnote w:type="continuationSeparator" w:id="0">
    <w:p w14:paraId="40680FFD" w14:textId="77777777" w:rsidR="00947814" w:rsidRDefault="00947814" w:rsidP="00315947">
      <w:r>
        <w:continuationSeparator/>
      </w:r>
    </w:p>
    <w:p w14:paraId="733A4595" w14:textId="77777777" w:rsidR="00947814" w:rsidRDefault="00947814"/>
  </w:endnote>
  <w:endnote w:type="continuationNotice" w:id="1">
    <w:p w14:paraId="2CAB2FFA" w14:textId="77777777" w:rsidR="00947814" w:rsidRDefault="0094781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urce Sans Pro">
    <w:charset w:val="00"/>
    <w:family w:val="swiss"/>
    <w:pitch w:val="variable"/>
    <w:sig w:usb0="600002F7" w:usb1="02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Montserrat ExtraBold">
    <w:charset w:val="00"/>
    <w:family w:val="auto"/>
    <w:pitch w:val="variable"/>
    <w:sig w:usb0="2000020F" w:usb1="00000003" w:usb2="00000000" w:usb3="00000000" w:csb0="00000197"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MS Mincho">
    <w:panose1 w:val="02020609040205080304"/>
    <w:charset w:val="80"/>
    <w:family w:val="modern"/>
    <w:pitch w:val="fixed"/>
    <w:sig w:usb0="E00002FF" w:usb1="6AC7FDFB" w:usb2="08000012" w:usb3="00000000" w:csb0="0002009F" w:csb1="00000000"/>
  </w:font>
  <w:font w:name="FrutigerLTStd-Light">
    <w:altName w:val="Cambria"/>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Prompt Medium">
    <w:charset w:val="DE"/>
    <w:family w:val="auto"/>
    <w:pitch w:val="variable"/>
    <w:sig w:usb0="21000007" w:usb1="00000001" w:usb2="00000000" w:usb3="00000000" w:csb0="00010193" w:csb1="00000000"/>
  </w:font>
  <w:font w:name="Prompt Light">
    <w:charset w:val="DE"/>
    <w:family w:val="auto"/>
    <w:pitch w:val="variable"/>
    <w:sig w:usb0="21000007" w:usb1="00000001" w:usb2="00000000" w:usb3="00000000" w:csb0="00010193" w:csb1="00000000"/>
  </w:font>
  <w:font w:name="Prompt">
    <w:charset w:val="DE"/>
    <w:family w:val="auto"/>
    <w:pitch w:val="variable"/>
    <w:sig w:usb0="21000007" w:usb1="00000001" w:usb2="00000000" w:usb3="00000000" w:csb0="0001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A8A039" w14:textId="6D58F60F" w:rsidR="00875F93" w:rsidRDefault="00875F93" w:rsidP="000C0896">
    <w:pPr>
      <w:pStyle w:val="Pieddepage"/>
      <w:jc w:val="right"/>
    </w:pPr>
    <w:r>
      <w:rPr>
        <w:color w:val="2B579A"/>
        <w:shd w:val="clear" w:color="auto" w:fill="E6E6E6"/>
      </w:rPr>
      <w:fldChar w:fldCharType="begin"/>
    </w:r>
    <w:r>
      <w:instrText>PAGE   \* MERGEFORMAT</w:instrText>
    </w:r>
    <w:r>
      <w:rPr>
        <w:color w:val="2B579A"/>
        <w:shd w:val="clear" w:color="auto" w:fill="E6E6E6"/>
      </w:rPr>
      <w:fldChar w:fldCharType="separate"/>
    </w:r>
    <w:r>
      <w:rPr>
        <w:noProof/>
      </w:rPr>
      <w:t>82</w:t>
    </w:r>
    <w:r>
      <w:rPr>
        <w:color w:val="2B579A"/>
        <w:shd w:val="clear" w:color="auto" w:fill="E6E6E6"/>
      </w:rPr>
      <w:fldChar w:fldCharType="end"/>
    </w:r>
  </w:p>
  <w:p w14:paraId="621791CE" w14:textId="59F95858" w:rsidR="00875F93" w:rsidRDefault="00875F93" w:rsidP="009B6922">
    <w:pPr>
      <w:pStyle w:val="Pieddepage"/>
      <w:jc w:val="center"/>
    </w:pPr>
    <w:bookmarkStart w:id="119" w:name="TITUS10FooterEvenPages"/>
    <w:r w:rsidRPr="002205CD">
      <w:rPr>
        <w:rFonts w:ascii="Arial" w:hAnsi="Arial" w:cs="Arial"/>
        <w:color w:val="000000"/>
        <w:sz w:val="20"/>
      </w:rPr>
      <w:t xml:space="preserve">Classification: </w:t>
    </w:r>
    <w:r w:rsidRPr="002205CD">
      <w:rPr>
        <w:rFonts w:ascii="Arial" w:hAnsi="Arial" w:cs="Arial"/>
        <w:color w:val="003DA5"/>
        <w:sz w:val="20"/>
      </w:rPr>
      <w:t>Interne</w:t>
    </w:r>
  </w:p>
  <w:bookmarkEnd w:id="119"/>
  <w:p w14:paraId="0B519634" w14:textId="77777777" w:rsidR="00875F93" w:rsidRDefault="00875F93" w:rsidP="000C0896">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31920674"/>
      <w:docPartObj>
        <w:docPartGallery w:val="Page Numbers (Bottom of Page)"/>
        <w:docPartUnique/>
      </w:docPartObj>
    </w:sdtPr>
    <w:sdtEndPr>
      <w:rPr>
        <w:sz w:val="16"/>
        <w:szCs w:val="16"/>
      </w:rPr>
    </w:sdtEndPr>
    <w:sdtContent>
      <w:p w14:paraId="02F989C8" w14:textId="709D1F88" w:rsidR="00466776" w:rsidRPr="00B4565C" w:rsidRDefault="00466776">
        <w:pPr>
          <w:pStyle w:val="Pieddepage"/>
          <w:jc w:val="right"/>
          <w:rPr>
            <w:sz w:val="16"/>
            <w:szCs w:val="16"/>
          </w:rPr>
        </w:pPr>
        <w:r w:rsidRPr="00B4565C">
          <w:rPr>
            <w:sz w:val="16"/>
            <w:szCs w:val="16"/>
          </w:rPr>
          <w:fldChar w:fldCharType="begin"/>
        </w:r>
        <w:r w:rsidRPr="00B4565C">
          <w:rPr>
            <w:sz w:val="16"/>
            <w:szCs w:val="16"/>
          </w:rPr>
          <w:instrText>PAGE   \* MERGEFORMAT</w:instrText>
        </w:r>
        <w:r w:rsidRPr="00B4565C">
          <w:rPr>
            <w:sz w:val="16"/>
            <w:szCs w:val="16"/>
          </w:rPr>
          <w:fldChar w:fldCharType="separate"/>
        </w:r>
        <w:r w:rsidRPr="00B4565C">
          <w:rPr>
            <w:sz w:val="16"/>
            <w:szCs w:val="16"/>
          </w:rPr>
          <w:t>2</w:t>
        </w:r>
        <w:r w:rsidRPr="00B4565C">
          <w:rPr>
            <w:sz w:val="16"/>
            <w:szCs w:val="16"/>
          </w:rPr>
          <w:fldChar w:fldCharType="end"/>
        </w:r>
      </w:p>
    </w:sdtContent>
  </w:sdt>
  <w:p w14:paraId="177A29EC" w14:textId="35912379" w:rsidR="00875F93" w:rsidRPr="009508AF" w:rsidRDefault="00302DFF" w:rsidP="00302DFF">
    <w:pPr>
      <w:pStyle w:val="Pieddepage"/>
      <w:rPr>
        <w:sz w:val="16"/>
        <w:szCs w:val="16"/>
      </w:rPr>
    </w:pPr>
    <w:r w:rsidRPr="00302DFF">
      <w:rPr>
        <w:sz w:val="16"/>
        <w:szCs w:val="16"/>
      </w:rPr>
      <w:t>40719-0626</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okmarkStart w:id="120" w:name="TITUS10FooterFirstPage"/>
  <w:p w14:paraId="66832792" w14:textId="1FB44053" w:rsidR="00875F93" w:rsidRDefault="00534D58" w:rsidP="009B6922">
    <w:pPr>
      <w:pStyle w:val="Pieddepage"/>
      <w:jc w:val="center"/>
    </w:pPr>
    <w:r>
      <w:rPr>
        <w:noProof/>
      </w:rPr>
      <mc:AlternateContent>
        <mc:Choice Requires="wps">
          <w:drawing>
            <wp:anchor distT="0" distB="0" distL="114300" distR="114300" simplePos="0" relativeHeight="251661312" behindDoc="0" locked="0" layoutInCell="0" allowOverlap="1" wp14:anchorId="6114656D" wp14:editId="0DB02084">
              <wp:simplePos x="0" y="0"/>
              <wp:positionH relativeFrom="page">
                <wp:align>left</wp:align>
              </wp:positionH>
              <wp:positionV relativeFrom="page">
                <wp:align>bottom</wp:align>
              </wp:positionV>
              <wp:extent cx="7772400" cy="463550"/>
              <wp:effectExtent l="0" t="0" r="0" b="12700"/>
              <wp:wrapNone/>
              <wp:docPr id="23" name="MSIPCMaa8e4484a344045955c8ee61" descr="{&quot;HashCode&quot;:-915035168,&quot;Height&quot;:9999999.0,&quot;Width&quot;:9999999.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D1D90A8" w14:textId="2202594F" w:rsidR="00534D58" w:rsidRPr="001627A7" w:rsidRDefault="001627A7" w:rsidP="001627A7">
                          <w:pPr>
                            <w:rPr>
                              <w:rFonts w:ascii="Calibri" w:hAnsi="Calibri" w:cs="Calibri"/>
                              <w:color w:val="0000FF"/>
                              <w:sz w:val="16"/>
                            </w:rPr>
                          </w:pPr>
                          <w:r w:rsidRPr="001627A7">
                            <w:rPr>
                              <w:rFonts w:ascii="Calibri" w:hAnsi="Calibri" w:cs="Calibri"/>
                              <w:color w:val="0000FF"/>
                              <w:sz w:val="16"/>
                            </w:rPr>
                            <w:t>Classification : Interne</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6114656D" id="_x0000_t202" coordsize="21600,21600" o:spt="202" path="m,l,21600r21600,l21600,xe">
              <v:stroke joinstyle="miter"/>
              <v:path gradientshapeok="t" o:connecttype="rect"/>
            </v:shapetype>
            <v:shape id="MSIPCMaa8e4484a344045955c8ee61" o:spid="_x0000_s1189" type="#_x0000_t202" alt="{&quot;HashCode&quot;:-915035168,&quot;Height&quot;:9999999.0,&quot;Width&quot;:9999999.0,&quot;Placement&quot;:&quot;Footer&quot;,&quot;Index&quot;:&quot;FirstPage&quot;,&quot;Section&quot;:1,&quot;Top&quot;:0.0,&quot;Left&quot;:0.0}" style="position:absolute;left:0;text-align:left;margin-left:0;margin-top:0;width:612pt;height:36.5pt;z-index:251661312;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" o:allowincell="f" filled="f" stroked="f" strokeweight=".5pt">
              <v:textbox inset="20pt,0,,0">
                <w:txbxContent>
                  <w:p w14:paraId="6D1D90A8" w14:textId="2202594F" w:rsidR="00534D58" w:rsidRPr="001627A7" w:rsidRDefault="001627A7" w:rsidP="001627A7">
                    <w:pPr>
                      <w:rPr>
                        <w:rFonts w:ascii="Calibri" w:hAnsi="Calibri" w:cs="Calibri"/>
                        <w:color w:val="0000FF"/>
                        <w:sz w:val="16"/>
                      </w:rPr>
                    </w:pPr>
                    <w:r w:rsidRPr="001627A7">
                      <w:rPr>
                        <w:rFonts w:ascii="Calibri" w:hAnsi="Calibri" w:cs="Calibri"/>
                        <w:color w:val="0000FF"/>
                        <w:sz w:val="16"/>
                      </w:rPr>
                      <w:t>Classification : Interne</w:t>
                    </w:r>
                  </w:p>
                </w:txbxContent>
              </v:textbox>
              <w10:wrap anchorx="page" anchory="page"/>
            </v:shape>
          </w:pict>
        </mc:Fallback>
      </mc:AlternateContent>
    </w:r>
  </w:p>
  <w:bookmarkEnd w:id="120"/>
  <w:p w14:paraId="40ABD0A8" w14:textId="77777777" w:rsidR="00875F93" w:rsidRDefault="00875F93" w:rsidP="000C0896">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307A81" w14:textId="77777777" w:rsidR="00947814" w:rsidRDefault="00947814" w:rsidP="00315947">
      <w:r>
        <w:separator/>
      </w:r>
    </w:p>
    <w:p w14:paraId="19D8A379" w14:textId="77777777" w:rsidR="00947814" w:rsidRDefault="00947814"/>
  </w:footnote>
  <w:footnote w:type="continuationSeparator" w:id="0">
    <w:p w14:paraId="61C54B57" w14:textId="77777777" w:rsidR="00947814" w:rsidRDefault="00947814" w:rsidP="00315947">
      <w:r>
        <w:continuationSeparator/>
      </w:r>
    </w:p>
    <w:p w14:paraId="68E82716" w14:textId="77777777" w:rsidR="00947814" w:rsidRDefault="00947814"/>
  </w:footnote>
  <w:footnote w:type="continuationNotice" w:id="1">
    <w:p w14:paraId="37A1679B" w14:textId="77777777" w:rsidR="00947814" w:rsidRDefault="00947814"/>
  </w:footnote>
  <w:footnote w:id="2">
    <w:p w14:paraId="4AE562BE" w14:textId="77777777" w:rsidR="002B6D56" w:rsidRDefault="002B6D56" w:rsidP="002B6D56">
      <w:pPr>
        <w:pStyle w:val="Notedebasdepage"/>
      </w:pPr>
      <w:r>
        <w:rPr>
          <w:rStyle w:val="Appelnotedebasdep"/>
        </w:rPr>
        <w:footnoteRef/>
      </w:r>
      <w:r>
        <w:t xml:space="preserve"> Voir les annexes pour plus d’informations méthodologiques sur l’indicateur ITR</w:t>
      </w:r>
    </w:p>
  </w:footnote>
  <w:footnote w:id="3">
    <w:p w14:paraId="0404446F" w14:textId="77777777" w:rsidR="00743B58" w:rsidRPr="003258BD" w:rsidRDefault="00743B58" w:rsidP="00743B58">
      <w:pPr>
        <w:pStyle w:val="Notedebasdepage"/>
        <w:jc w:val="both"/>
        <w:rPr>
          <w:rFonts w:ascii="Source Sans Pro" w:hAnsi="Source Sans Pro"/>
          <w:sz w:val="16"/>
          <w:szCs w:val="16"/>
        </w:rPr>
      </w:pPr>
      <w:r w:rsidRPr="003258BD">
        <w:rPr>
          <w:rStyle w:val="Appelnotedebasdep"/>
          <w:rFonts w:ascii="Source Sans Pro" w:hAnsi="Source Sans Pro"/>
          <w:sz w:val="16"/>
          <w:szCs w:val="16"/>
        </w:rPr>
        <w:footnoteRef/>
      </w:r>
      <w:r w:rsidRPr="003258BD">
        <w:rPr>
          <w:rFonts w:ascii="Source Sans Pro" w:hAnsi="Source Sans Pro"/>
          <w:sz w:val="16"/>
          <w:szCs w:val="16"/>
        </w:rPr>
        <w:t xml:space="preserve"> Davantage d’informations relatives aux fournisseurs de données externes peuvent être trouvées dans la partie traitant des moyens que déploie Abeille Assurances pour l’intégration des critères de durabilité.</w:t>
      </w:r>
    </w:p>
  </w:footnote>
  <w:footnote w:id="4">
    <w:p w14:paraId="4D04F066" w14:textId="77777777" w:rsidR="00111800" w:rsidRPr="0077789D" w:rsidRDefault="00111800">
      <w:pPr>
        <w:rPr>
          <w:lang w:val="fr-FR"/>
        </w:rPr>
      </w:pPr>
    </w:p>
  </w:footnote>
  <w:footnote w:id="5">
    <w:p w14:paraId="7FD0BB92" w14:textId="77777777" w:rsidR="00AD238F" w:rsidRDefault="00AD238F" w:rsidP="00AD238F">
      <w:pPr>
        <w:pStyle w:val="Notedebasdepage"/>
      </w:pPr>
      <w:r w:rsidRPr="00615552">
        <w:rPr>
          <w:rStyle w:val="Appelnotedebasdep"/>
          <w:sz w:val="16"/>
          <w:szCs w:val="16"/>
        </w:rPr>
        <w:footnoteRef/>
      </w:r>
      <w:r w:rsidRPr="00615552">
        <w:rPr>
          <w:sz w:val="16"/>
          <w:szCs w:val="16"/>
        </w:rPr>
        <w:t xml:space="preserve"> </w:t>
      </w:r>
      <w:hyperlink r:id="rId1" w:history="1">
        <w:r w:rsidRPr="00615552">
          <w:rPr>
            <w:rStyle w:val="Lienhypertexte"/>
            <w:color w:val="auto"/>
            <w:sz w:val="16"/>
            <w:szCs w:val="16"/>
          </w:rPr>
          <w:t>Définition de la finance à impact – Institut de la Finance Durable</w:t>
        </w:r>
      </w:hyperlink>
    </w:p>
  </w:footnote>
  <w:footnote w:id="6">
    <w:p w14:paraId="744524D6" w14:textId="77777777" w:rsidR="00B93C3B" w:rsidRPr="00EB1C49" w:rsidRDefault="00B93C3B" w:rsidP="00B93C3B">
      <w:pPr>
        <w:pStyle w:val="Notedebasdepage"/>
        <w:rPr>
          <w:rFonts w:cs="Prompt Light"/>
          <w:sz w:val="16"/>
          <w:szCs w:val="16"/>
        </w:rPr>
      </w:pPr>
      <w:r w:rsidRPr="00EB1C49">
        <w:rPr>
          <w:rStyle w:val="Appelnotedebasdep"/>
        </w:rPr>
        <w:footnoteRef/>
      </w:r>
      <w:r w:rsidRPr="00EB1C49">
        <w:t xml:space="preserve"> </w:t>
      </w:r>
      <w:r w:rsidRPr="00EB1C49">
        <w:rPr>
          <w:rFonts w:cs="Prompt Light"/>
          <w:sz w:val="16"/>
          <w:szCs w:val="16"/>
        </w:rPr>
        <w:t>Dédiés à temps plein exclusivement à la mise en œuvre de notre stratégie en termes de finance durable.</w:t>
      </w:r>
    </w:p>
  </w:footnote>
  <w:footnote w:id="7">
    <w:p w14:paraId="1BA31649" w14:textId="5C286334" w:rsidR="00B93C3B" w:rsidRPr="0031587D" w:rsidRDefault="00B93C3B" w:rsidP="00B93C3B">
      <w:pPr>
        <w:pStyle w:val="Notedebasdepage"/>
        <w:rPr>
          <w:rFonts w:ascii="Prompt Light" w:hAnsi="Prompt Light" w:cs="Prompt Light"/>
          <w:sz w:val="16"/>
          <w:szCs w:val="16"/>
          <w:lang w:val="en-GB"/>
        </w:rPr>
      </w:pPr>
      <w:r w:rsidRPr="00EB1C49">
        <w:rPr>
          <w:rStyle w:val="Appelnotedebasdep"/>
        </w:rPr>
        <w:footnoteRef/>
      </w:r>
      <w:r w:rsidRPr="00EB1C49">
        <w:rPr>
          <w:lang w:val="en-GB"/>
        </w:rPr>
        <w:t xml:space="preserve"> </w:t>
      </w:r>
      <w:hyperlink r:id="rId2" w:history="1">
        <w:r w:rsidRPr="007A7839">
          <w:rPr>
            <w:rStyle w:val="Lienhypertexte"/>
            <w:rFonts w:cs="Prompt Light"/>
            <w:sz w:val="16"/>
            <w:szCs w:val="16"/>
            <w:lang w:val="en-GB"/>
          </w:rPr>
          <w:t>Corporate Sustainability Reporting Directive UE 2022/2464</w:t>
        </w:r>
      </w:hyperlink>
    </w:p>
  </w:footnote>
  <w:footnote w:id="8">
    <w:p w14:paraId="4DBC3239" w14:textId="77777777" w:rsidR="00AE78F1" w:rsidRDefault="00AE78F1" w:rsidP="00AE78F1">
      <w:pPr>
        <w:pStyle w:val="Notedebasdepage"/>
      </w:pPr>
      <w:r>
        <w:rPr>
          <w:rStyle w:val="Appelnotedebasdep"/>
        </w:rPr>
        <w:footnoteRef/>
      </w:r>
      <w:r>
        <w:t xml:space="preserve"> Source : meteo france</w:t>
      </w:r>
    </w:p>
  </w:footnote>
  <w:footnote w:id="9">
    <w:p w14:paraId="7C2B7940" w14:textId="77777777" w:rsidR="00A735A9" w:rsidRDefault="00A735A9" w:rsidP="00A735A9">
      <w:pPr>
        <w:pStyle w:val="Notedebasdepage"/>
      </w:pPr>
      <w:r>
        <w:rPr>
          <w:rStyle w:val="Appelnotedebasdep"/>
        </w:rPr>
        <w:footnoteRef/>
      </w:r>
      <w:r>
        <w:t xml:space="preserve"> Détaillé dans la sous-partie 4</w:t>
      </w:r>
    </w:p>
  </w:footnote>
  <w:footnote w:id="10">
    <w:p w14:paraId="73818283" w14:textId="77777777" w:rsidR="0057408C" w:rsidRPr="00A1363F" w:rsidRDefault="0057408C" w:rsidP="0057408C">
      <w:pPr>
        <w:pStyle w:val="Notedebasdepage"/>
        <w:rPr>
          <w:rFonts w:ascii="Source Sans Pro" w:hAnsi="Source Sans Pro"/>
          <w:sz w:val="18"/>
          <w:szCs w:val="18"/>
        </w:rPr>
      </w:pPr>
      <w:r w:rsidRPr="00A1363F">
        <w:rPr>
          <w:rStyle w:val="Appelnotedebasdep"/>
          <w:rFonts w:ascii="Source Sans Pro" w:hAnsi="Source Sans Pro"/>
          <w:sz w:val="18"/>
          <w:szCs w:val="18"/>
        </w:rPr>
        <w:footnoteRef/>
      </w:r>
      <w:r w:rsidRPr="00A1363F">
        <w:rPr>
          <w:rFonts w:ascii="Source Sans Pro" w:hAnsi="Source Sans Pro"/>
          <w:sz w:val="18"/>
          <w:szCs w:val="18"/>
        </w:rPr>
        <w:t xml:space="preserve"> Ces exclusions seront définies à partir des données de la liste GCEL publiée par l’ONG Urgewald et mises à jour annuellement</w:t>
      </w:r>
    </w:p>
  </w:footnote>
  <w:footnote w:id="11">
    <w:p w14:paraId="4A78C22B" w14:textId="77777777" w:rsidR="0057408C" w:rsidRPr="00A1363F" w:rsidRDefault="0057408C" w:rsidP="0057408C">
      <w:pPr>
        <w:pStyle w:val="Notedebasdepage"/>
        <w:rPr>
          <w:rFonts w:ascii="Source Sans Pro" w:hAnsi="Source Sans Pro"/>
          <w:sz w:val="18"/>
          <w:szCs w:val="18"/>
        </w:rPr>
      </w:pPr>
      <w:r w:rsidRPr="00A1363F">
        <w:rPr>
          <w:rStyle w:val="Appelnotedebasdep"/>
          <w:rFonts w:ascii="Source Sans Pro" w:hAnsi="Source Sans Pro"/>
          <w:sz w:val="18"/>
          <w:szCs w:val="18"/>
        </w:rPr>
        <w:footnoteRef/>
      </w:r>
      <w:r w:rsidRPr="00A1363F">
        <w:rPr>
          <w:rFonts w:ascii="Source Sans Pro" w:hAnsi="Source Sans Pro"/>
          <w:sz w:val="18"/>
          <w:szCs w:val="18"/>
        </w:rPr>
        <w:t xml:space="preserve"> Ces filtres d’exclusions seront définis à partir des données fournies par l’agence de notation extra-financière MSCI.</w:t>
      </w:r>
    </w:p>
  </w:footnote>
  <w:footnote w:id="12">
    <w:p w14:paraId="15BDB8BA" w14:textId="77777777" w:rsidR="0057408C" w:rsidRPr="00A1363F" w:rsidRDefault="0057408C" w:rsidP="0057408C">
      <w:pPr>
        <w:pStyle w:val="Notedebasdepage"/>
        <w:rPr>
          <w:sz w:val="18"/>
          <w:szCs w:val="18"/>
        </w:rPr>
      </w:pPr>
      <w:r w:rsidRPr="00A1363F">
        <w:rPr>
          <w:rStyle w:val="Appelnotedebasdep"/>
          <w:rFonts w:ascii="Source Sans Pro" w:hAnsi="Source Sans Pro"/>
          <w:sz w:val="18"/>
          <w:szCs w:val="18"/>
        </w:rPr>
        <w:footnoteRef/>
      </w:r>
      <w:r w:rsidRPr="00A1363F">
        <w:rPr>
          <w:rFonts w:ascii="Source Sans Pro" w:hAnsi="Source Sans Pro"/>
          <w:sz w:val="18"/>
          <w:szCs w:val="18"/>
        </w:rPr>
        <w:t xml:space="preserve"> L’exclusion prendra effet à partir de la publication, par un émetteur, d’une décision finale d’investissement (« Final Investment decision</w:t>
      </w:r>
      <w:r>
        <w:rPr>
          <w:rFonts w:ascii="Source Sans Pro" w:hAnsi="Source Sans Pro"/>
          <w:sz w:val="18"/>
          <w:szCs w:val="18"/>
        </w:rPr>
        <w:t xml:space="preserve"> </w:t>
      </w:r>
      <w:r w:rsidRPr="00A1363F">
        <w:rPr>
          <w:rFonts w:ascii="Source Sans Pro" w:hAnsi="Source Sans Pro"/>
          <w:sz w:val="18"/>
          <w:szCs w:val="18"/>
        </w:rPr>
        <w:t>») concernant un projet de nouveau champ d’exploitation pétro-gazier ou d’extension d’un champ existant dans la zone Arctique</w:t>
      </w:r>
    </w:p>
  </w:footnote>
  <w:footnote w:id="13">
    <w:p w14:paraId="4BC7F085" w14:textId="0C1F1C85" w:rsidR="0087644E" w:rsidRPr="00BF7244" w:rsidRDefault="0087644E">
      <w:pPr>
        <w:pStyle w:val="Notedebasdepage"/>
        <w:rPr>
          <w:rFonts w:ascii="Source Sans Pro" w:hAnsi="Source Sans Pro"/>
          <w:sz w:val="16"/>
          <w:szCs w:val="16"/>
        </w:rPr>
      </w:pPr>
      <w:r w:rsidRPr="00BF7244">
        <w:rPr>
          <w:rStyle w:val="Appelnotedebasdep"/>
          <w:rFonts w:ascii="Source Sans Pro" w:hAnsi="Source Sans Pro"/>
          <w:sz w:val="16"/>
          <w:szCs w:val="16"/>
        </w:rPr>
        <w:footnoteRef/>
      </w:r>
      <w:r w:rsidRPr="00BF7244">
        <w:rPr>
          <w:rFonts w:ascii="Source Sans Pro" w:hAnsi="Source Sans Pro"/>
          <w:sz w:val="16"/>
          <w:szCs w:val="16"/>
        </w:rPr>
        <w:t xml:space="preserve"> 15e Conférence des Parties (COP 15) à la Convention sur la diversité biologique</w:t>
      </w:r>
    </w:p>
  </w:footnote>
  <w:footnote w:id="14">
    <w:p w14:paraId="3B872D40" w14:textId="77777777" w:rsidR="001C50AC" w:rsidRPr="00523B9E" w:rsidRDefault="001C50AC" w:rsidP="001C50AC">
      <w:pPr>
        <w:pStyle w:val="Notedebasdepage"/>
        <w:rPr>
          <w:rFonts w:ascii="Source Sans Pro" w:hAnsi="Source Sans Pro"/>
        </w:rPr>
      </w:pPr>
      <w:r w:rsidRPr="00B40176">
        <w:rPr>
          <w:rStyle w:val="Appelnotedebasdep"/>
          <w:rFonts w:ascii="Source Sans Pro" w:hAnsi="Source Sans Pro"/>
          <w:sz w:val="16"/>
          <w:szCs w:val="16"/>
        </w:rPr>
        <w:footnoteRef/>
      </w:r>
      <w:r w:rsidRPr="00B40176">
        <w:rPr>
          <w:rFonts w:ascii="Source Sans Pro" w:hAnsi="Source Sans Pro"/>
          <w:sz w:val="16"/>
          <w:szCs w:val="16"/>
        </w:rPr>
        <w:t xml:space="preserve"> RSPO : Responsibly sourced palm oil (huile de palme sourcée de façon responsable)</w:t>
      </w:r>
    </w:p>
  </w:footnote>
  <w:footnote w:id="15">
    <w:p w14:paraId="3B24EEBD" w14:textId="77777777" w:rsidR="00B578FA" w:rsidRPr="00B40176" w:rsidRDefault="00B578FA" w:rsidP="00B578FA">
      <w:pPr>
        <w:pStyle w:val="Notedebasdepage"/>
        <w:ind w:left="142" w:hanging="142"/>
        <w:rPr>
          <w:rFonts w:ascii="Source Sans Pro" w:hAnsi="Source Sans Pro"/>
          <w:sz w:val="16"/>
          <w:szCs w:val="16"/>
        </w:rPr>
      </w:pPr>
      <w:r w:rsidRPr="00B40176">
        <w:rPr>
          <w:rStyle w:val="Appelnotedebasdep"/>
          <w:rFonts w:ascii="Source Sans Pro" w:hAnsi="Source Sans Pro"/>
          <w:sz w:val="16"/>
          <w:szCs w:val="16"/>
        </w:rPr>
        <w:footnoteRef/>
      </w:r>
      <w:r w:rsidRPr="00B40176">
        <w:rPr>
          <w:rFonts w:ascii="Source Sans Pro" w:hAnsi="Source Sans Pro"/>
          <w:sz w:val="16"/>
          <w:szCs w:val="16"/>
        </w:rPr>
        <w:t xml:space="preserve"> </w:t>
      </w:r>
      <w:hyperlink r:id="rId3" w:history="1">
        <w:r w:rsidRPr="00B40176">
          <w:rPr>
            <w:rFonts w:ascii="Source Sans Pro" w:hAnsi="Source Sans Pro"/>
            <w:sz w:val="16"/>
            <w:szCs w:val="16"/>
          </w:rPr>
          <w:t>www.unpri.org</w:t>
        </w:r>
      </w:hyperlink>
      <w:r w:rsidRPr="00B40176">
        <w:rPr>
          <w:rFonts w:ascii="Source Sans Pro" w:hAnsi="Source Sans Pro"/>
          <w:sz w:val="16"/>
          <w:szCs w:val="16"/>
        </w:rPr>
        <w:t>: les UN PRI incitent les investisseurs à prendre en compte les questions environnementale, sociale et de gouvernance dans leurs gestions d'actifs financiers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287887" w14:textId="77777777" w:rsidR="00875F93" w:rsidRDefault="00875F93" w:rsidP="000C0896">
    <w:pPr>
      <w:pStyle w:val="En-tte"/>
    </w:pPr>
    <w:r w:rsidRPr="000A695D">
      <w:rPr>
        <w:rFonts w:ascii="Source Sans Pro" w:hAnsi="Source Sans Pro"/>
        <w:noProof/>
        <w:color w:val="2B579A"/>
        <w:shd w:val="clear" w:color="auto" w:fill="E6E6E6"/>
        <w:lang w:eastAsia="fr-FR"/>
      </w:rPr>
      <w:drawing>
        <wp:anchor distT="0" distB="0" distL="114300" distR="114300" simplePos="0" relativeHeight="251659264" behindDoc="0" locked="0" layoutInCell="1" allowOverlap="1" wp14:anchorId="4AA4986D" wp14:editId="283A5071">
          <wp:simplePos x="0" y="0"/>
          <wp:positionH relativeFrom="column">
            <wp:posOffset>5532120</wp:posOffset>
          </wp:positionH>
          <wp:positionV relativeFrom="paragraph">
            <wp:posOffset>-106680</wp:posOffset>
          </wp:positionV>
          <wp:extent cx="436245" cy="313690"/>
          <wp:effectExtent l="0" t="0" r="1905" b="0"/>
          <wp:wrapSquare wrapText="bothSides"/>
          <wp:docPr id="309430690" name="Image 309430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36245" cy="31369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36784A" w14:textId="3AA4047B" w:rsidR="00875F93" w:rsidRDefault="00CB5D61" w:rsidP="002E1939">
    <w:pPr>
      <w:pStyle w:val="En-tte"/>
      <w:jc w:val="right"/>
    </w:pPr>
    <w:r w:rsidRPr="001C0930">
      <w:rPr>
        <w:noProof/>
      </w:rPr>
      <mc:AlternateContent>
        <mc:Choice Requires="wpg">
          <w:drawing>
            <wp:anchor distT="0" distB="0" distL="114300" distR="114300" simplePos="0" relativeHeight="251657216" behindDoc="0" locked="0" layoutInCell="1" allowOverlap="1" wp14:anchorId="414CA9A4" wp14:editId="602CCB7A">
              <wp:simplePos x="0" y="0"/>
              <wp:positionH relativeFrom="margin">
                <wp:align>left</wp:align>
              </wp:positionH>
              <wp:positionV relativeFrom="topMargin">
                <wp:posOffset>173439</wp:posOffset>
              </wp:positionV>
              <wp:extent cx="6130800" cy="478800"/>
              <wp:effectExtent l="0" t="0" r="3810" b="0"/>
              <wp:wrapNone/>
              <wp:docPr id="213" name="Groupe 95"/>
              <wp:cNvGraphicFramePr/>
              <a:graphic xmlns:a="http://schemas.openxmlformats.org/drawingml/2006/main">
                <a:graphicData uri="http://schemas.microsoft.com/office/word/2010/wordprocessingGroup">
                  <wpg:wgp>
                    <wpg:cNvGrpSpPr/>
                    <wpg:grpSpPr>
                      <a:xfrm>
                        <a:off x="0" y="0"/>
                        <a:ext cx="6130800" cy="478800"/>
                        <a:chOff x="0" y="0"/>
                        <a:chExt cx="6131609" cy="480031"/>
                      </a:xfrm>
                    </wpg:grpSpPr>
                    <wpg:grpSp>
                      <wpg:cNvPr id="214" name="Groupe 214"/>
                      <wpg:cNvGrpSpPr>
                        <a:grpSpLocks noChangeAspect="1"/>
                      </wpg:cNvGrpSpPr>
                      <wpg:grpSpPr>
                        <a:xfrm>
                          <a:off x="4816768" y="0"/>
                          <a:ext cx="1314841" cy="463478"/>
                          <a:chOff x="4816772" y="0"/>
                          <a:chExt cx="2452687" cy="864565"/>
                        </a:xfrm>
                      </wpg:grpSpPr>
                      <wps:wsp>
                        <wps:cNvPr id="215" name="Freeform 5"/>
                        <wps:cNvSpPr>
                          <a:spLocks/>
                        </wps:cNvSpPr>
                        <wps:spPr bwMode="auto">
                          <a:xfrm>
                            <a:off x="6628755" y="0"/>
                            <a:ext cx="640704" cy="431253"/>
                          </a:xfrm>
                          <a:custGeom>
                            <a:avLst/>
                            <a:gdLst>
                              <a:gd name="T0" fmla="*/ 1862 w 1877"/>
                              <a:gd name="T1" fmla="*/ 460 h 1262"/>
                              <a:gd name="T2" fmla="*/ 1821 w 1877"/>
                              <a:gd name="T3" fmla="*/ 397 h 1262"/>
                              <a:gd name="T4" fmla="*/ 1791 w 1877"/>
                              <a:gd name="T5" fmla="*/ 205 h 1262"/>
                              <a:gd name="T6" fmla="*/ 1631 w 1877"/>
                              <a:gd name="T7" fmla="*/ 103 h 1262"/>
                              <a:gd name="T8" fmla="*/ 1575 w 1877"/>
                              <a:gd name="T9" fmla="*/ 27 h 1262"/>
                              <a:gd name="T10" fmla="*/ 1506 w 1877"/>
                              <a:gd name="T11" fmla="*/ 16 h 1262"/>
                              <a:gd name="T12" fmla="*/ 1495 w 1877"/>
                              <a:gd name="T13" fmla="*/ 85 h 1262"/>
                              <a:gd name="T14" fmla="*/ 1511 w 1877"/>
                              <a:gd name="T15" fmla="*/ 106 h 1262"/>
                              <a:gd name="T16" fmla="*/ 1348 w 1877"/>
                              <a:gd name="T17" fmla="*/ 166 h 1262"/>
                              <a:gd name="T18" fmla="*/ 70 w 1877"/>
                              <a:gd name="T19" fmla="*/ 291 h 1262"/>
                              <a:gd name="T20" fmla="*/ 2 w 1877"/>
                              <a:gd name="T21" fmla="*/ 400 h 1262"/>
                              <a:gd name="T22" fmla="*/ 67 w 1877"/>
                              <a:gd name="T23" fmla="*/ 528 h 1262"/>
                              <a:gd name="T24" fmla="*/ 923 w 1877"/>
                              <a:gd name="T25" fmla="*/ 733 h 1262"/>
                              <a:gd name="T26" fmla="*/ 847 w 1877"/>
                              <a:gd name="T27" fmla="*/ 1179 h 1262"/>
                              <a:gd name="T28" fmla="*/ 913 w 1877"/>
                              <a:gd name="T29" fmla="*/ 1256 h 1262"/>
                              <a:gd name="T30" fmla="*/ 953 w 1877"/>
                              <a:gd name="T31" fmla="*/ 1262 h 1262"/>
                              <a:gd name="T32" fmla="*/ 1629 w 1877"/>
                              <a:gd name="T33" fmla="*/ 626 h 1262"/>
                              <a:gd name="T34" fmla="*/ 1630 w 1877"/>
                              <a:gd name="T35" fmla="*/ 623 h 1262"/>
                              <a:gd name="T36" fmla="*/ 1770 w 1877"/>
                              <a:gd name="T37" fmla="*/ 500 h 1262"/>
                              <a:gd name="T38" fmla="*/ 1779 w 1877"/>
                              <a:gd name="T39" fmla="*/ 513 h 1262"/>
                              <a:gd name="T40" fmla="*/ 1820 w 1877"/>
                              <a:gd name="T41" fmla="*/ 536 h 1262"/>
                              <a:gd name="T42" fmla="*/ 1847 w 1877"/>
                              <a:gd name="T43" fmla="*/ 528 h 1262"/>
                              <a:gd name="T44" fmla="*/ 1862 w 1877"/>
                              <a:gd name="T45" fmla="*/ 460 h 12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877" h="1262">
                                <a:moveTo>
                                  <a:pt x="1862" y="460"/>
                                </a:moveTo>
                                <a:cubicBezTo>
                                  <a:pt x="1821" y="397"/>
                                  <a:pt x="1821" y="397"/>
                                  <a:pt x="1821" y="397"/>
                                </a:cubicBezTo>
                                <a:cubicBezTo>
                                  <a:pt x="1839" y="331"/>
                                  <a:pt x="1829" y="266"/>
                                  <a:pt x="1791" y="205"/>
                                </a:cubicBezTo>
                                <a:cubicBezTo>
                                  <a:pt x="1756" y="148"/>
                                  <a:pt x="1701" y="113"/>
                                  <a:pt x="1631" y="103"/>
                                </a:cubicBezTo>
                                <a:cubicBezTo>
                                  <a:pt x="1575" y="27"/>
                                  <a:pt x="1575" y="27"/>
                                  <a:pt x="1575" y="27"/>
                                </a:cubicBezTo>
                                <a:cubicBezTo>
                                  <a:pt x="1559" y="5"/>
                                  <a:pt x="1528" y="0"/>
                                  <a:pt x="1506" y="16"/>
                                </a:cubicBezTo>
                                <a:cubicBezTo>
                                  <a:pt x="1484" y="32"/>
                                  <a:pt x="1479" y="63"/>
                                  <a:pt x="1495" y="85"/>
                                </a:cubicBezTo>
                                <a:cubicBezTo>
                                  <a:pt x="1511" y="106"/>
                                  <a:pt x="1511" y="106"/>
                                  <a:pt x="1511" y="106"/>
                                </a:cubicBezTo>
                                <a:cubicBezTo>
                                  <a:pt x="1455" y="117"/>
                                  <a:pt x="1399" y="138"/>
                                  <a:pt x="1348" y="166"/>
                                </a:cubicBezTo>
                                <a:cubicBezTo>
                                  <a:pt x="929" y="59"/>
                                  <a:pt x="268" y="145"/>
                                  <a:pt x="70" y="291"/>
                                </a:cubicBezTo>
                                <a:cubicBezTo>
                                  <a:pt x="26" y="324"/>
                                  <a:pt x="3" y="360"/>
                                  <a:pt x="2" y="400"/>
                                </a:cubicBezTo>
                                <a:cubicBezTo>
                                  <a:pt x="0" y="446"/>
                                  <a:pt x="22" y="489"/>
                                  <a:pt x="67" y="528"/>
                                </a:cubicBezTo>
                                <a:cubicBezTo>
                                  <a:pt x="204" y="645"/>
                                  <a:pt x="575" y="718"/>
                                  <a:pt x="923" y="733"/>
                                </a:cubicBezTo>
                                <a:cubicBezTo>
                                  <a:pt x="850" y="917"/>
                                  <a:pt x="820" y="1088"/>
                                  <a:pt x="847" y="1179"/>
                                </a:cubicBezTo>
                                <a:cubicBezTo>
                                  <a:pt x="861" y="1229"/>
                                  <a:pt x="891" y="1249"/>
                                  <a:pt x="913" y="1256"/>
                                </a:cubicBezTo>
                                <a:cubicBezTo>
                                  <a:pt x="925" y="1260"/>
                                  <a:pt x="939" y="1262"/>
                                  <a:pt x="953" y="1262"/>
                                </a:cubicBezTo>
                                <a:cubicBezTo>
                                  <a:pt x="1113" y="1262"/>
                                  <a:pt x="1409" y="1022"/>
                                  <a:pt x="1629" y="626"/>
                                </a:cubicBezTo>
                                <a:cubicBezTo>
                                  <a:pt x="1629" y="625"/>
                                  <a:pt x="1630" y="624"/>
                                  <a:pt x="1630" y="623"/>
                                </a:cubicBezTo>
                                <a:cubicBezTo>
                                  <a:pt x="1687" y="589"/>
                                  <a:pt x="1736" y="546"/>
                                  <a:pt x="1770" y="500"/>
                                </a:cubicBezTo>
                                <a:cubicBezTo>
                                  <a:pt x="1779" y="513"/>
                                  <a:pt x="1779" y="513"/>
                                  <a:pt x="1779" y="513"/>
                                </a:cubicBezTo>
                                <a:cubicBezTo>
                                  <a:pt x="1788" y="528"/>
                                  <a:pt x="1804" y="536"/>
                                  <a:pt x="1820" y="536"/>
                                </a:cubicBezTo>
                                <a:cubicBezTo>
                                  <a:pt x="1830" y="536"/>
                                  <a:pt x="1839" y="533"/>
                                  <a:pt x="1847" y="528"/>
                                </a:cubicBezTo>
                                <a:cubicBezTo>
                                  <a:pt x="1870" y="513"/>
                                  <a:pt x="1877" y="482"/>
                                  <a:pt x="1862" y="460"/>
                                </a:cubicBezTo>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16" name="Freeform 6"/>
                        <wps:cNvSpPr>
                          <a:spLocks/>
                        </wps:cNvSpPr>
                        <wps:spPr bwMode="auto">
                          <a:xfrm>
                            <a:off x="6946791" y="237241"/>
                            <a:ext cx="181662" cy="159533"/>
                          </a:xfrm>
                          <a:custGeom>
                            <a:avLst/>
                            <a:gdLst>
                              <a:gd name="T0" fmla="*/ 19 w 532"/>
                              <a:gd name="T1" fmla="*/ 463 h 467"/>
                              <a:gd name="T2" fmla="*/ 196 w 532"/>
                              <a:gd name="T3" fmla="*/ 376 h 467"/>
                              <a:gd name="T4" fmla="*/ 532 w 532"/>
                              <a:gd name="T5" fmla="*/ 0 h 467"/>
                              <a:gd name="T6" fmla="*/ 333 w 532"/>
                              <a:gd name="T7" fmla="*/ 33 h 467"/>
                              <a:gd name="T8" fmla="*/ 104 w 532"/>
                              <a:gd name="T9" fmla="*/ 41 h 467"/>
                              <a:gd name="T10" fmla="*/ 19 w 532"/>
                              <a:gd name="T11" fmla="*/ 463 h 467"/>
                            </a:gdLst>
                            <a:ahLst/>
                            <a:cxnLst>
                              <a:cxn ang="0">
                                <a:pos x="T0" y="T1"/>
                              </a:cxn>
                              <a:cxn ang="0">
                                <a:pos x="T2" y="T3"/>
                              </a:cxn>
                              <a:cxn ang="0">
                                <a:pos x="T4" y="T5"/>
                              </a:cxn>
                              <a:cxn ang="0">
                                <a:pos x="T6" y="T7"/>
                              </a:cxn>
                              <a:cxn ang="0">
                                <a:pos x="T8" y="T9"/>
                              </a:cxn>
                              <a:cxn ang="0">
                                <a:pos x="T10" y="T11"/>
                              </a:cxn>
                            </a:cxnLst>
                            <a:rect l="0" t="0" r="r" b="b"/>
                            <a:pathLst>
                              <a:path w="532" h="467">
                                <a:moveTo>
                                  <a:pt x="19" y="463"/>
                                </a:moveTo>
                                <a:cubicBezTo>
                                  <a:pt x="23" y="467"/>
                                  <a:pt x="88" y="460"/>
                                  <a:pt x="196" y="376"/>
                                </a:cubicBezTo>
                                <a:cubicBezTo>
                                  <a:pt x="285" y="308"/>
                                  <a:pt x="396" y="209"/>
                                  <a:pt x="532" y="0"/>
                                </a:cubicBezTo>
                                <a:cubicBezTo>
                                  <a:pt x="532" y="0"/>
                                  <a:pt x="439" y="24"/>
                                  <a:pt x="333" y="33"/>
                                </a:cubicBezTo>
                                <a:cubicBezTo>
                                  <a:pt x="195" y="44"/>
                                  <a:pt x="104" y="41"/>
                                  <a:pt x="104" y="41"/>
                                </a:cubicBezTo>
                                <a:cubicBezTo>
                                  <a:pt x="6" y="275"/>
                                  <a:pt x="0" y="441"/>
                                  <a:pt x="19" y="463"/>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017519607" name="Freeform 7"/>
                        <wps:cNvSpPr>
                          <a:spLocks/>
                        </wps:cNvSpPr>
                        <wps:spPr bwMode="auto">
                          <a:xfrm>
                            <a:off x="6664778" y="76164"/>
                            <a:ext cx="382879" cy="138948"/>
                          </a:xfrm>
                          <a:custGeom>
                            <a:avLst/>
                            <a:gdLst>
                              <a:gd name="T0" fmla="*/ 806 w 1121"/>
                              <a:gd name="T1" fmla="*/ 0 h 406"/>
                              <a:gd name="T2" fmla="*/ 35 w 1121"/>
                              <a:gd name="T3" fmla="*/ 147 h 406"/>
                              <a:gd name="T4" fmla="*/ 1 w 1121"/>
                              <a:gd name="T5" fmla="*/ 181 h 406"/>
                              <a:gd name="T6" fmla="*/ 29 w 1121"/>
                              <a:gd name="T7" fmla="*/ 224 h 406"/>
                              <a:gd name="T8" fmla="*/ 862 w 1121"/>
                              <a:gd name="T9" fmla="*/ 406 h 406"/>
                              <a:gd name="T10" fmla="*/ 1065 w 1121"/>
                              <a:gd name="T11" fmla="*/ 82 h 406"/>
                              <a:gd name="T12" fmla="*/ 1121 w 1121"/>
                              <a:gd name="T13" fmla="*/ 25 h 406"/>
                              <a:gd name="T14" fmla="*/ 806 w 1121"/>
                              <a:gd name="T15" fmla="*/ 0 h 40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21" h="406">
                                <a:moveTo>
                                  <a:pt x="806" y="0"/>
                                </a:moveTo>
                                <a:cubicBezTo>
                                  <a:pt x="482" y="0"/>
                                  <a:pt x="155" y="68"/>
                                  <a:pt x="35" y="147"/>
                                </a:cubicBezTo>
                                <a:cubicBezTo>
                                  <a:pt x="9" y="165"/>
                                  <a:pt x="1" y="178"/>
                                  <a:pt x="1" y="181"/>
                                </a:cubicBezTo>
                                <a:cubicBezTo>
                                  <a:pt x="0" y="196"/>
                                  <a:pt x="16" y="213"/>
                                  <a:pt x="29" y="224"/>
                                </a:cubicBezTo>
                                <a:cubicBezTo>
                                  <a:pt x="145" y="323"/>
                                  <a:pt x="517" y="395"/>
                                  <a:pt x="862" y="406"/>
                                </a:cubicBezTo>
                                <a:cubicBezTo>
                                  <a:pt x="916" y="294"/>
                                  <a:pt x="984" y="181"/>
                                  <a:pt x="1065" y="82"/>
                                </a:cubicBezTo>
                                <a:cubicBezTo>
                                  <a:pt x="1081" y="63"/>
                                  <a:pt x="1100" y="44"/>
                                  <a:pt x="1121" y="25"/>
                                </a:cubicBezTo>
                                <a:cubicBezTo>
                                  <a:pt x="1022" y="8"/>
                                  <a:pt x="914" y="0"/>
                                  <a:pt x="806" y="0"/>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18" name="Freeform 8"/>
                        <wps:cNvSpPr>
                          <a:spLocks/>
                        </wps:cNvSpPr>
                        <wps:spPr bwMode="auto">
                          <a:xfrm>
                            <a:off x="7046628" y="94691"/>
                            <a:ext cx="110644" cy="112702"/>
                          </a:xfrm>
                          <a:custGeom>
                            <a:avLst/>
                            <a:gdLst>
                              <a:gd name="T0" fmla="*/ 132 w 324"/>
                              <a:gd name="T1" fmla="*/ 0 h 330"/>
                              <a:gd name="T2" fmla="*/ 73 w 324"/>
                              <a:gd name="T3" fmla="*/ 51 h 330"/>
                              <a:gd name="T4" fmla="*/ 28 w 324"/>
                              <a:gd name="T5" fmla="*/ 97 h 330"/>
                              <a:gd name="T6" fmla="*/ 0 w 324"/>
                              <a:gd name="T7" fmla="*/ 133 h 330"/>
                              <a:gd name="T8" fmla="*/ 143 w 324"/>
                              <a:gd name="T9" fmla="*/ 330 h 330"/>
                              <a:gd name="T10" fmla="*/ 235 w 324"/>
                              <a:gd name="T11" fmla="*/ 308 h 330"/>
                              <a:gd name="T12" fmla="*/ 319 w 324"/>
                              <a:gd name="T13" fmla="*/ 274 h 330"/>
                              <a:gd name="T14" fmla="*/ 265 w 324"/>
                              <a:gd name="T15" fmla="*/ 100 h 330"/>
                              <a:gd name="T16" fmla="*/ 132 w 324"/>
                              <a:gd name="T17" fmla="*/ 0 h 3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24" h="330">
                                <a:moveTo>
                                  <a:pt x="132" y="0"/>
                                </a:moveTo>
                                <a:cubicBezTo>
                                  <a:pt x="73" y="51"/>
                                  <a:pt x="73" y="51"/>
                                  <a:pt x="73" y="51"/>
                                </a:cubicBezTo>
                                <a:cubicBezTo>
                                  <a:pt x="56" y="66"/>
                                  <a:pt x="41" y="81"/>
                                  <a:pt x="28" y="97"/>
                                </a:cubicBezTo>
                                <a:cubicBezTo>
                                  <a:pt x="19" y="108"/>
                                  <a:pt x="9" y="120"/>
                                  <a:pt x="0" y="133"/>
                                </a:cubicBezTo>
                                <a:cubicBezTo>
                                  <a:pt x="40" y="164"/>
                                  <a:pt x="110" y="230"/>
                                  <a:pt x="143" y="330"/>
                                </a:cubicBezTo>
                                <a:cubicBezTo>
                                  <a:pt x="143" y="330"/>
                                  <a:pt x="199" y="320"/>
                                  <a:pt x="235" y="308"/>
                                </a:cubicBezTo>
                                <a:cubicBezTo>
                                  <a:pt x="280" y="293"/>
                                  <a:pt x="319" y="274"/>
                                  <a:pt x="319" y="274"/>
                                </a:cubicBezTo>
                                <a:cubicBezTo>
                                  <a:pt x="324" y="237"/>
                                  <a:pt x="314" y="174"/>
                                  <a:pt x="265" y="100"/>
                                </a:cubicBezTo>
                                <a:cubicBezTo>
                                  <a:pt x="231" y="50"/>
                                  <a:pt x="167" y="15"/>
                                  <a:pt x="132" y="0"/>
                                </a:cubicBezTo>
                              </a:path>
                            </a:pathLst>
                          </a:custGeom>
                          <a:solidFill>
                            <a:srgbClr val="FFC000"/>
                          </a:solidFill>
                          <a:ln>
                            <a:noFill/>
                          </a:ln>
                        </wps:spPr>
                        <wps:bodyPr vert="horz" wrap="square" lIns="91440" tIns="45720" rIns="91440" bIns="45720" numCol="1" anchor="t" anchorCtr="0" compatLnSpc="1">
                          <a:prstTxWarp prst="textNoShape">
                            <a:avLst/>
                          </a:prstTxWarp>
                        </wps:bodyPr>
                      </wps:wsp>
                      <wps:wsp>
                        <wps:cNvPr id="219" name="Freeform 9"/>
                        <wps:cNvSpPr>
                          <a:spLocks noEditPoints="1"/>
                        </wps:cNvSpPr>
                        <wps:spPr bwMode="auto">
                          <a:xfrm>
                            <a:off x="4827064" y="736939"/>
                            <a:ext cx="135860" cy="126083"/>
                          </a:xfrm>
                          <a:custGeom>
                            <a:avLst/>
                            <a:gdLst>
                              <a:gd name="T0" fmla="*/ 193 w 264"/>
                              <a:gd name="T1" fmla="*/ 188 h 245"/>
                              <a:gd name="T2" fmla="*/ 71 w 264"/>
                              <a:gd name="T3" fmla="*/ 188 h 245"/>
                              <a:gd name="T4" fmla="*/ 47 w 264"/>
                              <a:gd name="T5" fmla="*/ 245 h 245"/>
                              <a:gd name="T6" fmla="*/ 0 w 264"/>
                              <a:gd name="T7" fmla="*/ 245 h 245"/>
                              <a:gd name="T8" fmla="*/ 110 w 264"/>
                              <a:gd name="T9" fmla="*/ 0 h 245"/>
                              <a:gd name="T10" fmla="*/ 154 w 264"/>
                              <a:gd name="T11" fmla="*/ 0 h 245"/>
                              <a:gd name="T12" fmla="*/ 264 w 264"/>
                              <a:gd name="T13" fmla="*/ 245 h 245"/>
                              <a:gd name="T14" fmla="*/ 217 w 264"/>
                              <a:gd name="T15" fmla="*/ 245 h 245"/>
                              <a:gd name="T16" fmla="*/ 193 w 264"/>
                              <a:gd name="T17" fmla="*/ 188 h 245"/>
                              <a:gd name="T18" fmla="*/ 178 w 264"/>
                              <a:gd name="T19" fmla="*/ 152 h 245"/>
                              <a:gd name="T20" fmla="*/ 132 w 264"/>
                              <a:gd name="T21" fmla="*/ 46 h 245"/>
                              <a:gd name="T22" fmla="*/ 86 w 264"/>
                              <a:gd name="T23" fmla="*/ 152 h 245"/>
                              <a:gd name="T24" fmla="*/ 178 w 264"/>
                              <a:gd name="T25" fmla="*/ 152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64" h="245">
                                <a:moveTo>
                                  <a:pt x="193" y="188"/>
                                </a:moveTo>
                                <a:lnTo>
                                  <a:pt x="71" y="188"/>
                                </a:lnTo>
                                <a:lnTo>
                                  <a:pt x="47" y="245"/>
                                </a:lnTo>
                                <a:lnTo>
                                  <a:pt x="0" y="245"/>
                                </a:lnTo>
                                <a:lnTo>
                                  <a:pt x="110" y="0"/>
                                </a:lnTo>
                                <a:lnTo>
                                  <a:pt x="154" y="0"/>
                                </a:lnTo>
                                <a:lnTo>
                                  <a:pt x="264" y="245"/>
                                </a:lnTo>
                                <a:lnTo>
                                  <a:pt x="217" y="245"/>
                                </a:lnTo>
                                <a:lnTo>
                                  <a:pt x="193" y="188"/>
                                </a:lnTo>
                                <a:close/>
                                <a:moveTo>
                                  <a:pt x="178" y="152"/>
                                </a:moveTo>
                                <a:lnTo>
                                  <a:pt x="132" y="46"/>
                                </a:lnTo>
                                <a:lnTo>
                                  <a:pt x="86" y="152"/>
                                </a:lnTo>
                                <a:lnTo>
                                  <a:pt x="178" y="152"/>
                                </a:lnTo>
                                <a:close/>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0" name="Freeform 10"/>
                        <wps:cNvSpPr>
                          <a:spLocks/>
                        </wps:cNvSpPr>
                        <wps:spPr bwMode="auto">
                          <a:xfrm>
                            <a:off x="5040632" y="734880"/>
                            <a:ext cx="100351" cy="129685"/>
                          </a:xfrm>
                          <a:custGeom>
                            <a:avLst/>
                            <a:gdLst>
                              <a:gd name="T0" fmla="*/ 63 w 294"/>
                              <a:gd name="T1" fmla="*/ 367 h 379"/>
                              <a:gd name="T2" fmla="*/ 0 w 294"/>
                              <a:gd name="T3" fmla="*/ 335 h 379"/>
                              <a:gd name="T4" fmla="*/ 24 w 294"/>
                              <a:gd name="T5" fmla="*/ 282 h 379"/>
                              <a:gd name="T6" fmla="*/ 79 w 294"/>
                              <a:gd name="T7" fmla="*/ 311 h 379"/>
                              <a:gd name="T8" fmla="*/ 145 w 294"/>
                              <a:gd name="T9" fmla="*/ 322 h 379"/>
                              <a:gd name="T10" fmla="*/ 206 w 294"/>
                              <a:gd name="T11" fmla="*/ 309 h 379"/>
                              <a:gd name="T12" fmla="*/ 227 w 294"/>
                              <a:gd name="T13" fmla="*/ 275 h 379"/>
                              <a:gd name="T14" fmla="*/ 215 w 294"/>
                              <a:gd name="T15" fmla="*/ 249 h 379"/>
                              <a:gd name="T16" fmla="*/ 187 w 294"/>
                              <a:gd name="T17" fmla="*/ 233 h 379"/>
                              <a:gd name="T18" fmla="*/ 139 w 294"/>
                              <a:gd name="T19" fmla="*/ 219 h 379"/>
                              <a:gd name="T20" fmla="*/ 71 w 294"/>
                              <a:gd name="T21" fmla="*/ 199 h 379"/>
                              <a:gd name="T22" fmla="*/ 26 w 294"/>
                              <a:gd name="T23" fmla="*/ 168 h 379"/>
                              <a:gd name="T24" fmla="*/ 8 w 294"/>
                              <a:gd name="T25" fmla="*/ 110 h 379"/>
                              <a:gd name="T26" fmla="*/ 24 w 294"/>
                              <a:gd name="T27" fmla="*/ 55 h 379"/>
                              <a:gd name="T28" fmla="*/ 74 w 294"/>
                              <a:gd name="T29" fmla="*/ 15 h 379"/>
                              <a:gd name="T30" fmla="*/ 156 w 294"/>
                              <a:gd name="T31" fmla="*/ 0 h 379"/>
                              <a:gd name="T32" fmla="*/ 222 w 294"/>
                              <a:gd name="T33" fmla="*/ 9 h 379"/>
                              <a:gd name="T34" fmla="*/ 279 w 294"/>
                              <a:gd name="T35" fmla="*/ 33 h 379"/>
                              <a:gd name="T36" fmla="*/ 257 w 294"/>
                              <a:gd name="T37" fmla="*/ 86 h 379"/>
                              <a:gd name="T38" fmla="*/ 207 w 294"/>
                              <a:gd name="T39" fmla="*/ 65 h 379"/>
                              <a:gd name="T40" fmla="*/ 156 w 294"/>
                              <a:gd name="T41" fmla="*/ 57 h 379"/>
                              <a:gd name="T42" fmla="*/ 95 w 294"/>
                              <a:gd name="T43" fmla="*/ 71 h 379"/>
                              <a:gd name="T44" fmla="*/ 76 w 294"/>
                              <a:gd name="T45" fmla="*/ 107 h 379"/>
                              <a:gd name="T46" fmla="*/ 87 w 294"/>
                              <a:gd name="T47" fmla="*/ 133 h 379"/>
                              <a:gd name="T48" fmla="*/ 116 w 294"/>
                              <a:gd name="T49" fmla="*/ 149 h 379"/>
                              <a:gd name="T50" fmla="*/ 163 w 294"/>
                              <a:gd name="T51" fmla="*/ 162 h 379"/>
                              <a:gd name="T52" fmla="*/ 230 w 294"/>
                              <a:gd name="T53" fmla="*/ 182 h 379"/>
                              <a:gd name="T54" fmla="*/ 275 w 294"/>
                              <a:gd name="T55" fmla="*/ 213 h 379"/>
                              <a:gd name="T56" fmla="*/ 294 w 294"/>
                              <a:gd name="T57" fmla="*/ 270 h 379"/>
                              <a:gd name="T58" fmla="*/ 278 w 294"/>
                              <a:gd name="T59" fmla="*/ 325 h 379"/>
                              <a:gd name="T60" fmla="*/ 227 w 294"/>
                              <a:gd name="T61" fmla="*/ 365 h 379"/>
                              <a:gd name="T62" fmla="*/ 145 w 294"/>
                              <a:gd name="T63" fmla="*/ 379 h 379"/>
                              <a:gd name="T64" fmla="*/ 63 w 294"/>
                              <a:gd name="T65" fmla="*/ 367 h 3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4" h="379">
                                <a:moveTo>
                                  <a:pt x="63" y="367"/>
                                </a:moveTo>
                                <a:cubicBezTo>
                                  <a:pt x="36" y="359"/>
                                  <a:pt x="15" y="349"/>
                                  <a:pt x="0" y="335"/>
                                </a:cubicBezTo>
                                <a:cubicBezTo>
                                  <a:pt x="24" y="282"/>
                                  <a:pt x="24" y="282"/>
                                  <a:pt x="24" y="282"/>
                                </a:cubicBezTo>
                                <a:cubicBezTo>
                                  <a:pt x="39" y="294"/>
                                  <a:pt x="57" y="304"/>
                                  <a:pt x="79" y="311"/>
                                </a:cubicBezTo>
                                <a:cubicBezTo>
                                  <a:pt x="101" y="319"/>
                                  <a:pt x="123" y="322"/>
                                  <a:pt x="145" y="322"/>
                                </a:cubicBezTo>
                                <a:cubicBezTo>
                                  <a:pt x="172" y="322"/>
                                  <a:pt x="193" y="318"/>
                                  <a:pt x="206" y="309"/>
                                </a:cubicBezTo>
                                <a:cubicBezTo>
                                  <a:pt x="220" y="301"/>
                                  <a:pt x="227" y="289"/>
                                  <a:pt x="227" y="275"/>
                                </a:cubicBezTo>
                                <a:cubicBezTo>
                                  <a:pt x="227" y="264"/>
                                  <a:pt x="223" y="255"/>
                                  <a:pt x="215" y="249"/>
                                </a:cubicBezTo>
                                <a:cubicBezTo>
                                  <a:pt x="208" y="242"/>
                                  <a:pt x="198" y="236"/>
                                  <a:pt x="187" y="233"/>
                                </a:cubicBezTo>
                                <a:cubicBezTo>
                                  <a:pt x="175" y="229"/>
                                  <a:pt x="159" y="224"/>
                                  <a:pt x="139" y="219"/>
                                </a:cubicBezTo>
                                <a:cubicBezTo>
                                  <a:pt x="111" y="213"/>
                                  <a:pt x="88" y="206"/>
                                  <a:pt x="71" y="199"/>
                                </a:cubicBezTo>
                                <a:cubicBezTo>
                                  <a:pt x="54" y="193"/>
                                  <a:pt x="39" y="182"/>
                                  <a:pt x="26" y="168"/>
                                </a:cubicBezTo>
                                <a:cubicBezTo>
                                  <a:pt x="14" y="154"/>
                                  <a:pt x="8" y="135"/>
                                  <a:pt x="8" y="110"/>
                                </a:cubicBezTo>
                                <a:cubicBezTo>
                                  <a:pt x="8" y="90"/>
                                  <a:pt x="13" y="72"/>
                                  <a:pt x="24" y="55"/>
                                </a:cubicBezTo>
                                <a:cubicBezTo>
                                  <a:pt x="35" y="38"/>
                                  <a:pt x="52" y="25"/>
                                  <a:pt x="74" y="15"/>
                                </a:cubicBezTo>
                                <a:cubicBezTo>
                                  <a:pt x="97" y="5"/>
                                  <a:pt x="124" y="0"/>
                                  <a:pt x="156" y="0"/>
                                </a:cubicBezTo>
                                <a:cubicBezTo>
                                  <a:pt x="179" y="0"/>
                                  <a:pt x="201" y="3"/>
                                  <a:pt x="222" y="9"/>
                                </a:cubicBezTo>
                                <a:cubicBezTo>
                                  <a:pt x="244" y="15"/>
                                  <a:pt x="263" y="23"/>
                                  <a:pt x="279" y="33"/>
                                </a:cubicBezTo>
                                <a:cubicBezTo>
                                  <a:pt x="257" y="86"/>
                                  <a:pt x="257" y="86"/>
                                  <a:pt x="257" y="86"/>
                                </a:cubicBezTo>
                                <a:cubicBezTo>
                                  <a:pt x="241" y="77"/>
                                  <a:pt x="224" y="70"/>
                                  <a:pt x="207" y="65"/>
                                </a:cubicBezTo>
                                <a:cubicBezTo>
                                  <a:pt x="189" y="60"/>
                                  <a:pt x="172" y="57"/>
                                  <a:pt x="156" y="57"/>
                                </a:cubicBezTo>
                                <a:cubicBezTo>
                                  <a:pt x="129" y="57"/>
                                  <a:pt x="109" y="62"/>
                                  <a:pt x="95" y="71"/>
                                </a:cubicBezTo>
                                <a:cubicBezTo>
                                  <a:pt x="82" y="80"/>
                                  <a:pt x="76" y="92"/>
                                  <a:pt x="76" y="107"/>
                                </a:cubicBezTo>
                                <a:cubicBezTo>
                                  <a:pt x="76" y="118"/>
                                  <a:pt x="79" y="126"/>
                                  <a:pt x="87" y="133"/>
                                </a:cubicBezTo>
                                <a:cubicBezTo>
                                  <a:pt x="94" y="140"/>
                                  <a:pt x="104" y="145"/>
                                  <a:pt x="116" y="149"/>
                                </a:cubicBezTo>
                                <a:cubicBezTo>
                                  <a:pt x="127" y="153"/>
                                  <a:pt x="143" y="157"/>
                                  <a:pt x="163" y="162"/>
                                </a:cubicBezTo>
                                <a:cubicBezTo>
                                  <a:pt x="190" y="168"/>
                                  <a:pt x="213" y="175"/>
                                  <a:pt x="230" y="182"/>
                                </a:cubicBezTo>
                                <a:cubicBezTo>
                                  <a:pt x="248" y="189"/>
                                  <a:pt x="263" y="199"/>
                                  <a:pt x="275" y="213"/>
                                </a:cubicBezTo>
                                <a:cubicBezTo>
                                  <a:pt x="288" y="227"/>
                                  <a:pt x="294" y="246"/>
                                  <a:pt x="294" y="270"/>
                                </a:cubicBezTo>
                                <a:cubicBezTo>
                                  <a:pt x="294" y="290"/>
                                  <a:pt x="289" y="309"/>
                                  <a:pt x="278" y="325"/>
                                </a:cubicBezTo>
                                <a:cubicBezTo>
                                  <a:pt x="266" y="342"/>
                                  <a:pt x="250" y="355"/>
                                  <a:pt x="227" y="365"/>
                                </a:cubicBezTo>
                                <a:cubicBezTo>
                                  <a:pt x="205" y="375"/>
                                  <a:pt x="177" y="379"/>
                                  <a:pt x="145" y="379"/>
                                </a:cubicBezTo>
                                <a:cubicBezTo>
                                  <a:pt x="117" y="379"/>
                                  <a:pt x="89" y="375"/>
                                  <a:pt x="63" y="367"/>
                                </a:cubicBezTo>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1" name="Freeform 11"/>
                        <wps:cNvSpPr>
                          <a:spLocks/>
                        </wps:cNvSpPr>
                        <wps:spPr bwMode="auto">
                          <a:xfrm>
                            <a:off x="5225382" y="734880"/>
                            <a:ext cx="100351" cy="129685"/>
                          </a:xfrm>
                          <a:custGeom>
                            <a:avLst/>
                            <a:gdLst>
                              <a:gd name="T0" fmla="*/ 63 w 294"/>
                              <a:gd name="T1" fmla="*/ 367 h 379"/>
                              <a:gd name="T2" fmla="*/ 0 w 294"/>
                              <a:gd name="T3" fmla="*/ 335 h 379"/>
                              <a:gd name="T4" fmla="*/ 24 w 294"/>
                              <a:gd name="T5" fmla="*/ 282 h 379"/>
                              <a:gd name="T6" fmla="*/ 80 w 294"/>
                              <a:gd name="T7" fmla="*/ 311 h 379"/>
                              <a:gd name="T8" fmla="*/ 146 w 294"/>
                              <a:gd name="T9" fmla="*/ 322 h 379"/>
                              <a:gd name="T10" fmla="*/ 207 w 294"/>
                              <a:gd name="T11" fmla="*/ 309 h 379"/>
                              <a:gd name="T12" fmla="*/ 227 w 294"/>
                              <a:gd name="T13" fmla="*/ 275 h 379"/>
                              <a:gd name="T14" fmla="*/ 216 w 294"/>
                              <a:gd name="T15" fmla="*/ 249 h 379"/>
                              <a:gd name="T16" fmla="*/ 187 w 294"/>
                              <a:gd name="T17" fmla="*/ 233 h 379"/>
                              <a:gd name="T18" fmla="*/ 140 w 294"/>
                              <a:gd name="T19" fmla="*/ 219 h 379"/>
                              <a:gd name="T20" fmla="*/ 72 w 294"/>
                              <a:gd name="T21" fmla="*/ 199 h 379"/>
                              <a:gd name="T22" fmla="*/ 27 w 294"/>
                              <a:gd name="T23" fmla="*/ 168 h 379"/>
                              <a:gd name="T24" fmla="*/ 8 w 294"/>
                              <a:gd name="T25" fmla="*/ 110 h 379"/>
                              <a:gd name="T26" fmla="*/ 25 w 294"/>
                              <a:gd name="T27" fmla="*/ 55 h 379"/>
                              <a:gd name="T28" fmla="*/ 75 w 294"/>
                              <a:gd name="T29" fmla="*/ 15 h 379"/>
                              <a:gd name="T30" fmla="*/ 157 w 294"/>
                              <a:gd name="T31" fmla="*/ 0 h 379"/>
                              <a:gd name="T32" fmla="*/ 223 w 294"/>
                              <a:gd name="T33" fmla="*/ 9 h 379"/>
                              <a:gd name="T34" fmla="*/ 279 w 294"/>
                              <a:gd name="T35" fmla="*/ 33 h 379"/>
                              <a:gd name="T36" fmla="*/ 258 w 294"/>
                              <a:gd name="T37" fmla="*/ 86 h 379"/>
                              <a:gd name="T38" fmla="*/ 207 w 294"/>
                              <a:gd name="T39" fmla="*/ 65 h 379"/>
                              <a:gd name="T40" fmla="*/ 156 w 294"/>
                              <a:gd name="T41" fmla="*/ 57 h 379"/>
                              <a:gd name="T42" fmla="*/ 96 w 294"/>
                              <a:gd name="T43" fmla="*/ 71 h 379"/>
                              <a:gd name="T44" fmla="*/ 76 w 294"/>
                              <a:gd name="T45" fmla="*/ 107 h 379"/>
                              <a:gd name="T46" fmla="*/ 87 w 294"/>
                              <a:gd name="T47" fmla="*/ 133 h 379"/>
                              <a:gd name="T48" fmla="*/ 116 w 294"/>
                              <a:gd name="T49" fmla="*/ 149 h 379"/>
                              <a:gd name="T50" fmla="*/ 164 w 294"/>
                              <a:gd name="T51" fmla="*/ 162 h 379"/>
                              <a:gd name="T52" fmla="*/ 231 w 294"/>
                              <a:gd name="T53" fmla="*/ 182 h 379"/>
                              <a:gd name="T54" fmla="*/ 276 w 294"/>
                              <a:gd name="T55" fmla="*/ 213 h 379"/>
                              <a:gd name="T56" fmla="*/ 294 w 294"/>
                              <a:gd name="T57" fmla="*/ 270 h 379"/>
                              <a:gd name="T58" fmla="*/ 278 w 294"/>
                              <a:gd name="T59" fmla="*/ 325 h 379"/>
                              <a:gd name="T60" fmla="*/ 228 w 294"/>
                              <a:gd name="T61" fmla="*/ 365 h 379"/>
                              <a:gd name="T62" fmla="*/ 146 w 294"/>
                              <a:gd name="T63" fmla="*/ 379 h 379"/>
                              <a:gd name="T64" fmla="*/ 63 w 294"/>
                              <a:gd name="T65" fmla="*/ 367 h 3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4" h="379">
                                <a:moveTo>
                                  <a:pt x="63" y="367"/>
                                </a:moveTo>
                                <a:cubicBezTo>
                                  <a:pt x="37" y="359"/>
                                  <a:pt x="16" y="349"/>
                                  <a:pt x="0" y="335"/>
                                </a:cubicBezTo>
                                <a:cubicBezTo>
                                  <a:pt x="24" y="282"/>
                                  <a:pt x="24" y="282"/>
                                  <a:pt x="24" y="282"/>
                                </a:cubicBezTo>
                                <a:cubicBezTo>
                                  <a:pt x="39" y="294"/>
                                  <a:pt x="58" y="304"/>
                                  <a:pt x="80" y="311"/>
                                </a:cubicBezTo>
                                <a:cubicBezTo>
                                  <a:pt x="102" y="319"/>
                                  <a:pt x="124" y="322"/>
                                  <a:pt x="146" y="322"/>
                                </a:cubicBezTo>
                                <a:cubicBezTo>
                                  <a:pt x="173" y="322"/>
                                  <a:pt x="193" y="318"/>
                                  <a:pt x="207" y="309"/>
                                </a:cubicBezTo>
                                <a:cubicBezTo>
                                  <a:pt x="220" y="301"/>
                                  <a:pt x="227" y="289"/>
                                  <a:pt x="227" y="275"/>
                                </a:cubicBezTo>
                                <a:cubicBezTo>
                                  <a:pt x="227" y="264"/>
                                  <a:pt x="223" y="255"/>
                                  <a:pt x="216" y="249"/>
                                </a:cubicBezTo>
                                <a:cubicBezTo>
                                  <a:pt x="208" y="242"/>
                                  <a:pt x="199" y="236"/>
                                  <a:pt x="187" y="233"/>
                                </a:cubicBezTo>
                                <a:cubicBezTo>
                                  <a:pt x="176" y="229"/>
                                  <a:pt x="160" y="224"/>
                                  <a:pt x="140" y="219"/>
                                </a:cubicBezTo>
                                <a:cubicBezTo>
                                  <a:pt x="112" y="213"/>
                                  <a:pt x="89" y="206"/>
                                  <a:pt x="72" y="199"/>
                                </a:cubicBezTo>
                                <a:cubicBezTo>
                                  <a:pt x="54" y="193"/>
                                  <a:pt x="39" y="182"/>
                                  <a:pt x="27" y="168"/>
                                </a:cubicBezTo>
                                <a:cubicBezTo>
                                  <a:pt x="14" y="154"/>
                                  <a:pt x="8" y="135"/>
                                  <a:pt x="8" y="110"/>
                                </a:cubicBezTo>
                                <a:cubicBezTo>
                                  <a:pt x="8" y="90"/>
                                  <a:pt x="14" y="72"/>
                                  <a:pt x="25" y="55"/>
                                </a:cubicBezTo>
                                <a:cubicBezTo>
                                  <a:pt x="36" y="38"/>
                                  <a:pt x="52" y="25"/>
                                  <a:pt x="75" y="15"/>
                                </a:cubicBezTo>
                                <a:cubicBezTo>
                                  <a:pt x="97" y="5"/>
                                  <a:pt x="124" y="0"/>
                                  <a:pt x="157" y="0"/>
                                </a:cubicBezTo>
                                <a:cubicBezTo>
                                  <a:pt x="179" y="0"/>
                                  <a:pt x="201" y="3"/>
                                  <a:pt x="223" y="9"/>
                                </a:cubicBezTo>
                                <a:cubicBezTo>
                                  <a:pt x="245" y="15"/>
                                  <a:pt x="263" y="23"/>
                                  <a:pt x="279" y="33"/>
                                </a:cubicBezTo>
                                <a:cubicBezTo>
                                  <a:pt x="258" y="86"/>
                                  <a:pt x="258" y="86"/>
                                  <a:pt x="258" y="86"/>
                                </a:cubicBezTo>
                                <a:cubicBezTo>
                                  <a:pt x="242" y="77"/>
                                  <a:pt x="225" y="70"/>
                                  <a:pt x="207" y="65"/>
                                </a:cubicBezTo>
                                <a:cubicBezTo>
                                  <a:pt x="190" y="60"/>
                                  <a:pt x="173" y="57"/>
                                  <a:pt x="156" y="57"/>
                                </a:cubicBezTo>
                                <a:cubicBezTo>
                                  <a:pt x="129" y="57"/>
                                  <a:pt x="109" y="62"/>
                                  <a:pt x="96" y="71"/>
                                </a:cubicBezTo>
                                <a:cubicBezTo>
                                  <a:pt x="83" y="80"/>
                                  <a:pt x="76" y="92"/>
                                  <a:pt x="76" y="107"/>
                                </a:cubicBezTo>
                                <a:cubicBezTo>
                                  <a:pt x="76" y="118"/>
                                  <a:pt x="80" y="126"/>
                                  <a:pt x="87" y="133"/>
                                </a:cubicBezTo>
                                <a:cubicBezTo>
                                  <a:pt x="95" y="140"/>
                                  <a:pt x="105" y="145"/>
                                  <a:pt x="116" y="149"/>
                                </a:cubicBezTo>
                                <a:cubicBezTo>
                                  <a:pt x="128" y="153"/>
                                  <a:pt x="143" y="157"/>
                                  <a:pt x="164" y="162"/>
                                </a:cubicBezTo>
                                <a:cubicBezTo>
                                  <a:pt x="191" y="168"/>
                                  <a:pt x="213" y="175"/>
                                  <a:pt x="231" y="182"/>
                                </a:cubicBezTo>
                                <a:cubicBezTo>
                                  <a:pt x="248" y="189"/>
                                  <a:pt x="263" y="199"/>
                                  <a:pt x="276" y="213"/>
                                </a:cubicBezTo>
                                <a:cubicBezTo>
                                  <a:pt x="288" y="227"/>
                                  <a:pt x="294" y="246"/>
                                  <a:pt x="294" y="270"/>
                                </a:cubicBezTo>
                                <a:cubicBezTo>
                                  <a:pt x="294" y="290"/>
                                  <a:pt x="289" y="309"/>
                                  <a:pt x="278" y="325"/>
                                </a:cubicBezTo>
                                <a:cubicBezTo>
                                  <a:pt x="267" y="342"/>
                                  <a:pt x="250" y="355"/>
                                  <a:pt x="228" y="365"/>
                                </a:cubicBezTo>
                                <a:cubicBezTo>
                                  <a:pt x="205" y="375"/>
                                  <a:pt x="178" y="379"/>
                                  <a:pt x="146" y="379"/>
                                </a:cubicBezTo>
                                <a:cubicBezTo>
                                  <a:pt x="117" y="379"/>
                                  <a:pt x="90" y="375"/>
                                  <a:pt x="63" y="367"/>
                                </a:cubicBezTo>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2" name="Freeform 12"/>
                        <wps:cNvSpPr>
                          <a:spLocks/>
                        </wps:cNvSpPr>
                        <wps:spPr bwMode="auto">
                          <a:xfrm>
                            <a:off x="5419909" y="736939"/>
                            <a:ext cx="109615" cy="127626"/>
                          </a:xfrm>
                          <a:custGeom>
                            <a:avLst/>
                            <a:gdLst>
                              <a:gd name="T0" fmla="*/ 42 w 322"/>
                              <a:gd name="T1" fmla="*/ 330 h 373"/>
                              <a:gd name="T2" fmla="*/ 0 w 322"/>
                              <a:gd name="T3" fmla="*/ 208 h 373"/>
                              <a:gd name="T4" fmla="*/ 0 w 322"/>
                              <a:gd name="T5" fmla="*/ 0 h 373"/>
                              <a:gd name="T6" fmla="*/ 68 w 322"/>
                              <a:gd name="T7" fmla="*/ 0 h 373"/>
                              <a:gd name="T8" fmla="*/ 68 w 322"/>
                              <a:gd name="T9" fmla="*/ 205 h 373"/>
                              <a:gd name="T10" fmla="*/ 162 w 322"/>
                              <a:gd name="T11" fmla="*/ 313 h 373"/>
                              <a:gd name="T12" fmla="*/ 255 w 322"/>
                              <a:gd name="T13" fmla="*/ 205 h 373"/>
                              <a:gd name="T14" fmla="*/ 255 w 322"/>
                              <a:gd name="T15" fmla="*/ 0 h 373"/>
                              <a:gd name="T16" fmla="*/ 322 w 322"/>
                              <a:gd name="T17" fmla="*/ 0 h 373"/>
                              <a:gd name="T18" fmla="*/ 322 w 322"/>
                              <a:gd name="T19" fmla="*/ 208 h 373"/>
                              <a:gd name="T20" fmla="*/ 280 w 322"/>
                              <a:gd name="T21" fmla="*/ 330 h 373"/>
                              <a:gd name="T22" fmla="*/ 161 w 322"/>
                              <a:gd name="T23" fmla="*/ 373 h 373"/>
                              <a:gd name="T24" fmla="*/ 42 w 322"/>
                              <a:gd name="T25" fmla="*/ 330 h 3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22" h="373">
                                <a:moveTo>
                                  <a:pt x="42" y="330"/>
                                </a:moveTo>
                                <a:cubicBezTo>
                                  <a:pt x="14" y="302"/>
                                  <a:pt x="0" y="261"/>
                                  <a:pt x="0" y="208"/>
                                </a:cubicBezTo>
                                <a:cubicBezTo>
                                  <a:pt x="0" y="0"/>
                                  <a:pt x="0" y="0"/>
                                  <a:pt x="0" y="0"/>
                                </a:cubicBezTo>
                                <a:cubicBezTo>
                                  <a:pt x="68" y="0"/>
                                  <a:pt x="68" y="0"/>
                                  <a:pt x="68" y="0"/>
                                </a:cubicBezTo>
                                <a:cubicBezTo>
                                  <a:pt x="68" y="205"/>
                                  <a:pt x="68" y="205"/>
                                  <a:pt x="68" y="205"/>
                                </a:cubicBezTo>
                                <a:cubicBezTo>
                                  <a:pt x="68" y="277"/>
                                  <a:pt x="99" y="313"/>
                                  <a:pt x="162" y="313"/>
                                </a:cubicBezTo>
                                <a:cubicBezTo>
                                  <a:pt x="224" y="313"/>
                                  <a:pt x="255" y="277"/>
                                  <a:pt x="255" y="205"/>
                                </a:cubicBezTo>
                                <a:cubicBezTo>
                                  <a:pt x="255" y="0"/>
                                  <a:pt x="255" y="0"/>
                                  <a:pt x="255" y="0"/>
                                </a:cubicBezTo>
                                <a:cubicBezTo>
                                  <a:pt x="322" y="0"/>
                                  <a:pt x="322" y="0"/>
                                  <a:pt x="322" y="0"/>
                                </a:cubicBezTo>
                                <a:cubicBezTo>
                                  <a:pt x="322" y="208"/>
                                  <a:pt x="322" y="208"/>
                                  <a:pt x="322" y="208"/>
                                </a:cubicBezTo>
                                <a:cubicBezTo>
                                  <a:pt x="322" y="261"/>
                                  <a:pt x="308" y="302"/>
                                  <a:pt x="280" y="330"/>
                                </a:cubicBezTo>
                                <a:cubicBezTo>
                                  <a:pt x="252" y="359"/>
                                  <a:pt x="212" y="373"/>
                                  <a:pt x="161" y="373"/>
                                </a:cubicBezTo>
                                <a:cubicBezTo>
                                  <a:pt x="110" y="373"/>
                                  <a:pt x="71" y="359"/>
                                  <a:pt x="42" y="330"/>
                                </a:cubicBezTo>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3" name="Freeform 13"/>
                        <wps:cNvSpPr>
                          <a:spLocks noEditPoints="1"/>
                        </wps:cNvSpPr>
                        <wps:spPr bwMode="auto">
                          <a:xfrm>
                            <a:off x="5634506" y="736939"/>
                            <a:ext cx="107041" cy="126083"/>
                          </a:xfrm>
                          <a:custGeom>
                            <a:avLst/>
                            <a:gdLst>
                              <a:gd name="T0" fmla="*/ 241 w 314"/>
                              <a:gd name="T1" fmla="*/ 368 h 368"/>
                              <a:gd name="T2" fmla="*/ 165 w 314"/>
                              <a:gd name="T3" fmla="*/ 260 h 368"/>
                              <a:gd name="T4" fmla="*/ 151 w 314"/>
                              <a:gd name="T5" fmla="*/ 261 h 368"/>
                              <a:gd name="T6" fmla="*/ 68 w 314"/>
                              <a:gd name="T7" fmla="*/ 261 h 368"/>
                              <a:gd name="T8" fmla="*/ 68 w 314"/>
                              <a:gd name="T9" fmla="*/ 368 h 368"/>
                              <a:gd name="T10" fmla="*/ 0 w 314"/>
                              <a:gd name="T11" fmla="*/ 368 h 368"/>
                              <a:gd name="T12" fmla="*/ 0 w 314"/>
                              <a:gd name="T13" fmla="*/ 0 h 368"/>
                              <a:gd name="T14" fmla="*/ 151 w 314"/>
                              <a:gd name="T15" fmla="*/ 0 h 368"/>
                              <a:gd name="T16" fmla="*/ 235 w 314"/>
                              <a:gd name="T17" fmla="*/ 15 h 368"/>
                              <a:gd name="T18" fmla="*/ 289 w 314"/>
                              <a:gd name="T19" fmla="*/ 61 h 368"/>
                              <a:gd name="T20" fmla="*/ 308 w 314"/>
                              <a:gd name="T21" fmla="*/ 131 h 368"/>
                              <a:gd name="T22" fmla="*/ 288 w 314"/>
                              <a:gd name="T23" fmla="*/ 202 h 368"/>
                              <a:gd name="T24" fmla="*/ 230 w 314"/>
                              <a:gd name="T25" fmla="*/ 247 h 368"/>
                              <a:gd name="T26" fmla="*/ 314 w 314"/>
                              <a:gd name="T27" fmla="*/ 368 h 368"/>
                              <a:gd name="T28" fmla="*/ 241 w 314"/>
                              <a:gd name="T29" fmla="*/ 368 h 368"/>
                              <a:gd name="T30" fmla="*/ 216 w 314"/>
                              <a:gd name="T31" fmla="*/ 77 h 368"/>
                              <a:gd name="T32" fmla="*/ 148 w 314"/>
                              <a:gd name="T33" fmla="*/ 58 h 368"/>
                              <a:gd name="T34" fmla="*/ 68 w 314"/>
                              <a:gd name="T35" fmla="*/ 58 h 368"/>
                              <a:gd name="T36" fmla="*/ 68 w 314"/>
                              <a:gd name="T37" fmla="*/ 204 h 368"/>
                              <a:gd name="T38" fmla="*/ 148 w 314"/>
                              <a:gd name="T39" fmla="*/ 204 h 368"/>
                              <a:gd name="T40" fmla="*/ 216 w 314"/>
                              <a:gd name="T41" fmla="*/ 185 h 368"/>
                              <a:gd name="T42" fmla="*/ 239 w 314"/>
                              <a:gd name="T43" fmla="*/ 131 h 368"/>
                              <a:gd name="T44" fmla="*/ 216 w 314"/>
                              <a:gd name="T45" fmla="*/ 77 h 3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4" h="368">
                                <a:moveTo>
                                  <a:pt x="241" y="368"/>
                                </a:moveTo>
                                <a:cubicBezTo>
                                  <a:pt x="165" y="260"/>
                                  <a:pt x="165" y="260"/>
                                  <a:pt x="165" y="260"/>
                                </a:cubicBezTo>
                                <a:cubicBezTo>
                                  <a:pt x="162" y="261"/>
                                  <a:pt x="158" y="261"/>
                                  <a:pt x="151" y="261"/>
                                </a:cubicBezTo>
                                <a:cubicBezTo>
                                  <a:pt x="68" y="261"/>
                                  <a:pt x="68" y="261"/>
                                  <a:pt x="68" y="261"/>
                                </a:cubicBezTo>
                                <a:cubicBezTo>
                                  <a:pt x="68" y="368"/>
                                  <a:pt x="68" y="368"/>
                                  <a:pt x="68" y="368"/>
                                </a:cubicBezTo>
                                <a:cubicBezTo>
                                  <a:pt x="0" y="368"/>
                                  <a:pt x="0" y="368"/>
                                  <a:pt x="0" y="368"/>
                                </a:cubicBezTo>
                                <a:cubicBezTo>
                                  <a:pt x="0" y="0"/>
                                  <a:pt x="0" y="0"/>
                                  <a:pt x="0" y="0"/>
                                </a:cubicBezTo>
                                <a:cubicBezTo>
                                  <a:pt x="151" y="0"/>
                                  <a:pt x="151" y="0"/>
                                  <a:pt x="151" y="0"/>
                                </a:cubicBezTo>
                                <a:cubicBezTo>
                                  <a:pt x="183" y="0"/>
                                  <a:pt x="211" y="5"/>
                                  <a:pt x="235" y="15"/>
                                </a:cubicBezTo>
                                <a:cubicBezTo>
                                  <a:pt x="258" y="26"/>
                                  <a:pt x="276" y="41"/>
                                  <a:pt x="289" y="61"/>
                                </a:cubicBezTo>
                                <a:cubicBezTo>
                                  <a:pt x="302" y="80"/>
                                  <a:pt x="308" y="104"/>
                                  <a:pt x="308" y="131"/>
                                </a:cubicBezTo>
                                <a:cubicBezTo>
                                  <a:pt x="308" y="158"/>
                                  <a:pt x="301" y="182"/>
                                  <a:pt x="288" y="202"/>
                                </a:cubicBezTo>
                                <a:cubicBezTo>
                                  <a:pt x="274" y="222"/>
                                  <a:pt x="255" y="237"/>
                                  <a:pt x="230" y="247"/>
                                </a:cubicBezTo>
                                <a:cubicBezTo>
                                  <a:pt x="314" y="368"/>
                                  <a:pt x="314" y="368"/>
                                  <a:pt x="314" y="368"/>
                                </a:cubicBezTo>
                                <a:lnTo>
                                  <a:pt x="241" y="368"/>
                                </a:lnTo>
                                <a:close/>
                                <a:moveTo>
                                  <a:pt x="216" y="77"/>
                                </a:moveTo>
                                <a:cubicBezTo>
                                  <a:pt x="201" y="64"/>
                                  <a:pt x="178" y="58"/>
                                  <a:pt x="148" y="58"/>
                                </a:cubicBezTo>
                                <a:cubicBezTo>
                                  <a:pt x="68" y="58"/>
                                  <a:pt x="68" y="58"/>
                                  <a:pt x="68" y="58"/>
                                </a:cubicBezTo>
                                <a:cubicBezTo>
                                  <a:pt x="68" y="204"/>
                                  <a:pt x="68" y="204"/>
                                  <a:pt x="68" y="204"/>
                                </a:cubicBezTo>
                                <a:cubicBezTo>
                                  <a:pt x="148" y="204"/>
                                  <a:pt x="148" y="204"/>
                                  <a:pt x="148" y="204"/>
                                </a:cubicBezTo>
                                <a:cubicBezTo>
                                  <a:pt x="178" y="204"/>
                                  <a:pt x="201" y="198"/>
                                  <a:pt x="216" y="185"/>
                                </a:cubicBezTo>
                                <a:cubicBezTo>
                                  <a:pt x="231" y="172"/>
                                  <a:pt x="239" y="154"/>
                                  <a:pt x="239" y="131"/>
                                </a:cubicBezTo>
                                <a:cubicBezTo>
                                  <a:pt x="239" y="107"/>
                                  <a:pt x="231" y="89"/>
                                  <a:pt x="216" y="77"/>
                                </a:cubicBezTo>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4" name="Freeform 14"/>
                        <wps:cNvSpPr>
                          <a:spLocks noEditPoints="1"/>
                        </wps:cNvSpPr>
                        <wps:spPr bwMode="auto">
                          <a:xfrm>
                            <a:off x="5819770" y="736939"/>
                            <a:ext cx="136375" cy="126083"/>
                          </a:xfrm>
                          <a:custGeom>
                            <a:avLst/>
                            <a:gdLst>
                              <a:gd name="T0" fmla="*/ 193 w 265"/>
                              <a:gd name="T1" fmla="*/ 188 h 245"/>
                              <a:gd name="T2" fmla="*/ 70 w 265"/>
                              <a:gd name="T3" fmla="*/ 188 h 245"/>
                              <a:gd name="T4" fmla="*/ 47 w 265"/>
                              <a:gd name="T5" fmla="*/ 245 h 245"/>
                              <a:gd name="T6" fmla="*/ 0 w 265"/>
                              <a:gd name="T7" fmla="*/ 245 h 245"/>
                              <a:gd name="T8" fmla="*/ 110 w 265"/>
                              <a:gd name="T9" fmla="*/ 0 h 245"/>
                              <a:gd name="T10" fmla="*/ 155 w 265"/>
                              <a:gd name="T11" fmla="*/ 0 h 245"/>
                              <a:gd name="T12" fmla="*/ 265 w 265"/>
                              <a:gd name="T13" fmla="*/ 245 h 245"/>
                              <a:gd name="T14" fmla="*/ 217 w 265"/>
                              <a:gd name="T15" fmla="*/ 245 h 245"/>
                              <a:gd name="T16" fmla="*/ 193 w 265"/>
                              <a:gd name="T17" fmla="*/ 188 h 245"/>
                              <a:gd name="T18" fmla="*/ 178 w 265"/>
                              <a:gd name="T19" fmla="*/ 152 h 245"/>
                              <a:gd name="T20" fmla="*/ 132 w 265"/>
                              <a:gd name="T21" fmla="*/ 46 h 245"/>
                              <a:gd name="T22" fmla="*/ 86 w 265"/>
                              <a:gd name="T23" fmla="*/ 152 h 245"/>
                              <a:gd name="T24" fmla="*/ 178 w 265"/>
                              <a:gd name="T25" fmla="*/ 152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65" h="245">
                                <a:moveTo>
                                  <a:pt x="193" y="188"/>
                                </a:moveTo>
                                <a:lnTo>
                                  <a:pt x="70" y="188"/>
                                </a:lnTo>
                                <a:lnTo>
                                  <a:pt x="47" y="245"/>
                                </a:lnTo>
                                <a:lnTo>
                                  <a:pt x="0" y="245"/>
                                </a:lnTo>
                                <a:lnTo>
                                  <a:pt x="110" y="0"/>
                                </a:lnTo>
                                <a:lnTo>
                                  <a:pt x="155" y="0"/>
                                </a:lnTo>
                                <a:lnTo>
                                  <a:pt x="265" y="245"/>
                                </a:lnTo>
                                <a:lnTo>
                                  <a:pt x="217" y="245"/>
                                </a:lnTo>
                                <a:lnTo>
                                  <a:pt x="193" y="188"/>
                                </a:lnTo>
                                <a:close/>
                                <a:moveTo>
                                  <a:pt x="178" y="152"/>
                                </a:moveTo>
                                <a:lnTo>
                                  <a:pt x="132" y="46"/>
                                </a:lnTo>
                                <a:lnTo>
                                  <a:pt x="86" y="152"/>
                                </a:lnTo>
                                <a:lnTo>
                                  <a:pt x="178" y="152"/>
                                </a:lnTo>
                                <a:close/>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5" name="Freeform 15"/>
                        <wps:cNvSpPr>
                          <a:spLocks/>
                        </wps:cNvSpPr>
                        <wps:spPr bwMode="auto">
                          <a:xfrm>
                            <a:off x="6043630" y="736939"/>
                            <a:ext cx="112188" cy="126083"/>
                          </a:xfrm>
                          <a:custGeom>
                            <a:avLst/>
                            <a:gdLst>
                              <a:gd name="T0" fmla="*/ 218 w 218"/>
                              <a:gd name="T1" fmla="*/ 0 h 245"/>
                              <a:gd name="T2" fmla="*/ 218 w 218"/>
                              <a:gd name="T3" fmla="*/ 245 h 245"/>
                              <a:gd name="T4" fmla="*/ 180 w 218"/>
                              <a:gd name="T5" fmla="*/ 245 h 245"/>
                              <a:gd name="T6" fmla="*/ 45 w 218"/>
                              <a:gd name="T7" fmla="*/ 79 h 245"/>
                              <a:gd name="T8" fmla="*/ 45 w 218"/>
                              <a:gd name="T9" fmla="*/ 245 h 245"/>
                              <a:gd name="T10" fmla="*/ 0 w 218"/>
                              <a:gd name="T11" fmla="*/ 245 h 245"/>
                              <a:gd name="T12" fmla="*/ 0 w 218"/>
                              <a:gd name="T13" fmla="*/ 0 h 245"/>
                              <a:gd name="T14" fmla="*/ 38 w 218"/>
                              <a:gd name="T15" fmla="*/ 0 h 245"/>
                              <a:gd name="T16" fmla="*/ 173 w 218"/>
                              <a:gd name="T17" fmla="*/ 166 h 245"/>
                              <a:gd name="T18" fmla="*/ 173 w 218"/>
                              <a:gd name="T19" fmla="*/ 0 h 245"/>
                              <a:gd name="T20" fmla="*/ 218 w 218"/>
                              <a:gd name="T21" fmla="*/ 0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18" h="245">
                                <a:moveTo>
                                  <a:pt x="218" y="0"/>
                                </a:moveTo>
                                <a:lnTo>
                                  <a:pt x="218" y="245"/>
                                </a:lnTo>
                                <a:lnTo>
                                  <a:pt x="180" y="245"/>
                                </a:lnTo>
                                <a:lnTo>
                                  <a:pt x="45" y="79"/>
                                </a:lnTo>
                                <a:lnTo>
                                  <a:pt x="45" y="245"/>
                                </a:lnTo>
                                <a:lnTo>
                                  <a:pt x="0" y="245"/>
                                </a:lnTo>
                                <a:lnTo>
                                  <a:pt x="0" y="0"/>
                                </a:lnTo>
                                <a:lnTo>
                                  <a:pt x="38" y="0"/>
                                </a:lnTo>
                                <a:lnTo>
                                  <a:pt x="173" y="166"/>
                                </a:lnTo>
                                <a:lnTo>
                                  <a:pt x="173" y="0"/>
                                </a:lnTo>
                                <a:lnTo>
                                  <a:pt x="218" y="0"/>
                                </a:lnTo>
                                <a:close/>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6" name="Freeform 16"/>
                        <wps:cNvSpPr>
                          <a:spLocks/>
                        </wps:cNvSpPr>
                        <wps:spPr bwMode="auto">
                          <a:xfrm>
                            <a:off x="6252567" y="734880"/>
                            <a:ext cx="116819" cy="129685"/>
                          </a:xfrm>
                          <a:custGeom>
                            <a:avLst/>
                            <a:gdLst>
                              <a:gd name="T0" fmla="*/ 96 w 343"/>
                              <a:gd name="T1" fmla="*/ 355 h 379"/>
                              <a:gd name="T2" fmla="*/ 25 w 343"/>
                              <a:gd name="T3" fmla="*/ 287 h 379"/>
                              <a:gd name="T4" fmla="*/ 0 w 343"/>
                              <a:gd name="T5" fmla="*/ 190 h 379"/>
                              <a:gd name="T6" fmla="*/ 26 w 343"/>
                              <a:gd name="T7" fmla="*/ 92 h 379"/>
                              <a:gd name="T8" fmla="*/ 96 w 343"/>
                              <a:gd name="T9" fmla="*/ 25 h 379"/>
                              <a:gd name="T10" fmla="*/ 197 w 343"/>
                              <a:gd name="T11" fmla="*/ 0 h 379"/>
                              <a:gd name="T12" fmla="*/ 280 w 343"/>
                              <a:gd name="T13" fmla="*/ 16 h 379"/>
                              <a:gd name="T14" fmla="*/ 343 w 343"/>
                              <a:gd name="T15" fmla="*/ 62 h 379"/>
                              <a:gd name="T16" fmla="*/ 299 w 343"/>
                              <a:gd name="T17" fmla="*/ 104 h 379"/>
                              <a:gd name="T18" fmla="*/ 200 w 343"/>
                              <a:gd name="T19" fmla="*/ 60 h 379"/>
                              <a:gd name="T20" fmla="*/ 132 w 343"/>
                              <a:gd name="T21" fmla="*/ 77 h 379"/>
                              <a:gd name="T22" fmla="*/ 86 w 343"/>
                              <a:gd name="T23" fmla="*/ 123 h 379"/>
                              <a:gd name="T24" fmla="*/ 69 w 343"/>
                              <a:gd name="T25" fmla="*/ 190 h 379"/>
                              <a:gd name="T26" fmla="*/ 86 w 343"/>
                              <a:gd name="T27" fmla="*/ 257 h 379"/>
                              <a:gd name="T28" fmla="*/ 132 w 343"/>
                              <a:gd name="T29" fmla="*/ 303 h 379"/>
                              <a:gd name="T30" fmla="*/ 200 w 343"/>
                              <a:gd name="T31" fmla="*/ 319 h 379"/>
                              <a:gd name="T32" fmla="*/ 299 w 343"/>
                              <a:gd name="T33" fmla="*/ 276 h 379"/>
                              <a:gd name="T34" fmla="*/ 343 w 343"/>
                              <a:gd name="T35" fmla="*/ 318 h 379"/>
                              <a:gd name="T36" fmla="*/ 280 w 343"/>
                              <a:gd name="T37" fmla="*/ 364 h 379"/>
                              <a:gd name="T38" fmla="*/ 197 w 343"/>
                              <a:gd name="T39" fmla="*/ 379 h 379"/>
                              <a:gd name="T40" fmla="*/ 96 w 343"/>
                              <a:gd name="T41" fmla="*/ 355 h 3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43" h="379">
                                <a:moveTo>
                                  <a:pt x="96" y="355"/>
                                </a:moveTo>
                                <a:cubicBezTo>
                                  <a:pt x="66" y="339"/>
                                  <a:pt x="42" y="316"/>
                                  <a:pt x="25" y="287"/>
                                </a:cubicBezTo>
                                <a:cubicBezTo>
                                  <a:pt x="8" y="258"/>
                                  <a:pt x="0" y="226"/>
                                  <a:pt x="0" y="190"/>
                                </a:cubicBezTo>
                                <a:cubicBezTo>
                                  <a:pt x="0" y="154"/>
                                  <a:pt x="8" y="121"/>
                                  <a:pt x="26" y="92"/>
                                </a:cubicBezTo>
                                <a:cubicBezTo>
                                  <a:pt x="43" y="64"/>
                                  <a:pt x="66" y="41"/>
                                  <a:pt x="96" y="25"/>
                                </a:cubicBezTo>
                                <a:cubicBezTo>
                                  <a:pt x="126" y="9"/>
                                  <a:pt x="160" y="0"/>
                                  <a:pt x="197" y="0"/>
                                </a:cubicBezTo>
                                <a:cubicBezTo>
                                  <a:pt x="227" y="0"/>
                                  <a:pt x="255" y="6"/>
                                  <a:pt x="280" y="16"/>
                                </a:cubicBezTo>
                                <a:cubicBezTo>
                                  <a:pt x="305" y="27"/>
                                  <a:pt x="326" y="42"/>
                                  <a:pt x="343" y="62"/>
                                </a:cubicBezTo>
                                <a:cubicBezTo>
                                  <a:pt x="299" y="104"/>
                                  <a:pt x="299" y="104"/>
                                  <a:pt x="299" y="104"/>
                                </a:cubicBezTo>
                                <a:cubicBezTo>
                                  <a:pt x="272" y="75"/>
                                  <a:pt x="239" y="60"/>
                                  <a:pt x="200" y="60"/>
                                </a:cubicBezTo>
                                <a:cubicBezTo>
                                  <a:pt x="175" y="60"/>
                                  <a:pt x="153" y="66"/>
                                  <a:pt x="132" y="77"/>
                                </a:cubicBezTo>
                                <a:cubicBezTo>
                                  <a:pt x="112" y="88"/>
                                  <a:pt x="97" y="103"/>
                                  <a:pt x="86" y="123"/>
                                </a:cubicBezTo>
                                <a:cubicBezTo>
                                  <a:pt x="74" y="143"/>
                                  <a:pt x="69" y="165"/>
                                  <a:pt x="69" y="190"/>
                                </a:cubicBezTo>
                                <a:cubicBezTo>
                                  <a:pt x="69" y="215"/>
                                  <a:pt x="74" y="237"/>
                                  <a:pt x="86" y="257"/>
                                </a:cubicBezTo>
                                <a:cubicBezTo>
                                  <a:pt x="97" y="276"/>
                                  <a:pt x="112" y="292"/>
                                  <a:pt x="132" y="303"/>
                                </a:cubicBezTo>
                                <a:cubicBezTo>
                                  <a:pt x="153" y="314"/>
                                  <a:pt x="175" y="319"/>
                                  <a:pt x="200" y="319"/>
                                </a:cubicBezTo>
                                <a:cubicBezTo>
                                  <a:pt x="239" y="319"/>
                                  <a:pt x="272" y="305"/>
                                  <a:pt x="299" y="276"/>
                                </a:cubicBezTo>
                                <a:cubicBezTo>
                                  <a:pt x="343" y="318"/>
                                  <a:pt x="343" y="318"/>
                                  <a:pt x="343" y="318"/>
                                </a:cubicBezTo>
                                <a:cubicBezTo>
                                  <a:pt x="326" y="338"/>
                                  <a:pt x="305" y="353"/>
                                  <a:pt x="280" y="364"/>
                                </a:cubicBezTo>
                                <a:cubicBezTo>
                                  <a:pt x="254" y="374"/>
                                  <a:pt x="227" y="379"/>
                                  <a:pt x="197" y="379"/>
                                </a:cubicBezTo>
                                <a:cubicBezTo>
                                  <a:pt x="159" y="379"/>
                                  <a:pt x="126" y="371"/>
                                  <a:pt x="96" y="355"/>
                                </a:cubicBezTo>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7" name="Freeform 17"/>
                        <wps:cNvSpPr>
                          <a:spLocks/>
                        </wps:cNvSpPr>
                        <wps:spPr bwMode="auto">
                          <a:xfrm>
                            <a:off x="6463561" y="736939"/>
                            <a:ext cx="94690" cy="126083"/>
                          </a:xfrm>
                          <a:custGeom>
                            <a:avLst/>
                            <a:gdLst>
                              <a:gd name="T0" fmla="*/ 184 w 184"/>
                              <a:gd name="T1" fmla="*/ 207 h 245"/>
                              <a:gd name="T2" fmla="*/ 184 w 184"/>
                              <a:gd name="T3" fmla="*/ 245 h 245"/>
                              <a:gd name="T4" fmla="*/ 0 w 184"/>
                              <a:gd name="T5" fmla="*/ 245 h 245"/>
                              <a:gd name="T6" fmla="*/ 0 w 184"/>
                              <a:gd name="T7" fmla="*/ 0 h 245"/>
                              <a:gd name="T8" fmla="*/ 179 w 184"/>
                              <a:gd name="T9" fmla="*/ 0 h 245"/>
                              <a:gd name="T10" fmla="*/ 179 w 184"/>
                              <a:gd name="T11" fmla="*/ 38 h 245"/>
                              <a:gd name="T12" fmla="*/ 46 w 184"/>
                              <a:gd name="T13" fmla="*/ 38 h 245"/>
                              <a:gd name="T14" fmla="*/ 46 w 184"/>
                              <a:gd name="T15" fmla="*/ 102 h 245"/>
                              <a:gd name="T16" fmla="*/ 164 w 184"/>
                              <a:gd name="T17" fmla="*/ 102 h 245"/>
                              <a:gd name="T18" fmla="*/ 164 w 184"/>
                              <a:gd name="T19" fmla="*/ 139 h 245"/>
                              <a:gd name="T20" fmla="*/ 46 w 184"/>
                              <a:gd name="T21" fmla="*/ 139 h 245"/>
                              <a:gd name="T22" fmla="*/ 46 w 184"/>
                              <a:gd name="T23" fmla="*/ 207 h 245"/>
                              <a:gd name="T24" fmla="*/ 184 w 184"/>
                              <a:gd name="T25" fmla="*/ 207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84" h="245">
                                <a:moveTo>
                                  <a:pt x="184" y="207"/>
                                </a:moveTo>
                                <a:lnTo>
                                  <a:pt x="184" y="245"/>
                                </a:lnTo>
                                <a:lnTo>
                                  <a:pt x="0" y="245"/>
                                </a:lnTo>
                                <a:lnTo>
                                  <a:pt x="0" y="0"/>
                                </a:lnTo>
                                <a:lnTo>
                                  <a:pt x="179" y="0"/>
                                </a:lnTo>
                                <a:lnTo>
                                  <a:pt x="179" y="38"/>
                                </a:lnTo>
                                <a:lnTo>
                                  <a:pt x="46" y="38"/>
                                </a:lnTo>
                                <a:lnTo>
                                  <a:pt x="46" y="102"/>
                                </a:lnTo>
                                <a:lnTo>
                                  <a:pt x="164" y="102"/>
                                </a:lnTo>
                                <a:lnTo>
                                  <a:pt x="164" y="139"/>
                                </a:lnTo>
                                <a:lnTo>
                                  <a:pt x="46" y="139"/>
                                </a:lnTo>
                                <a:lnTo>
                                  <a:pt x="46" y="207"/>
                                </a:lnTo>
                                <a:lnTo>
                                  <a:pt x="184" y="207"/>
                                </a:lnTo>
                                <a:close/>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8" name="Freeform 18"/>
                        <wps:cNvSpPr>
                          <a:spLocks/>
                        </wps:cNvSpPr>
                        <wps:spPr bwMode="auto">
                          <a:xfrm>
                            <a:off x="6645223" y="734880"/>
                            <a:ext cx="100351" cy="129685"/>
                          </a:xfrm>
                          <a:custGeom>
                            <a:avLst/>
                            <a:gdLst>
                              <a:gd name="T0" fmla="*/ 63 w 294"/>
                              <a:gd name="T1" fmla="*/ 367 h 379"/>
                              <a:gd name="T2" fmla="*/ 0 w 294"/>
                              <a:gd name="T3" fmla="*/ 335 h 379"/>
                              <a:gd name="T4" fmla="*/ 24 w 294"/>
                              <a:gd name="T5" fmla="*/ 282 h 379"/>
                              <a:gd name="T6" fmla="*/ 79 w 294"/>
                              <a:gd name="T7" fmla="*/ 311 h 379"/>
                              <a:gd name="T8" fmla="*/ 145 w 294"/>
                              <a:gd name="T9" fmla="*/ 322 h 379"/>
                              <a:gd name="T10" fmla="*/ 207 w 294"/>
                              <a:gd name="T11" fmla="*/ 309 h 379"/>
                              <a:gd name="T12" fmla="*/ 227 w 294"/>
                              <a:gd name="T13" fmla="*/ 275 h 379"/>
                              <a:gd name="T14" fmla="*/ 216 w 294"/>
                              <a:gd name="T15" fmla="*/ 249 h 379"/>
                              <a:gd name="T16" fmla="*/ 187 w 294"/>
                              <a:gd name="T17" fmla="*/ 233 h 379"/>
                              <a:gd name="T18" fmla="*/ 140 w 294"/>
                              <a:gd name="T19" fmla="*/ 219 h 379"/>
                              <a:gd name="T20" fmla="*/ 72 w 294"/>
                              <a:gd name="T21" fmla="*/ 199 h 379"/>
                              <a:gd name="T22" fmla="*/ 27 w 294"/>
                              <a:gd name="T23" fmla="*/ 168 h 379"/>
                              <a:gd name="T24" fmla="*/ 8 w 294"/>
                              <a:gd name="T25" fmla="*/ 110 h 379"/>
                              <a:gd name="T26" fmla="*/ 25 w 294"/>
                              <a:gd name="T27" fmla="*/ 55 h 379"/>
                              <a:gd name="T28" fmla="*/ 75 w 294"/>
                              <a:gd name="T29" fmla="*/ 15 h 379"/>
                              <a:gd name="T30" fmla="*/ 157 w 294"/>
                              <a:gd name="T31" fmla="*/ 0 h 379"/>
                              <a:gd name="T32" fmla="*/ 223 w 294"/>
                              <a:gd name="T33" fmla="*/ 9 h 379"/>
                              <a:gd name="T34" fmla="*/ 279 w 294"/>
                              <a:gd name="T35" fmla="*/ 33 h 379"/>
                              <a:gd name="T36" fmla="*/ 258 w 294"/>
                              <a:gd name="T37" fmla="*/ 86 h 379"/>
                              <a:gd name="T38" fmla="*/ 207 w 294"/>
                              <a:gd name="T39" fmla="*/ 65 h 379"/>
                              <a:gd name="T40" fmla="*/ 156 w 294"/>
                              <a:gd name="T41" fmla="*/ 57 h 379"/>
                              <a:gd name="T42" fmla="*/ 96 w 294"/>
                              <a:gd name="T43" fmla="*/ 71 h 379"/>
                              <a:gd name="T44" fmla="*/ 76 w 294"/>
                              <a:gd name="T45" fmla="*/ 107 h 379"/>
                              <a:gd name="T46" fmla="*/ 87 w 294"/>
                              <a:gd name="T47" fmla="*/ 133 h 379"/>
                              <a:gd name="T48" fmla="*/ 116 w 294"/>
                              <a:gd name="T49" fmla="*/ 149 h 379"/>
                              <a:gd name="T50" fmla="*/ 163 w 294"/>
                              <a:gd name="T51" fmla="*/ 162 h 379"/>
                              <a:gd name="T52" fmla="*/ 231 w 294"/>
                              <a:gd name="T53" fmla="*/ 182 h 379"/>
                              <a:gd name="T54" fmla="*/ 276 w 294"/>
                              <a:gd name="T55" fmla="*/ 213 h 379"/>
                              <a:gd name="T56" fmla="*/ 294 w 294"/>
                              <a:gd name="T57" fmla="*/ 270 h 379"/>
                              <a:gd name="T58" fmla="*/ 278 w 294"/>
                              <a:gd name="T59" fmla="*/ 325 h 379"/>
                              <a:gd name="T60" fmla="*/ 228 w 294"/>
                              <a:gd name="T61" fmla="*/ 365 h 379"/>
                              <a:gd name="T62" fmla="*/ 145 w 294"/>
                              <a:gd name="T63" fmla="*/ 379 h 379"/>
                              <a:gd name="T64" fmla="*/ 63 w 294"/>
                              <a:gd name="T65" fmla="*/ 367 h 3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4" h="379">
                                <a:moveTo>
                                  <a:pt x="63" y="367"/>
                                </a:moveTo>
                                <a:cubicBezTo>
                                  <a:pt x="37" y="359"/>
                                  <a:pt x="16" y="348"/>
                                  <a:pt x="0" y="335"/>
                                </a:cubicBezTo>
                                <a:cubicBezTo>
                                  <a:pt x="24" y="282"/>
                                  <a:pt x="24" y="282"/>
                                  <a:pt x="24" y="282"/>
                                </a:cubicBezTo>
                                <a:cubicBezTo>
                                  <a:pt x="39" y="294"/>
                                  <a:pt x="58" y="304"/>
                                  <a:pt x="79" y="311"/>
                                </a:cubicBezTo>
                                <a:cubicBezTo>
                                  <a:pt x="101" y="319"/>
                                  <a:pt x="123" y="322"/>
                                  <a:pt x="145" y="322"/>
                                </a:cubicBezTo>
                                <a:cubicBezTo>
                                  <a:pt x="173" y="322"/>
                                  <a:pt x="193" y="318"/>
                                  <a:pt x="207" y="309"/>
                                </a:cubicBezTo>
                                <a:cubicBezTo>
                                  <a:pt x="220" y="301"/>
                                  <a:pt x="227" y="289"/>
                                  <a:pt x="227" y="275"/>
                                </a:cubicBezTo>
                                <a:cubicBezTo>
                                  <a:pt x="227" y="264"/>
                                  <a:pt x="223" y="255"/>
                                  <a:pt x="216" y="249"/>
                                </a:cubicBezTo>
                                <a:cubicBezTo>
                                  <a:pt x="208" y="242"/>
                                  <a:pt x="199" y="236"/>
                                  <a:pt x="187" y="233"/>
                                </a:cubicBezTo>
                                <a:cubicBezTo>
                                  <a:pt x="176" y="229"/>
                                  <a:pt x="160" y="224"/>
                                  <a:pt x="140" y="219"/>
                                </a:cubicBezTo>
                                <a:cubicBezTo>
                                  <a:pt x="112" y="213"/>
                                  <a:pt x="89" y="206"/>
                                  <a:pt x="72" y="199"/>
                                </a:cubicBezTo>
                                <a:cubicBezTo>
                                  <a:pt x="54" y="193"/>
                                  <a:pt x="39" y="182"/>
                                  <a:pt x="27" y="168"/>
                                </a:cubicBezTo>
                                <a:cubicBezTo>
                                  <a:pt x="14" y="154"/>
                                  <a:pt x="8" y="135"/>
                                  <a:pt x="8" y="110"/>
                                </a:cubicBezTo>
                                <a:cubicBezTo>
                                  <a:pt x="8" y="90"/>
                                  <a:pt x="14" y="72"/>
                                  <a:pt x="25" y="55"/>
                                </a:cubicBezTo>
                                <a:cubicBezTo>
                                  <a:pt x="36" y="38"/>
                                  <a:pt x="52" y="25"/>
                                  <a:pt x="75" y="15"/>
                                </a:cubicBezTo>
                                <a:cubicBezTo>
                                  <a:pt x="97" y="5"/>
                                  <a:pt x="124" y="0"/>
                                  <a:pt x="157" y="0"/>
                                </a:cubicBezTo>
                                <a:cubicBezTo>
                                  <a:pt x="179" y="0"/>
                                  <a:pt x="201" y="3"/>
                                  <a:pt x="223" y="9"/>
                                </a:cubicBezTo>
                                <a:cubicBezTo>
                                  <a:pt x="245" y="15"/>
                                  <a:pt x="263" y="23"/>
                                  <a:pt x="279" y="33"/>
                                </a:cubicBezTo>
                                <a:cubicBezTo>
                                  <a:pt x="258" y="86"/>
                                  <a:pt x="258" y="86"/>
                                  <a:pt x="258" y="86"/>
                                </a:cubicBezTo>
                                <a:cubicBezTo>
                                  <a:pt x="241" y="77"/>
                                  <a:pt x="225" y="70"/>
                                  <a:pt x="207" y="65"/>
                                </a:cubicBezTo>
                                <a:cubicBezTo>
                                  <a:pt x="190" y="60"/>
                                  <a:pt x="173" y="57"/>
                                  <a:pt x="156" y="57"/>
                                </a:cubicBezTo>
                                <a:cubicBezTo>
                                  <a:pt x="129" y="57"/>
                                  <a:pt x="109" y="62"/>
                                  <a:pt x="96" y="71"/>
                                </a:cubicBezTo>
                                <a:cubicBezTo>
                                  <a:pt x="83" y="80"/>
                                  <a:pt x="76" y="92"/>
                                  <a:pt x="76" y="107"/>
                                </a:cubicBezTo>
                                <a:cubicBezTo>
                                  <a:pt x="76" y="118"/>
                                  <a:pt x="80" y="126"/>
                                  <a:pt x="87" y="133"/>
                                </a:cubicBezTo>
                                <a:cubicBezTo>
                                  <a:pt x="95" y="140"/>
                                  <a:pt x="104" y="145"/>
                                  <a:pt x="116" y="149"/>
                                </a:cubicBezTo>
                                <a:cubicBezTo>
                                  <a:pt x="128" y="153"/>
                                  <a:pt x="143" y="157"/>
                                  <a:pt x="163" y="162"/>
                                </a:cubicBezTo>
                                <a:cubicBezTo>
                                  <a:pt x="191" y="168"/>
                                  <a:pt x="213" y="175"/>
                                  <a:pt x="231" y="182"/>
                                </a:cubicBezTo>
                                <a:cubicBezTo>
                                  <a:pt x="248" y="189"/>
                                  <a:pt x="263" y="199"/>
                                  <a:pt x="276" y="213"/>
                                </a:cubicBezTo>
                                <a:cubicBezTo>
                                  <a:pt x="288" y="227"/>
                                  <a:pt x="294" y="246"/>
                                  <a:pt x="294" y="270"/>
                                </a:cubicBezTo>
                                <a:cubicBezTo>
                                  <a:pt x="294" y="290"/>
                                  <a:pt x="289" y="309"/>
                                  <a:pt x="278" y="325"/>
                                </a:cubicBezTo>
                                <a:cubicBezTo>
                                  <a:pt x="267" y="342"/>
                                  <a:pt x="250" y="355"/>
                                  <a:pt x="228" y="365"/>
                                </a:cubicBezTo>
                                <a:cubicBezTo>
                                  <a:pt x="205" y="374"/>
                                  <a:pt x="178" y="379"/>
                                  <a:pt x="145" y="379"/>
                                </a:cubicBezTo>
                                <a:cubicBezTo>
                                  <a:pt x="117" y="379"/>
                                  <a:pt x="90" y="375"/>
                                  <a:pt x="63" y="367"/>
                                </a:cubicBezTo>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30" name="Freeform 19"/>
                        <wps:cNvSpPr>
                          <a:spLocks noEditPoints="1"/>
                        </wps:cNvSpPr>
                        <wps:spPr bwMode="auto">
                          <a:xfrm>
                            <a:off x="4816772" y="322154"/>
                            <a:ext cx="360750" cy="328329"/>
                          </a:xfrm>
                          <a:custGeom>
                            <a:avLst/>
                            <a:gdLst>
                              <a:gd name="T0" fmla="*/ 781 w 1057"/>
                              <a:gd name="T1" fmla="*/ 961 h 961"/>
                              <a:gd name="T2" fmla="*/ 1055 w 1057"/>
                              <a:gd name="T3" fmla="*/ 961 h 961"/>
                              <a:gd name="T4" fmla="*/ 1054 w 1057"/>
                              <a:gd name="T5" fmla="*/ 460 h 961"/>
                              <a:gd name="T6" fmla="*/ 574 w 1057"/>
                              <a:gd name="T7" fmla="*/ 0 h 961"/>
                              <a:gd name="T8" fmla="*/ 481 w 1057"/>
                              <a:gd name="T9" fmla="*/ 0 h 961"/>
                              <a:gd name="T10" fmla="*/ 0 w 1057"/>
                              <a:gd name="T11" fmla="*/ 481 h 961"/>
                              <a:gd name="T12" fmla="*/ 480 w 1057"/>
                              <a:gd name="T13" fmla="*/ 961 h 961"/>
                              <a:gd name="T14" fmla="*/ 781 w 1057"/>
                              <a:gd name="T15" fmla="*/ 823 h 961"/>
                              <a:gd name="T16" fmla="*/ 781 w 1057"/>
                              <a:gd name="T17" fmla="*/ 961 h 961"/>
                              <a:gd name="T18" fmla="*/ 527 w 1057"/>
                              <a:gd name="T19" fmla="*/ 735 h 961"/>
                              <a:gd name="T20" fmla="*/ 273 w 1057"/>
                              <a:gd name="T21" fmla="*/ 480 h 961"/>
                              <a:gd name="T22" fmla="*/ 527 w 1057"/>
                              <a:gd name="T23" fmla="*/ 226 h 961"/>
                              <a:gd name="T24" fmla="*/ 782 w 1057"/>
                              <a:gd name="T25" fmla="*/ 480 h 961"/>
                              <a:gd name="T26" fmla="*/ 527 w 1057"/>
                              <a:gd name="T27" fmla="*/ 735 h 9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057" h="961">
                                <a:moveTo>
                                  <a:pt x="781" y="961"/>
                                </a:moveTo>
                                <a:cubicBezTo>
                                  <a:pt x="1055" y="961"/>
                                  <a:pt x="1055" y="961"/>
                                  <a:pt x="1055" y="961"/>
                                </a:cubicBezTo>
                                <a:cubicBezTo>
                                  <a:pt x="1055" y="961"/>
                                  <a:pt x="1057" y="585"/>
                                  <a:pt x="1054" y="460"/>
                                </a:cubicBezTo>
                                <a:cubicBezTo>
                                  <a:pt x="1049" y="204"/>
                                  <a:pt x="833" y="0"/>
                                  <a:pt x="574" y="0"/>
                                </a:cubicBezTo>
                                <a:cubicBezTo>
                                  <a:pt x="481" y="0"/>
                                  <a:pt x="481" y="0"/>
                                  <a:pt x="481" y="0"/>
                                </a:cubicBezTo>
                                <a:cubicBezTo>
                                  <a:pt x="215" y="0"/>
                                  <a:pt x="0" y="215"/>
                                  <a:pt x="0" y="481"/>
                                </a:cubicBezTo>
                                <a:cubicBezTo>
                                  <a:pt x="0" y="746"/>
                                  <a:pt x="215" y="961"/>
                                  <a:pt x="480" y="961"/>
                                </a:cubicBezTo>
                                <a:cubicBezTo>
                                  <a:pt x="601" y="961"/>
                                  <a:pt x="708" y="908"/>
                                  <a:pt x="781" y="823"/>
                                </a:cubicBezTo>
                                <a:lnTo>
                                  <a:pt x="781" y="961"/>
                                </a:lnTo>
                                <a:close/>
                                <a:moveTo>
                                  <a:pt x="527" y="735"/>
                                </a:moveTo>
                                <a:cubicBezTo>
                                  <a:pt x="387" y="735"/>
                                  <a:pt x="273" y="621"/>
                                  <a:pt x="273" y="480"/>
                                </a:cubicBezTo>
                                <a:cubicBezTo>
                                  <a:pt x="273" y="340"/>
                                  <a:pt x="387" y="226"/>
                                  <a:pt x="527" y="226"/>
                                </a:cubicBezTo>
                                <a:cubicBezTo>
                                  <a:pt x="668" y="226"/>
                                  <a:pt x="782" y="340"/>
                                  <a:pt x="782" y="480"/>
                                </a:cubicBezTo>
                                <a:cubicBezTo>
                                  <a:pt x="782" y="621"/>
                                  <a:pt x="668" y="735"/>
                                  <a:pt x="527" y="735"/>
                                </a:cubicBezTo>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31" name="Freeform 20"/>
                        <wps:cNvSpPr>
                          <a:spLocks noEditPoints="1"/>
                        </wps:cNvSpPr>
                        <wps:spPr bwMode="auto">
                          <a:xfrm>
                            <a:off x="5214574" y="220773"/>
                            <a:ext cx="360750" cy="429709"/>
                          </a:xfrm>
                          <a:custGeom>
                            <a:avLst/>
                            <a:gdLst>
                              <a:gd name="T0" fmla="*/ 276 w 1057"/>
                              <a:gd name="T1" fmla="*/ 0 h 1258"/>
                              <a:gd name="T2" fmla="*/ 2 w 1057"/>
                              <a:gd name="T3" fmla="*/ 0 h 1258"/>
                              <a:gd name="T4" fmla="*/ 3 w 1057"/>
                              <a:gd name="T5" fmla="*/ 798 h 1258"/>
                              <a:gd name="T6" fmla="*/ 483 w 1057"/>
                              <a:gd name="T7" fmla="*/ 1258 h 1258"/>
                              <a:gd name="T8" fmla="*/ 576 w 1057"/>
                              <a:gd name="T9" fmla="*/ 1258 h 1258"/>
                              <a:gd name="T10" fmla="*/ 1057 w 1057"/>
                              <a:gd name="T11" fmla="*/ 778 h 1258"/>
                              <a:gd name="T12" fmla="*/ 577 w 1057"/>
                              <a:gd name="T13" fmla="*/ 297 h 1258"/>
                              <a:gd name="T14" fmla="*/ 276 w 1057"/>
                              <a:gd name="T15" fmla="*/ 435 h 1258"/>
                              <a:gd name="T16" fmla="*/ 276 w 1057"/>
                              <a:gd name="T17" fmla="*/ 0 h 1258"/>
                              <a:gd name="T18" fmla="*/ 530 w 1057"/>
                              <a:gd name="T19" fmla="*/ 523 h 1258"/>
                              <a:gd name="T20" fmla="*/ 784 w 1057"/>
                              <a:gd name="T21" fmla="*/ 778 h 1258"/>
                              <a:gd name="T22" fmla="*/ 530 w 1057"/>
                              <a:gd name="T23" fmla="*/ 1032 h 1258"/>
                              <a:gd name="T24" fmla="*/ 275 w 1057"/>
                              <a:gd name="T25" fmla="*/ 778 h 1258"/>
                              <a:gd name="T26" fmla="*/ 530 w 1057"/>
                              <a:gd name="T27" fmla="*/ 523 h 12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057" h="1258">
                                <a:moveTo>
                                  <a:pt x="276" y="0"/>
                                </a:moveTo>
                                <a:cubicBezTo>
                                  <a:pt x="2" y="0"/>
                                  <a:pt x="2" y="0"/>
                                  <a:pt x="2" y="0"/>
                                </a:cubicBezTo>
                                <a:cubicBezTo>
                                  <a:pt x="2" y="0"/>
                                  <a:pt x="0" y="673"/>
                                  <a:pt x="3" y="798"/>
                                </a:cubicBezTo>
                                <a:cubicBezTo>
                                  <a:pt x="9" y="1054"/>
                                  <a:pt x="225" y="1258"/>
                                  <a:pt x="483" y="1258"/>
                                </a:cubicBezTo>
                                <a:cubicBezTo>
                                  <a:pt x="576" y="1258"/>
                                  <a:pt x="576" y="1258"/>
                                  <a:pt x="576" y="1258"/>
                                </a:cubicBezTo>
                                <a:cubicBezTo>
                                  <a:pt x="842" y="1258"/>
                                  <a:pt x="1057" y="1043"/>
                                  <a:pt x="1057" y="778"/>
                                </a:cubicBezTo>
                                <a:cubicBezTo>
                                  <a:pt x="1057" y="512"/>
                                  <a:pt x="842" y="297"/>
                                  <a:pt x="577" y="297"/>
                                </a:cubicBezTo>
                                <a:cubicBezTo>
                                  <a:pt x="456" y="297"/>
                                  <a:pt x="349" y="350"/>
                                  <a:pt x="276" y="435"/>
                                </a:cubicBezTo>
                                <a:lnTo>
                                  <a:pt x="276" y="0"/>
                                </a:lnTo>
                                <a:close/>
                                <a:moveTo>
                                  <a:pt x="530" y="523"/>
                                </a:moveTo>
                                <a:cubicBezTo>
                                  <a:pt x="670" y="523"/>
                                  <a:pt x="784" y="637"/>
                                  <a:pt x="784" y="778"/>
                                </a:cubicBezTo>
                                <a:cubicBezTo>
                                  <a:pt x="784" y="918"/>
                                  <a:pt x="670" y="1032"/>
                                  <a:pt x="530" y="1032"/>
                                </a:cubicBezTo>
                                <a:cubicBezTo>
                                  <a:pt x="389" y="1032"/>
                                  <a:pt x="275" y="918"/>
                                  <a:pt x="275" y="778"/>
                                </a:cubicBezTo>
                                <a:cubicBezTo>
                                  <a:pt x="275" y="637"/>
                                  <a:pt x="389" y="523"/>
                                  <a:pt x="530" y="523"/>
                                </a:cubicBezTo>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32" name="Freeform 21"/>
                        <wps:cNvSpPr>
                          <a:spLocks noEditPoints="1"/>
                        </wps:cNvSpPr>
                        <wps:spPr bwMode="auto">
                          <a:xfrm>
                            <a:off x="5611862" y="318037"/>
                            <a:ext cx="340680" cy="326785"/>
                          </a:xfrm>
                          <a:custGeom>
                            <a:avLst/>
                            <a:gdLst>
                              <a:gd name="T0" fmla="*/ 298 w 998"/>
                              <a:gd name="T1" fmla="*/ 545 h 957"/>
                              <a:gd name="T2" fmla="*/ 994 w 998"/>
                              <a:gd name="T3" fmla="*/ 545 h 957"/>
                              <a:gd name="T4" fmla="*/ 871 w 998"/>
                              <a:gd name="T5" fmla="*/ 145 h 957"/>
                              <a:gd name="T6" fmla="*/ 495 w 998"/>
                              <a:gd name="T7" fmla="*/ 0 h 957"/>
                              <a:gd name="T8" fmla="*/ 137 w 998"/>
                              <a:gd name="T9" fmla="*/ 131 h 957"/>
                              <a:gd name="T10" fmla="*/ 0 w 998"/>
                              <a:gd name="T11" fmla="*/ 467 h 957"/>
                              <a:gd name="T12" fmla="*/ 146 w 998"/>
                              <a:gd name="T13" fmla="*/ 825 h 957"/>
                              <a:gd name="T14" fmla="*/ 537 w 998"/>
                              <a:gd name="T15" fmla="*/ 957 h 957"/>
                              <a:gd name="T16" fmla="*/ 687 w 998"/>
                              <a:gd name="T17" fmla="*/ 957 h 957"/>
                              <a:gd name="T18" fmla="*/ 825 w 998"/>
                              <a:gd name="T19" fmla="*/ 753 h 957"/>
                              <a:gd name="T20" fmla="*/ 580 w 998"/>
                              <a:gd name="T21" fmla="*/ 753 h 957"/>
                              <a:gd name="T22" fmla="*/ 298 w 998"/>
                              <a:gd name="T23" fmla="*/ 545 h 957"/>
                              <a:gd name="T24" fmla="*/ 364 w 998"/>
                              <a:gd name="T25" fmla="*/ 238 h 957"/>
                              <a:gd name="T26" fmla="*/ 503 w 998"/>
                              <a:gd name="T27" fmla="*/ 189 h 957"/>
                              <a:gd name="T28" fmla="*/ 640 w 998"/>
                              <a:gd name="T29" fmla="*/ 236 h 957"/>
                              <a:gd name="T30" fmla="*/ 704 w 998"/>
                              <a:gd name="T31" fmla="*/ 365 h 957"/>
                              <a:gd name="T32" fmla="*/ 291 w 998"/>
                              <a:gd name="T33" fmla="*/ 365 h 957"/>
                              <a:gd name="T34" fmla="*/ 364 w 998"/>
                              <a:gd name="T35" fmla="*/ 238 h 9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998" h="957">
                                <a:moveTo>
                                  <a:pt x="298" y="545"/>
                                </a:moveTo>
                                <a:cubicBezTo>
                                  <a:pt x="994" y="545"/>
                                  <a:pt x="994" y="545"/>
                                  <a:pt x="994" y="545"/>
                                </a:cubicBezTo>
                                <a:cubicBezTo>
                                  <a:pt x="998" y="376"/>
                                  <a:pt x="956" y="243"/>
                                  <a:pt x="871" y="145"/>
                                </a:cubicBezTo>
                                <a:cubicBezTo>
                                  <a:pt x="785" y="48"/>
                                  <a:pt x="660" y="0"/>
                                  <a:pt x="495" y="0"/>
                                </a:cubicBezTo>
                                <a:cubicBezTo>
                                  <a:pt x="347" y="0"/>
                                  <a:pt x="228" y="43"/>
                                  <a:pt x="137" y="131"/>
                                </a:cubicBezTo>
                                <a:cubicBezTo>
                                  <a:pt x="46" y="219"/>
                                  <a:pt x="0" y="331"/>
                                  <a:pt x="0" y="467"/>
                                </a:cubicBezTo>
                                <a:cubicBezTo>
                                  <a:pt x="0" y="619"/>
                                  <a:pt x="49" y="738"/>
                                  <a:pt x="146" y="825"/>
                                </a:cubicBezTo>
                                <a:cubicBezTo>
                                  <a:pt x="238" y="907"/>
                                  <a:pt x="363" y="957"/>
                                  <a:pt x="537" y="957"/>
                                </a:cubicBezTo>
                                <a:cubicBezTo>
                                  <a:pt x="687" y="957"/>
                                  <a:pt x="687" y="957"/>
                                  <a:pt x="687" y="957"/>
                                </a:cubicBezTo>
                                <a:cubicBezTo>
                                  <a:pt x="825" y="753"/>
                                  <a:pt x="825" y="753"/>
                                  <a:pt x="825" y="753"/>
                                </a:cubicBezTo>
                                <a:cubicBezTo>
                                  <a:pt x="580" y="753"/>
                                  <a:pt x="580" y="753"/>
                                  <a:pt x="580" y="753"/>
                                </a:cubicBezTo>
                                <a:cubicBezTo>
                                  <a:pt x="403" y="753"/>
                                  <a:pt x="298" y="628"/>
                                  <a:pt x="298" y="545"/>
                                </a:cubicBezTo>
                                <a:moveTo>
                                  <a:pt x="364" y="238"/>
                                </a:moveTo>
                                <a:cubicBezTo>
                                  <a:pt x="400" y="206"/>
                                  <a:pt x="447" y="189"/>
                                  <a:pt x="503" y="189"/>
                                </a:cubicBezTo>
                                <a:cubicBezTo>
                                  <a:pt x="559" y="189"/>
                                  <a:pt x="604" y="205"/>
                                  <a:pt x="640" y="236"/>
                                </a:cubicBezTo>
                                <a:cubicBezTo>
                                  <a:pt x="675" y="267"/>
                                  <a:pt x="697" y="310"/>
                                  <a:pt x="704" y="365"/>
                                </a:cubicBezTo>
                                <a:cubicBezTo>
                                  <a:pt x="291" y="365"/>
                                  <a:pt x="291" y="365"/>
                                  <a:pt x="291" y="365"/>
                                </a:cubicBezTo>
                                <a:cubicBezTo>
                                  <a:pt x="302" y="313"/>
                                  <a:pt x="327" y="270"/>
                                  <a:pt x="364" y="238"/>
                                </a:cubicBezTo>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33" name="Rectangle 233"/>
                        <wps:cNvSpPr>
                          <a:spLocks noChangeArrowheads="1"/>
                        </wps:cNvSpPr>
                        <wps:spPr bwMode="auto">
                          <a:xfrm>
                            <a:off x="5994741" y="330388"/>
                            <a:ext cx="93661" cy="314434"/>
                          </a:xfrm>
                          <a:prstGeom prst="rect">
                            <a:avLst/>
                          </a:prstGeom>
                          <a:solidFill>
                            <a:schemeClr val="tx1"/>
                          </a:solidFill>
                          <a:ln>
                            <a:noFill/>
                          </a:ln>
                        </wps:spPr>
                        <wps:bodyPr vert="horz" wrap="square" lIns="91440" tIns="45720" rIns="91440" bIns="45720" numCol="1" anchor="t" anchorCtr="0" compatLnSpc="1">
                          <a:prstTxWarp prst="textNoShape">
                            <a:avLst/>
                          </a:prstTxWarp>
                        </wps:bodyPr>
                      </wps:wsp>
                      <wps:wsp>
                        <wps:cNvPr id="234" name="Oval 23"/>
                        <wps:cNvSpPr>
                          <a:spLocks noChangeArrowheads="1"/>
                        </wps:cNvSpPr>
                        <wps:spPr bwMode="auto">
                          <a:xfrm>
                            <a:off x="5992682" y="216656"/>
                            <a:ext cx="97778" cy="91603"/>
                          </a:xfrm>
                          <a:prstGeom prst="ellipse">
                            <a:avLst/>
                          </a:prstGeom>
                          <a:solidFill>
                            <a:schemeClr val="tx1"/>
                          </a:solidFill>
                          <a:ln>
                            <a:noFill/>
                          </a:ln>
                        </wps:spPr>
                        <wps:bodyPr vert="horz" wrap="square" lIns="91440" tIns="45720" rIns="91440" bIns="45720" numCol="1" anchor="t" anchorCtr="0" compatLnSpc="1">
                          <a:prstTxWarp prst="textNoShape">
                            <a:avLst/>
                          </a:prstTxWarp>
                        </wps:bodyPr>
                      </wps:wsp>
                      <wps:wsp>
                        <wps:cNvPr id="235" name="Rectangle 235"/>
                        <wps:cNvSpPr>
                          <a:spLocks noChangeArrowheads="1"/>
                        </wps:cNvSpPr>
                        <wps:spPr bwMode="auto">
                          <a:xfrm>
                            <a:off x="6161478" y="220773"/>
                            <a:ext cx="93661" cy="424048"/>
                          </a:xfrm>
                          <a:prstGeom prst="rect">
                            <a:avLst/>
                          </a:prstGeom>
                          <a:solidFill>
                            <a:schemeClr val="tx1"/>
                          </a:solidFill>
                          <a:ln>
                            <a:noFill/>
                          </a:ln>
                        </wps:spPr>
                        <wps:bodyPr vert="horz" wrap="square" lIns="91440" tIns="45720" rIns="91440" bIns="45720" numCol="1" anchor="t" anchorCtr="0" compatLnSpc="1">
                          <a:prstTxWarp prst="textNoShape">
                            <a:avLst/>
                          </a:prstTxWarp>
                        </wps:bodyPr>
                      </wps:wsp>
                      <wps:wsp>
                        <wps:cNvPr id="236" name="Rectangle 236"/>
                        <wps:cNvSpPr>
                          <a:spLocks noChangeArrowheads="1"/>
                        </wps:cNvSpPr>
                        <wps:spPr bwMode="auto">
                          <a:xfrm>
                            <a:off x="6328216" y="220773"/>
                            <a:ext cx="93661" cy="424048"/>
                          </a:xfrm>
                          <a:prstGeom prst="rect">
                            <a:avLst/>
                          </a:prstGeom>
                          <a:solidFill>
                            <a:schemeClr val="tx1"/>
                          </a:solidFill>
                          <a:ln>
                            <a:noFill/>
                          </a:ln>
                        </wps:spPr>
                        <wps:bodyPr vert="horz" wrap="square" lIns="91440" tIns="45720" rIns="91440" bIns="45720" numCol="1" anchor="t" anchorCtr="0" compatLnSpc="1">
                          <a:prstTxWarp prst="textNoShape">
                            <a:avLst/>
                          </a:prstTxWarp>
                        </wps:bodyPr>
                      </wps:wsp>
                      <wps:wsp>
                        <wps:cNvPr id="237" name="Freeform 26"/>
                        <wps:cNvSpPr>
                          <a:spLocks noEditPoints="1"/>
                        </wps:cNvSpPr>
                        <wps:spPr bwMode="auto">
                          <a:xfrm>
                            <a:off x="6461503" y="318037"/>
                            <a:ext cx="340680" cy="326785"/>
                          </a:xfrm>
                          <a:custGeom>
                            <a:avLst/>
                            <a:gdLst>
                              <a:gd name="T0" fmla="*/ 297 w 997"/>
                              <a:gd name="T1" fmla="*/ 545 h 957"/>
                              <a:gd name="T2" fmla="*/ 993 w 997"/>
                              <a:gd name="T3" fmla="*/ 545 h 957"/>
                              <a:gd name="T4" fmla="*/ 870 w 997"/>
                              <a:gd name="T5" fmla="*/ 145 h 957"/>
                              <a:gd name="T6" fmla="*/ 494 w 997"/>
                              <a:gd name="T7" fmla="*/ 0 h 957"/>
                              <a:gd name="T8" fmla="*/ 136 w 997"/>
                              <a:gd name="T9" fmla="*/ 131 h 957"/>
                              <a:gd name="T10" fmla="*/ 0 w 997"/>
                              <a:gd name="T11" fmla="*/ 467 h 957"/>
                              <a:gd name="T12" fmla="*/ 146 w 997"/>
                              <a:gd name="T13" fmla="*/ 825 h 957"/>
                              <a:gd name="T14" fmla="*/ 536 w 997"/>
                              <a:gd name="T15" fmla="*/ 957 h 957"/>
                              <a:gd name="T16" fmla="*/ 686 w 997"/>
                              <a:gd name="T17" fmla="*/ 957 h 957"/>
                              <a:gd name="T18" fmla="*/ 825 w 997"/>
                              <a:gd name="T19" fmla="*/ 753 h 957"/>
                              <a:gd name="T20" fmla="*/ 579 w 997"/>
                              <a:gd name="T21" fmla="*/ 753 h 957"/>
                              <a:gd name="T22" fmla="*/ 297 w 997"/>
                              <a:gd name="T23" fmla="*/ 545 h 957"/>
                              <a:gd name="T24" fmla="*/ 363 w 997"/>
                              <a:gd name="T25" fmla="*/ 238 h 957"/>
                              <a:gd name="T26" fmla="*/ 503 w 997"/>
                              <a:gd name="T27" fmla="*/ 189 h 957"/>
                              <a:gd name="T28" fmla="*/ 639 w 997"/>
                              <a:gd name="T29" fmla="*/ 236 h 957"/>
                              <a:gd name="T30" fmla="*/ 703 w 997"/>
                              <a:gd name="T31" fmla="*/ 365 h 957"/>
                              <a:gd name="T32" fmla="*/ 290 w 997"/>
                              <a:gd name="T33" fmla="*/ 365 h 957"/>
                              <a:gd name="T34" fmla="*/ 363 w 997"/>
                              <a:gd name="T35" fmla="*/ 238 h 9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997" h="957">
                                <a:moveTo>
                                  <a:pt x="297" y="545"/>
                                </a:moveTo>
                                <a:cubicBezTo>
                                  <a:pt x="993" y="545"/>
                                  <a:pt x="993" y="545"/>
                                  <a:pt x="993" y="545"/>
                                </a:cubicBezTo>
                                <a:cubicBezTo>
                                  <a:pt x="997" y="376"/>
                                  <a:pt x="956" y="243"/>
                                  <a:pt x="870" y="145"/>
                                </a:cubicBezTo>
                                <a:cubicBezTo>
                                  <a:pt x="785" y="48"/>
                                  <a:pt x="659" y="0"/>
                                  <a:pt x="494" y="0"/>
                                </a:cubicBezTo>
                                <a:cubicBezTo>
                                  <a:pt x="346" y="0"/>
                                  <a:pt x="227" y="43"/>
                                  <a:pt x="136" y="131"/>
                                </a:cubicBezTo>
                                <a:cubicBezTo>
                                  <a:pt x="45" y="219"/>
                                  <a:pt x="0" y="331"/>
                                  <a:pt x="0" y="467"/>
                                </a:cubicBezTo>
                                <a:cubicBezTo>
                                  <a:pt x="0" y="619"/>
                                  <a:pt x="48" y="738"/>
                                  <a:pt x="146" y="825"/>
                                </a:cubicBezTo>
                                <a:cubicBezTo>
                                  <a:pt x="237" y="907"/>
                                  <a:pt x="362" y="957"/>
                                  <a:pt x="536" y="957"/>
                                </a:cubicBezTo>
                                <a:cubicBezTo>
                                  <a:pt x="686" y="957"/>
                                  <a:pt x="686" y="957"/>
                                  <a:pt x="686" y="957"/>
                                </a:cubicBezTo>
                                <a:cubicBezTo>
                                  <a:pt x="825" y="753"/>
                                  <a:pt x="825" y="753"/>
                                  <a:pt x="825" y="753"/>
                                </a:cubicBezTo>
                                <a:cubicBezTo>
                                  <a:pt x="579" y="753"/>
                                  <a:pt x="579" y="753"/>
                                  <a:pt x="579" y="753"/>
                                </a:cubicBezTo>
                                <a:cubicBezTo>
                                  <a:pt x="402" y="753"/>
                                  <a:pt x="297" y="628"/>
                                  <a:pt x="297" y="545"/>
                                </a:cubicBezTo>
                                <a:moveTo>
                                  <a:pt x="363" y="238"/>
                                </a:moveTo>
                                <a:cubicBezTo>
                                  <a:pt x="400" y="206"/>
                                  <a:pt x="446" y="189"/>
                                  <a:pt x="503" y="189"/>
                                </a:cubicBezTo>
                                <a:cubicBezTo>
                                  <a:pt x="558" y="189"/>
                                  <a:pt x="603" y="205"/>
                                  <a:pt x="639" y="236"/>
                                </a:cubicBezTo>
                                <a:cubicBezTo>
                                  <a:pt x="675" y="267"/>
                                  <a:pt x="696" y="310"/>
                                  <a:pt x="703" y="365"/>
                                </a:cubicBezTo>
                                <a:cubicBezTo>
                                  <a:pt x="290" y="365"/>
                                  <a:pt x="290" y="365"/>
                                  <a:pt x="290" y="365"/>
                                </a:cubicBezTo>
                                <a:cubicBezTo>
                                  <a:pt x="302" y="313"/>
                                  <a:pt x="326" y="270"/>
                                  <a:pt x="363" y="238"/>
                                </a:cubicBezTo>
                              </a:path>
                            </a:pathLst>
                          </a:custGeom>
                          <a:solidFill>
                            <a:schemeClr val="tx1"/>
                          </a:solidFill>
                          <a:ln>
                            <a:noFill/>
                          </a:ln>
                        </wps:spPr>
                        <wps:bodyPr vert="horz" wrap="square" lIns="91440" tIns="45720" rIns="91440" bIns="45720" numCol="1" anchor="t" anchorCtr="0" compatLnSpc="1">
                          <a:prstTxWarp prst="textNoShape">
                            <a:avLst/>
                          </a:prstTxWarp>
                        </wps:bodyPr>
                      </wps:wsp>
                    </wpg:grpSp>
                    <wpg:grpSp>
                      <wpg:cNvPr id="238" name="Groupe 238"/>
                      <wpg:cNvGrpSpPr/>
                      <wpg:grpSpPr>
                        <a:xfrm>
                          <a:off x="0" y="280516"/>
                          <a:ext cx="1099535" cy="199515"/>
                          <a:chOff x="0" y="280515"/>
                          <a:chExt cx="1819912" cy="330225"/>
                        </a:xfrm>
                      </wpg:grpSpPr>
                      <wps:wsp>
                        <wps:cNvPr id="239" name="Freeform 31"/>
                        <wps:cNvSpPr>
                          <a:spLocks noEditPoints="1"/>
                        </wps:cNvSpPr>
                        <wps:spPr bwMode="auto">
                          <a:xfrm>
                            <a:off x="0" y="292046"/>
                            <a:ext cx="107979" cy="96447"/>
                          </a:xfrm>
                          <a:custGeom>
                            <a:avLst/>
                            <a:gdLst>
                              <a:gd name="T0" fmla="*/ 72 w 103"/>
                              <a:gd name="T1" fmla="*/ 72 h 92"/>
                              <a:gd name="T2" fmla="*/ 30 w 103"/>
                              <a:gd name="T3" fmla="*/ 72 h 92"/>
                              <a:gd name="T4" fmla="*/ 22 w 103"/>
                              <a:gd name="T5" fmla="*/ 92 h 92"/>
                              <a:gd name="T6" fmla="*/ 0 w 103"/>
                              <a:gd name="T7" fmla="*/ 92 h 92"/>
                              <a:gd name="T8" fmla="*/ 41 w 103"/>
                              <a:gd name="T9" fmla="*/ 0 h 92"/>
                              <a:gd name="T10" fmla="*/ 62 w 103"/>
                              <a:gd name="T11" fmla="*/ 0 h 92"/>
                              <a:gd name="T12" fmla="*/ 103 w 103"/>
                              <a:gd name="T13" fmla="*/ 92 h 92"/>
                              <a:gd name="T14" fmla="*/ 81 w 103"/>
                              <a:gd name="T15" fmla="*/ 92 h 92"/>
                              <a:gd name="T16" fmla="*/ 72 w 103"/>
                              <a:gd name="T17" fmla="*/ 72 h 92"/>
                              <a:gd name="T18" fmla="*/ 66 w 103"/>
                              <a:gd name="T19" fmla="*/ 56 h 92"/>
                              <a:gd name="T20" fmla="*/ 51 w 103"/>
                              <a:gd name="T21" fmla="*/ 21 h 92"/>
                              <a:gd name="T22" fmla="*/ 37 w 103"/>
                              <a:gd name="T23" fmla="*/ 56 h 92"/>
                              <a:gd name="T24" fmla="*/ 66 w 103"/>
                              <a:gd name="T25" fmla="*/ 56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3" h="92">
                                <a:moveTo>
                                  <a:pt x="72" y="72"/>
                                </a:moveTo>
                                <a:lnTo>
                                  <a:pt x="30" y="72"/>
                                </a:lnTo>
                                <a:lnTo>
                                  <a:pt x="22" y="92"/>
                                </a:lnTo>
                                <a:lnTo>
                                  <a:pt x="0" y="92"/>
                                </a:lnTo>
                                <a:lnTo>
                                  <a:pt x="41" y="0"/>
                                </a:lnTo>
                                <a:lnTo>
                                  <a:pt x="62" y="0"/>
                                </a:lnTo>
                                <a:lnTo>
                                  <a:pt x="103" y="92"/>
                                </a:lnTo>
                                <a:lnTo>
                                  <a:pt x="81" y="92"/>
                                </a:lnTo>
                                <a:lnTo>
                                  <a:pt x="72" y="72"/>
                                </a:lnTo>
                                <a:close/>
                                <a:moveTo>
                                  <a:pt x="66" y="56"/>
                                </a:moveTo>
                                <a:lnTo>
                                  <a:pt x="51" y="21"/>
                                </a:lnTo>
                                <a:lnTo>
                                  <a:pt x="37" y="56"/>
                                </a:lnTo>
                                <a:lnTo>
                                  <a:pt x="66" y="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0" name="Freeform 32"/>
                        <wps:cNvSpPr>
                          <a:spLocks/>
                        </wps:cNvSpPr>
                        <wps:spPr bwMode="auto">
                          <a:xfrm>
                            <a:off x="116366" y="313013"/>
                            <a:ext cx="66046" cy="76528"/>
                          </a:xfrm>
                          <a:custGeom>
                            <a:avLst/>
                            <a:gdLst>
                              <a:gd name="T0" fmla="*/ 30 w 145"/>
                              <a:gd name="T1" fmla="*/ 161 h 166"/>
                              <a:gd name="T2" fmla="*/ 0 w 145"/>
                              <a:gd name="T3" fmla="*/ 148 h 166"/>
                              <a:gd name="T4" fmla="*/ 15 w 145"/>
                              <a:gd name="T5" fmla="*/ 115 h 166"/>
                              <a:gd name="T6" fmla="*/ 41 w 145"/>
                              <a:gd name="T7" fmla="*/ 126 h 166"/>
                              <a:gd name="T8" fmla="*/ 71 w 145"/>
                              <a:gd name="T9" fmla="*/ 130 h 166"/>
                              <a:gd name="T10" fmla="*/ 101 w 145"/>
                              <a:gd name="T11" fmla="*/ 116 h 166"/>
                              <a:gd name="T12" fmla="*/ 93 w 145"/>
                              <a:gd name="T13" fmla="*/ 106 h 166"/>
                              <a:gd name="T14" fmla="*/ 68 w 145"/>
                              <a:gd name="T15" fmla="*/ 101 h 166"/>
                              <a:gd name="T16" fmla="*/ 35 w 145"/>
                              <a:gd name="T17" fmla="*/ 94 h 166"/>
                              <a:gd name="T18" fmla="*/ 13 w 145"/>
                              <a:gd name="T19" fmla="*/ 80 h 166"/>
                              <a:gd name="T20" fmla="*/ 3 w 145"/>
                              <a:gd name="T21" fmla="*/ 52 h 166"/>
                              <a:gd name="T22" fmla="*/ 12 w 145"/>
                              <a:gd name="T23" fmla="*/ 25 h 166"/>
                              <a:gd name="T24" fmla="*/ 38 w 145"/>
                              <a:gd name="T25" fmla="*/ 6 h 166"/>
                              <a:gd name="T26" fmla="*/ 78 w 145"/>
                              <a:gd name="T27" fmla="*/ 0 h 166"/>
                              <a:gd name="T28" fmla="*/ 112 w 145"/>
                              <a:gd name="T29" fmla="*/ 4 h 166"/>
                              <a:gd name="T30" fmla="*/ 140 w 145"/>
                              <a:gd name="T31" fmla="*/ 14 h 166"/>
                              <a:gd name="T32" fmla="*/ 124 w 145"/>
                              <a:gd name="T33" fmla="*/ 47 h 166"/>
                              <a:gd name="T34" fmla="*/ 78 w 145"/>
                              <a:gd name="T35" fmla="*/ 35 h 166"/>
                              <a:gd name="T36" fmla="*/ 56 w 145"/>
                              <a:gd name="T37" fmla="*/ 39 h 166"/>
                              <a:gd name="T38" fmla="*/ 48 w 145"/>
                              <a:gd name="T39" fmla="*/ 50 h 166"/>
                              <a:gd name="T40" fmla="*/ 56 w 145"/>
                              <a:gd name="T41" fmla="*/ 61 h 166"/>
                              <a:gd name="T42" fmla="*/ 82 w 145"/>
                              <a:gd name="T43" fmla="*/ 66 h 166"/>
                              <a:gd name="T44" fmla="*/ 114 w 145"/>
                              <a:gd name="T45" fmla="*/ 73 h 166"/>
                              <a:gd name="T46" fmla="*/ 136 w 145"/>
                              <a:gd name="T47" fmla="*/ 87 h 166"/>
                              <a:gd name="T48" fmla="*/ 145 w 145"/>
                              <a:gd name="T49" fmla="*/ 114 h 166"/>
                              <a:gd name="T50" fmla="*/ 136 w 145"/>
                              <a:gd name="T51" fmla="*/ 141 h 166"/>
                              <a:gd name="T52" fmla="*/ 110 w 145"/>
                              <a:gd name="T53" fmla="*/ 159 h 166"/>
                              <a:gd name="T54" fmla="*/ 69 w 145"/>
                              <a:gd name="T55" fmla="*/ 166 h 166"/>
                              <a:gd name="T56" fmla="*/ 30 w 145"/>
                              <a:gd name="T57" fmla="*/ 161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45" h="166">
                                <a:moveTo>
                                  <a:pt x="30" y="161"/>
                                </a:moveTo>
                                <a:cubicBezTo>
                                  <a:pt x="17" y="157"/>
                                  <a:pt x="7" y="153"/>
                                  <a:pt x="0" y="148"/>
                                </a:cubicBezTo>
                                <a:cubicBezTo>
                                  <a:pt x="15" y="115"/>
                                  <a:pt x="15" y="115"/>
                                  <a:pt x="15" y="115"/>
                                </a:cubicBezTo>
                                <a:cubicBezTo>
                                  <a:pt x="22" y="119"/>
                                  <a:pt x="31" y="123"/>
                                  <a:pt x="41" y="126"/>
                                </a:cubicBezTo>
                                <a:cubicBezTo>
                                  <a:pt x="51" y="129"/>
                                  <a:pt x="61" y="130"/>
                                  <a:pt x="71" y="130"/>
                                </a:cubicBezTo>
                                <a:cubicBezTo>
                                  <a:pt x="91" y="130"/>
                                  <a:pt x="101" y="125"/>
                                  <a:pt x="101" y="116"/>
                                </a:cubicBezTo>
                                <a:cubicBezTo>
                                  <a:pt x="101" y="111"/>
                                  <a:pt x="98" y="108"/>
                                  <a:pt x="93" y="106"/>
                                </a:cubicBezTo>
                                <a:cubicBezTo>
                                  <a:pt x="87" y="104"/>
                                  <a:pt x="79" y="102"/>
                                  <a:pt x="68" y="101"/>
                                </a:cubicBezTo>
                                <a:cubicBezTo>
                                  <a:pt x="55" y="99"/>
                                  <a:pt x="44" y="96"/>
                                  <a:pt x="35" y="94"/>
                                </a:cubicBezTo>
                                <a:cubicBezTo>
                                  <a:pt x="27" y="91"/>
                                  <a:pt x="19" y="87"/>
                                  <a:pt x="13" y="80"/>
                                </a:cubicBezTo>
                                <a:cubicBezTo>
                                  <a:pt x="7" y="73"/>
                                  <a:pt x="3" y="64"/>
                                  <a:pt x="3" y="52"/>
                                </a:cubicBezTo>
                                <a:cubicBezTo>
                                  <a:pt x="3" y="42"/>
                                  <a:pt x="6" y="33"/>
                                  <a:pt x="12" y="25"/>
                                </a:cubicBezTo>
                                <a:cubicBezTo>
                                  <a:pt x="18" y="17"/>
                                  <a:pt x="27" y="11"/>
                                  <a:pt x="38" y="6"/>
                                </a:cubicBezTo>
                                <a:cubicBezTo>
                                  <a:pt x="49" y="2"/>
                                  <a:pt x="63" y="0"/>
                                  <a:pt x="78" y="0"/>
                                </a:cubicBezTo>
                                <a:cubicBezTo>
                                  <a:pt x="89" y="0"/>
                                  <a:pt x="101" y="1"/>
                                  <a:pt x="112" y="4"/>
                                </a:cubicBezTo>
                                <a:cubicBezTo>
                                  <a:pt x="123" y="6"/>
                                  <a:pt x="133" y="10"/>
                                  <a:pt x="140" y="14"/>
                                </a:cubicBezTo>
                                <a:cubicBezTo>
                                  <a:pt x="124" y="47"/>
                                  <a:pt x="124" y="47"/>
                                  <a:pt x="124" y="47"/>
                                </a:cubicBezTo>
                                <a:cubicBezTo>
                                  <a:pt x="110" y="39"/>
                                  <a:pt x="95" y="35"/>
                                  <a:pt x="78" y="35"/>
                                </a:cubicBezTo>
                                <a:cubicBezTo>
                                  <a:pt x="68" y="35"/>
                                  <a:pt x="61" y="37"/>
                                  <a:pt x="56" y="39"/>
                                </a:cubicBezTo>
                                <a:cubicBezTo>
                                  <a:pt x="51" y="42"/>
                                  <a:pt x="48" y="46"/>
                                  <a:pt x="48" y="50"/>
                                </a:cubicBezTo>
                                <a:cubicBezTo>
                                  <a:pt x="48" y="55"/>
                                  <a:pt x="51" y="59"/>
                                  <a:pt x="56" y="61"/>
                                </a:cubicBezTo>
                                <a:cubicBezTo>
                                  <a:pt x="62" y="63"/>
                                  <a:pt x="70" y="64"/>
                                  <a:pt x="82" y="66"/>
                                </a:cubicBezTo>
                                <a:cubicBezTo>
                                  <a:pt x="95" y="68"/>
                                  <a:pt x="106" y="71"/>
                                  <a:pt x="114" y="73"/>
                                </a:cubicBezTo>
                                <a:cubicBezTo>
                                  <a:pt x="123" y="76"/>
                                  <a:pt x="130" y="80"/>
                                  <a:pt x="136" y="87"/>
                                </a:cubicBezTo>
                                <a:cubicBezTo>
                                  <a:pt x="142" y="93"/>
                                  <a:pt x="145" y="103"/>
                                  <a:pt x="145" y="114"/>
                                </a:cubicBezTo>
                                <a:cubicBezTo>
                                  <a:pt x="145" y="124"/>
                                  <a:pt x="142" y="133"/>
                                  <a:pt x="136" y="141"/>
                                </a:cubicBezTo>
                                <a:cubicBezTo>
                                  <a:pt x="130" y="149"/>
                                  <a:pt x="122" y="155"/>
                                  <a:pt x="110" y="159"/>
                                </a:cubicBezTo>
                                <a:cubicBezTo>
                                  <a:pt x="99" y="163"/>
                                  <a:pt x="85" y="166"/>
                                  <a:pt x="69" y="166"/>
                                </a:cubicBezTo>
                                <a:cubicBezTo>
                                  <a:pt x="56" y="166"/>
                                  <a:pt x="43" y="164"/>
                                  <a:pt x="30" y="161"/>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1" name="Freeform 33"/>
                        <wps:cNvSpPr>
                          <a:spLocks/>
                        </wps:cNvSpPr>
                        <wps:spPr bwMode="auto">
                          <a:xfrm>
                            <a:off x="194991" y="313013"/>
                            <a:ext cx="67094" cy="76528"/>
                          </a:xfrm>
                          <a:custGeom>
                            <a:avLst/>
                            <a:gdLst>
                              <a:gd name="T0" fmla="*/ 31 w 146"/>
                              <a:gd name="T1" fmla="*/ 161 h 166"/>
                              <a:gd name="T2" fmla="*/ 0 w 146"/>
                              <a:gd name="T3" fmla="*/ 148 h 166"/>
                              <a:gd name="T4" fmla="*/ 16 w 146"/>
                              <a:gd name="T5" fmla="*/ 115 h 166"/>
                              <a:gd name="T6" fmla="*/ 42 w 146"/>
                              <a:gd name="T7" fmla="*/ 126 h 166"/>
                              <a:gd name="T8" fmla="*/ 72 w 146"/>
                              <a:gd name="T9" fmla="*/ 130 h 166"/>
                              <a:gd name="T10" fmla="*/ 101 w 146"/>
                              <a:gd name="T11" fmla="*/ 116 h 166"/>
                              <a:gd name="T12" fmla="*/ 93 w 146"/>
                              <a:gd name="T13" fmla="*/ 106 h 166"/>
                              <a:gd name="T14" fmla="*/ 69 w 146"/>
                              <a:gd name="T15" fmla="*/ 101 h 166"/>
                              <a:gd name="T16" fmla="*/ 36 w 146"/>
                              <a:gd name="T17" fmla="*/ 94 h 166"/>
                              <a:gd name="T18" fmla="*/ 14 w 146"/>
                              <a:gd name="T19" fmla="*/ 80 h 166"/>
                              <a:gd name="T20" fmla="*/ 4 w 146"/>
                              <a:gd name="T21" fmla="*/ 52 h 166"/>
                              <a:gd name="T22" fmla="*/ 13 w 146"/>
                              <a:gd name="T23" fmla="*/ 25 h 166"/>
                              <a:gd name="T24" fmla="*/ 39 w 146"/>
                              <a:gd name="T25" fmla="*/ 6 h 166"/>
                              <a:gd name="T26" fmla="*/ 79 w 146"/>
                              <a:gd name="T27" fmla="*/ 0 h 166"/>
                              <a:gd name="T28" fmla="*/ 113 w 146"/>
                              <a:gd name="T29" fmla="*/ 4 h 166"/>
                              <a:gd name="T30" fmla="*/ 141 w 146"/>
                              <a:gd name="T31" fmla="*/ 14 h 166"/>
                              <a:gd name="T32" fmla="*/ 125 w 146"/>
                              <a:gd name="T33" fmla="*/ 47 h 166"/>
                              <a:gd name="T34" fmla="*/ 79 w 146"/>
                              <a:gd name="T35" fmla="*/ 35 h 166"/>
                              <a:gd name="T36" fmla="*/ 56 w 146"/>
                              <a:gd name="T37" fmla="*/ 39 h 166"/>
                              <a:gd name="T38" fmla="*/ 49 w 146"/>
                              <a:gd name="T39" fmla="*/ 50 h 166"/>
                              <a:gd name="T40" fmla="*/ 57 w 146"/>
                              <a:gd name="T41" fmla="*/ 61 h 166"/>
                              <a:gd name="T42" fmla="*/ 83 w 146"/>
                              <a:gd name="T43" fmla="*/ 66 h 166"/>
                              <a:gd name="T44" fmla="*/ 115 w 146"/>
                              <a:gd name="T45" fmla="*/ 73 h 166"/>
                              <a:gd name="T46" fmla="*/ 137 w 146"/>
                              <a:gd name="T47" fmla="*/ 87 h 166"/>
                              <a:gd name="T48" fmla="*/ 146 w 146"/>
                              <a:gd name="T49" fmla="*/ 114 h 166"/>
                              <a:gd name="T50" fmla="*/ 137 w 146"/>
                              <a:gd name="T51" fmla="*/ 141 h 166"/>
                              <a:gd name="T52" fmla="*/ 111 w 146"/>
                              <a:gd name="T53" fmla="*/ 159 h 166"/>
                              <a:gd name="T54" fmla="*/ 70 w 146"/>
                              <a:gd name="T55" fmla="*/ 166 h 166"/>
                              <a:gd name="T56" fmla="*/ 31 w 146"/>
                              <a:gd name="T57" fmla="*/ 161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46" h="166">
                                <a:moveTo>
                                  <a:pt x="31" y="161"/>
                                </a:moveTo>
                                <a:cubicBezTo>
                                  <a:pt x="18" y="157"/>
                                  <a:pt x="8" y="153"/>
                                  <a:pt x="0" y="148"/>
                                </a:cubicBezTo>
                                <a:cubicBezTo>
                                  <a:pt x="16" y="115"/>
                                  <a:pt x="16" y="115"/>
                                  <a:pt x="16" y="115"/>
                                </a:cubicBezTo>
                                <a:cubicBezTo>
                                  <a:pt x="23" y="119"/>
                                  <a:pt x="32" y="123"/>
                                  <a:pt x="42" y="126"/>
                                </a:cubicBezTo>
                                <a:cubicBezTo>
                                  <a:pt x="52" y="129"/>
                                  <a:pt x="62" y="130"/>
                                  <a:pt x="72" y="130"/>
                                </a:cubicBezTo>
                                <a:cubicBezTo>
                                  <a:pt x="92" y="130"/>
                                  <a:pt x="101" y="125"/>
                                  <a:pt x="101" y="116"/>
                                </a:cubicBezTo>
                                <a:cubicBezTo>
                                  <a:pt x="101" y="111"/>
                                  <a:pt x="99" y="108"/>
                                  <a:pt x="93" y="106"/>
                                </a:cubicBezTo>
                                <a:cubicBezTo>
                                  <a:pt x="88" y="104"/>
                                  <a:pt x="80" y="102"/>
                                  <a:pt x="69" y="101"/>
                                </a:cubicBezTo>
                                <a:cubicBezTo>
                                  <a:pt x="55" y="99"/>
                                  <a:pt x="45" y="96"/>
                                  <a:pt x="36" y="94"/>
                                </a:cubicBezTo>
                                <a:cubicBezTo>
                                  <a:pt x="27" y="91"/>
                                  <a:pt x="20" y="87"/>
                                  <a:pt x="14" y="80"/>
                                </a:cubicBezTo>
                                <a:cubicBezTo>
                                  <a:pt x="7" y="73"/>
                                  <a:pt x="4" y="64"/>
                                  <a:pt x="4" y="52"/>
                                </a:cubicBezTo>
                                <a:cubicBezTo>
                                  <a:pt x="4" y="42"/>
                                  <a:pt x="7" y="33"/>
                                  <a:pt x="13" y="25"/>
                                </a:cubicBezTo>
                                <a:cubicBezTo>
                                  <a:pt x="19" y="17"/>
                                  <a:pt x="28" y="11"/>
                                  <a:pt x="39" y="6"/>
                                </a:cubicBezTo>
                                <a:cubicBezTo>
                                  <a:pt x="50" y="2"/>
                                  <a:pt x="63" y="0"/>
                                  <a:pt x="79" y="0"/>
                                </a:cubicBezTo>
                                <a:cubicBezTo>
                                  <a:pt x="90" y="0"/>
                                  <a:pt x="101" y="1"/>
                                  <a:pt x="113" y="4"/>
                                </a:cubicBezTo>
                                <a:cubicBezTo>
                                  <a:pt x="124" y="6"/>
                                  <a:pt x="133" y="10"/>
                                  <a:pt x="141" y="14"/>
                                </a:cubicBezTo>
                                <a:cubicBezTo>
                                  <a:pt x="125" y="47"/>
                                  <a:pt x="125" y="47"/>
                                  <a:pt x="125" y="47"/>
                                </a:cubicBezTo>
                                <a:cubicBezTo>
                                  <a:pt x="111" y="39"/>
                                  <a:pt x="96" y="35"/>
                                  <a:pt x="79" y="35"/>
                                </a:cubicBezTo>
                                <a:cubicBezTo>
                                  <a:pt x="69" y="35"/>
                                  <a:pt x="61" y="37"/>
                                  <a:pt x="56" y="39"/>
                                </a:cubicBezTo>
                                <a:cubicBezTo>
                                  <a:pt x="51" y="42"/>
                                  <a:pt x="49" y="46"/>
                                  <a:pt x="49" y="50"/>
                                </a:cubicBezTo>
                                <a:cubicBezTo>
                                  <a:pt x="49" y="55"/>
                                  <a:pt x="52" y="59"/>
                                  <a:pt x="57" y="61"/>
                                </a:cubicBezTo>
                                <a:cubicBezTo>
                                  <a:pt x="62" y="63"/>
                                  <a:pt x="71" y="64"/>
                                  <a:pt x="83" y="66"/>
                                </a:cubicBezTo>
                                <a:cubicBezTo>
                                  <a:pt x="96" y="68"/>
                                  <a:pt x="107" y="71"/>
                                  <a:pt x="115" y="73"/>
                                </a:cubicBezTo>
                                <a:cubicBezTo>
                                  <a:pt x="123" y="76"/>
                                  <a:pt x="131" y="80"/>
                                  <a:pt x="137" y="87"/>
                                </a:cubicBezTo>
                                <a:cubicBezTo>
                                  <a:pt x="143" y="93"/>
                                  <a:pt x="146" y="103"/>
                                  <a:pt x="146" y="114"/>
                                </a:cubicBezTo>
                                <a:cubicBezTo>
                                  <a:pt x="146" y="124"/>
                                  <a:pt x="143" y="133"/>
                                  <a:pt x="137" y="141"/>
                                </a:cubicBezTo>
                                <a:cubicBezTo>
                                  <a:pt x="131" y="149"/>
                                  <a:pt x="122" y="155"/>
                                  <a:pt x="111" y="159"/>
                                </a:cubicBezTo>
                                <a:cubicBezTo>
                                  <a:pt x="99" y="163"/>
                                  <a:pt x="86" y="166"/>
                                  <a:pt x="70" y="166"/>
                                </a:cubicBezTo>
                                <a:cubicBezTo>
                                  <a:pt x="57" y="166"/>
                                  <a:pt x="44" y="164"/>
                                  <a:pt x="31" y="161"/>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2" name="Freeform 34"/>
                        <wps:cNvSpPr>
                          <a:spLocks/>
                        </wps:cNvSpPr>
                        <wps:spPr bwMode="auto">
                          <a:xfrm>
                            <a:off x="282003" y="314062"/>
                            <a:ext cx="74432" cy="75480"/>
                          </a:xfrm>
                          <a:custGeom>
                            <a:avLst/>
                            <a:gdLst>
                              <a:gd name="T0" fmla="*/ 163 w 163"/>
                              <a:gd name="T1" fmla="*/ 0 h 164"/>
                              <a:gd name="T2" fmla="*/ 163 w 163"/>
                              <a:gd name="T3" fmla="*/ 161 h 164"/>
                              <a:gd name="T4" fmla="*/ 119 w 163"/>
                              <a:gd name="T5" fmla="*/ 161 h 164"/>
                              <a:gd name="T6" fmla="*/ 119 w 163"/>
                              <a:gd name="T7" fmla="*/ 142 h 164"/>
                              <a:gd name="T8" fmla="*/ 96 w 163"/>
                              <a:gd name="T9" fmla="*/ 158 h 164"/>
                              <a:gd name="T10" fmla="*/ 69 w 163"/>
                              <a:gd name="T11" fmla="*/ 164 h 164"/>
                              <a:gd name="T12" fmla="*/ 18 w 163"/>
                              <a:gd name="T13" fmla="*/ 145 h 164"/>
                              <a:gd name="T14" fmla="*/ 0 w 163"/>
                              <a:gd name="T15" fmla="*/ 91 h 164"/>
                              <a:gd name="T16" fmla="*/ 0 w 163"/>
                              <a:gd name="T17" fmla="*/ 0 h 164"/>
                              <a:gd name="T18" fmla="*/ 46 w 163"/>
                              <a:gd name="T19" fmla="*/ 0 h 164"/>
                              <a:gd name="T20" fmla="*/ 46 w 163"/>
                              <a:gd name="T21" fmla="*/ 84 h 164"/>
                              <a:gd name="T22" fmla="*/ 79 w 163"/>
                              <a:gd name="T23" fmla="*/ 123 h 164"/>
                              <a:gd name="T24" fmla="*/ 106 w 163"/>
                              <a:gd name="T25" fmla="*/ 112 h 164"/>
                              <a:gd name="T26" fmla="*/ 116 w 163"/>
                              <a:gd name="T27" fmla="*/ 80 h 164"/>
                              <a:gd name="T28" fmla="*/ 116 w 163"/>
                              <a:gd name="T29" fmla="*/ 0 h 164"/>
                              <a:gd name="T30" fmla="*/ 163 w 163"/>
                              <a:gd name="T31" fmla="*/ 0 h 1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63" h="164">
                                <a:moveTo>
                                  <a:pt x="163" y="0"/>
                                </a:moveTo>
                                <a:cubicBezTo>
                                  <a:pt x="163" y="161"/>
                                  <a:pt x="163" y="161"/>
                                  <a:pt x="163" y="161"/>
                                </a:cubicBezTo>
                                <a:cubicBezTo>
                                  <a:pt x="119" y="161"/>
                                  <a:pt x="119" y="161"/>
                                  <a:pt x="119" y="161"/>
                                </a:cubicBezTo>
                                <a:cubicBezTo>
                                  <a:pt x="119" y="142"/>
                                  <a:pt x="119" y="142"/>
                                  <a:pt x="119" y="142"/>
                                </a:cubicBezTo>
                                <a:cubicBezTo>
                                  <a:pt x="112" y="149"/>
                                  <a:pt x="105" y="154"/>
                                  <a:pt x="96" y="158"/>
                                </a:cubicBezTo>
                                <a:cubicBezTo>
                                  <a:pt x="88" y="162"/>
                                  <a:pt x="79" y="164"/>
                                  <a:pt x="69" y="164"/>
                                </a:cubicBezTo>
                                <a:cubicBezTo>
                                  <a:pt x="47" y="164"/>
                                  <a:pt x="31" y="157"/>
                                  <a:pt x="18" y="145"/>
                                </a:cubicBezTo>
                                <a:cubicBezTo>
                                  <a:pt x="6" y="133"/>
                                  <a:pt x="0" y="115"/>
                                  <a:pt x="0" y="91"/>
                                </a:cubicBezTo>
                                <a:cubicBezTo>
                                  <a:pt x="0" y="0"/>
                                  <a:pt x="0" y="0"/>
                                  <a:pt x="0" y="0"/>
                                </a:cubicBezTo>
                                <a:cubicBezTo>
                                  <a:pt x="46" y="0"/>
                                  <a:pt x="46" y="0"/>
                                  <a:pt x="46" y="0"/>
                                </a:cubicBezTo>
                                <a:cubicBezTo>
                                  <a:pt x="46" y="84"/>
                                  <a:pt x="46" y="84"/>
                                  <a:pt x="46" y="84"/>
                                </a:cubicBezTo>
                                <a:cubicBezTo>
                                  <a:pt x="46" y="110"/>
                                  <a:pt x="57" y="123"/>
                                  <a:pt x="79" y="123"/>
                                </a:cubicBezTo>
                                <a:cubicBezTo>
                                  <a:pt x="90" y="123"/>
                                  <a:pt x="99" y="120"/>
                                  <a:pt x="106" y="112"/>
                                </a:cubicBezTo>
                                <a:cubicBezTo>
                                  <a:pt x="113" y="105"/>
                                  <a:pt x="116" y="94"/>
                                  <a:pt x="116" y="80"/>
                                </a:cubicBezTo>
                                <a:cubicBezTo>
                                  <a:pt x="116" y="0"/>
                                  <a:pt x="116" y="0"/>
                                  <a:pt x="116" y="0"/>
                                </a:cubicBezTo>
                                <a:lnTo>
                                  <a:pt x="16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3" name="Freeform 35"/>
                        <wps:cNvSpPr>
                          <a:spLocks/>
                        </wps:cNvSpPr>
                        <wps:spPr bwMode="auto">
                          <a:xfrm>
                            <a:off x="382643" y="313013"/>
                            <a:ext cx="45079" cy="75480"/>
                          </a:xfrm>
                          <a:custGeom>
                            <a:avLst/>
                            <a:gdLst>
                              <a:gd name="T0" fmla="*/ 67 w 100"/>
                              <a:gd name="T1" fmla="*/ 6 h 163"/>
                              <a:gd name="T2" fmla="*/ 100 w 100"/>
                              <a:gd name="T3" fmla="*/ 0 h 163"/>
                              <a:gd name="T4" fmla="*/ 100 w 100"/>
                              <a:gd name="T5" fmla="*/ 43 h 163"/>
                              <a:gd name="T6" fmla="*/ 89 w 100"/>
                              <a:gd name="T7" fmla="*/ 42 h 163"/>
                              <a:gd name="T8" fmla="*/ 58 w 100"/>
                              <a:gd name="T9" fmla="*/ 54 h 163"/>
                              <a:gd name="T10" fmla="*/ 47 w 100"/>
                              <a:gd name="T11" fmla="*/ 87 h 163"/>
                              <a:gd name="T12" fmla="*/ 47 w 100"/>
                              <a:gd name="T13" fmla="*/ 163 h 163"/>
                              <a:gd name="T14" fmla="*/ 0 w 100"/>
                              <a:gd name="T15" fmla="*/ 163 h 163"/>
                              <a:gd name="T16" fmla="*/ 0 w 100"/>
                              <a:gd name="T17" fmla="*/ 2 h 163"/>
                              <a:gd name="T18" fmla="*/ 44 w 100"/>
                              <a:gd name="T19" fmla="*/ 2 h 163"/>
                              <a:gd name="T20" fmla="*/ 44 w 100"/>
                              <a:gd name="T21" fmla="*/ 23 h 163"/>
                              <a:gd name="T22" fmla="*/ 67 w 100"/>
                              <a:gd name="T23" fmla="*/ 6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0" h="163">
                                <a:moveTo>
                                  <a:pt x="67" y="6"/>
                                </a:moveTo>
                                <a:cubicBezTo>
                                  <a:pt x="77" y="2"/>
                                  <a:pt x="87" y="0"/>
                                  <a:pt x="100" y="0"/>
                                </a:cubicBezTo>
                                <a:cubicBezTo>
                                  <a:pt x="100" y="43"/>
                                  <a:pt x="100" y="43"/>
                                  <a:pt x="100" y="43"/>
                                </a:cubicBezTo>
                                <a:cubicBezTo>
                                  <a:pt x="95" y="43"/>
                                  <a:pt x="91" y="42"/>
                                  <a:pt x="89" y="42"/>
                                </a:cubicBezTo>
                                <a:cubicBezTo>
                                  <a:pt x="76" y="42"/>
                                  <a:pt x="65" y="46"/>
                                  <a:pt x="58" y="54"/>
                                </a:cubicBezTo>
                                <a:cubicBezTo>
                                  <a:pt x="50" y="61"/>
                                  <a:pt x="47" y="72"/>
                                  <a:pt x="47" y="87"/>
                                </a:cubicBezTo>
                                <a:cubicBezTo>
                                  <a:pt x="47" y="163"/>
                                  <a:pt x="47" y="163"/>
                                  <a:pt x="47" y="163"/>
                                </a:cubicBezTo>
                                <a:cubicBezTo>
                                  <a:pt x="0" y="163"/>
                                  <a:pt x="0" y="163"/>
                                  <a:pt x="0" y="163"/>
                                </a:cubicBezTo>
                                <a:cubicBezTo>
                                  <a:pt x="0" y="2"/>
                                  <a:pt x="0" y="2"/>
                                  <a:pt x="0" y="2"/>
                                </a:cubicBezTo>
                                <a:cubicBezTo>
                                  <a:pt x="44" y="2"/>
                                  <a:pt x="44" y="2"/>
                                  <a:pt x="44" y="2"/>
                                </a:cubicBezTo>
                                <a:cubicBezTo>
                                  <a:pt x="44" y="23"/>
                                  <a:pt x="44" y="23"/>
                                  <a:pt x="44" y="23"/>
                                </a:cubicBezTo>
                                <a:cubicBezTo>
                                  <a:pt x="50" y="16"/>
                                  <a:pt x="58" y="10"/>
                                  <a:pt x="67" y="6"/>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4" name="Freeform 36"/>
                        <wps:cNvSpPr>
                          <a:spLocks noEditPoints="1"/>
                        </wps:cNvSpPr>
                        <wps:spPr bwMode="auto">
                          <a:xfrm>
                            <a:off x="443447" y="313013"/>
                            <a:ext cx="70239" cy="76528"/>
                          </a:xfrm>
                          <a:custGeom>
                            <a:avLst/>
                            <a:gdLst>
                              <a:gd name="T0" fmla="*/ 133 w 153"/>
                              <a:gd name="T1" fmla="*/ 18 h 166"/>
                              <a:gd name="T2" fmla="*/ 153 w 153"/>
                              <a:gd name="T3" fmla="*/ 71 h 166"/>
                              <a:gd name="T4" fmla="*/ 153 w 153"/>
                              <a:gd name="T5" fmla="*/ 163 h 166"/>
                              <a:gd name="T6" fmla="*/ 109 w 153"/>
                              <a:gd name="T7" fmla="*/ 163 h 166"/>
                              <a:gd name="T8" fmla="*/ 109 w 153"/>
                              <a:gd name="T9" fmla="*/ 143 h 166"/>
                              <a:gd name="T10" fmla="*/ 60 w 153"/>
                              <a:gd name="T11" fmla="*/ 166 h 166"/>
                              <a:gd name="T12" fmla="*/ 28 w 153"/>
                              <a:gd name="T13" fmla="*/ 159 h 166"/>
                              <a:gd name="T14" fmla="*/ 7 w 153"/>
                              <a:gd name="T15" fmla="*/ 142 h 166"/>
                              <a:gd name="T16" fmla="*/ 0 w 153"/>
                              <a:gd name="T17" fmla="*/ 117 h 166"/>
                              <a:gd name="T18" fmla="*/ 17 w 153"/>
                              <a:gd name="T19" fmla="*/ 82 h 166"/>
                              <a:gd name="T20" fmla="*/ 69 w 153"/>
                              <a:gd name="T21" fmla="*/ 69 h 166"/>
                              <a:gd name="T22" fmla="*/ 106 w 153"/>
                              <a:gd name="T23" fmla="*/ 69 h 166"/>
                              <a:gd name="T24" fmla="*/ 97 w 153"/>
                              <a:gd name="T25" fmla="*/ 45 h 166"/>
                              <a:gd name="T26" fmla="*/ 69 w 153"/>
                              <a:gd name="T27" fmla="*/ 37 h 166"/>
                              <a:gd name="T28" fmla="*/ 44 w 153"/>
                              <a:gd name="T29" fmla="*/ 41 h 166"/>
                              <a:gd name="T30" fmla="*/ 23 w 153"/>
                              <a:gd name="T31" fmla="*/ 52 h 166"/>
                              <a:gd name="T32" fmla="*/ 6 w 153"/>
                              <a:gd name="T33" fmla="*/ 19 h 166"/>
                              <a:gd name="T34" fmla="*/ 38 w 153"/>
                              <a:gd name="T35" fmla="*/ 5 h 166"/>
                              <a:gd name="T36" fmla="*/ 76 w 153"/>
                              <a:gd name="T37" fmla="*/ 0 h 166"/>
                              <a:gd name="T38" fmla="*/ 133 w 153"/>
                              <a:gd name="T39" fmla="*/ 18 h 166"/>
                              <a:gd name="T40" fmla="*/ 93 w 153"/>
                              <a:gd name="T41" fmla="*/ 129 h 166"/>
                              <a:gd name="T42" fmla="*/ 106 w 153"/>
                              <a:gd name="T43" fmla="*/ 112 h 166"/>
                              <a:gd name="T44" fmla="*/ 106 w 153"/>
                              <a:gd name="T45" fmla="*/ 96 h 166"/>
                              <a:gd name="T46" fmla="*/ 74 w 153"/>
                              <a:gd name="T47" fmla="*/ 96 h 166"/>
                              <a:gd name="T48" fmla="*/ 46 w 153"/>
                              <a:gd name="T49" fmla="*/ 115 h 166"/>
                              <a:gd name="T50" fmla="*/ 53 w 153"/>
                              <a:gd name="T51" fmla="*/ 129 h 166"/>
                              <a:gd name="T52" fmla="*/ 72 w 153"/>
                              <a:gd name="T53" fmla="*/ 134 h 166"/>
                              <a:gd name="T54" fmla="*/ 93 w 153"/>
                              <a:gd name="T55" fmla="*/ 129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53" h="166">
                                <a:moveTo>
                                  <a:pt x="133" y="18"/>
                                </a:moveTo>
                                <a:cubicBezTo>
                                  <a:pt x="146" y="30"/>
                                  <a:pt x="153" y="47"/>
                                  <a:pt x="153" y="71"/>
                                </a:cubicBezTo>
                                <a:cubicBezTo>
                                  <a:pt x="153" y="163"/>
                                  <a:pt x="153" y="163"/>
                                  <a:pt x="153" y="163"/>
                                </a:cubicBezTo>
                                <a:cubicBezTo>
                                  <a:pt x="109" y="163"/>
                                  <a:pt x="109" y="163"/>
                                  <a:pt x="109" y="163"/>
                                </a:cubicBezTo>
                                <a:cubicBezTo>
                                  <a:pt x="109" y="143"/>
                                  <a:pt x="109" y="143"/>
                                  <a:pt x="109" y="143"/>
                                </a:cubicBezTo>
                                <a:cubicBezTo>
                                  <a:pt x="101" y="158"/>
                                  <a:pt x="84" y="166"/>
                                  <a:pt x="60" y="166"/>
                                </a:cubicBezTo>
                                <a:cubicBezTo>
                                  <a:pt x="48" y="166"/>
                                  <a:pt x="37" y="163"/>
                                  <a:pt x="28" y="159"/>
                                </a:cubicBezTo>
                                <a:cubicBezTo>
                                  <a:pt x="19" y="155"/>
                                  <a:pt x="12" y="149"/>
                                  <a:pt x="7" y="142"/>
                                </a:cubicBezTo>
                                <a:cubicBezTo>
                                  <a:pt x="3" y="135"/>
                                  <a:pt x="0" y="126"/>
                                  <a:pt x="0" y="117"/>
                                </a:cubicBezTo>
                                <a:cubicBezTo>
                                  <a:pt x="0" y="102"/>
                                  <a:pt x="6" y="90"/>
                                  <a:pt x="17" y="82"/>
                                </a:cubicBezTo>
                                <a:cubicBezTo>
                                  <a:pt x="28" y="73"/>
                                  <a:pt x="46" y="69"/>
                                  <a:pt x="69" y="69"/>
                                </a:cubicBezTo>
                                <a:cubicBezTo>
                                  <a:pt x="106" y="69"/>
                                  <a:pt x="106" y="69"/>
                                  <a:pt x="106" y="69"/>
                                </a:cubicBezTo>
                                <a:cubicBezTo>
                                  <a:pt x="106" y="58"/>
                                  <a:pt x="103" y="51"/>
                                  <a:pt x="97" y="45"/>
                                </a:cubicBezTo>
                                <a:cubicBezTo>
                                  <a:pt x="91" y="40"/>
                                  <a:pt x="82" y="37"/>
                                  <a:pt x="69" y="37"/>
                                </a:cubicBezTo>
                                <a:cubicBezTo>
                                  <a:pt x="61" y="37"/>
                                  <a:pt x="52" y="38"/>
                                  <a:pt x="44" y="41"/>
                                </a:cubicBezTo>
                                <a:cubicBezTo>
                                  <a:pt x="36" y="44"/>
                                  <a:pt x="29" y="47"/>
                                  <a:pt x="23" y="52"/>
                                </a:cubicBezTo>
                                <a:cubicBezTo>
                                  <a:pt x="6" y="19"/>
                                  <a:pt x="6" y="19"/>
                                  <a:pt x="6" y="19"/>
                                </a:cubicBezTo>
                                <a:cubicBezTo>
                                  <a:pt x="15" y="13"/>
                                  <a:pt x="26" y="8"/>
                                  <a:pt x="38" y="5"/>
                                </a:cubicBezTo>
                                <a:cubicBezTo>
                                  <a:pt x="50" y="2"/>
                                  <a:pt x="63" y="0"/>
                                  <a:pt x="76" y="0"/>
                                </a:cubicBezTo>
                                <a:cubicBezTo>
                                  <a:pt x="101" y="0"/>
                                  <a:pt x="120" y="6"/>
                                  <a:pt x="133" y="18"/>
                                </a:cubicBezTo>
                                <a:close/>
                                <a:moveTo>
                                  <a:pt x="93" y="129"/>
                                </a:moveTo>
                                <a:cubicBezTo>
                                  <a:pt x="100" y="125"/>
                                  <a:pt x="104" y="119"/>
                                  <a:pt x="106" y="112"/>
                                </a:cubicBezTo>
                                <a:cubicBezTo>
                                  <a:pt x="106" y="96"/>
                                  <a:pt x="106" y="96"/>
                                  <a:pt x="106" y="96"/>
                                </a:cubicBezTo>
                                <a:cubicBezTo>
                                  <a:pt x="74" y="96"/>
                                  <a:pt x="74" y="96"/>
                                  <a:pt x="74" y="96"/>
                                </a:cubicBezTo>
                                <a:cubicBezTo>
                                  <a:pt x="55" y="96"/>
                                  <a:pt x="46" y="102"/>
                                  <a:pt x="46" y="115"/>
                                </a:cubicBezTo>
                                <a:cubicBezTo>
                                  <a:pt x="46" y="121"/>
                                  <a:pt x="48" y="125"/>
                                  <a:pt x="53" y="129"/>
                                </a:cubicBezTo>
                                <a:cubicBezTo>
                                  <a:pt x="57" y="132"/>
                                  <a:pt x="64" y="134"/>
                                  <a:pt x="72" y="134"/>
                                </a:cubicBezTo>
                                <a:cubicBezTo>
                                  <a:pt x="80" y="134"/>
                                  <a:pt x="87" y="132"/>
                                  <a:pt x="93" y="129"/>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5" name="Freeform 37"/>
                        <wps:cNvSpPr>
                          <a:spLocks/>
                        </wps:cNvSpPr>
                        <wps:spPr bwMode="auto">
                          <a:xfrm>
                            <a:off x="538845" y="313013"/>
                            <a:ext cx="75480" cy="75480"/>
                          </a:xfrm>
                          <a:custGeom>
                            <a:avLst/>
                            <a:gdLst>
                              <a:gd name="T0" fmla="*/ 146 w 165"/>
                              <a:gd name="T1" fmla="*/ 18 h 163"/>
                              <a:gd name="T2" fmla="*/ 165 w 165"/>
                              <a:gd name="T3" fmla="*/ 71 h 163"/>
                              <a:gd name="T4" fmla="*/ 165 w 165"/>
                              <a:gd name="T5" fmla="*/ 163 h 163"/>
                              <a:gd name="T6" fmla="*/ 118 w 165"/>
                              <a:gd name="T7" fmla="*/ 163 h 163"/>
                              <a:gd name="T8" fmla="*/ 118 w 165"/>
                              <a:gd name="T9" fmla="*/ 78 h 163"/>
                              <a:gd name="T10" fmla="*/ 110 w 165"/>
                              <a:gd name="T11" fmla="*/ 50 h 163"/>
                              <a:gd name="T12" fmla="*/ 86 w 165"/>
                              <a:gd name="T13" fmla="*/ 40 h 163"/>
                              <a:gd name="T14" fmla="*/ 57 w 165"/>
                              <a:gd name="T15" fmla="*/ 51 h 163"/>
                              <a:gd name="T16" fmla="*/ 47 w 165"/>
                              <a:gd name="T17" fmla="*/ 84 h 163"/>
                              <a:gd name="T18" fmla="*/ 47 w 165"/>
                              <a:gd name="T19" fmla="*/ 163 h 163"/>
                              <a:gd name="T20" fmla="*/ 0 w 165"/>
                              <a:gd name="T21" fmla="*/ 163 h 163"/>
                              <a:gd name="T22" fmla="*/ 0 w 165"/>
                              <a:gd name="T23" fmla="*/ 2 h 163"/>
                              <a:gd name="T24" fmla="*/ 45 w 165"/>
                              <a:gd name="T25" fmla="*/ 2 h 163"/>
                              <a:gd name="T26" fmla="*/ 45 w 165"/>
                              <a:gd name="T27" fmla="*/ 21 h 163"/>
                              <a:gd name="T28" fmla="*/ 68 w 165"/>
                              <a:gd name="T29" fmla="*/ 5 h 163"/>
                              <a:gd name="T30" fmla="*/ 98 w 165"/>
                              <a:gd name="T31" fmla="*/ 0 h 163"/>
                              <a:gd name="T32" fmla="*/ 146 w 165"/>
                              <a:gd name="T33" fmla="*/ 18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65" h="163">
                                <a:moveTo>
                                  <a:pt x="146" y="18"/>
                                </a:moveTo>
                                <a:cubicBezTo>
                                  <a:pt x="159" y="30"/>
                                  <a:pt x="165" y="48"/>
                                  <a:pt x="165" y="71"/>
                                </a:cubicBezTo>
                                <a:cubicBezTo>
                                  <a:pt x="165" y="163"/>
                                  <a:pt x="165" y="163"/>
                                  <a:pt x="165" y="163"/>
                                </a:cubicBezTo>
                                <a:cubicBezTo>
                                  <a:pt x="118" y="163"/>
                                  <a:pt x="118" y="163"/>
                                  <a:pt x="118" y="163"/>
                                </a:cubicBezTo>
                                <a:cubicBezTo>
                                  <a:pt x="118" y="78"/>
                                  <a:pt x="118" y="78"/>
                                  <a:pt x="118" y="78"/>
                                </a:cubicBezTo>
                                <a:cubicBezTo>
                                  <a:pt x="118" y="65"/>
                                  <a:pt x="115" y="56"/>
                                  <a:pt x="110" y="50"/>
                                </a:cubicBezTo>
                                <a:cubicBezTo>
                                  <a:pt x="104" y="43"/>
                                  <a:pt x="96" y="40"/>
                                  <a:pt x="86" y="40"/>
                                </a:cubicBezTo>
                                <a:cubicBezTo>
                                  <a:pt x="74" y="40"/>
                                  <a:pt x="64" y="44"/>
                                  <a:pt x="57" y="51"/>
                                </a:cubicBezTo>
                                <a:cubicBezTo>
                                  <a:pt x="50" y="58"/>
                                  <a:pt x="47" y="69"/>
                                  <a:pt x="47" y="84"/>
                                </a:cubicBezTo>
                                <a:cubicBezTo>
                                  <a:pt x="47" y="163"/>
                                  <a:pt x="47" y="163"/>
                                  <a:pt x="47" y="163"/>
                                </a:cubicBezTo>
                                <a:cubicBezTo>
                                  <a:pt x="0" y="163"/>
                                  <a:pt x="0" y="163"/>
                                  <a:pt x="0" y="163"/>
                                </a:cubicBezTo>
                                <a:cubicBezTo>
                                  <a:pt x="0" y="2"/>
                                  <a:pt x="0" y="2"/>
                                  <a:pt x="0" y="2"/>
                                </a:cubicBezTo>
                                <a:cubicBezTo>
                                  <a:pt x="45" y="2"/>
                                  <a:pt x="45" y="2"/>
                                  <a:pt x="45" y="2"/>
                                </a:cubicBezTo>
                                <a:cubicBezTo>
                                  <a:pt x="45" y="21"/>
                                  <a:pt x="45" y="21"/>
                                  <a:pt x="45" y="21"/>
                                </a:cubicBezTo>
                                <a:cubicBezTo>
                                  <a:pt x="51" y="14"/>
                                  <a:pt x="59" y="9"/>
                                  <a:pt x="68" y="5"/>
                                </a:cubicBezTo>
                                <a:cubicBezTo>
                                  <a:pt x="77" y="2"/>
                                  <a:pt x="87" y="0"/>
                                  <a:pt x="98" y="0"/>
                                </a:cubicBezTo>
                                <a:cubicBezTo>
                                  <a:pt x="118" y="0"/>
                                  <a:pt x="134" y="6"/>
                                  <a:pt x="146" y="18"/>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6" name="Freeform 38"/>
                        <wps:cNvSpPr>
                          <a:spLocks/>
                        </wps:cNvSpPr>
                        <wps:spPr bwMode="auto">
                          <a:xfrm>
                            <a:off x="635292" y="313013"/>
                            <a:ext cx="73384" cy="76528"/>
                          </a:xfrm>
                          <a:custGeom>
                            <a:avLst/>
                            <a:gdLst>
                              <a:gd name="T0" fmla="*/ 43 w 162"/>
                              <a:gd name="T1" fmla="*/ 155 h 166"/>
                              <a:gd name="T2" fmla="*/ 11 w 162"/>
                              <a:gd name="T3" fmla="*/ 125 h 166"/>
                              <a:gd name="T4" fmla="*/ 0 w 162"/>
                              <a:gd name="T5" fmla="*/ 83 h 166"/>
                              <a:gd name="T6" fmla="*/ 11 w 162"/>
                              <a:gd name="T7" fmla="*/ 40 h 166"/>
                              <a:gd name="T8" fmla="*/ 43 w 162"/>
                              <a:gd name="T9" fmla="*/ 10 h 166"/>
                              <a:gd name="T10" fmla="*/ 90 w 162"/>
                              <a:gd name="T11" fmla="*/ 0 h 166"/>
                              <a:gd name="T12" fmla="*/ 134 w 162"/>
                              <a:gd name="T13" fmla="*/ 10 h 166"/>
                              <a:gd name="T14" fmla="*/ 162 w 162"/>
                              <a:gd name="T15" fmla="*/ 41 h 166"/>
                              <a:gd name="T16" fmla="*/ 126 w 162"/>
                              <a:gd name="T17" fmla="*/ 60 h 166"/>
                              <a:gd name="T18" fmla="*/ 89 w 162"/>
                              <a:gd name="T19" fmla="*/ 38 h 166"/>
                              <a:gd name="T20" fmla="*/ 59 w 162"/>
                              <a:gd name="T21" fmla="*/ 50 h 166"/>
                              <a:gd name="T22" fmla="*/ 47 w 162"/>
                              <a:gd name="T23" fmla="*/ 83 h 166"/>
                              <a:gd name="T24" fmla="*/ 59 w 162"/>
                              <a:gd name="T25" fmla="*/ 115 h 166"/>
                              <a:gd name="T26" fmla="*/ 89 w 162"/>
                              <a:gd name="T27" fmla="*/ 127 h 166"/>
                              <a:gd name="T28" fmla="*/ 126 w 162"/>
                              <a:gd name="T29" fmla="*/ 105 h 166"/>
                              <a:gd name="T30" fmla="*/ 162 w 162"/>
                              <a:gd name="T31" fmla="*/ 125 h 166"/>
                              <a:gd name="T32" fmla="*/ 134 w 162"/>
                              <a:gd name="T33" fmla="*/ 155 h 166"/>
                              <a:gd name="T34" fmla="*/ 90 w 162"/>
                              <a:gd name="T35" fmla="*/ 166 h 166"/>
                              <a:gd name="T36" fmla="*/ 43 w 162"/>
                              <a:gd name="T37" fmla="*/ 155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62" h="166">
                                <a:moveTo>
                                  <a:pt x="43" y="155"/>
                                </a:moveTo>
                                <a:cubicBezTo>
                                  <a:pt x="30" y="148"/>
                                  <a:pt x="19" y="138"/>
                                  <a:pt x="11" y="125"/>
                                </a:cubicBezTo>
                                <a:cubicBezTo>
                                  <a:pt x="4" y="113"/>
                                  <a:pt x="0" y="99"/>
                                  <a:pt x="0" y="83"/>
                                </a:cubicBezTo>
                                <a:cubicBezTo>
                                  <a:pt x="0" y="67"/>
                                  <a:pt x="4" y="52"/>
                                  <a:pt x="11" y="40"/>
                                </a:cubicBezTo>
                                <a:cubicBezTo>
                                  <a:pt x="19" y="27"/>
                                  <a:pt x="30" y="18"/>
                                  <a:pt x="43" y="10"/>
                                </a:cubicBezTo>
                                <a:cubicBezTo>
                                  <a:pt x="57" y="3"/>
                                  <a:pt x="73" y="0"/>
                                  <a:pt x="90" y="0"/>
                                </a:cubicBezTo>
                                <a:cubicBezTo>
                                  <a:pt x="107" y="0"/>
                                  <a:pt x="121" y="3"/>
                                  <a:pt x="134" y="10"/>
                                </a:cubicBezTo>
                                <a:cubicBezTo>
                                  <a:pt x="147" y="18"/>
                                  <a:pt x="156" y="28"/>
                                  <a:pt x="162" y="41"/>
                                </a:cubicBezTo>
                                <a:cubicBezTo>
                                  <a:pt x="126" y="60"/>
                                  <a:pt x="126" y="60"/>
                                  <a:pt x="126" y="60"/>
                                </a:cubicBezTo>
                                <a:cubicBezTo>
                                  <a:pt x="117" y="46"/>
                                  <a:pt x="105" y="38"/>
                                  <a:pt x="89" y="38"/>
                                </a:cubicBezTo>
                                <a:cubicBezTo>
                                  <a:pt x="77" y="38"/>
                                  <a:pt x="67" y="42"/>
                                  <a:pt x="59" y="50"/>
                                </a:cubicBezTo>
                                <a:cubicBezTo>
                                  <a:pt x="51" y="58"/>
                                  <a:pt x="47" y="69"/>
                                  <a:pt x="47" y="83"/>
                                </a:cubicBezTo>
                                <a:cubicBezTo>
                                  <a:pt x="47" y="96"/>
                                  <a:pt x="51" y="107"/>
                                  <a:pt x="59" y="115"/>
                                </a:cubicBezTo>
                                <a:cubicBezTo>
                                  <a:pt x="67" y="123"/>
                                  <a:pt x="77" y="127"/>
                                  <a:pt x="89" y="127"/>
                                </a:cubicBezTo>
                                <a:cubicBezTo>
                                  <a:pt x="105" y="127"/>
                                  <a:pt x="117" y="120"/>
                                  <a:pt x="126" y="105"/>
                                </a:cubicBezTo>
                                <a:cubicBezTo>
                                  <a:pt x="162" y="125"/>
                                  <a:pt x="162" y="125"/>
                                  <a:pt x="162" y="125"/>
                                </a:cubicBezTo>
                                <a:cubicBezTo>
                                  <a:pt x="156" y="138"/>
                                  <a:pt x="147" y="148"/>
                                  <a:pt x="134" y="155"/>
                                </a:cubicBezTo>
                                <a:cubicBezTo>
                                  <a:pt x="121" y="162"/>
                                  <a:pt x="107" y="166"/>
                                  <a:pt x="90" y="166"/>
                                </a:cubicBezTo>
                                <a:cubicBezTo>
                                  <a:pt x="73" y="166"/>
                                  <a:pt x="57" y="162"/>
                                  <a:pt x="43" y="155"/>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7" name="Freeform 39"/>
                        <wps:cNvSpPr>
                          <a:spLocks noEditPoints="1"/>
                        </wps:cNvSpPr>
                        <wps:spPr bwMode="auto">
                          <a:xfrm>
                            <a:off x="723352" y="313013"/>
                            <a:ext cx="76529" cy="76528"/>
                          </a:xfrm>
                          <a:custGeom>
                            <a:avLst/>
                            <a:gdLst>
                              <a:gd name="T0" fmla="*/ 168 w 169"/>
                              <a:gd name="T1" fmla="*/ 96 h 166"/>
                              <a:gd name="T2" fmla="*/ 47 w 169"/>
                              <a:gd name="T3" fmla="*/ 96 h 166"/>
                              <a:gd name="T4" fmla="*/ 62 w 169"/>
                              <a:gd name="T5" fmla="*/ 119 h 166"/>
                              <a:gd name="T6" fmla="*/ 93 w 169"/>
                              <a:gd name="T7" fmla="*/ 128 h 166"/>
                              <a:gd name="T8" fmla="*/ 115 w 169"/>
                              <a:gd name="T9" fmla="*/ 124 h 166"/>
                              <a:gd name="T10" fmla="*/ 133 w 169"/>
                              <a:gd name="T11" fmla="*/ 113 h 166"/>
                              <a:gd name="T12" fmla="*/ 158 w 169"/>
                              <a:gd name="T13" fmla="*/ 140 h 166"/>
                              <a:gd name="T14" fmla="*/ 92 w 169"/>
                              <a:gd name="T15" fmla="*/ 166 h 166"/>
                              <a:gd name="T16" fmla="*/ 43 w 169"/>
                              <a:gd name="T17" fmla="*/ 155 h 166"/>
                              <a:gd name="T18" fmla="*/ 11 w 169"/>
                              <a:gd name="T19" fmla="*/ 125 h 166"/>
                              <a:gd name="T20" fmla="*/ 0 w 169"/>
                              <a:gd name="T21" fmla="*/ 83 h 166"/>
                              <a:gd name="T22" fmla="*/ 11 w 169"/>
                              <a:gd name="T23" fmla="*/ 40 h 166"/>
                              <a:gd name="T24" fmla="*/ 42 w 169"/>
                              <a:gd name="T25" fmla="*/ 10 h 166"/>
                              <a:gd name="T26" fmla="*/ 86 w 169"/>
                              <a:gd name="T27" fmla="*/ 0 h 166"/>
                              <a:gd name="T28" fmla="*/ 128 w 169"/>
                              <a:gd name="T29" fmla="*/ 10 h 166"/>
                              <a:gd name="T30" fmla="*/ 158 w 169"/>
                              <a:gd name="T31" fmla="*/ 39 h 166"/>
                              <a:gd name="T32" fmla="*/ 169 w 169"/>
                              <a:gd name="T33" fmla="*/ 83 h 166"/>
                              <a:gd name="T34" fmla="*/ 168 w 169"/>
                              <a:gd name="T35" fmla="*/ 96 h 166"/>
                              <a:gd name="T36" fmla="*/ 59 w 169"/>
                              <a:gd name="T37" fmla="*/ 44 h 166"/>
                              <a:gd name="T38" fmla="*/ 46 w 169"/>
                              <a:gd name="T39" fmla="*/ 69 h 166"/>
                              <a:gd name="T40" fmla="*/ 125 w 169"/>
                              <a:gd name="T41" fmla="*/ 69 h 166"/>
                              <a:gd name="T42" fmla="*/ 112 w 169"/>
                              <a:gd name="T43" fmla="*/ 44 h 166"/>
                              <a:gd name="T44" fmla="*/ 86 w 169"/>
                              <a:gd name="T45" fmla="*/ 35 h 166"/>
                              <a:gd name="T46" fmla="*/ 59 w 169"/>
                              <a:gd name="T47" fmla="*/ 44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69" h="166">
                                <a:moveTo>
                                  <a:pt x="168" y="96"/>
                                </a:moveTo>
                                <a:cubicBezTo>
                                  <a:pt x="47" y="96"/>
                                  <a:pt x="47" y="96"/>
                                  <a:pt x="47" y="96"/>
                                </a:cubicBezTo>
                                <a:cubicBezTo>
                                  <a:pt x="49" y="106"/>
                                  <a:pt x="54" y="114"/>
                                  <a:pt x="62" y="119"/>
                                </a:cubicBezTo>
                                <a:cubicBezTo>
                                  <a:pt x="70" y="125"/>
                                  <a:pt x="81" y="128"/>
                                  <a:pt x="93" y="128"/>
                                </a:cubicBezTo>
                                <a:cubicBezTo>
                                  <a:pt x="101" y="128"/>
                                  <a:pt x="109" y="127"/>
                                  <a:pt x="115" y="124"/>
                                </a:cubicBezTo>
                                <a:cubicBezTo>
                                  <a:pt x="122" y="122"/>
                                  <a:pt x="128" y="118"/>
                                  <a:pt x="133" y="113"/>
                                </a:cubicBezTo>
                                <a:cubicBezTo>
                                  <a:pt x="158" y="140"/>
                                  <a:pt x="158" y="140"/>
                                  <a:pt x="158" y="140"/>
                                </a:cubicBezTo>
                                <a:cubicBezTo>
                                  <a:pt x="143" y="157"/>
                                  <a:pt x="121" y="166"/>
                                  <a:pt x="92" y="166"/>
                                </a:cubicBezTo>
                                <a:cubicBezTo>
                                  <a:pt x="73" y="166"/>
                                  <a:pt x="57" y="162"/>
                                  <a:pt x="43" y="155"/>
                                </a:cubicBezTo>
                                <a:cubicBezTo>
                                  <a:pt x="29" y="148"/>
                                  <a:pt x="19" y="138"/>
                                  <a:pt x="11" y="125"/>
                                </a:cubicBezTo>
                                <a:cubicBezTo>
                                  <a:pt x="4" y="113"/>
                                  <a:pt x="0" y="99"/>
                                  <a:pt x="0" y="83"/>
                                </a:cubicBezTo>
                                <a:cubicBezTo>
                                  <a:pt x="0" y="67"/>
                                  <a:pt x="3" y="53"/>
                                  <a:pt x="11" y="40"/>
                                </a:cubicBezTo>
                                <a:cubicBezTo>
                                  <a:pt x="18" y="27"/>
                                  <a:pt x="29" y="18"/>
                                  <a:pt x="42" y="10"/>
                                </a:cubicBezTo>
                                <a:cubicBezTo>
                                  <a:pt x="55" y="3"/>
                                  <a:pt x="69" y="0"/>
                                  <a:pt x="86" y="0"/>
                                </a:cubicBezTo>
                                <a:cubicBezTo>
                                  <a:pt x="101" y="0"/>
                                  <a:pt x="116" y="3"/>
                                  <a:pt x="128" y="10"/>
                                </a:cubicBezTo>
                                <a:cubicBezTo>
                                  <a:pt x="141" y="17"/>
                                  <a:pt x="151" y="27"/>
                                  <a:pt x="158" y="39"/>
                                </a:cubicBezTo>
                                <a:cubicBezTo>
                                  <a:pt x="166" y="52"/>
                                  <a:pt x="169" y="67"/>
                                  <a:pt x="169" y="83"/>
                                </a:cubicBezTo>
                                <a:cubicBezTo>
                                  <a:pt x="169" y="84"/>
                                  <a:pt x="169" y="88"/>
                                  <a:pt x="168" y="96"/>
                                </a:cubicBezTo>
                                <a:close/>
                                <a:moveTo>
                                  <a:pt x="59" y="44"/>
                                </a:moveTo>
                                <a:cubicBezTo>
                                  <a:pt x="52" y="50"/>
                                  <a:pt x="48" y="58"/>
                                  <a:pt x="46" y="69"/>
                                </a:cubicBezTo>
                                <a:cubicBezTo>
                                  <a:pt x="125" y="69"/>
                                  <a:pt x="125" y="69"/>
                                  <a:pt x="125" y="69"/>
                                </a:cubicBezTo>
                                <a:cubicBezTo>
                                  <a:pt x="124" y="58"/>
                                  <a:pt x="119" y="50"/>
                                  <a:pt x="112" y="44"/>
                                </a:cubicBezTo>
                                <a:cubicBezTo>
                                  <a:pt x="105" y="38"/>
                                  <a:pt x="96" y="35"/>
                                  <a:pt x="86" y="35"/>
                                </a:cubicBezTo>
                                <a:cubicBezTo>
                                  <a:pt x="75" y="35"/>
                                  <a:pt x="66" y="38"/>
                                  <a:pt x="59" y="44"/>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8" name="Freeform 40"/>
                        <wps:cNvSpPr>
                          <a:spLocks noEditPoints="1"/>
                        </wps:cNvSpPr>
                        <wps:spPr bwMode="auto">
                          <a:xfrm>
                            <a:off x="861732" y="290998"/>
                            <a:ext cx="91206" cy="98544"/>
                          </a:xfrm>
                          <a:custGeom>
                            <a:avLst/>
                            <a:gdLst>
                              <a:gd name="T0" fmla="*/ 175 w 200"/>
                              <a:gd name="T1" fmla="*/ 216 h 216"/>
                              <a:gd name="T2" fmla="*/ 150 w 200"/>
                              <a:gd name="T3" fmla="*/ 192 h 216"/>
                              <a:gd name="T4" fmla="*/ 80 w 200"/>
                              <a:gd name="T5" fmla="*/ 216 h 216"/>
                              <a:gd name="T6" fmla="*/ 39 w 200"/>
                              <a:gd name="T7" fmla="*/ 208 h 216"/>
                              <a:gd name="T8" fmla="*/ 10 w 200"/>
                              <a:gd name="T9" fmla="*/ 188 h 216"/>
                              <a:gd name="T10" fmla="*/ 0 w 200"/>
                              <a:gd name="T11" fmla="*/ 158 h 216"/>
                              <a:gd name="T12" fmla="*/ 11 w 200"/>
                              <a:gd name="T13" fmla="*/ 124 h 216"/>
                              <a:gd name="T14" fmla="*/ 46 w 200"/>
                              <a:gd name="T15" fmla="*/ 96 h 216"/>
                              <a:gd name="T16" fmla="*/ 30 w 200"/>
                              <a:gd name="T17" fmla="*/ 74 h 216"/>
                              <a:gd name="T18" fmla="*/ 24 w 200"/>
                              <a:gd name="T19" fmla="*/ 52 h 216"/>
                              <a:gd name="T20" fmla="*/ 33 w 200"/>
                              <a:gd name="T21" fmla="*/ 25 h 216"/>
                              <a:gd name="T22" fmla="*/ 55 w 200"/>
                              <a:gd name="T23" fmla="*/ 7 h 216"/>
                              <a:gd name="T24" fmla="*/ 90 w 200"/>
                              <a:gd name="T25" fmla="*/ 0 h 216"/>
                              <a:gd name="T26" fmla="*/ 133 w 200"/>
                              <a:gd name="T27" fmla="*/ 13 h 216"/>
                              <a:gd name="T28" fmla="*/ 150 w 200"/>
                              <a:gd name="T29" fmla="*/ 48 h 216"/>
                              <a:gd name="T30" fmla="*/ 140 w 200"/>
                              <a:gd name="T31" fmla="*/ 77 h 216"/>
                              <a:gd name="T32" fmla="*/ 109 w 200"/>
                              <a:gd name="T33" fmla="*/ 101 h 216"/>
                              <a:gd name="T34" fmla="*/ 147 w 200"/>
                              <a:gd name="T35" fmla="*/ 137 h 216"/>
                              <a:gd name="T36" fmla="*/ 158 w 200"/>
                              <a:gd name="T37" fmla="*/ 104 h 216"/>
                              <a:gd name="T38" fmla="*/ 195 w 200"/>
                              <a:gd name="T39" fmla="*/ 116 h 216"/>
                              <a:gd name="T40" fmla="*/ 176 w 200"/>
                              <a:gd name="T41" fmla="*/ 163 h 216"/>
                              <a:gd name="T42" fmla="*/ 200 w 200"/>
                              <a:gd name="T43" fmla="*/ 186 h 216"/>
                              <a:gd name="T44" fmla="*/ 175 w 200"/>
                              <a:gd name="T45" fmla="*/ 216 h 216"/>
                              <a:gd name="T46" fmla="*/ 122 w 200"/>
                              <a:gd name="T47" fmla="*/ 167 h 216"/>
                              <a:gd name="T48" fmla="*/ 72 w 200"/>
                              <a:gd name="T49" fmla="*/ 120 h 216"/>
                              <a:gd name="T50" fmla="*/ 52 w 200"/>
                              <a:gd name="T51" fmla="*/ 136 h 216"/>
                              <a:gd name="T52" fmla="*/ 46 w 200"/>
                              <a:gd name="T53" fmla="*/ 153 h 216"/>
                              <a:gd name="T54" fmla="*/ 56 w 200"/>
                              <a:gd name="T55" fmla="*/ 172 h 216"/>
                              <a:gd name="T56" fmla="*/ 83 w 200"/>
                              <a:gd name="T57" fmla="*/ 179 h 216"/>
                              <a:gd name="T58" fmla="*/ 122 w 200"/>
                              <a:gd name="T59" fmla="*/ 167 h 216"/>
                              <a:gd name="T60" fmla="*/ 73 w 200"/>
                              <a:gd name="T61" fmla="*/ 37 h 216"/>
                              <a:gd name="T62" fmla="*/ 67 w 200"/>
                              <a:gd name="T63" fmla="*/ 51 h 216"/>
                              <a:gd name="T64" fmla="*/ 70 w 200"/>
                              <a:gd name="T65" fmla="*/ 63 h 216"/>
                              <a:gd name="T66" fmla="*/ 83 w 200"/>
                              <a:gd name="T67" fmla="*/ 78 h 216"/>
                              <a:gd name="T68" fmla="*/ 104 w 200"/>
                              <a:gd name="T69" fmla="*/ 63 h 216"/>
                              <a:gd name="T70" fmla="*/ 110 w 200"/>
                              <a:gd name="T71" fmla="*/ 49 h 216"/>
                              <a:gd name="T72" fmla="*/ 105 w 200"/>
                              <a:gd name="T73" fmla="*/ 37 h 216"/>
                              <a:gd name="T74" fmla="*/ 90 w 200"/>
                              <a:gd name="T75" fmla="*/ 32 h 216"/>
                              <a:gd name="T76" fmla="*/ 73 w 200"/>
                              <a:gd name="T77" fmla="*/ 37 h 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00" h="216">
                                <a:moveTo>
                                  <a:pt x="175" y="216"/>
                                </a:moveTo>
                                <a:cubicBezTo>
                                  <a:pt x="150" y="192"/>
                                  <a:pt x="150" y="192"/>
                                  <a:pt x="150" y="192"/>
                                </a:cubicBezTo>
                                <a:cubicBezTo>
                                  <a:pt x="130" y="208"/>
                                  <a:pt x="106" y="216"/>
                                  <a:pt x="80" y="216"/>
                                </a:cubicBezTo>
                                <a:cubicBezTo>
                                  <a:pt x="65" y="216"/>
                                  <a:pt x="51" y="213"/>
                                  <a:pt x="39" y="208"/>
                                </a:cubicBezTo>
                                <a:cubicBezTo>
                                  <a:pt x="27" y="204"/>
                                  <a:pt x="17" y="197"/>
                                  <a:pt x="10" y="188"/>
                                </a:cubicBezTo>
                                <a:cubicBezTo>
                                  <a:pt x="3" y="179"/>
                                  <a:pt x="0" y="169"/>
                                  <a:pt x="0" y="158"/>
                                </a:cubicBezTo>
                                <a:cubicBezTo>
                                  <a:pt x="0" y="145"/>
                                  <a:pt x="4" y="134"/>
                                  <a:pt x="11" y="124"/>
                                </a:cubicBezTo>
                                <a:cubicBezTo>
                                  <a:pt x="18" y="114"/>
                                  <a:pt x="30" y="105"/>
                                  <a:pt x="46" y="96"/>
                                </a:cubicBezTo>
                                <a:cubicBezTo>
                                  <a:pt x="38" y="88"/>
                                  <a:pt x="33" y="81"/>
                                  <a:pt x="30" y="74"/>
                                </a:cubicBezTo>
                                <a:cubicBezTo>
                                  <a:pt x="26" y="66"/>
                                  <a:pt x="24" y="59"/>
                                  <a:pt x="24" y="52"/>
                                </a:cubicBezTo>
                                <a:cubicBezTo>
                                  <a:pt x="24" y="41"/>
                                  <a:pt x="27" y="32"/>
                                  <a:pt x="33" y="25"/>
                                </a:cubicBezTo>
                                <a:cubicBezTo>
                                  <a:pt x="38" y="17"/>
                                  <a:pt x="46" y="11"/>
                                  <a:pt x="55" y="7"/>
                                </a:cubicBezTo>
                                <a:cubicBezTo>
                                  <a:pt x="65" y="2"/>
                                  <a:pt x="77" y="0"/>
                                  <a:pt x="90" y="0"/>
                                </a:cubicBezTo>
                                <a:cubicBezTo>
                                  <a:pt x="108" y="0"/>
                                  <a:pt x="122" y="4"/>
                                  <a:pt x="133" y="13"/>
                                </a:cubicBezTo>
                                <a:cubicBezTo>
                                  <a:pt x="144" y="22"/>
                                  <a:pt x="150" y="33"/>
                                  <a:pt x="150" y="48"/>
                                </a:cubicBezTo>
                                <a:cubicBezTo>
                                  <a:pt x="150" y="59"/>
                                  <a:pt x="147" y="69"/>
                                  <a:pt x="140" y="77"/>
                                </a:cubicBezTo>
                                <a:cubicBezTo>
                                  <a:pt x="134" y="85"/>
                                  <a:pt x="123" y="93"/>
                                  <a:pt x="109" y="101"/>
                                </a:cubicBezTo>
                                <a:cubicBezTo>
                                  <a:pt x="147" y="137"/>
                                  <a:pt x="147" y="137"/>
                                  <a:pt x="147" y="137"/>
                                </a:cubicBezTo>
                                <a:cubicBezTo>
                                  <a:pt x="152" y="127"/>
                                  <a:pt x="155" y="116"/>
                                  <a:pt x="158" y="104"/>
                                </a:cubicBezTo>
                                <a:cubicBezTo>
                                  <a:pt x="195" y="116"/>
                                  <a:pt x="195" y="116"/>
                                  <a:pt x="195" y="116"/>
                                </a:cubicBezTo>
                                <a:cubicBezTo>
                                  <a:pt x="191" y="134"/>
                                  <a:pt x="185" y="150"/>
                                  <a:pt x="176" y="163"/>
                                </a:cubicBezTo>
                                <a:cubicBezTo>
                                  <a:pt x="200" y="186"/>
                                  <a:pt x="200" y="186"/>
                                  <a:pt x="200" y="186"/>
                                </a:cubicBezTo>
                                <a:lnTo>
                                  <a:pt x="175" y="216"/>
                                </a:lnTo>
                                <a:close/>
                                <a:moveTo>
                                  <a:pt x="122" y="167"/>
                                </a:moveTo>
                                <a:cubicBezTo>
                                  <a:pt x="72" y="120"/>
                                  <a:pt x="72" y="120"/>
                                  <a:pt x="72" y="120"/>
                                </a:cubicBezTo>
                                <a:cubicBezTo>
                                  <a:pt x="62" y="125"/>
                                  <a:pt x="56" y="130"/>
                                  <a:pt x="52" y="136"/>
                                </a:cubicBezTo>
                                <a:cubicBezTo>
                                  <a:pt x="48" y="141"/>
                                  <a:pt x="46" y="147"/>
                                  <a:pt x="46" y="153"/>
                                </a:cubicBezTo>
                                <a:cubicBezTo>
                                  <a:pt x="46" y="161"/>
                                  <a:pt x="49" y="167"/>
                                  <a:pt x="56" y="172"/>
                                </a:cubicBezTo>
                                <a:cubicBezTo>
                                  <a:pt x="63" y="177"/>
                                  <a:pt x="72" y="179"/>
                                  <a:pt x="83" y="179"/>
                                </a:cubicBezTo>
                                <a:cubicBezTo>
                                  <a:pt x="98" y="179"/>
                                  <a:pt x="111" y="175"/>
                                  <a:pt x="122" y="167"/>
                                </a:cubicBezTo>
                                <a:close/>
                                <a:moveTo>
                                  <a:pt x="73" y="37"/>
                                </a:moveTo>
                                <a:cubicBezTo>
                                  <a:pt x="69" y="41"/>
                                  <a:pt x="67" y="45"/>
                                  <a:pt x="67" y="51"/>
                                </a:cubicBezTo>
                                <a:cubicBezTo>
                                  <a:pt x="67" y="55"/>
                                  <a:pt x="68" y="59"/>
                                  <a:pt x="70" y="63"/>
                                </a:cubicBezTo>
                                <a:cubicBezTo>
                                  <a:pt x="72" y="66"/>
                                  <a:pt x="77" y="71"/>
                                  <a:pt x="83" y="78"/>
                                </a:cubicBezTo>
                                <a:cubicBezTo>
                                  <a:pt x="93" y="72"/>
                                  <a:pt x="100" y="67"/>
                                  <a:pt x="104" y="63"/>
                                </a:cubicBezTo>
                                <a:cubicBezTo>
                                  <a:pt x="108" y="59"/>
                                  <a:pt x="110" y="54"/>
                                  <a:pt x="110" y="49"/>
                                </a:cubicBezTo>
                                <a:cubicBezTo>
                                  <a:pt x="110" y="44"/>
                                  <a:pt x="108" y="40"/>
                                  <a:pt x="105" y="37"/>
                                </a:cubicBezTo>
                                <a:cubicBezTo>
                                  <a:pt x="101" y="33"/>
                                  <a:pt x="96" y="32"/>
                                  <a:pt x="90" y="32"/>
                                </a:cubicBezTo>
                                <a:cubicBezTo>
                                  <a:pt x="83" y="32"/>
                                  <a:pt x="77" y="34"/>
                                  <a:pt x="73" y="37"/>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9" name="Freeform 41"/>
                        <wps:cNvSpPr>
                          <a:spLocks noEditPoints="1"/>
                        </wps:cNvSpPr>
                        <wps:spPr bwMode="auto">
                          <a:xfrm>
                            <a:off x="1020032" y="292046"/>
                            <a:ext cx="82819" cy="96447"/>
                          </a:xfrm>
                          <a:custGeom>
                            <a:avLst/>
                            <a:gdLst>
                              <a:gd name="T0" fmla="*/ 139 w 182"/>
                              <a:gd name="T1" fmla="*/ 9 h 209"/>
                              <a:gd name="T2" fmla="*/ 171 w 182"/>
                              <a:gd name="T3" fmla="*/ 35 h 209"/>
                              <a:gd name="T4" fmla="*/ 182 w 182"/>
                              <a:gd name="T5" fmla="*/ 76 h 209"/>
                              <a:gd name="T6" fmla="*/ 171 w 182"/>
                              <a:gd name="T7" fmla="*/ 116 h 209"/>
                              <a:gd name="T8" fmla="*/ 139 w 182"/>
                              <a:gd name="T9" fmla="*/ 142 h 209"/>
                              <a:gd name="T10" fmla="*/ 91 w 182"/>
                              <a:gd name="T11" fmla="*/ 151 h 209"/>
                              <a:gd name="T12" fmla="*/ 49 w 182"/>
                              <a:gd name="T13" fmla="*/ 151 h 209"/>
                              <a:gd name="T14" fmla="*/ 49 w 182"/>
                              <a:gd name="T15" fmla="*/ 209 h 209"/>
                              <a:gd name="T16" fmla="*/ 0 w 182"/>
                              <a:gd name="T17" fmla="*/ 209 h 209"/>
                              <a:gd name="T18" fmla="*/ 0 w 182"/>
                              <a:gd name="T19" fmla="*/ 0 h 209"/>
                              <a:gd name="T20" fmla="*/ 91 w 182"/>
                              <a:gd name="T21" fmla="*/ 0 h 209"/>
                              <a:gd name="T22" fmla="*/ 139 w 182"/>
                              <a:gd name="T23" fmla="*/ 9 h 209"/>
                              <a:gd name="T24" fmla="*/ 121 w 182"/>
                              <a:gd name="T25" fmla="*/ 103 h 209"/>
                              <a:gd name="T26" fmla="*/ 133 w 182"/>
                              <a:gd name="T27" fmla="*/ 76 h 209"/>
                              <a:gd name="T28" fmla="*/ 121 w 182"/>
                              <a:gd name="T29" fmla="*/ 49 h 209"/>
                              <a:gd name="T30" fmla="*/ 88 w 182"/>
                              <a:gd name="T31" fmla="*/ 39 h 209"/>
                              <a:gd name="T32" fmla="*/ 49 w 182"/>
                              <a:gd name="T33" fmla="*/ 39 h 209"/>
                              <a:gd name="T34" fmla="*/ 49 w 182"/>
                              <a:gd name="T35" fmla="*/ 112 h 209"/>
                              <a:gd name="T36" fmla="*/ 88 w 182"/>
                              <a:gd name="T37" fmla="*/ 112 h 209"/>
                              <a:gd name="T38" fmla="*/ 121 w 182"/>
                              <a:gd name="T39" fmla="*/ 103 h 2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82" h="209">
                                <a:moveTo>
                                  <a:pt x="139" y="9"/>
                                </a:moveTo>
                                <a:cubicBezTo>
                                  <a:pt x="153" y="15"/>
                                  <a:pt x="163" y="24"/>
                                  <a:pt x="171" y="35"/>
                                </a:cubicBezTo>
                                <a:cubicBezTo>
                                  <a:pt x="178" y="47"/>
                                  <a:pt x="182" y="60"/>
                                  <a:pt x="182" y="76"/>
                                </a:cubicBezTo>
                                <a:cubicBezTo>
                                  <a:pt x="182" y="91"/>
                                  <a:pt x="178" y="105"/>
                                  <a:pt x="171" y="116"/>
                                </a:cubicBezTo>
                                <a:cubicBezTo>
                                  <a:pt x="163" y="127"/>
                                  <a:pt x="153" y="136"/>
                                  <a:pt x="139" y="142"/>
                                </a:cubicBezTo>
                                <a:cubicBezTo>
                                  <a:pt x="126" y="148"/>
                                  <a:pt x="109" y="151"/>
                                  <a:pt x="91" y="151"/>
                                </a:cubicBezTo>
                                <a:cubicBezTo>
                                  <a:pt x="49" y="151"/>
                                  <a:pt x="49" y="151"/>
                                  <a:pt x="49" y="151"/>
                                </a:cubicBezTo>
                                <a:cubicBezTo>
                                  <a:pt x="49" y="209"/>
                                  <a:pt x="49" y="209"/>
                                  <a:pt x="49" y="209"/>
                                </a:cubicBezTo>
                                <a:cubicBezTo>
                                  <a:pt x="0" y="209"/>
                                  <a:pt x="0" y="209"/>
                                  <a:pt x="0" y="209"/>
                                </a:cubicBezTo>
                                <a:cubicBezTo>
                                  <a:pt x="0" y="0"/>
                                  <a:pt x="0" y="0"/>
                                  <a:pt x="0" y="0"/>
                                </a:cubicBezTo>
                                <a:cubicBezTo>
                                  <a:pt x="91" y="0"/>
                                  <a:pt x="91" y="0"/>
                                  <a:pt x="91" y="0"/>
                                </a:cubicBezTo>
                                <a:cubicBezTo>
                                  <a:pt x="109" y="0"/>
                                  <a:pt x="126" y="3"/>
                                  <a:pt x="139" y="9"/>
                                </a:cubicBezTo>
                                <a:close/>
                                <a:moveTo>
                                  <a:pt x="121" y="103"/>
                                </a:moveTo>
                                <a:cubicBezTo>
                                  <a:pt x="129" y="96"/>
                                  <a:pt x="133" y="87"/>
                                  <a:pt x="133" y="76"/>
                                </a:cubicBezTo>
                                <a:cubicBezTo>
                                  <a:pt x="133" y="64"/>
                                  <a:pt x="129" y="55"/>
                                  <a:pt x="121" y="49"/>
                                </a:cubicBezTo>
                                <a:cubicBezTo>
                                  <a:pt x="114" y="42"/>
                                  <a:pt x="103" y="39"/>
                                  <a:pt x="88" y="39"/>
                                </a:cubicBezTo>
                                <a:cubicBezTo>
                                  <a:pt x="49" y="39"/>
                                  <a:pt x="49" y="39"/>
                                  <a:pt x="49" y="39"/>
                                </a:cubicBezTo>
                                <a:cubicBezTo>
                                  <a:pt x="49" y="112"/>
                                  <a:pt x="49" y="112"/>
                                  <a:pt x="49" y="112"/>
                                </a:cubicBezTo>
                                <a:cubicBezTo>
                                  <a:pt x="88" y="112"/>
                                  <a:pt x="88" y="112"/>
                                  <a:pt x="88" y="112"/>
                                </a:cubicBezTo>
                                <a:cubicBezTo>
                                  <a:pt x="103" y="112"/>
                                  <a:pt x="114" y="109"/>
                                  <a:pt x="121" y="103"/>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0" name="Freeform 42"/>
                        <wps:cNvSpPr>
                          <a:spLocks/>
                        </wps:cNvSpPr>
                        <wps:spPr bwMode="auto">
                          <a:xfrm>
                            <a:off x="1125913" y="313013"/>
                            <a:ext cx="45079" cy="75480"/>
                          </a:xfrm>
                          <a:custGeom>
                            <a:avLst/>
                            <a:gdLst>
                              <a:gd name="T0" fmla="*/ 67 w 100"/>
                              <a:gd name="T1" fmla="*/ 6 h 163"/>
                              <a:gd name="T2" fmla="*/ 100 w 100"/>
                              <a:gd name="T3" fmla="*/ 0 h 163"/>
                              <a:gd name="T4" fmla="*/ 100 w 100"/>
                              <a:gd name="T5" fmla="*/ 43 h 163"/>
                              <a:gd name="T6" fmla="*/ 89 w 100"/>
                              <a:gd name="T7" fmla="*/ 42 h 163"/>
                              <a:gd name="T8" fmla="*/ 58 w 100"/>
                              <a:gd name="T9" fmla="*/ 54 h 163"/>
                              <a:gd name="T10" fmla="*/ 47 w 100"/>
                              <a:gd name="T11" fmla="*/ 87 h 163"/>
                              <a:gd name="T12" fmla="*/ 47 w 100"/>
                              <a:gd name="T13" fmla="*/ 163 h 163"/>
                              <a:gd name="T14" fmla="*/ 0 w 100"/>
                              <a:gd name="T15" fmla="*/ 163 h 163"/>
                              <a:gd name="T16" fmla="*/ 0 w 100"/>
                              <a:gd name="T17" fmla="*/ 2 h 163"/>
                              <a:gd name="T18" fmla="*/ 45 w 100"/>
                              <a:gd name="T19" fmla="*/ 2 h 163"/>
                              <a:gd name="T20" fmla="*/ 45 w 100"/>
                              <a:gd name="T21" fmla="*/ 23 h 163"/>
                              <a:gd name="T22" fmla="*/ 67 w 100"/>
                              <a:gd name="T23" fmla="*/ 6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0" h="163">
                                <a:moveTo>
                                  <a:pt x="67" y="6"/>
                                </a:moveTo>
                                <a:cubicBezTo>
                                  <a:pt x="77" y="2"/>
                                  <a:pt x="87" y="0"/>
                                  <a:pt x="100" y="0"/>
                                </a:cubicBezTo>
                                <a:cubicBezTo>
                                  <a:pt x="100" y="43"/>
                                  <a:pt x="100" y="43"/>
                                  <a:pt x="100" y="43"/>
                                </a:cubicBezTo>
                                <a:cubicBezTo>
                                  <a:pt x="95" y="43"/>
                                  <a:pt x="91" y="42"/>
                                  <a:pt x="89" y="42"/>
                                </a:cubicBezTo>
                                <a:cubicBezTo>
                                  <a:pt x="76" y="42"/>
                                  <a:pt x="66" y="46"/>
                                  <a:pt x="58" y="54"/>
                                </a:cubicBezTo>
                                <a:cubicBezTo>
                                  <a:pt x="50" y="61"/>
                                  <a:pt x="47" y="72"/>
                                  <a:pt x="47" y="87"/>
                                </a:cubicBezTo>
                                <a:cubicBezTo>
                                  <a:pt x="47" y="163"/>
                                  <a:pt x="47" y="163"/>
                                  <a:pt x="47" y="163"/>
                                </a:cubicBezTo>
                                <a:cubicBezTo>
                                  <a:pt x="0" y="163"/>
                                  <a:pt x="0" y="163"/>
                                  <a:pt x="0" y="163"/>
                                </a:cubicBezTo>
                                <a:cubicBezTo>
                                  <a:pt x="0" y="2"/>
                                  <a:pt x="0" y="2"/>
                                  <a:pt x="0" y="2"/>
                                </a:cubicBezTo>
                                <a:cubicBezTo>
                                  <a:pt x="45" y="2"/>
                                  <a:pt x="45" y="2"/>
                                  <a:pt x="45" y="2"/>
                                </a:cubicBezTo>
                                <a:cubicBezTo>
                                  <a:pt x="45" y="23"/>
                                  <a:pt x="45" y="23"/>
                                  <a:pt x="45" y="23"/>
                                </a:cubicBezTo>
                                <a:cubicBezTo>
                                  <a:pt x="50" y="16"/>
                                  <a:pt x="58" y="10"/>
                                  <a:pt x="67" y="6"/>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1" name="Freeform 43"/>
                        <wps:cNvSpPr>
                          <a:spLocks noEditPoints="1"/>
                        </wps:cNvSpPr>
                        <wps:spPr bwMode="auto">
                          <a:xfrm>
                            <a:off x="1185669" y="313013"/>
                            <a:ext cx="80722" cy="76528"/>
                          </a:xfrm>
                          <a:custGeom>
                            <a:avLst/>
                            <a:gdLst>
                              <a:gd name="T0" fmla="*/ 43 w 177"/>
                              <a:gd name="T1" fmla="*/ 155 h 166"/>
                              <a:gd name="T2" fmla="*/ 11 w 177"/>
                              <a:gd name="T3" fmla="*/ 125 h 166"/>
                              <a:gd name="T4" fmla="*/ 0 w 177"/>
                              <a:gd name="T5" fmla="*/ 83 h 166"/>
                              <a:gd name="T6" fmla="*/ 11 w 177"/>
                              <a:gd name="T7" fmla="*/ 40 h 166"/>
                              <a:gd name="T8" fmla="*/ 43 w 177"/>
                              <a:gd name="T9" fmla="*/ 10 h 166"/>
                              <a:gd name="T10" fmla="*/ 88 w 177"/>
                              <a:gd name="T11" fmla="*/ 0 h 166"/>
                              <a:gd name="T12" fmla="*/ 134 w 177"/>
                              <a:gd name="T13" fmla="*/ 10 h 166"/>
                              <a:gd name="T14" fmla="*/ 165 w 177"/>
                              <a:gd name="T15" fmla="*/ 40 h 166"/>
                              <a:gd name="T16" fmla="*/ 177 w 177"/>
                              <a:gd name="T17" fmla="*/ 83 h 166"/>
                              <a:gd name="T18" fmla="*/ 165 w 177"/>
                              <a:gd name="T19" fmla="*/ 125 h 166"/>
                              <a:gd name="T20" fmla="*/ 134 w 177"/>
                              <a:gd name="T21" fmla="*/ 155 h 166"/>
                              <a:gd name="T22" fmla="*/ 88 w 177"/>
                              <a:gd name="T23" fmla="*/ 166 h 166"/>
                              <a:gd name="T24" fmla="*/ 43 w 177"/>
                              <a:gd name="T25" fmla="*/ 155 h 166"/>
                              <a:gd name="T26" fmla="*/ 118 w 177"/>
                              <a:gd name="T27" fmla="*/ 115 h 166"/>
                              <a:gd name="T28" fmla="*/ 129 w 177"/>
                              <a:gd name="T29" fmla="*/ 83 h 166"/>
                              <a:gd name="T30" fmla="*/ 118 w 177"/>
                              <a:gd name="T31" fmla="*/ 50 h 166"/>
                              <a:gd name="T32" fmla="*/ 88 w 177"/>
                              <a:gd name="T33" fmla="*/ 38 h 166"/>
                              <a:gd name="T34" fmla="*/ 59 w 177"/>
                              <a:gd name="T35" fmla="*/ 50 h 166"/>
                              <a:gd name="T36" fmla="*/ 47 w 177"/>
                              <a:gd name="T37" fmla="*/ 83 h 166"/>
                              <a:gd name="T38" fmla="*/ 59 w 177"/>
                              <a:gd name="T39" fmla="*/ 115 h 166"/>
                              <a:gd name="T40" fmla="*/ 88 w 177"/>
                              <a:gd name="T41" fmla="*/ 127 h 166"/>
                              <a:gd name="T42" fmla="*/ 118 w 177"/>
                              <a:gd name="T43" fmla="*/ 115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77" h="166">
                                <a:moveTo>
                                  <a:pt x="43" y="155"/>
                                </a:moveTo>
                                <a:cubicBezTo>
                                  <a:pt x="29" y="148"/>
                                  <a:pt x="19" y="138"/>
                                  <a:pt x="11" y="125"/>
                                </a:cubicBezTo>
                                <a:cubicBezTo>
                                  <a:pt x="4" y="113"/>
                                  <a:pt x="0" y="99"/>
                                  <a:pt x="0" y="83"/>
                                </a:cubicBezTo>
                                <a:cubicBezTo>
                                  <a:pt x="0" y="67"/>
                                  <a:pt x="4" y="52"/>
                                  <a:pt x="11" y="40"/>
                                </a:cubicBezTo>
                                <a:cubicBezTo>
                                  <a:pt x="19" y="27"/>
                                  <a:pt x="29" y="18"/>
                                  <a:pt x="43" y="10"/>
                                </a:cubicBezTo>
                                <a:cubicBezTo>
                                  <a:pt x="56" y="3"/>
                                  <a:pt x="71" y="0"/>
                                  <a:pt x="88" y="0"/>
                                </a:cubicBezTo>
                                <a:cubicBezTo>
                                  <a:pt x="105" y="0"/>
                                  <a:pt x="120" y="3"/>
                                  <a:pt x="134" y="10"/>
                                </a:cubicBezTo>
                                <a:cubicBezTo>
                                  <a:pt x="147" y="18"/>
                                  <a:pt x="158" y="27"/>
                                  <a:pt x="165" y="40"/>
                                </a:cubicBezTo>
                                <a:cubicBezTo>
                                  <a:pt x="173" y="52"/>
                                  <a:pt x="177" y="67"/>
                                  <a:pt x="177" y="83"/>
                                </a:cubicBezTo>
                                <a:cubicBezTo>
                                  <a:pt x="177" y="99"/>
                                  <a:pt x="173" y="113"/>
                                  <a:pt x="165" y="125"/>
                                </a:cubicBezTo>
                                <a:cubicBezTo>
                                  <a:pt x="158" y="138"/>
                                  <a:pt x="147" y="148"/>
                                  <a:pt x="134" y="155"/>
                                </a:cubicBezTo>
                                <a:cubicBezTo>
                                  <a:pt x="120" y="162"/>
                                  <a:pt x="105" y="166"/>
                                  <a:pt x="88" y="166"/>
                                </a:cubicBezTo>
                                <a:cubicBezTo>
                                  <a:pt x="71" y="166"/>
                                  <a:pt x="56" y="162"/>
                                  <a:pt x="43" y="155"/>
                                </a:cubicBezTo>
                                <a:close/>
                                <a:moveTo>
                                  <a:pt x="118" y="115"/>
                                </a:moveTo>
                                <a:cubicBezTo>
                                  <a:pt x="126" y="107"/>
                                  <a:pt x="129" y="96"/>
                                  <a:pt x="129" y="83"/>
                                </a:cubicBezTo>
                                <a:cubicBezTo>
                                  <a:pt x="129" y="69"/>
                                  <a:pt x="126" y="58"/>
                                  <a:pt x="118" y="50"/>
                                </a:cubicBezTo>
                                <a:cubicBezTo>
                                  <a:pt x="110" y="42"/>
                                  <a:pt x="100" y="38"/>
                                  <a:pt x="88" y="38"/>
                                </a:cubicBezTo>
                                <a:cubicBezTo>
                                  <a:pt x="76" y="38"/>
                                  <a:pt x="67" y="42"/>
                                  <a:pt x="59" y="50"/>
                                </a:cubicBezTo>
                                <a:cubicBezTo>
                                  <a:pt x="51" y="58"/>
                                  <a:pt x="47" y="69"/>
                                  <a:pt x="47" y="83"/>
                                </a:cubicBezTo>
                                <a:cubicBezTo>
                                  <a:pt x="47" y="96"/>
                                  <a:pt x="51" y="107"/>
                                  <a:pt x="59" y="115"/>
                                </a:cubicBezTo>
                                <a:cubicBezTo>
                                  <a:pt x="67" y="123"/>
                                  <a:pt x="76" y="127"/>
                                  <a:pt x="88" y="127"/>
                                </a:cubicBezTo>
                                <a:cubicBezTo>
                                  <a:pt x="100" y="127"/>
                                  <a:pt x="110" y="123"/>
                                  <a:pt x="118" y="115"/>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2" name="Freeform 44"/>
                        <wps:cNvSpPr>
                          <a:spLocks/>
                        </wps:cNvSpPr>
                        <wps:spPr bwMode="auto">
                          <a:xfrm>
                            <a:off x="1278970" y="298336"/>
                            <a:ext cx="55562" cy="91205"/>
                          </a:xfrm>
                          <a:custGeom>
                            <a:avLst/>
                            <a:gdLst>
                              <a:gd name="T0" fmla="*/ 122 w 122"/>
                              <a:gd name="T1" fmla="*/ 188 h 199"/>
                              <a:gd name="T2" fmla="*/ 106 w 122"/>
                              <a:gd name="T3" fmla="*/ 196 h 199"/>
                              <a:gd name="T4" fmla="*/ 85 w 122"/>
                              <a:gd name="T5" fmla="*/ 199 h 199"/>
                              <a:gd name="T6" fmla="*/ 40 w 122"/>
                              <a:gd name="T7" fmla="*/ 184 h 199"/>
                              <a:gd name="T8" fmla="*/ 24 w 122"/>
                              <a:gd name="T9" fmla="*/ 141 h 199"/>
                              <a:gd name="T10" fmla="*/ 24 w 122"/>
                              <a:gd name="T11" fmla="*/ 75 h 199"/>
                              <a:gd name="T12" fmla="*/ 0 w 122"/>
                              <a:gd name="T13" fmla="*/ 75 h 199"/>
                              <a:gd name="T14" fmla="*/ 0 w 122"/>
                              <a:gd name="T15" fmla="*/ 39 h 199"/>
                              <a:gd name="T16" fmla="*/ 24 w 122"/>
                              <a:gd name="T17" fmla="*/ 39 h 199"/>
                              <a:gd name="T18" fmla="*/ 24 w 122"/>
                              <a:gd name="T19" fmla="*/ 0 h 199"/>
                              <a:gd name="T20" fmla="*/ 71 w 122"/>
                              <a:gd name="T21" fmla="*/ 0 h 199"/>
                              <a:gd name="T22" fmla="*/ 71 w 122"/>
                              <a:gd name="T23" fmla="*/ 39 h 199"/>
                              <a:gd name="T24" fmla="*/ 111 w 122"/>
                              <a:gd name="T25" fmla="*/ 39 h 199"/>
                              <a:gd name="T26" fmla="*/ 111 w 122"/>
                              <a:gd name="T27" fmla="*/ 75 h 199"/>
                              <a:gd name="T28" fmla="*/ 71 w 122"/>
                              <a:gd name="T29" fmla="*/ 75 h 199"/>
                              <a:gd name="T30" fmla="*/ 71 w 122"/>
                              <a:gd name="T31" fmla="*/ 140 h 199"/>
                              <a:gd name="T32" fmla="*/ 76 w 122"/>
                              <a:gd name="T33" fmla="*/ 156 h 199"/>
                              <a:gd name="T34" fmla="*/ 91 w 122"/>
                              <a:gd name="T35" fmla="*/ 161 h 199"/>
                              <a:gd name="T36" fmla="*/ 110 w 122"/>
                              <a:gd name="T37" fmla="*/ 155 h 199"/>
                              <a:gd name="T38" fmla="*/ 122 w 122"/>
                              <a:gd name="T39" fmla="*/ 188 h 1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22" h="199">
                                <a:moveTo>
                                  <a:pt x="122" y="188"/>
                                </a:moveTo>
                                <a:cubicBezTo>
                                  <a:pt x="118" y="192"/>
                                  <a:pt x="112" y="194"/>
                                  <a:pt x="106" y="196"/>
                                </a:cubicBezTo>
                                <a:cubicBezTo>
                                  <a:pt x="99" y="198"/>
                                  <a:pt x="92" y="199"/>
                                  <a:pt x="85" y="199"/>
                                </a:cubicBezTo>
                                <a:cubicBezTo>
                                  <a:pt x="65" y="199"/>
                                  <a:pt x="51" y="194"/>
                                  <a:pt x="40" y="184"/>
                                </a:cubicBezTo>
                                <a:cubicBezTo>
                                  <a:pt x="30" y="174"/>
                                  <a:pt x="24" y="160"/>
                                  <a:pt x="24" y="141"/>
                                </a:cubicBezTo>
                                <a:cubicBezTo>
                                  <a:pt x="24" y="75"/>
                                  <a:pt x="24" y="75"/>
                                  <a:pt x="24" y="75"/>
                                </a:cubicBezTo>
                                <a:cubicBezTo>
                                  <a:pt x="0" y="75"/>
                                  <a:pt x="0" y="75"/>
                                  <a:pt x="0" y="75"/>
                                </a:cubicBezTo>
                                <a:cubicBezTo>
                                  <a:pt x="0" y="39"/>
                                  <a:pt x="0" y="39"/>
                                  <a:pt x="0" y="39"/>
                                </a:cubicBezTo>
                                <a:cubicBezTo>
                                  <a:pt x="24" y="39"/>
                                  <a:pt x="24" y="39"/>
                                  <a:pt x="24" y="39"/>
                                </a:cubicBezTo>
                                <a:cubicBezTo>
                                  <a:pt x="24" y="0"/>
                                  <a:pt x="24" y="0"/>
                                  <a:pt x="24" y="0"/>
                                </a:cubicBezTo>
                                <a:cubicBezTo>
                                  <a:pt x="71" y="0"/>
                                  <a:pt x="71" y="0"/>
                                  <a:pt x="71" y="0"/>
                                </a:cubicBezTo>
                                <a:cubicBezTo>
                                  <a:pt x="71" y="39"/>
                                  <a:pt x="71" y="39"/>
                                  <a:pt x="71" y="39"/>
                                </a:cubicBezTo>
                                <a:cubicBezTo>
                                  <a:pt x="111" y="39"/>
                                  <a:pt x="111" y="39"/>
                                  <a:pt x="111" y="39"/>
                                </a:cubicBezTo>
                                <a:cubicBezTo>
                                  <a:pt x="111" y="75"/>
                                  <a:pt x="111" y="75"/>
                                  <a:pt x="111" y="75"/>
                                </a:cubicBezTo>
                                <a:cubicBezTo>
                                  <a:pt x="71" y="75"/>
                                  <a:pt x="71" y="75"/>
                                  <a:pt x="71" y="75"/>
                                </a:cubicBezTo>
                                <a:cubicBezTo>
                                  <a:pt x="71" y="140"/>
                                  <a:pt x="71" y="140"/>
                                  <a:pt x="71" y="140"/>
                                </a:cubicBezTo>
                                <a:cubicBezTo>
                                  <a:pt x="71" y="147"/>
                                  <a:pt x="73" y="152"/>
                                  <a:pt x="76" y="156"/>
                                </a:cubicBezTo>
                                <a:cubicBezTo>
                                  <a:pt x="80" y="160"/>
                                  <a:pt x="85" y="161"/>
                                  <a:pt x="91" y="161"/>
                                </a:cubicBezTo>
                                <a:cubicBezTo>
                                  <a:pt x="98" y="161"/>
                                  <a:pt x="105" y="159"/>
                                  <a:pt x="110" y="155"/>
                                </a:cubicBezTo>
                                <a:lnTo>
                                  <a:pt x="122" y="18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3" name="Freeform 45"/>
                        <wps:cNvSpPr>
                          <a:spLocks noEditPoints="1"/>
                        </wps:cNvSpPr>
                        <wps:spPr bwMode="auto">
                          <a:xfrm>
                            <a:off x="1348161" y="313013"/>
                            <a:ext cx="77577" cy="76528"/>
                          </a:xfrm>
                          <a:custGeom>
                            <a:avLst/>
                            <a:gdLst>
                              <a:gd name="T0" fmla="*/ 169 w 170"/>
                              <a:gd name="T1" fmla="*/ 96 h 166"/>
                              <a:gd name="T2" fmla="*/ 47 w 170"/>
                              <a:gd name="T3" fmla="*/ 96 h 166"/>
                              <a:gd name="T4" fmla="*/ 63 w 170"/>
                              <a:gd name="T5" fmla="*/ 119 h 166"/>
                              <a:gd name="T6" fmla="*/ 94 w 170"/>
                              <a:gd name="T7" fmla="*/ 128 h 166"/>
                              <a:gd name="T8" fmla="*/ 116 w 170"/>
                              <a:gd name="T9" fmla="*/ 124 h 166"/>
                              <a:gd name="T10" fmla="*/ 134 w 170"/>
                              <a:gd name="T11" fmla="*/ 113 h 166"/>
                              <a:gd name="T12" fmla="*/ 159 w 170"/>
                              <a:gd name="T13" fmla="*/ 140 h 166"/>
                              <a:gd name="T14" fmla="*/ 92 w 170"/>
                              <a:gd name="T15" fmla="*/ 166 h 166"/>
                              <a:gd name="T16" fmla="*/ 44 w 170"/>
                              <a:gd name="T17" fmla="*/ 155 h 166"/>
                              <a:gd name="T18" fmla="*/ 12 w 170"/>
                              <a:gd name="T19" fmla="*/ 125 h 166"/>
                              <a:gd name="T20" fmla="*/ 0 w 170"/>
                              <a:gd name="T21" fmla="*/ 83 h 166"/>
                              <a:gd name="T22" fmla="*/ 12 w 170"/>
                              <a:gd name="T23" fmla="*/ 40 h 166"/>
                              <a:gd name="T24" fmla="*/ 43 w 170"/>
                              <a:gd name="T25" fmla="*/ 10 h 166"/>
                              <a:gd name="T26" fmla="*/ 86 w 170"/>
                              <a:gd name="T27" fmla="*/ 0 h 166"/>
                              <a:gd name="T28" fmla="*/ 129 w 170"/>
                              <a:gd name="T29" fmla="*/ 10 h 166"/>
                              <a:gd name="T30" fmla="*/ 159 w 170"/>
                              <a:gd name="T31" fmla="*/ 39 h 166"/>
                              <a:gd name="T32" fmla="*/ 170 w 170"/>
                              <a:gd name="T33" fmla="*/ 83 h 166"/>
                              <a:gd name="T34" fmla="*/ 169 w 170"/>
                              <a:gd name="T35" fmla="*/ 96 h 166"/>
                              <a:gd name="T36" fmla="*/ 60 w 170"/>
                              <a:gd name="T37" fmla="*/ 44 h 166"/>
                              <a:gd name="T38" fmla="*/ 47 w 170"/>
                              <a:gd name="T39" fmla="*/ 69 h 166"/>
                              <a:gd name="T40" fmla="*/ 126 w 170"/>
                              <a:gd name="T41" fmla="*/ 69 h 166"/>
                              <a:gd name="T42" fmla="*/ 113 w 170"/>
                              <a:gd name="T43" fmla="*/ 44 h 166"/>
                              <a:gd name="T44" fmla="*/ 87 w 170"/>
                              <a:gd name="T45" fmla="*/ 35 h 166"/>
                              <a:gd name="T46" fmla="*/ 60 w 170"/>
                              <a:gd name="T47" fmla="*/ 44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70" h="166">
                                <a:moveTo>
                                  <a:pt x="169" y="96"/>
                                </a:moveTo>
                                <a:cubicBezTo>
                                  <a:pt x="47" y="96"/>
                                  <a:pt x="47" y="96"/>
                                  <a:pt x="47" y="96"/>
                                </a:cubicBezTo>
                                <a:cubicBezTo>
                                  <a:pt x="50" y="106"/>
                                  <a:pt x="55" y="114"/>
                                  <a:pt x="63" y="119"/>
                                </a:cubicBezTo>
                                <a:cubicBezTo>
                                  <a:pt x="71" y="125"/>
                                  <a:pt x="81" y="128"/>
                                  <a:pt x="94" y="128"/>
                                </a:cubicBezTo>
                                <a:cubicBezTo>
                                  <a:pt x="102" y="128"/>
                                  <a:pt x="109" y="127"/>
                                  <a:pt x="116" y="124"/>
                                </a:cubicBezTo>
                                <a:cubicBezTo>
                                  <a:pt x="122" y="122"/>
                                  <a:pt x="128" y="118"/>
                                  <a:pt x="134" y="113"/>
                                </a:cubicBezTo>
                                <a:cubicBezTo>
                                  <a:pt x="159" y="140"/>
                                  <a:pt x="159" y="140"/>
                                  <a:pt x="159" y="140"/>
                                </a:cubicBezTo>
                                <a:cubicBezTo>
                                  <a:pt x="144" y="157"/>
                                  <a:pt x="121" y="166"/>
                                  <a:pt x="92" y="166"/>
                                </a:cubicBezTo>
                                <a:cubicBezTo>
                                  <a:pt x="74" y="166"/>
                                  <a:pt x="58" y="162"/>
                                  <a:pt x="44" y="155"/>
                                </a:cubicBezTo>
                                <a:cubicBezTo>
                                  <a:pt x="30" y="148"/>
                                  <a:pt x="19" y="138"/>
                                  <a:pt x="12" y="125"/>
                                </a:cubicBezTo>
                                <a:cubicBezTo>
                                  <a:pt x="4" y="113"/>
                                  <a:pt x="0" y="99"/>
                                  <a:pt x="0" y="83"/>
                                </a:cubicBezTo>
                                <a:cubicBezTo>
                                  <a:pt x="0" y="67"/>
                                  <a:pt x="4" y="53"/>
                                  <a:pt x="12" y="40"/>
                                </a:cubicBezTo>
                                <a:cubicBezTo>
                                  <a:pt x="19" y="27"/>
                                  <a:pt x="29" y="18"/>
                                  <a:pt x="43" y="10"/>
                                </a:cubicBezTo>
                                <a:cubicBezTo>
                                  <a:pt x="56" y="3"/>
                                  <a:pt x="70" y="0"/>
                                  <a:pt x="86" y="0"/>
                                </a:cubicBezTo>
                                <a:cubicBezTo>
                                  <a:pt x="102" y="0"/>
                                  <a:pt x="116" y="3"/>
                                  <a:pt x="129" y="10"/>
                                </a:cubicBezTo>
                                <a:cubicBezTo>
                                  <a:pt x="142" y="17"/>
                                  <a:pt x="152" y="27"/>
                                  <a:pt x="159" y="39"/>
                                </a:cubicBezTo>
                                <a:cubicBezTo>
                                  <a:pt x="166" y="52"/>
                                  <a:pt x="170" y="67"/>
                                  <a:pt x="170" y="83"/>
                                </a:cubicBezTo>
                                <a:cubicBezTo>
                                  <a:pt x="170" y="84"/>
                                  <a:pt x="170" y="88"/>
                                  <a:pt x="169" y="96"/>
                                </a:cubicBezTo>
                                <a:close/>
                                <a:moveTo>
                                  <a:pt x="60" y="44"/>
                                </a:moveTo>
                                <a:cubicBezTo>
                                  <a:pt x="53" y="50"/>
                                  <a:pt x="48" y="58"/>
                                  <a:pt x="47" y="69"/>
                                </a:cubicBezTo>
                                <a:cubicBezTo>
                                  <a:pt x="126" y="69"/>
                                  <a:pt x="126" y="69"/>
                                  <a:pt x="126" y="69"/>
                                </a:cubicBezTo>
                                <a:cubicBezTo>
                                  <a:pt x="125" y="58"/>
                                  <a:pt x="120" y="50"/>
                                  <a:pt x="113" y="44"/>
                                </a:cubicBezTo>
                                <a:cubicBezTo>
                                  <a:pt x="106" y="38"/>
                                  <a:pt x="97" y="35"/>
                                  <a:pt x="87" y="35"/>
                                </a:cubicBezTo>
                                <a:cubicBezTo>
                                  <a:pt x="76" y="35"/>
                                  <a:pt x="67" y="38"/>
                                  <a:pt x="60" y="44"/>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4" name="Freeform 46"/>
                        <wps:cNvSpPr>
                          <a:spLocks/>
                        </wps:cNvSpPr>
                        <wps:spPr bwMode="auto">
                          <a:xfrm>
                            <a:off x="1441463" y="313013"/>
                            <a:ext cx="73384" cy="76528"/>
                          </a:xfrm>
                          <a:custGeom>
                            <a:avLst/>
                            <a:gdLst>
                              <a:gd name="T0" fmla="*/ 44 w 162"/>
                              <a:gd name="T1" fmla="*/ 155 h 166"/>
                              <a:gd name="T2" fmla="*/ 12 w 162"/>
                              <a:gd name="T3" fmla="*/ 125 h 166"/>
                              <a:gd name="T4" fmla="*/ 0 w 162"/>
                              <a:gd name="T5" fmla="*/ 83 h 166"/>
                              <a:gd name="T6" fmla="*/ 12 w 162"/>
                              <a:gd name="T7" fmla="*/ 40 h 166"/>
                              <a:gd name="T8" fmla="*/ 44 w 162"/>
                              <a:gd name="T9" fmla="*/ 10 h 166"/>
                              <a:gd name="T10" fmla="*/ 90 w 162"/>
                              <a:gd name="T11" fmla="*/ 0 h 166"/>
                              <a:gd name="T12" fmla="*/ 134 w 162"/>
                              <a:gd name="T13" fmla="*/ 10 h 166"/>
                              <a:gd name="T14" fmla="*/ 162 w 162"/>
                              <a:gd name="T15" fmla="*/ 41 h 166"/>
                              <a:gd name="T16" fmla="*/ 126 w 162"/>
                              <a:gd name="T17" fmla="*/ 60 h 166"/>
                              <a:gd name="T18" fmla="*/ 90 w 162"/>
                              <a:gd name="T19" fmla="*/ 38 h 166"/>
                              <a:gd name="T20" fmla="*/ 59 w 162"/>
                              <a:gd name="T21" fmla="*/ 50 h 166"/>
                              <a:gd name="T22" fmla="*/ 47 w 162"/>
                              <a:gd name="T23" fmla="*/ 83 h 166"/>
                              <a:gd name="T24" fmla="*/ 59 w 162"/>
                              <a:gd name="T25" fmla="*/ 115 h 166"/>
                              <a:gd name="T26" fmla="*/ 90 w 162"/>
                              <a:gd name="T27" fmla="*/ 127 h 166"/>
                              <a:gd name="T28" fmla="*/ 126 w 162"/>
                              <a:gd name="T29" fmla="*/ 105 h 166"/>
                              <a:gd name="T30" fmla="*/ 162 w 162"/>
                              <a:gd name="T31" fmla="*/ 125 h 166"/>
                              <a:gd name="T32" fmla="*/ 134 w 162"/>
                              <a:gd name="T33" fmla="*/ 155 h 166"/>
                              <a:gd name="T34" fmla="*/ 90 w 162"/>
                              <a:gd name="T35" fmla="*/ 166 h 166"/>
                              <a:gd name="T36" fmla="*/ 44 w 162"/>
                              <a:gd name="T37" fmla="*/ 155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62" h="166">
                                <a:moveTo>
                                  <a:pt x="44" y="155"/>
                                </a:moveTo>
                                <a:cubicBezTo>
                                  <a:pt x="30" y="148"/>
                                  <a:pt x="19" y="138"/>
                                  <a:pt x="12" y="125"/>
                                </a:cubicBezTo>
                                <a:cubicBezTo>
                                  <a:pt x="4" y="113"/>
                                  <a:pt x="0" y="99"/>
                                  <a:pt x="0" y="83"/>
                                </a:cubicBezTo>
                                <a:cubicBezTo>
                                  <a:pt x="0" y="67"/>
                                  <a:pt x="4" y="52"/>
                                  <a:pt x="12" y="40"/>
                                </a:cubicBezTo>
                                <a:cubicBezTo>
                                  <a:pt x="19" y="27"/>
                                  <a:pt x="30" y="18"/>
                                  <a:pt x="44" y="10"/>
                                </a:cubicBezTo>
                                <a:cubicBezTo>
                                  <a:pt x="57" y="3"/>
                                  <a:pt x="73" y="0"/>
                                  <a:pt x="90" y="0"/>
                                </a:cubicBezTo>
                                <a:cubicBezTo>
                                  <a:pt x="107" y="0"/>
                                  <a:pt x="122" y="3"/>
                                  <a:pt x="134" y="10"/>
                                </a:cubicBezTo>
                                <a:cubicBezTo>
                                  <a:pt x="147" y="18"/>
                                  <a:pt x="156" y="28"/>
                                  <a:pt x="162" y="41"/>
                                </a:cubicBezTo>
                                <a:cubicBezTo>
                                  <a:pt x="126" y="60"/>
                                  <a:pt x="126" y="60"/>
                                  <a:pt x="126" y="60"/>
                                </a:cubicBezTo>
                                <a:cubicBezTo>
                                  <a:pt x="117" y="46"/>
                                  <a:pt x="105" y="38"/>
                                  <a:pt x="90" y="38"/>
                                </a:cubicBezTo>
                                <a:cubicBezTo>
                                  <a:pt x="77" y="38"/>
                                  <a:pt x="67" y="42"/>
                                  <a:pt x="59" y="50"/>
                                </a:cubicBezTo>
                                <a:cubicBezTo>
                                  <a:pt x="51" y="58"/>
                                  <a:pt x="47" y="69"/>
                                  <a:pt x="47" y="83"/>
                                </a:cubicBezTo>
                                <a:cubicBezTo>
                                  <a:pt x="47" y="96"/>
                                  <a:pt x="51" y="107"/>
                                  <a:pt x="59" y="115"/>
                                </a:cubicBezTo>
                                <a:cubicBezTo>
                                  <a:pt x="67" y="123"/>
                                  <a:pt x="77" y="127"/>
                                  <a:pt x="90" y="127"/>
                                </a:cubicBezTo>
                                <a:cubicBezTo>
                                  <a:pt x="106" y="127"/>
                                  <a:pt x="118" y="120"/>
                                  <a:pt x="126" y="105"/>
                                </a:cubicBezTo>
                                <a:cubicBezTo>
                                  <a:pt x="162" y="125"/>
                                  <a:pt x="162" y="125"/>
                                  <a:pt x="162" y="125"/>
                                </a:cubicBezTo>
                                <a:cubicBezTo>
                                  <a:pt x="156" y="138"/>
                                  <a:pt x="147" y="148"/>
                                  <a:pt x="134" y="155"/>
                                </a:cubicBezTo>
                                <a:cubicBezTo>
                                  <a:pt x="122" y="162"/>
                                  <a:pt x="107" y="166"/>
                                  <a:pt x="90" y="166"/>
                                </a:cubicBezTo>
                                <a:cubicBezTo>
                                  <a:pt x="73" y="166"/>
                                  <a:pt x="57" y="162"/>
                                  <a:pt x="44" y="155"/>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5" name="Freeform 47"/>
                        <wps:cNvSpPr>
                          <a:spLocks/>
                        </wps:cNvSpPr>
                        <wps:spPr bwMode="auto">
                          <a:xfrm>
                            <a:off x="1525330" y="298336"/>
                            <a:ext cx="56610" cy="91205"/>
                          </a:xfrm>
                          <a:custGeom>
                            <a:avLst/>
                            <a:gdLst>
                              <a:gd name="T0" fmla="*/ 123 w 123"/>
                              <a:gd name="T1" fmla="*/ 188 h 199"/>
                              <a:gd name="T2" fmla="*/ 106 w 123"/>
                              <a:gd name="T3" fmla="*/ 196 h 199"/>
                              <a:gd name="T4" fmla="*/ 85 w 123"/>
                              <a:gd name="T5" fmla="*/ 199 h 199"/>
                              <a:gd name="T6" fmla="*/ 40 w 123"/>
                              <a:gd name="T7" fmla="*/ 184 h 199"/>
                              <a:gd name="T8" fmla="*/ 25 w 123"/>
                              <a:gd name="T9" fmla="*/ 141 h 199"/>
                              <a:gd name="T10" fmla="*/ 25 w 123"/>
                              <a:gd name="T11" fmla="*/ 75 h 199"/>
                              <a:gd name="T12" fmla="*/ 0 w 123"/>
                              <a:gd name="T13" fmla="*/ 75 h 199"/>
                              <a:gd name="T14" fmla="*/ 0 w 123"/>
                              <a:gd name="T15" fmla="*/ 39 h 199"/>
                              <a:gd name="T16" fmla="*/ 25 w 123"/>
                              <a:gd name="T17" fmla="*/ 39 h 199"/>
                              <a:gd name="T18" fmla="*/ 25 w 123"/>
                              <a:gd name="T19" fmla="*/ 0 h 199"/>
                              <a:gd name="T20" fmla="*/ 71 w 123"/>
                              <a:gd name="T21" fmla="*/ 0 h 199"/>
                              <a:gd name="T22" fmla="*/ 71 w 123"/>
                              <a:gd name="T23" fmla="*/ 39 h 199"/>
                              <a:gd name="T24" fmla="*/ 111 w 123"/>
                              <a:gd name="T25" fmla="*/ 39 h 199"/>
                              <a:gd name="T26" fmla="*/ 111 w 123"/>
                              <a:gd name="T27" fmla="*/ 75 h 199"/>
                              <a:gd name="T28" fmla="*/ 71 w 123"/>
                              <a:gd name="T29" fmla="*/ 75 h 199"/>
                              <a:gd name="T30" fmla="*/ 71 w 123"/>
                              <a:gd name="T31" fmla="*/ 140 h 199"/>
                              <a:gd name="T32" fmla="*/ 76 w 123"/>
                              <a:gd name="T33" fmla="*/ 156 h 199"/>
                              <a:gd name="T34" fmla="*/ 91 w 123"/>
                              <a:gd name="T35" fmla="*/ 161 h 199"/>
                              <a:gd name="T36" fmla="*/ 110 w 123"/>
                              <a:gd name="T37" fmla="*/ 155 h 199"/>
                              <a:gd name="T38" fmla="*/ 123 w 123"/>
                              <a:gd name="T39" fmla="*/ 188 h 1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23" h="199">
                                <a:moveTo>
                                  <a:pt x="123" y="188"/>
                                </a:moveTo>
                                <a:cubicBezTo>
                                  <a:pt x="118" y="192"/>
                                  <a:pt x="112" y="194"/>
                                  <a:pt x="106" y="196"/>
                                </a:cubicBezTo>
                                <a:cubicBezTo>
                                  <a:pt x="99" y="198"/>
                                  <a:pt x="92" y="199"/>
                                  <a:pt x="85" y="199"/>
                                </a:cubicBezTo>
                                <a:cubicBezTo>
                                  <a:pt x="66" y="199"/>
                                  <a:pt x="51" y="194"/>
                                  <a:pt x="40" y="184"/>
                                </a:cubicBezTo>
                                <a:cubicBezTo>
                                  <a:pt x="30" y="174"/>
                                  <a:pt x="25" y="160"/>
                                  <a:pt x="25" y="141"/>
                                </a:cubicBezTo>
                                <a:cubicBezTo>
                                  <a:pt x="25" y="75"/>
                                  <a:pt x="25" y="75"/>
                                  <a:pt x="25" y="75"/>
                                </a:cubicBezTo>
                                <a:cubicBezTo>
                                  <a:pt x="0" y="75"/>
                                  <a:pt x="0" y="75"/>
                                  <a:pt x="0" y="75"/>
                                </a:cubicBezTo>
                                <a:cubicBezTo>
                                  <a:pt x="0" y="39"/>
                                  <a:pt x="0" y="39"/>
                                  <a:pt x="0" y="39"/>
                                </a:cubicBezTo>
                                <a:cubicBezTo>
                                  <a:pt x="25" y="39"/>
                                  <a:pt x="25" y="39"/>
                                  <a:pt x="25" y="39"/>
                                </a:cubicBezTo>
                                <a:cubicBezTo>
                                  <a:pt x="25" y="0"/>
                                  <a:pt x="25" y="0"/>
                                  <a:pt x="25" y="0"/>
                                </a:cubicBezTo>
                                <a:cubicBezTo>
                                  <a:pt x="71" y="0"/>
                                  <a:pt x="71" y="0"/>
                                  <a:pt x="71" y="0"/>
                                </a:cubicBezTo>
                                <a:cubicBezTo>
                                  <a:pt x="71" y="39"/>
                                  <a:pt x="71" y="39"/>
                                  <a:pt x="71" y="39"/>
                                </a:cubicBezTo>
                                <a:cubicBezTo>
                                  <a:pt x="111" y="39"/>
                                  <a:pt x="111" y="39"/>
                                  <a:pt x="111" y="39"/>
                                </a:cubicBezTo>
                                <a:cubicBezTo>
                                  <a:pt x="111" y="75"/>
                                  <a:pt x="111" y="75"/>
                                  <a:pt x="111" y="75"/>
                                </a:cubicBezTo>
                                <a:cubicBezTo>
                                  <a:pt x="71" y="75"/>
                                  <a:pt x="71" y="75"/>
                                  <a:pt x="71" y="75"/>
                                </a:cubicBezTo>
                                <a:cubicBezTo>
                                  <a:pt x="71" y="140"/>
                                  <a:pt x="71" y="140"/>
                                  <a:pt x="71" y="140"/>
                                </a:cubicBezTo>
                                <a:cubicBezTo>
                                  <a:pt x="71" y="147"/>
                                  <a:pt x="73" y="152"/>
                                  <a:pt x="76" y="156"/>
                                </a:cubicBezTo>
                                <a:cubicBezTo>
                                  <a:pt x="80" y="160"/>
                                  <a:pt x="85" y="161"/>
                                  <a:pt x="91" y="161"/>
                                </a:cubicBezTo>
                                <a:cubicBezTo>
                                  <a:pt x="99" y="161"/>
                                  <a:pt x="105" y="159"/>
                                  <a:pt x="110" y="155"/>
                                </a:cubicBezTo>
                                <a:lnTo>
                                  <a:pt x="123" y="18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6" name="Freeform 48"/>
                        <wps:cNvSpPr>
                          <a:spLocks noEditPoints="1"/>
                        </wps:cNvSpPr>
                        <wps:spPr bwMode="auto">
                          <a:xfrm>
                            <a:off x="1597665" y="280515"/>
                            <a:ext cx="26209" cy="107978"/>
                          </a:xfrm>
                          <a:custGeom>
                            <a:avLst/>
                            <a:gdLst>
                              <a:gd name="T0" fmla="*/ 8 w 58"/>
                              <a:gd name="T1" fmla="*/ 44 h 235"/>
                              <a:gd name="T2" fmla="*/ 0 w 58"/>
                              <a:gd name="T3" fmla="*/ 26 h 235"/>
                              <a:gd name="T4" fmla="*/ 8 w 58"/>
                              <a:gd name="T5" fmla="*/ 7 h 235"/>
                              <a:gd name="T6" fmla="*/ 29 w 58"/>
                              <a:gd name="T7" fmla="*/ 0 h 235"/>
                              <a:gd name="T8" fmla="*/ 50 w 58"/>
                              <a:gd name="T9" fmla="*/ 7 h 235"/>
                              <a:gd name="T10" fmla="*/ 58 w 58"/>
                              <a:gd name="T11" fmla="*/ 25 h 235"/>
                              <a:gd name="T12" fmla="*/ 50 w 58"/>
                              <a:gd name="T13" fmla="*/ 44 h 235"/>
                              <a:gd name="T14" fmla="*/ 29 w 58"/>
                              <a:gd name="T15" fmla="*/ 52 h 235"/>
                              <a:gd name="T16" fmla="*/ 8 w 58"/>
                              <a:gd name="T17" fmla="*/ 44 h 235"/>
                              <a:gd name="T18" fmla="*/ 6 w 58"/>
                              <a:gd name="T19" fmla="*/ 74 h 235"/>
                              <a:gd name="T20" fmla="*/ 53 w 58"/>
                              <a:gd name="T21" fmla="*/ 74 h 235"/>
                              <a:gd name="T22" fmla="*/ 53 w 58"/>
                              <a:gd name="T23" fmla="*/ 235 h 235"/>
                              <a:gd name="T24" fmla="*/ 6 w 58"/>
                              <a:gd name="T25" fmla="*/ 235 h 235"/>
                              <a:gd name="T26" fmla="*/ 6 w 58"/>
                              <a:gd name="T27" fmla="*/ 74 h 2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8" h="235">
                                <a:moveTo>
                                  <a:pt x="8" y="44"/>
                                </a:moveTo>
                                <a:cubicBezTo>
                                  <a:pt x="3" y="39"/>
                                  <a:pt x="0" y="33"/>
                                  <a:pt x="0" y="26"/>
                                </a:cubicBezTo>
                                <a:cubicBezTo>
                                  <a:pt x="0" y="18"/>
                                  <a:pt x="3" y="12"/>
                                  <a:pt x="8" y="7"/>
                                </a:cubicBezTo>
                                <a:cubicBezTo>
                                  <a:pt x="14" y="2"/>
                                  <a:pt x="21" y="0"/>
                                  <a:pt x="29" y="0"/>
                                </a:cubicBezTo>
                                <a:cubicBezTo>
                                  <a:pt x="38" y="0"/>
                                  <a:pt x="45" y="2"/>
                                  <a:pt x="50" y="7"/>
                                </a:cubicBezTo>
                                <a:cubicBezTo>
                                  <a:pt x="56" y="12"/>
                                  <a:pt x="58" y="18"/>
                                  <a:pt x="58" y="25"/>
                                </a:cubicBezTo>
                                <a:cubicBezTo>
                                  <a:pt x="58" y="33"/>
                                  <a:pt x="56" y="39"/>
                                  <a:pt x="50" y="44"/>
                                </a:cubicBezTo>
                                <a:cubicBezTo>
                                  <a:pt x="45" y="49"/>
                                  <a:pt x="38" y="52"/>
                                  <a:pt x="29" y="52"/>
                                </a:cubicBezTo>
                                <a:cubicBezTo>
                                  <a:pt x="21" y="52"/>
                                  <a:pt x="14" y="49"/>
                                  <a:pt x="8" y="44"/>
                                </a:cubicBezTo>
                                <a:close/>
                                <a:moveTo>
                                  <a:pt x="6" y="74"/>
                                </a:moveTo>
                                <a:cubicBezTo>
                                  <a:pt x="53" y="74"/>
                                  <a:pt x="53" y="74"/>
                                  <a:pt x="53" y="74"/>
                                </a:cubicBezTo>
                                <a:cubicBezTo>
                                  <a:pt x="53" y="235"/>
                                  <a:pt x="53" y="235"/>
                                  <a:pt x="53" y="235"/>
                                </a:cubicBezTo>
                                <a:cubicBezTo>
                                  <a:pt x="6" y="235"/>
                                  <a:pt x="6" y="235"/>
                                  <a:pt x="6" y="235"/>
                                </a:cubicBezTo>
                                <a:lnTo>
                                  <a:pt x="6"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7" name="Freeform 49"/>
                        <wps:cNvSpPr>
                          <a:spLocks noEditPoints="1"/>
                        </wps:cNvSpPr>
                        <wps:spPr bwMode="auto">
                          <a:xfrm>
                            <a:off x="1642743" y="313013"/>
                            <a:ext cx="80722" cy="76528"/>
                          </a:xfrm>
                          <a:custGeom>
                            <a:avLst/>
                            <a:gdLst>
                              <a:gd name="T0" fmla="*/ 43 w 177"/>
                              <a:gd name="T1" fmla="*/ 155 h 166"/>
                              <a:gd name="T2" fmla="*/ 11 w 177"/>
                              <a:gd name="T3" fmla="*/ 125 h 166"/>
                              <a:gd name="T4" fmla="*/ 0 w 177"/>
                              <a:gd name="T5" fmla="*/ 83 h 166"/>
                              <a:gd name="T6" fmla="*/ 11 w 177"/>
                              <a:gd name="T7" fmla="*/ 40 h 166"/>
                              <a:gd name="T8" fmla="*/ 43 w 177"/>
                              <a:gd name="T9" fmla="*/ 10 h 166"/>
                              <a:gd name="T10" fmla="*/ 89 w 177"/>
                              <a:gd name="T11" fmla="*/ 0 h 166"/>
                              <a:gd name="T12" fmla="*/ 134 w 177"/>
                              <a:gd name="T13" fmla="*/ 10 h 166"/>
                              <a:gd name="T14" fmla="*/ 165 w 177"/>
                              <a:gd name="T15" fmla="*/ 40 h 166"/>
                              <a:gd name="T16" fmla="*/ 177 w 177"/>
                              <a:gd name="T17" fmla="*/ 83 h 166"/>
                              <a:gd name="T18" fmla="*/ 165 w 177"/>
                              <a:gd name="T19" fmla="*/ 125 h 166"/>
                              <a:gd name="T20" fmla="*/ 134 w 177"/>
                              <a:gd name="T21" fmla="*/ 155 h 166"/>
                              <a:gd name="T22" fmla="*/ 89 w 177"/>
                              <a:gd name="T23" fmla="*/ 166 h 166"/>
                              <a:gd name="T24" fmla="*/ 43 w 177"/>
                              <a:gd name="T25" fmla="*/ 155 h 166"/>
                              <a:gd name="T26" fmla="*/ 118 w 177"/>
                              <a:gd name="T27" fmla="*/ 115 h 166"/>
                              <a:gd name="T28" fmla="*/ 130 w 177"/>
                              <a:gd name="T29" fmla="*/ 83 h 166"/>
                              <a:gd name="T30" fmla="*/ 118 w 177"/>
                              <a:gd name="T31" fmla="*/ 50 h 166"/>
                              <a:gd name="T32" fmla="*/ 89 w 177"/>
                              <a:gd name="T33" fmla="*/ 38 h 166"/>
                              <a:gd name="T34" fmla="*/ 59 w 177"/>
                              <a:gd name="T35" fmla="*/ 50 h 166"/>
                              <a:gd name="T36" fmla="*/ 47 w 177"/>
                              <a:gd name="T37" fmla="*/ 83 h 166"/>
                              <a:gd name="T38" fmla="*/ 59 w 177"/>
                              <a:gd name="T39" fmla="*/ 115 h 166"/>
                              <a:gd name="T40" fmla="*/ 89 w 177"/>
                              <a:gd name="T41" fmla="*/ 127 h 166"/>
                              <a:gd name="T42" fmla="*/ 118 w 177"/>
                              <a:gd name="T43" fmla="*/ 115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77" h="166">
                                <a:moveTo>
                                  <a:pt x="43" y="155"/>
                                </a:moveTo>
                                <a:cubicBezTo>
                                  <a:pt x="29" y="148"/>
                                  <a:pt x="19" y="138"/>
                                  <a:pt x="11" y="125"/>
                                </a:cubicBezTo>
                                <a:cubicBezTo>
                                  <a:pt x="4" y="113"/>
                                  <a:pt x="0" y="99"/>
                                  <a:pt x="0" y="83"/>
                                </a:cubicBezTo>
                                <a:cubicBezTo>
                                  <a:pt x="0" y="67"/>
                                  <a:pt x="4" y="52"/>
                                  <a:pt x="11" y="40"/>
                                </a:cubicBezTo>
                                <a:cubicBezTo>
                                  <a:pt x="19" y="27"/>
                                  <a:pt x="29" y="18"/>
                                  <a:pt x="43" y="10"/>
                                </a:cubicBezTo>
                                <a:cubicBezTo>
                                  <a:pt x="56" y="3"/>
                                  <a:pt x="72" y="0"/>
                                  <a:pt x="89" y="0"/>
                                </a:cubicBezTo>
                                <a:cubicBezTo>
                                  <a:pt x="106" y="0"/>
                                  <a:pt x="121" y="3"/>
                                  <a:pt x="134" y="10"/>
                                </a:cubicBezTo>
                                <a:cubicBezTo>
                                  <a:pt x="147" y="18"/>
                                  <a:pt x="158" y="27"/>
                                  <a:pt x="165" y="40"/>
                                </a:cubicBezTo>
                                <a:cubicBezTo>
                                  <a:pt x="173" y="52"/>
                                  <a:pt x="177" y="67"/>
                                  <a:pt x="177" y="83"/>
                                </a:cubicBezTo>
                                <a:cubicBezTo>
                                  <a:pt x="177" y="99"/>
                                  <a:pt x="173" y="113"/>
                                  <a:pt x="165" y="125"/>
                                </a:cubicBezTo>
                                <a:cubicBezTo>
                                  <a:pt x="158" y="138"/>
                                  <a:pt x="147" y="148"/>
                                  <a:pt x="134" y="155"/>
                                </a:cubicBezTo>
                                <a:cubicBezTo>
                                  <a:pt x="121" y="162"/>
                                  <a:pt x="106" y="166"/>
                                  <a:pt x="89" y="166"/>
                                </a:cubicBezTo>
                                <a:cubicBezTo>
                                  <a:pt x="72" y="166"/>
                                  <a:pt x="56" y="162"/>
                                  <a:pt x="43" y="155"/>
                                </a:cubicBezTo>
                                <a:close/>
                                <a:moveTo>
                                  <a:pt x="118" y="115"/>
                                </a:moveTo>
                                <a:cubicBezTo>
                                  <a:pt x="126" y="107"/>
                                  <a:pt x="130" y="96"/>
                                  <a:pt x="130" y="83"/>
                                </a:cubicBezTo>
                                <a:cubicBezTo>
                                  <a:pt x="130" y="69"/>
                                  <a:pt x="126" y="58"/>
                                  <a:pt x="118" y="50"/>
                                </a:cubicBezTo>
                                <a:cubicBezTo>
                                  <a:pt x="110" y="42"/>
                                  <a:pt x="101" y="38"/>
                                  <a:pt x="89" y="38"/>
                                </a:cubicBezTo>
                                <a:cubicBezTo>
                                  <a:pt x="77" y="38"/>
                                  <a:pt x="67" y="42"/>
                                  <a:pt x="59" y="50"/>
                                </a:cubicBezTo>
                                <a:cubicBezTo>
                                  <a:pt x="51" y="58"/>
                                  <a:pt x="47" y="69"/>
                                  <a:pt x="47" y="83"/>
                                </a:cubicBezTo>
                                <a:cubicBezTo>
                                  <a:pt x="47" y="96"/>
                                  <a:pt x="51" y="107"/>
                                  <a:pt x="59" y="115"/>
                                </a:cubicBezTo>
                                <a:cubicBezTo>
                                  <a:pt x="67" y="123"/>
                                  <a:pt x="77" y="127"/>
                                  <a:pt x="89" y="127"/>
                                </a:cubicBezTo>
                                <a:cubicBezTo>
                                  <a:pt x="101" y="127"/>
                                  <a:pt x="110" y="123"/>
                                  <a:pt x="118" y="115"/>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9" name="Freeform 50"/>
                        <wps:cNvSpPr>
                          <a:spLocks/>
                        </wps:cNvSpPr>
                        <wps:spPr bwMode="auto">
                          <a:xfrm>
                            <a:off x="1745480" y="313013"/>
                            <a:ext cx="74432" cy="75480"/>
                          </a:xfrm>
                          <a:custGeom>
                            <a:avLst/>
                            <a:gdLst>
                              <a:gd name="T0" fmla="*/ 146 w 164"/>
                              <a:gd name="T1" fmla="*/ 18 h 163"/>
                              <a:gd name="T2" fmla="*/ 164 w 164"/>
                              <a:gd name="T3" fmla="*/ 71 h 163"/>
                              <a:gd name="T4" fmla="*/ 164 w 164"/>
                              <a:gd name="T5" fmla="*/ 163 h 163"/>
                              <a:gd name="T6" fmla="*/ 118 w 164"/>
                              <a:gd name="T7" fmla="*/ 163 h 163"/>
                              <a:gd name="T8" fmla="*/ 118 w 164"/>
                              <a:gd name="T9" fmla="*/ 78 h 163"/>
                              <a:gd name="T10" fmla="*/ 109 w 164"/>
                              <a:gd name="T11" fmla="*/ 50 h 163"/>
                              <a:gd name="T12" fmla="*/ 85 w 164"/>
                              <a:gd name="T13" fmla="*/ 40 h 163"/>
                              <a:gd name="T14" fmla="*/ 57 w 164"/>
                              <a:gd name="T15" fmla="*/ 51 h 163"/>
                              <a:gd name="T16" fmla="*/ 47 w 164"/>
                              <a:gd name="T17" fmla="*/ 84 h 163"/>
                              <a:gd name="T18" fmla="*/ 47 w 164"/>
                              <a:gd name="T19" fmla="*/ 163 h 163"/>
                              <a:gd name="T20" fmla="*/ 0 w 164"/>
                              <a:gd name="T21" fmla="*/ 163 h 163"/>
                              <a:gd name="T22" fmla="*/ 0 w 164"/>
                              <a:gd name="T23" fmla="*/ 2 h 163"/>
                              <a:gd name="T24" fmla="*/ 44 w 164"/>
                              <a:gd name="T25" fmla="*/ 2 h 163"/>
                              <a:gd name="T26" fmla="*/ 44 w 164"/>
                              <a:gd name="T27" fmla="*/ 21 h 163"/>
                              <a:gd name="T28" fmla="*/ 67 w 164"/>
                              <a:gd name="T29" fmla="*/ 5 h 163"/>
                              <a:gd name="T30" fmla="*/ 98 w 164"/>
                              <a:gd name="T31" fmla="*/ 0 h 163"/>
                              <a:gd name="T32" fmla="*/ 146 w 164"/>
                              <a:gd name="T33" fmla="*/ 18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64" h="163">
                                <a:moveTo>
                                  <a:pt x="146" y="18"/>
                                </a:moveTo>
                                <a:cubicBezTo>
                                  <a:pt x="158" y="30"/>
                                  <a:pt x="164" y="48"/>
                                  <a:pt x="164" y="71"/>
                                </a:cubicBezTo>
                                <a:cubicBezTo>
                                  <a:pt x="164" y="163"/>
                                  <a:pt x="164" y="163"/>
                                  <a:pt x="164" y="163"/>
                                </a:cubicBezTo>
                                <a:cubicBezTo>
                                  <a:pt x="118" y="163"/>
                                  <a:pt x="118" y="163"/>
                                  <a:pt x="118" y="163"/>
                                </a:cubicBezTo>
                                <a:cubicBezTo>
                                  <a:pt x="118" y="78"/>
                                  <a:pt x="118" y="78"/>
                                  <a:pt x="118" y="78"/>
                                </a:cubicBezTo>
                                <a:cubicBezTo>
                                  <a:pt x="118" y="65"/>
                                  <a:pt x="115" y="56"/>
                                  <a:pt x="109" y="50"/>
                                </a:cubicBezTo>
                                <a:cubicBezTo>
                                  <a:pt x="104" y="43"/>
                                  <a:pt x="96" y="40"/>
                                  <a:pt x="85" y="40"/>
                                </a:cubicBezTo>
                                <a:cubicBezTo>
                                  <a:pt x="73" y="40"/>
                                  <a:pt x="64" y="44"/>
                                  <a:pt x="57" y="51"/>
                                </a:cubicBezTo>
                                <a:cubicBezTo>
                                  <a:pt x="50" y="58"/>
                                  <a:pt x="47" y="69"/>
                                  <a:pt x="47" y="84"/>
                                </a:cubicBezTo>
                                <a:cubicBezTo>
                                  <a:pt x="47" y="163"/>
                                  <a:pt x="47" y="163"/>
                                  <a:pt x="47" y="163"/>
                                </a:cubicBezTo>
                                <a:cubicBezTo>
                                  <a:pt x="0" y="163"/>
                                  <a:pt x="0" y="163"/>
                                  <a:pt x="0" y="163"/>
                                </a:cubicBezTo>
                                <a:cubicBezTo>
                                  <a:pt x="0" y="2"/>
                                  <a:pt x="0" y="2"/>
                                  <a:pt x="0" y="2"/>
                                </a:cubicBezTo>
                                <a:cubicBezTo>
                                  <a:pt x="44" y="2"/>
                                  <a:pt x="44" y="2"/>
                                  <a:pt x="44" y="2"/>
                                </a:cubicBezTo>
                                <a:cubicBezTo>
                                  <a:pt x="44" y="21"/>
                                  <a:pt x="44" y="21"/>
                                  <a:pt x="44" y="21"/>
                                </a:cubicBezTo>
                                <a:cubicBezTo>
                                  <a:pt x="51" y="14"/>
                                  <a:pt x="58" y="9"/>
                                  <a:pt x="67" y="5"/>
                                </a:cubicBezTo>
                                <a:cubicBezTo>
                                  <a:pt x="77" y="2"/>
                                  <a:pt x="87" y="0"/>
                                  <a:pt x="98" y="0"/>
                                </a:cubicBezTo>
                                <a:cubicBezTo>
                                  <a:pt x="118" y="0"/>
                                  <a:pt x="134" y="6"/>
                                  <a:pt x="146" y="18"/>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60" name="Freeform 51"/>
                        <wps:cNvSpPr>
                          <a:spLocks noEditPoints="1"/>
                        </wps:cNvSpPr>
                        <wps:spPr bwMode="auto">
                          <a:xfrm>
                            <a:off x="12580" y="459780"/>
                            <a:ext cx="74432" cy="123704"/>
                          </a:xfrm>
                          <a:custGeom>
                            <a:avLst/>
                            <a:gdLst>
                              <a:gd name="T0" fmla="*/ 71 w 71"/>
                              <a:gd name="T1" fmla="*/ 101 h 118"/>
                              <a:gd name="T2" fmla="*/ 71 w 71"/>
                              <a:gd name="T3" fmla="*/ 118 h 118"/>
                              <a:gd name="T4" fmla="*/ 0 w 71"/>
                              <a:gd name="T5" fmla="*/ 118 h 118"/>
                              <a:gd name="T6" fmla="*/ 0 w 71"/>
                              <a:gd name="T7" fmla="*/ 27 h 118"/>
                              <a:gd name="T8" fmla="*/ 70 w 71"/>
                              <a:gd name="T9" fmla="*/ 27 h 118"/>
                              <a:gd name="T10" fmla="*/ 70 w 71"/>
                              <a:gd name="T11" fmla="*/ 44 h 118"/>
                              <a:gd name="T12" fmla="*/ 22 w 71"/>
                              <a:gd name="T13" fmla="*/ 44 h 118"/>
                              <a:gd name="T14" fmla="*/ 22 w 71"/>
                              <a:gd name="T15" fmla="*/ 63 h 118"/>
                              <a:gd name="T16" fmla="*/ 64 w 71"/>
                              <a:gd name="T17" fmla="*/ 63 h 118"/>
                              <a:gd name="T18" fmla="*/ 64 w 71"/>
                              <a:gd name="T19" fmla="*/ 80 h 118"/>
                              <a:gd name="T20" fmla="*/ 22 w 71"/>
                              <a:gd name="T21" fmla="*/ 80 h 118"/>
                              <a:gd name="T22" fmla="*/ 22 w 71"/>
                              <a:gd name="T23" fmla="*/ 101 h 118"/>
                              <a:gd name="T24" fmla="*/ 71 w 71"/>
                              <a:gd name="T25" fmla="*/ 101 h 118"/>
                              <a:gd name="T26" fmla="*/ 41 w 71"/>
                              <a:gd name="T27" fmla="*/ 0 h 118"/>
                              <a:gd name="T28" fmla="*/ 63 w 71"/>
                              <a:gd name="T29" fmla="*/ 0 h 118"/>
                              <a:gd name="T30" fmla="*/ 39 w 71"/>
                              <a:gd name="T31" fmla="*/ 19 h 118"/>
                              <a:gd name="T32" fmla="*/ 23 w 71"/>
                              <a:gd name="T33" fmla="*/ 19 h 118"/>
                              <a:gd name="T34" fmla="*/ 41 w 71"/>
                              <a:gd name="T35"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1" h="118">
                                <a:moveTo>
                                  <a:pt x="71" y="101"/>
                                </a:moveTo>
                                <a:lnTo>
                                  <a:pt x="71" y="118"/>
                                </a:lnTo>
                                <a:lnTo>
                                  <a:pt x="0" y="118"/>
                                </a:lnTo>
                                <a:lnTo>
                                  <a:pt x="0" y="27"/>
                                </a:lnTo>
                                <a:lnTo>
                                  <a:pt x="70" y="27"/>
                                </a:lnTo>
                                <a:lnTo>
                                  <a:pt x="70" y="44"/>
                                </a:lnTo>
                                <a:lnTo>
                                  <a:pt x="22" y="44"/>
                                </a:lnTo>
                                <a:lnTo>
                                  <a:pt x="22" y="63"/>
                                </a:lnTo>
                                <a:lnTo>
                                  <a:pt x="64" y="63"/>
                                </a:lnTo>
                                <a:lnTo>
                                  <a:pt x="64" y="80"/>
                                </a:lnTo>
                                <a:lnTo>
                                  <a:pt x="22" y="80"/>
                                </a:lnTo>
                                <a:lnTo>
                                  <a:pt x="22" y="101"/>
                                </a:lnTo>
                                <a:lnTo>
                                  <a:pt x="71" y="101"/>
                                </a:lnTo>
                                <a:close/>
                                <a:moveTo>
                                  <a:pt x="41" y="0"/>
                                </a:moveTo>
                                <a:lnTo>
                                  <a:pt x="63" y="0"/>
                                </a:lnTo>
                                <a:lnTo>
                                  <a:pt x="39" y="19"/>
                                </a:lnTo>
                                <a:lnTo>
                                  <a:pt x="23" y="19"/>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61" name="Freeform 52"/>
                        <wps:cNvSpPr>
                          <a:spLocks noEditPoints="1"/>
                        </wps:cNvSpPr>
                        <wps:spPr bwMode="auto">
                          <a:xfrm>
                            <a:off x="110076" y="509052"/>
                            <a:ext cx="79674" cy="100640"/>
                          </a:xfrm>
                          <a:custGeom>
                            <a:avLst/>
                            <a:gdLst>
                              <a:gd name="T0" fmla="*/ 136 w 175"/>
                              <a:gd name="T1" fmla="*/ 10 h 221"/>
                              <a:gd name="T2" fmla="*/ 165 w 175"/>
                              <a:gd name="T3" fmla="*/ 39 h 221"/>
                              <a:gd name="T4" fmla="*/ 175 w 175"/>
                              <a:gd name="T5" fmla="*/ 83 h 221"/>
                              <a:gd name="T6" fmla="*/ 165 w 175"/>
                              <a:gd name="T7" fmla="*/ 126 h 221"/>
                              <a:gd name="T8" fmla="*/ 136 w 175"/>
                              <a:gd name="T9" fmla="*/ 155 h 221"/>
                              <a:gd name="T10" fmla="*/ 95 w 175"/>
                              <a:gd name="T11" fmla="*/ 165 h 221"/>
                              <a:gd name="T12" fmla="*/ 46 w 175"/>
                              <a:gd name="T13" fmla="*/ 146 h 221"/>
                              <a:gd name="T14" fmla="*/ 46 w 175"/>
                              <a:gd name="T15" fmla="*/ 221 h 221"/>
                              <a:gd name="T16" fmla="*/ 0 w 175"/>
                              <a:gd name="T17" fmla="*/ 221 h 221"/>
                              <a:gd name="T18" fmla="*/ 0 w 175"/>
                              <a:gd name="T19" fmla="*/ 2 h 221"/>
                              <a:gd name="T20" fmla="*/ 44 w 175"/>
                              <a:gd name="T21" fmla="*/ 2 h 221"/>
                              <a:gd name="T22" fmla="*/ 44 w 175"/>
                              <a:gd name="T23" fmla="*/ 21 h 221"/>
                              <a:gd name="T24" fmla="*/ 95 w 175"/>
                              <a:gd name="T25" fmla="*/ 0 h 221"/>
                              <a:gd name="T26" fmla="*/ 136 w 175"/>
                              <a:gd name="T27" fmla="*/ 10 h 221"/>
                              <a:gd name="T28" fmla="*/ 116 w 175"/>
                              <a:gd name="T29" fmla="*/ 115 h 221"/>
                              <a:gd name="T30" fmla="*/ 128 w 175"/>
                              <a:gd name="T31" fmla="*/ 83 h 221"/>
                              <a:gd name="T32" fmla="*/ 116 w 175"/>
                              <a:gd name="T33" fmla="*/ 50 h 221"/>
                              <a:gd name="T34" fmla="*/ 87 w 175"/>
                              <a:gd name="T35" fmla="*/ 38 h 221"/>
                              <a:gd name="T36" fmla="*/ 57 w 175"/>
                              <a:gd name="T37" fmla="*/ 50 h 221"/>
                              <a:gd name="T38" fmla="*/ 46 w 175"/>
                              <a:gd name="T39" fmla="*/ 83 h 221"/>
                              <a:gd name="T40" fmla="*/ 57 w 175"/>
                              <a:gd name="T41" fmla="*/ 115 h 221"/>
                              <a:gd name="T42" fmla="*/ 87 w 175"/>
                              <a:gd name="T43" fmla="*/ 127 h 221"/>
                              <a:gd name="T44" fmla="*/ 116 w 175"/>
                              <a:gd name="T45" fmla="*/ 115 h 2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75" h="221">
                                <a:moveTo>
                                  <a:pt x="136" y="10"/>
                                </a:moveTo>
                                <a:cubicBezTo>
                                  <a:pt x="148" y="17"/>
                                  <a:pt x="158" y="27"/>
                                  <a:pt x="165" y="39"/>
                                </a:cubicBezTo>
                                <a:cubicBezTo>
                                  <a:pt x="172" y="52"/>
                                  <a:pt x="175" y="66"/>
                                  <a:pt x="175" y="83"/>
                                </a:cubicBezTo>
                                <a:cubicBezTo>
                                  <a:pt x="175" y="99"/>
                                  <a:pt x="172" y="114"/>
                                  <a:pt x="165" y="126"/>
                                </a:cubicBezTo>
                                <a:cubicBezTo>
                                  <a:pt x="158" y="139"/>
                                  <a:pt x="148" y="148"/>
                                  <a:pt x="136" y="155"/>
                                </a:cubicBezTo>
                                <a:cubicBezTo>
                                  <a:pt x="123" y="162"/>
                                  <a:pt x="110" y="165"/>
                                  <a:pt x="95" y="165"/>
                                </a:cubicBezTo>
                                <a:cubicBezTo>
                                  <a:pt x="74" y="165"/>
                                  <a:pt x="58" y="159"/>
                                  <a:pt x="46" y="146"/>
                                </a:cubicBezTo>
                                <a:cubicBezTo>
                                  <a:pt x="46" y="221"/>
                                  <a:pt x="46" y="221"/>
                                  <a:pt x="46" y="221"/>
                                </a:cubicBezTo>
                                <a:cubicBezTo>
                                  <a:pt x="0" y="221"/>
                                  <a:pt x="0" y="221"/>
                                  <a:pt x="0" y="221"/>
                                </a:cubicBezTo>
                                <a:cubicBezTo>
                                  <a:pt x="0" y="2"/>
                                  <a:pt x="0" y="2"/>
                                  <a:pt x="0" y="2"/>
                                </a:cubicBezTo>
                                <a:cubicBezTo>
                                  <a:pt x="44" y="2"/>
                                  <a:pt x="44" y="2"/>
                                  <a:pt x="44" y="2"/>
                                </a:cubicBezTo>
                                <a:cubicBezTo>
                                  <a:pt x="44" y="21"/>
                                  <a:pt x="44" y="21"/>
                                  <a:pt x="44" y="21"/>
                                </a:cubicBezTo>
                                <a:cubicBezTo>
                                  <a:pt x="56" y="7"/>
                                  <a:pt x="73" y="0"/>
                                  <a:pt x="95" y="0"/>
                                </a:cubicBezTo>
                                <a:cubicBezTo>
                                  <a:pt x="110" y="0"/>
                                  <a:pt x="123" y="3"/>
                                  <a:pt x="136" y="10"/>
                                </a:cubicBezTo>
                                <a:close/>
                                <a:moveTo>
                                  <a:pt x="116" y="115"/>
                                </a:moveTo>
                                <a:cubicBezTo>
                                  <a:pt x="124" y="107"/>
                                  <a:pt x="128" y="96"/>
                                  <a:pt x="128" y="83"/>
                                </a:cubicBezTo>
                                <a:cubicBezTo>
                                  <a:pt x="128" y="69"/>
                                  <a:pt x="124" y="58"/>
                                  <a:pt x="116" y="50"/>
                                </a:cubicBezTo>
                                <a:cubicBezTo>
                                  <a:pt x="109" y="42"/>
                                  <a:pt x="99" y="38"/>
                                  <a:pt x="87" y="38"/>
                                </a:cubicBezTo>
                                <a:cubicBezTo>
                                  <a:pt x="75" y="38"/>
                                  <a:pt x="65" y="42"/>
                                  <a:pt x="57" y="50"/>
                                </a:cubicBezTo>
                                <a:cubicBezTo>
                                  <a:pt x="50" y="58"/>
                                  <a:pt x="46" y="69"/>
                                  <a:pt x="46" y="83"/>
                                </a:cubicBezTo>
                                <a:cubicBezTo>
                                  <a:pt x="46" y="96"/>
                                  <a:pt x="50" y="107"/>
                                  <a:pt x="57" y="115"/>
                                </a:cubicBezTo>
                                <a:cubicBezTo>
                                  <a:pt x="65" y="123"/>
                                  <a:pt x="75" y="127"/>
                                  <a:pt x="87" y="127"/>
                                </a:cubicBezTo>
                                <a:cubicBezTo>
                                  <a:pt x="99" y="127"/>
                                  <a:pt x="109" y="123"/>
                                  <a:pt x="116" y="115"/>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63" name="Freeform 53"/>
                        <wps:cNvSpPr>
                          <a:spLocks noEditPoints="1"/>
                        </wps:cNvSpPr>
                        <wps:spPr bwMode="auto">
                          <a:xfrm>
                            <a:off x="206523" y="509052"/>
                            <a:ext cx="69190" cy="75480"/>
                          </a:xfrm>
                          <a:custGeom>
                            <a:avLst/>
                            <a:gdLst>
                              <a:gd name="T0" fmla="*/ 132 w 152"/>
                              <a:gd name="T1" fmla="*/ 17 h 165"/>
                              <a:gd name="T2" fmla="*/ 152 w 152"/>
                              <a:gd name="T3" fmla="*/ 71 h 165"/>
                              <a:gd name="T4" fmla="*/ 152 w 152"/>
                              <a:gd name="T5" fmla="*/ 163 h 165"/>
                              <a:gd name="T6" fmla="*/ 109 w 152"/>
                              <a:gd name="T7" fmla="*/ 163 h 165"/>
                              <a:gd name="T8" fmla="*/ 109 w 152"/>
                              <a:gd name="T9" fmla="*/ 143 h 165"/>
                              <a:gd name="T10" fmla="*/ 60 w 152"/>
                              <a:gd name="T11" fmla="*/ 165 h 165"/>
                              <a:gd name="T12" fmla="*/ 28 w 152"/>
                              <a:gd name="T13" fmla="*/ 159 h 165"/>
                              <a:gd name="T14" fmla="*/ 7 w 152"/>
                              <a:gd name="T15" fmla="*/ 142 h 165"/>
                              <a:gd name="T16" fmla="*/ 0 w 152"/>
                              <a:gd name="T17" fmla="*/ 117 h 165"/>
                              <a:gd name="T18" fmla="*/ 17 w 152"/>
                              <a:gd name="T19" fmla="*/ 81 h 165"/>
                              <a:gd name="T20" fmla="*/ 69 w 152"/>
                              <a:gd name="T21" fmla="*/ 69 h 165"/>
                              <a:gd name="T22" fmla="*/ 106 w 152"/>
                              <a:gd name="T23" fmla="*/ 69 h 165"/>
                              <a:gd name="T24" fmla="*/ 97 w 152"/>
                              <a:gd name="T25" fmla="*/ 45 h 165"/>
                              <a:gd name="T26" fmla="*/ 69 w 152"/>
                              <a:gd name="T27" fmla="*/ 37 h 165"/>
                              <a:gd name="T28" fmla="*/ 43 w 152"/>
                              <a:gd name="T29" fmla="*/ 41 h 165"/>
                              <a:gd name="T30" fmla="*/ 22 w 152"/>
                              <a:gd name="T31" fmla="*/ 52 h 165"/>
                              <a:gd name="T32" fmla="*/ 6 w 152"/>
                              <a:gd name="T33" fmla="*/ 19 h 165"/>
                              <a:gd name="T34" fmla="*/ 37 w 152"/>
                              <a:gd name="T35" fmla="*/ 5 h 165"/>
                              <a:gd name="T36" fmla="*/ 75 w 152"/>
                              <a:gd name="T37" fmla="*/ 0 h 165"/>
                              <a:gd name="T38" fmla="*/ 132 w 152"/>
                              <a:gd name="T39" fmla="*/ 17 h 165"/>
                              <a:gd name="T40" fmla="*/ 93 w 152"/>
                              <a:gd name="T41" fmla="*/ 128 h 165"/>
                              <a:gd name="T42" fmla="*/ 106 w 152"/>
                              <a:gd name="T43" fmla="*/ 112 h 165"/>
                              <a:gd name="T44" fmla="*/ 106 w 152"/>
                              <a:gd name="T45" fmla="*/ 96 h 165"/>
                              <a:gd name="T46" fmla="*/ 74 w 152"/>
                              <a:gd name="T47" fmla="*/ 96 h 165"/>
                              <a:gd name="T48" fmla="*/ 45 w 152"/>
                              <a:gd name="T49" fmla="*/ 115 h 165"/>
                              <a:gd name="T50" fmla="*/ 52 w 152"/>
                              <a:gd name="T51" fmla="*/ 129 h 165"/>
                              <a:gd name="T52" fmla="*/ 71 w 152"/>
                              <a:gd name="T53" fmla="*/ 134 h 165"/>
                              <a:gd name="T54" fmla="*/ 93 w 152"/>
                              <a:gd name="T55" fmla="*/ 128 h 1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52" h="165">
                                <a:moveTo>
                                  <a:pt x="132" y="17"/>
                                </a:moveTo>
                                <a:cubicBezTo>
                                  <a:pt x="146" y="29"/>
                                  <a:pt x="152" y="47"/>
                                  <a:pt x="152" y="71"/>
                                </a:cubicBezTo>
                                <a:cubicBezTo>
                                  <a:pt x="152" y="163"/>
                                  <a:pt x="152" y="163"/>
                                  <a:pt x="152" y="163"/>
                                </a:cubicBezTo>
                                <a:cubicBezTo>
                                  <a:pt x="109" y="163"/>
                                  <a:pt x="109" y="163"/>
                                  <a:pt x="109" y="163"/>
                                </a:cubicBezTo>
                                <a:cubicBezTo>
                                  <a:pt x="109" y="143"/>
                                  <a:pt x="109" y="143"/>
                                  <a:pt x="109" y="143"/>
                                </a:cubicBezTo>
                                <a:cubicBezTo>
                                  <a:pt x="100" y="158"/>
                                  <a:pt x="84" y="165"/>
                                  <a:pt x="60" y="165"/>
                                </a:cubicBezTo>
                                <a:cubicBezTo>
                                  <a:pt x="47" y="165"/>
                                  <a:pt x="37" y="163"/>
                                  <a:pt x="28" y="159"/>
                                </a:cubicBezTo>
                                <a:cubicBezTo>
                                  <a:pt x="19" y="155"/>
                                  <a:pt x="12" y="149"/>
                                  <a:pt x="7" y="142"/>
                                </a:cubicBezTo>
                                <a:cubicBezTo>
                                  <a:pt x="2" y="134"/>
                                  <a:pt x="0" y="126"/>
                                  <a:pt x="0" y="117"/>
                                </a:cubicBezTo>
                                <a:cubicBezTo>
                                  <a:pt x="0" y="102"/>
                                  <a:pt x="5" y="90"/>
                                  <a:pt x="17" y="81"/>
                                </a:cubicBezTo>
                                <a:cubicBezTo>
                                  <a:pt x="28" y="73"/>
                                  <a:pt x="45" y="69"/>
                                  <a:pt x="69" y="69"/>
                                </a:cubicBezTo>
                                <a:cubicBezTo>
                                  <a:pt x="106" y="69"/>
                                  <a:pt x="106" y="69"/>
                                  <a:pt x="106" y="69"/>
                                </a:cubicBezTo>
                                <a:cubicBezTo>
                                  <a:pt x="106" y="58"/>
                                  <a:pt x="103" y="51"/>
                                  <a:pt x="97" y="45"/>
                                </a:cubicBezTo>
                                <a:cubicBezTo>
                                  <a:pt x="90" y="40"/>
                                  <a:pt x="81" y="37"/>
                                  <a:pt x="69" y="37"/>
                                </a:cubicBezTo>
                                <a:cubicBezTo>
                                  <a:pt x="60" y="37"/>
                                  <a:pt x="52" y="38"/>
                                  <a:pt x="43" y="41"/>
                                </a:cubicBezTo>
                                <a:cubicBezTo>
                                  <a:pt x="35" y="44"/>
                                  <a:pt x="28" y="47"/>
                                  <a:pt x="22" y="52"/>
                                </a:cubicBezTo>
                                <a:cubicBezTo>
                                  <a:pt x="6" y="19"/>
                                  <a:pt x="6" y="19"/>
                                  <a:pt x="6" y="19"/>
                                </a:cubicBezTo>
                                <a:cubicBezTo>
                                  <a:pt x="14" y="13"/>
                                  <a:pt x="25" y="8"/>
                                  <a:pt x="37" y="5"/>
                                </a:cubicBezTo>
                                <a:cubicBezTo>
                                  <a:pt x="49" y="1"/>
                                  <a:pt x="62" y="0"/>
                                  <a:pt x="75" y="0"/>
                                </a:cubicBezTo>
                                <a:cubicBezTo>
                                  <a:pt x="100" y="0"/>
                                  <a:pt x="119" y="6"/>
                                  <a:pt x="132" y="17"/>
                                </a:cubicBezTo>
                                <a:close/>
                                <a:moveTo>
                                  <a:pt x="93" y="128"/>
                                </a:moveTo>
                                <a:cubicBezTo>
                                  <a:pt x="99" y="125"/>
                                  <a:pt x="103" y="119"/>
                                  <a:pt x="106" y="112"/>
                                </a:cubicBezTo>
                                <a:cubicBezTo>
                                  <a:pt x="106" y="96"/>
                                  <a:pt x="106" y="96"/>
                                  <a:pt x="106" y="96"/>
                                </a:cubicBezTo>
                                <a:cubicBezTo>
                                  <a:pt x="74" y="96"/>
                                  <a:pt x="74" y="96"/>
                                  <a:pt x="74" y="96"/>
                                </a:cubicBezTo>
                                <a:cubicBezTo>
                                  <a:pt x="55" y="96"/>
                                  <a:pt x="45" y="102"/>
                                  <a:pt x="45" y="115"/>
                                </a:cubicBezTo>
                                <a:cubicBezTo>
                                  <a:pt x="45" y="121"/>
                                  <a:pt x="47" y="125"/>
                                  <a:pt x="52" y="129"/>
                                </a:cubicBezTo>
                                <a:cubicBezTo>
                                  <a:pt x="57" y="132"/>
                                  <a:pt x="63" y="134"/>
                                  <a:pt x="71" y="134"/>
                                </a:cubicBezTo>
                                <a:cubicBezTo>
                                  <a:pt x="79" y="134"/>
                                  <a:pt x="86" y="132"/>
                                  <a:pt x="93" y="128"/>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64" name="Freeform 54"/>
                        <wps:cNvSpPr>
                          <a:spLocks/>
                        </wps:cNvSpPr>
                        <wps:spPr bwMode="auto">
                          <a:xfrm>
                            <a:off x="302970" y="509052"/>
                            <a:ext cx="45079" cy="74432"/>
                          </a:xfrm>
                          <a:custGeom>
                            <a:avLst/>
                            <a:gdLst>
                              <a:gd name="T0" fmla="*/ 67 w 100"/>
                              <a:gd name="T1" fmla="*/ 6 h 163"/>
                              <a:gd name="T2" fmla="*/ 100 w 100"/>
                              <a:gd name="T3" fmla="*/ 0 h 163"/>
                              <a:gd name="T4" fmla="*/ 100 w 100"/>
                              <a:gd name="T5" fmla="*/ 43 h 163"/>
                              <a:gd name="T6" fmla="*/ 89 w 100"/>
                              <a:gd name="T7" fmla="*/ 42 h 163"/>
                              <a:gd name="T8" fmla="*/ 58 w 100"/>
                              <a:gd name="T9" fmla="*/ 53 h 163"/>
                              <a:gd name="T10" fmla="*/ 46 w 100"/>
                              <a:gd name="T11" fmla="*/ 87 h 163"/>
                              <a:gd name="T12" fmla="*/ 46 w 100"/>
                              <a:gd name="T13" fmla="*/ 163 h 163"/>
                              <a:gd name="T14" fmla="*/ 0 w 100"/>
                              <a:gd name="T15" fmla="*/ 163 h 163"/>
                              <a:gd name="T16" fmla="*/ 0 w 100"/>
                              <a:gd name="T17" fmla="*/ 2 h 163"/>
                              <a:gd name="T18" fmla="*/ 44 w 100"/>
                              <a:gd name="T19" fmla="*/ 2 h 163"/>
                              <a:gd name="T20" fmla="*/ 44 w 100"/>
                              <a:gd name="T21" fmla="*/ 23 h 163"/>
                              <a:gd name="T22" fmla="*/ 67 w 100"/>
                              <a:gd name="T23" fmla="*/ 6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0" h="163">
                                <a:moveTo>
                                  <a:pt x="67" y="6"/>
                                </a:moveTo>
                                <a:cubicBezTo>
                                  <a:pt x="76" y="2"/>
                                  <a:pt x="87" y="0"/>
                                  <a:pt x="100" y="0"/>
                                </a:cubicBezTo>
                                <a:cubicBezTo>
                                  <a:pt x="100" y="43"/>
                                  <a:pt x="100" y="43"/>
                                  <a:pt x="100" y="43"/>
                                </a:cubicBezTo>
                                <a:cubicBezTo>
                                  <a:pt x="94" y="42"/>
                                  <a:pt x="91" y="42"/>
                                  <a:pt x="89" y="42"/>
                                </a:cubicBezTo>
                                <a:cubicBezTo>
                                  <a:pt x="76" y="42"/>
                                  <a:pt x="65" y="46"/>
                                  <a:pt x="58" y="53"/>
                                </a:cubicBezTo>
                                <a:cubicBezTo>
                                  <a:pt x="50" y="61"/>
                                  <a:pt x="46" y="72"/>
                                  <a:pt x="46" y="87"/>
                                </a:cubicBezTo>
                                <a:cubicBezTo>
                                  <a:pt x="46" y="163"/>
                                  <a:pt x="46" y="163"/>
                                  <a:pt x="46" y="163"/>
                                </a:cubicBezTo>
                                <a:cubicBezTo>
                                  <a:pt x="0" y="163"/>
                                  <a:pt x="0" y="163"/>
                                  <a:pt x="0" y="163"/>
                                </a:cubicBezTo>
                                <a:cubicBezTo>
                                  <a:pt x="0" y="2"/>
                                  <a:pt x="0" y="2"/>
                                  <a:pt x="0" y="2"/>
                                </a:cubicBezTo>
                                <a:cubicBezTo>
                                  <a:pt x="44" y="2"/>
                                  <a:pt x="44" y="2"/>
                                  <a:pt x="44" y="2"/>
                                </a:cubicBezTo>
                                <a:cubicBezTo>
                                  <a:pt x="44" y="23"/>
                                  <a:pt x="44" y="23"/>
                                  <a:pt x="44" y="23"/>
                                </a:cubicBezTo>
                                <a:cubicBezTo>
                                  <a:pt x="50" y="16"/>
                                  <a:pt x="57" y="10"/>
                                  <a:pt x="67" y="6"/>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65" name="Freeform 55"/>
                        <wps:cNvSpPr>
                          <a:spLocks noEditPoints="1"/>
                        </wps:cNvSpPr>
                        <wps:spPr bwMode="auto">
                          <a:xfrm>
                            <a:off x="362724" y="509052"/>
                            <a:ext cx="80722" cy="101688"/>
                          </a:xfrm>
                          <a:custGeom>
                            <a:avLst/>
                            <a:gdLst>
                              <a:gd name="T0" fmla="*/ 177 w 177"/>
                              <a:gd name="T1" fmla="*/ 2 h 223"/>
                              <a:gd name="T2" fmla="*/ 177 w 177"/>
                              <a:gd name="T3" fmla="*/ 136 h 223"/>
                              <a:gd name="T4" fmla="*/ 154 w 177"/>
                              <a:gd name="T5" fmla="*/ 202 h 223"/>
                              <a:gd name="T6" fmla="*/ 87 w 177"/>
                              <a:gd name="T7" fmla="*/ 223 h 223"/>
                              <a:gd name="T8" fmla="*/ 43 w 177"/>
                              <a:gd name="T9" fmla="*/ 218 h 223"/>
                              <a:gd name="T10" fmla="*/ 8 w 177"/>
                              <a:gd name="T11" fmla="*/ 201 h 223"/>
                              <a:gd name="T12" fmla="*/ 27 w 177"/>
                              <a:gd name="T13" fmla="*/ 168 h 223"/>
                              <a:gd name="T14" fmla="*/ 52 w 177"/>
                              <a:gd name="T15" fmla="*/ 181 h 223"/>
                              <a:gd name="T16" fmla="*/ 84 w 177"/>
                              <a:gd name="T17" fmla="*/ 186 h 223"/>
                              <a:gd name="T18" fmla="*/ 119 w 177"/>
                              <a:gd name="T19" fmla="*/ 175 h 223"/>
                              <a:gd name="T20" fmla="*/ 131 w 177"/>
                              <a:gd name="T21" fmla="*/ 142 h 223"/>
                              <a:gd name="T22" fmla="*/ 131 w 177"/>
                              <a:gd name="T23" fmla="*/ 135 h 223"/>
                              <a:gd name="T24" fmla="*/ 80 w 177"/>
                              <a:gd name="T25" fmla="*/ 155 h 223"/>
                              <a:gd name="T26" fmla="*/ 39 w 177"/>
                              <a:gd name="T27" fmla="*/ 146 h 223"/>
                              <a:gd name="T28" fmla="*/ 10 w 177"/>
                              <a:gd name="T29" fmla="*/ 118 h 223"/>
                              <a:gd name="T30" fmla="*/ 0 w 177"/>
                              <a:gd name="T31" fmla="*/ 77 h 223"/>
                              <a:gd name="T32" fmla="*/ 10 w 177"/>
                              <a:gd name="T33" fmla="*/ 37 h 223"/>
                              <a:gd name="T34" fmla="*/ 39 w 177"/>
                              <a:gd name="T35" fmla="*/ 9 h 223"/>
                              <a:gd name="T36" fmla="*/ 80 w 177"/>
                              <a:gd name="T37" fmla="*/ 0 h 223"/>
                              <a:gd name="T38" fmla="*/ 133 w 177"/>
                              <a:gd name="T39" fmla="*/ 23 h 223"/>
                              <a:gd name="T40" fmla="*/ 133 w 177"/>
                              <a:gd name="T41" fmla="*/ 2 h 223"/>
                              <a:gd name="T42" fmla="*/ 177 w 177"/>
                              <a:gd name="T43" fmla="*/ 2 h 223"/>
                              <a:gd name="T44" fmla="*/ 120 w 177"/>
                              <a:gd name="T45" fmla="*/ 106 h 223"/>
                              <a:gd name="T46" fmla="*/ 131 w 177"/>
                              <a:gd name="T47" fmla="*/ 77 h 223"/>
                              <a:gd name="T48" fmla="*/ 120 w 177"/>
                              <a:gd name="T49" fmla="*/ 49 h 223"/>
                              <a:gd name="T50" fmla="*/ 89 w 177"/>
                              <a:gd name="T51" fmla="*/ 38 h 223"/>
                              <a:gd name="T52" fmla="*/ 59 w 177"/>
                              <a:gd name="T53" fmla="*/ 49 h 223"/>
                              <a:gd name="T54" fmla="*/ 47 w 177"/>
                              <a:gd name="T55" fmla="*/ 77 h 223"/>
                              <a:gd name="T56" fmla="*/ 59 w 177"/>
                              <a:gd name="T57" fmla="*/ 106 h 223"/>
                              <a:gd name="T58" fmla="*/ 89 w 177"/>
                              <a:gd name="T59" fmla="*/ 117 h 223"/>
                              <a:gd name="T60" fmla="*/ 120 w 177"/>
                              <a:gd name="T61" fmla="*/ 106 h 2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177" h="223">
                                <a:moveTo>
                                  <a:pt x="177" y="2"/>
                                </a:moveTo>
                                <a:cubicBezTo>
                                  <a:pt x="177" y="136"/>
                                  <a:pt x="177" y="136"/>
                                  <a:pt x="177" y="136"/>
                                </a:cubicBezTo>
                                <a:cubicBezTo>
                                  <a:pt x="177" y="166"/>
                                  <a:pt x="170" y="188"/>
                                  <a:pt x="154" y="202"/>
                                </a:cubicBezTo>
                                <a:cubicBezTo>
                                  <a:pt x="139" y="216"/>
                                  <a:pt x="117" y="223"/>
                                  <a:pt x="87" y="223"/>
                                </a:cubicBezTo>
                                <a:cubicBezTo>
                                  <a:pt x="72" y="223"/>
                                  <a:pt x="57" y="222"/>
                                  <a:pt x="43" y="218"/>
                                </a:cubicBezTo>
                                <a:cubicBezTo>
                                  <a:pt x="29" y="214"/>
                                  <a:pt x="17" y="208"/>
                                  <a:pt x="8" y="201"/>
                                </a:cubicBezTo>
                                <a:cubicBezTo>
                                  <a:pt x="27" y="168"/>
                                  <a:pt x="27" y="168"/>
                                  <a:pt x="27" y="168"/>
                                </a:cubicBezTo>
                                <a:cubicBezTo>
                                  <a:pt x="34" y="173"/>
                                  <a:pt x="42" y="178"/>
                                  <a:pt x="52" y="181"/>
                                </a:cubicBezTo>
                                <a:cubicBezTo>
                                  <a:pt x="63" y="184"/>
                                  <a:pt x="73" y="186"/>
                                  <a:pt x="84" y="186"/>
                                </a:cubicBezTo>
                                <a:cubicBezTo>
                                  <a:pt x="100" y="186"/>
                                  <a:pt x="112" y="182"/>
                                  <a:pt x="119" y="175"/>
                                </a:cubicBezTo>
                                <a:cubicBezTo>
                                  <a:pt x="127" y="168"/>
                                  <a:pt x="131" y="157"/>
                                  <a:pt x="131" y="142"/>
                                </a:cubicBezTo>
                                <a:cubicBezTo>
                                  <a:pt x="131" y="135"/>
                                  <a:pt x="131" y="135"/>
                                  <a:pt x="131" y="135"/>
                                </a:cubicBezTo>
                                <a:cubicBezTo>
                                  <a:pt x="119" y="149"/>
                                  <a:pt x="102" y="155"/>
                                  <a:pt x="80" y="155"/>
                                </a:cubicBezTo>
                                <a:cubicBezTo>
                                  <a:pt x="65" y="155"/>
                                  <a:pt x="52" y="152"/>
                                  <a:pt x="39" y="146"/>
                                </a:cubicBezTo>
                                <a:cubicBezTo>
                                  <a:pt x="27" y="139"/>
                                  <a:pt x="17" y="130"/>
                                  <a:pt x="10" y="118"/>
                                </a:cubicBezTo>
                                <a:cubicBezTo>
                                  <a:pt x="3" y="106"/>
                                  <a:pt x="0" y="93"/>
                                  <a:pt x="0" y="77"/>
                                </a:cubicBezTo>
                                <a:cubicBezTo>
                                  <a:pt x="0" y="62"/>
                                  <a:pt x="3" y="49"/>
                                  <a:pt x="10" y="37"/>
                                </a:cubicBezTo>
                                <a:cubicBezTo>
                                  <a:pt x="17" y="25"/>
                                  <a:pt x="27" y="16"/>
                                  <a:pt x="39" y="9"/>
                                </a:cubicBezTo>
                                <a:cubicBezTo>
                                  <a:pt x="52" y="3"/>
                                  <a:pt x="65" y="0"/>
                                  <a:pt x="80" y="0"/>
                                </a:cubicBezTo>
                                <a:cubicBezTo>
                                  <a:pt x="103" y="0"/>
                                  <a:pt x="121" y="7"/>
                                  <a:pt x="133" y="23"/>
                                </a:cubicBezTo>
                                <a:cubicBezTo>
                                  <a:pt x="133" y="2"/>
                                  <a:pt x="133" y="2"/>
                                  <a:pt x="133" y="2"/>
                                </a:cubicBezTo>
                                <a:lnTo>
                                  <a:pt x="177" y="2"/>
                                </a:lnTo>
                                <a:close/>
                                <a:moveTo>
                                  <a:pt x="120" y="106"/>
                                </a:moveTo>
                                <a:cubicBezTo>
                                  <a:pt x="127" y="99"/>
                                  <a:pt x="131" y="89"/>
                                  <a:pt x="131" y="77"/>
                                </a:cubicBezTo>
                                <a:cubicBezTo>
                                  <a:pt x="131" y="66"/>
                                  <a:pt x="127" y="56"/>
                                  <a:pt x="120" y="49"/>
                                </a:cubicBezTo>
                                <a:cubicBezTo>
                                  <a:pt x="112" y="42"/>
                                  <a:pt x="102" y="38"/>
                                  <a:pt x="89" y="38"/>
                                </a:cubicBezTo>
                                <a:cubicBezTo>
                                  <a:pt x="77" y="38"/>
                                  <a:pt x="67" y="42"/>
                                  <a:pt x="59" y="49"/>
                                </a:cubicBezTo>
                                <a:cubicBezTo>
                                  <a:pt x="51" y="56"/>
                                  <a:pt x="47" y="66"/>
                                  <a:pt x="47" y="77"/>
                                </a:cubicBezTo>
                                <a:cubicBezTo>
                                  <a:pt x="47" y="89"/>
                                  <a:pt x="51" y="99"/>
                                  <a:pt x="59" y="106"/>
                                </a:cubicBezTo>
                                <a:cubicBezTo>
                                  <a:pt x="67" y="113"/>
                                  <a:pt x="77" y="117"/>
                                  <a:pt x="89" y="117"/>
                                </a:cubicBezTo>
                                <a:cubicBezTo>
                                  <a:pt x="102" y="117"/>
                                  <a:pt x="112" y="113"/>
                                  <a:pt x="120" y="106"/>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66" name="Freeform 56"/>
                        <wps:cNvSpPr>
                          <a:spLocks/>
                        </wps:cNvSpPr>
                        <wps:spPr bwMode="auto">
                          <a:xfrm>
                            <a:off x="470703" y="509052"/>
                            <a:ext cx="74432" cy="74432"/>
                          </a:xfrm>
                          <a:custGeom>
                            <a:avLst/>
                            <a:gdLst>
                              <a:gd name="T0" fmla="*/ 146 w 164"/>
                              <a:gd name="T1" fmla="*/ 18 h 163"/>
                              <a:gd name="T2" fmla="*/ 164 w 164"/>
                              <a:gd name="T3" fmla="*/ 71 h 163"/>
                              <a:gd name="T4" fmla="*/ 164 w 164"/>
                              <a:gd name="T5" fmla="*/ 163 h 163"/>
                              <a:gd name="T6" fmla="*/ 117 w 164"/>
                              <a:gd name="T7" fmla="*/ 163 h 163"/>
                              <a:gd name="T8" fmla="*/ 117 w 164"/>
                              <a:gd name="T9" fmla="*/ 78 h 163"/>
                              <a:gd name="T10" fmla="*/ 109 w 164"/>
                              <a:gd name="T11" fmla="*/ 50 h 163"/>
                              <a:gd name="T12" fmla="*/ 85 w 164"/>
                              <a:gd name="T13" fmla="*/ 40 h 163"/>
                              <a:gd name="T14" fmla="*/ 57 w 164"/>
                              <a:gd name="T15" fmla="*/ 51 h 163"/>
                              <a:gd name="T16" fmla="*/ 46 w 164"/>
                              <a:gd name="T17" fmla="*/ 83 h 163"/>
                              <a:gd name="T18" fmla="*/ 46 w 164"/>
                              <a:gd name="T19" fmla="*/ 163 h 163"/>
                              <a:gd name="T20" fmla="*/ 0 w 164"/>
                              <a:gd name="T21" fmla="*/ 163 h 163"/>
                              <a:gd name="T22" fmla="*/ 0 w 164"/>
                              <a:gd name="T23" fmla="*/ 2 h 163"/>
                              <a:gd name="T24" fmla="*/ 44 w 164"/>
                              <a:gd name="T25" fmla="*/ 2 h 163"/>
                              <a:gd name="T26" fmla="*/ 44 w 164"/>
                              <a:gd name="T27" fmla="*/ 21 h 163"/>
                              <a:gd name="T28" fmla="*/ 67 w 164"/>
                              <a:gd name="T29" fmla="*/ 5 h 163"/>
                              <a:gd name="T30" fmla="*/ 97 w 164"/>
                              <a:gd name="T31" fmla="*/ 0 h 163"/>
                              <a:gd name="T32" fmla="*/ 146 w 164"/>
                              <a:gd name="T33" fmla="*/ 18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64" h="163">
                                <a:moveTo>
                                  <a:pt x="146" y="18"/>
                                </a:moveTo>
                                <a:cubicBezTo>
                                  <a:pt x="158" y="30"/>
                                  <a:pt x="164" y="47"/>
                                  <a:pt x="164" y="71"/>
                                </a:cubicBezTo>
                                <a:cubicBezTo>
                                  <a:pt x="164" y="163"/>
                                  <a:pt x="164" y="163"/>
                                  <a:pt x="164" y="163"/>
                                </a:cubicBezTo>
                                <a:cubicBezTo>
                                  <a:pt x="117" y="163"/>
                                  <a:pt x="117" y="163"/>
                                  <a:pt x="117" y="163"/>
                                </a:cubicBezTo>
                                <a:cubicBezTo>
                                  <a:pt x="117" y="78"/>
                                  <a:pt x="117" y="78"/>
                                  <a:pt x="117" y="78"/>
                                </a:cubicBezTo>
                                <a:cubicBezTo>
                                  <a:pt x="117" y="65"/>
                                  <a:pt x="115" y="56"/>
                                  <a:pt x="109" y="50"/>
                                </a:cubicBezTo>
                                <a:cubicBezTo>
                                  <a:pt x="103" y="43"/>
                                  <a:pt x="95" y="40"/>
                                  <a:pt x="85" y="40"/>
                                </a:cubicBezTo>
                                <a:cubicBezTo>
                                  <a:pt x="73" y="40"/>
                                  <a:pt x="64" y="44"/>
                                  <a:pt x="57" y="51"/>
                                </a:cubicBezTo>
                                <a:cubicBezTo>
                                  <a:pt x="50" y="58"/>
                                  <a:pt x="46" y="69"/>
                                  <a:pt x="46" y="83"/>
                                </a:cubicBezTo>
                                <a:cubicBezTo>
                                  <a:pt x="46" y="163"/>
                                  <a:pt x="46" y="163"/>
                                  <a:pt x="46" y="163"/>
                                </a:cubicBezTo>
                                <a:cubicBezTo>
                                  <a:pt x="0" y="163"/>
                                  <a:pt x="0" y="163"/>
                                  <a:pt x="0" y="163"/>
                                </a:cubicBezTo>
                                <a:cubicBezTo>
                                  <a:pt x="0" y="2"/>
                                  <a:pt x="0" y="2"/>
                                  <a:pt x="0" y="2"/>
                                </a:cubicBezTo>
                                <a:cubicBezTo>
                                  <a:pt x="44" y="2"/>
                                  <a:pt x="44" y="2"/>
                                  <a:pt x="44" y="2"/>
                                </a:cubicBezTo>
                                <a:cubicBezTo>
                                  <a:pt x="44" y="21"/>
                                  <a:pt x="44" y="21"/>
                                  <a:pt x="44" y="21"/>
                                </a:cubicBezTo>
                                <a:cubicBezTo>
                                  <a:pt x="50" y="14"/>
                                  <a:pt x="58" y="9"/>
                                  <a:pt x="67" y="5"/>
                                </a:cubicBezTo>
                                <a:cubicBezTo>
                                  <a:pt x="76" y="2"/>
                                  <a:pt x="86" y="0"/>
                                  <a:pt x="97" y="0"/>
                                </a:cubicBezTo>
                                <a:cubicBezTo>
                                  <a:pt x="117" y="0"/>
                                  <a:pt x="133" y="6"/>
                                  <a:pt x="146" y="18"/>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67" name="Freeform 57"/>
                        <wps:cNvSpPr>
                          <a:spLocks noEditPoints="1"/>
                        </wps:cNvSpPr>
                        <wps:spPr bwMode="auto">
                          <a:xfrm>
                            <a:off x="566102" y="509052"/>
                            <a:ext cx="77577" cy="75480"/>
                          </a:xfrm>
                          <a:custGeom>
                            <a:avLst/>
                            <a:gdLst>
                              <a:gd name="T0" fmla="*/ 169 w 170"/>
                              <a:gd name="T1" fmla="*/ 96 h 165"/>
                              <a:gd name="T2" fmla="*/ 47 w 170"/>
                              <a:gd name="T3" fmla="*/ 96 h 165"/>
                              <a:gd name="T4" fmla="*/ 63 w 170"/>
                              <a:gd name="T5" fmla="*/ 119 h 165"/>
                              <a:gd name="T6" fmla="*/ 93 w 170"/>
                              <a:gd name="T7" fmla="*/ 128 h 165"/>
                              <a:gd name="T8" fmla="*/ 116 w 170"/>
                              <a:gd name="T9" fmla="*/ 124 h 165"/>
                              <a:gd name="T10" fmla="*/ 134 w 170"/>
                              <a:gd name="T11" fmla="*/ 112 h 165"/>
                              <a:gd name="T12" fmla="*/ 158 w 170"/>
                              <a:gd name="T13" fmla="*/ 139 h 165"/>
                              <a:gd name="T14" fmla="*/ 92 w 170"/>
                              <a:gd name="T15" fmla="*/ 165 h 165"/>
                              <a:gd name="T16" fmla="*/ 44 w 170"/>
                              <a:gd name="T17" fmla="*/ 155 h 165"/>
                              <a:gd name="T18" fmla="*/ 12 w 170"/>
                              <a:gd name="T19" fmla="*/ 125 h 165"/>
                              <a:gd name="T20" fmla="*/ 0 w 170"/>
                              <a:gd name="T21" fmla="*/ 83 h 165"/>
                              <a:gd name="T22" fmla="*/ 11 w 170"/>
                              <a:gd name="T23" fmla="*/ 40 h 165"/>
                              <a:gd name="T24" fmla="*/ 42 w 170"/>
                              <a:gd name="T25" fmla="*/ 10 h 165"/>
                              <a:gd name="T26" fmla="*/ 86 w 170"/>
                              <a:gd name="T27" fmla="*/ 0 h 165"/>
                              <a:gd name="T28" fmla="*/ 129 w 170"/>
                              <a:gd name="T29" fmla="*/ 10 h 165"/>
                              <a:gd name="T30" fmla="*/ 159 w 170"/>
                              <a:gd name="T31" fmla="*/ 39 h 165"/>
                              <a:gd name="T32" fmla="*/ 170 w 170"/>
                              <a:gd name="T33" fmla="*/ 83 h 165"/>
                              <a:gd name="T34" fmla="*/ 169 w 170"/>
                              <a:gd name="T35" fmla="*/ 96 h 165"/>
                              <a:gd name="T36" fmla="*/ 60 w 170"/>
                              <a:gd name="T37" fmla="*/ 44 h 165"/>
                              <a:gd name="T38" fmla="*/ 47 w 170"/>
                              <a:gd name="T39" fmla="*/ 69 h 165"/>
                              <a:gd name="T40" fmla="*/ 126 w 170"/>
                              <a:gd name="T41" fmla="*/ 69 h 165"/>
                              <a:gd name="T42" fmla="*/ 113 w 170"/>
                              <a:gd name="T43" fmla="*/ 44 h 165"/>
                              <a:gd name="T44" fmla="*/ 86 w 170"/>
                              <a:gd name="T45" fmla="*/ 35 h 165"/>
                              <a:gd name="T46" fmla="*/ 60 w 170"/>
                              <a:gd name="T47" fmla="*/ 44 h 1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70" h="165">
                                <a:moveTo>
                                  <a:pt x="169" y="96"/>
                                </a:moveTo>
                                <a:cubicBezTo>
                                  <a:pt x="47" y="96"/>
                                  <a:pt x="47" y="96"/>
                                  <a:pt x="47" y="96"/>
                                </a:cubicBezTo>
                                <a:cubicBezTo>
                                  <a:pt x="49" y="106"/>
                                  <a:pt x="55" y="114"/>
                                  <a:pt x="63" y="119"/>
                                </a:cubicBezTo>
                                <a:cubicBezTo>
                                  <a:pt x="71" y="125"/>
                                  <a:pt x="81" y="128"/>
                                  <a:pt x="93" y="128"/>
                                </a:cubicBezTo>
                                <a:cubicBezTo>
                                  <a:pt x="102" y="128"/>
                                  <a:pt x="109" y="127"/>
                                  <a:pt x="116" y="124"/>
                                </a:cubicBezTo>
                                <a:cubicBezTo>
                                  <a:pt x="122" y="122"/>
                                  <a:pt x="128" y="118"/>
                                  <a:pt x="134" y="112"/>
                                </a:cubicBezTo>
                                <a:cubicBezTo>
                                  <a:pt x="158" y="139"/>
                                  <a:pt x="158" y="139"/>
                                  <a:pt x="158" y="139"/>
                                </a:cubicBezTo>
                                <a:cubicBezTo>
                                  <a:pt x="143" y="157"/>
                                  <a:pt x="121" y="165"/>
                                  <a:pt x="92" y="165"/>
                                </a:cubicBezTo>
                                <a:cubicBezTo>
                                  <a:pt x="74" y="165"/>
                                  <a:pt x="58" y="162"/>
                                  <a:pt x="44" y="155"/>
                                </a:cubicBezTo>
                                <a:cubicBezTo>
                                  <a:pt x="30" y="148"/>
                                  <a:pt x="19" y="138"/>
                                  <a:pt x="12" y="125"/>
                                </a:cubicBezTo>
                                <a:cubicBezTo>
                                  <a:pt x="4" y="113"/>
                                  <a:pt x="0" y="99"/>
                                  <a:pt x="0" y="83"/>
                                </a:cubicBezTo>
                                <a:cubicBezTo>
                                  <a:pt x="0" y="67"/>
                                  <a:pt x="4" y="53"/>
                                  <a:pt x="11" y="40"/>
                                </a:cubicBezTo>
                                <a:cubicBezTo>
                                  <a:pt x="19" y="27"/>
                                  <a:pt x="29" y="17"/>
                                  <a:pt x="42" y="10"/>
                                </a:cubicBezTo>
                                <a:cubicBezTo>
                                  <a:pt x="55" y="3"/>
                                  <a:pt x="70" y="0"/>
                                  <a:pt x="86" y="0"/>
                                </a:cubicBezTo>
                                <a:cubicBezTo>
                                  <a:pt x="102" y="0"/>
                                  <a:pt x="116" y="3"/>
                                  <a:pt x="129" y="10"/>
                                </a:cubicBezTo>
                                <a:cubicBezTo>
                                  <a:pt x="142" y="17"/>
                                  <a:pt x="152" y="26"/>
                                  <a:pt x="159" y="39"/>
                                </a:cubicBezTo>
                                <a:cubicBezTo>
                                  <a:pt x="166" y="52"/>
                                  <a:pt x="170" y="66"/>
                                  <a:pt x="170" y="83"/>
                                </a:cubicBezTo>
                                <a:cubicBezTo>
                                  <a:pt x="170" y="84"/>
                                  <a:pt x="170" y="88"/>
                                  <a:pt x="169" y="96"/>
                                </a:cubicBezTo>
                                <a:close/>
                                <a:moveTo>
                                  <a:pt x="60" y="44"/>
                                </a:moveTo>
                                <a:cubicBezTo>
                                  <a:pt x="53" y="50"/>
                                  <a:pt x="48" y="58"/>
                                  <a:pt x="47" y="69"/>
                                </a:cubicBezTo>
                                <a:cubicBezTo>
                                  <a:pt x="126" y="69"/>
                                  <a:pt x="126" y="69"/>
                                  <a:pt x="126" y="69"/>
                                </a:cubicBezTo>
                                <a:cubicBezTo>
                                  <a:pt x="124" y="58"/>
                                  <a:pt x="120" y="50"/>
                                  <a:pt x="113" y="44"/>
                                </a:cubicBezTo>
                                <a:cubicBezTo>
                                  <a:pt x="106" y="38"/>
                                  <a:pt x="97" y="35"/>
                                  <a:pt x="86" y="35"/>
                                </a:cubicBezTo>
                                <a:cubicBezTo>
                                  <a:pt x="76" y="35"/>
                                  <a:pt x="67" y="38"/>
                                  <a:pt x="60" y="44"/>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68" name="Freeform 58"/>
                        <wps:cNvSpPr>
                          <a:spLocks noEditPoints="1"/>
                        </wps:cNvSpPr>
                        <wps:spPr bwMode="auto">
                          <a:xfrm>
                            <a:off x="705531" y="485989"/>
                            <a:ext cx="91206" cy="99592"/>
                          </a:xfrm>
                          <a:custGeom>
                            <a:avLst/>
                            <a:gdLst>
                              <a:gd name="T0" fmla="*/ 175 w 200"/>
                              <a:gd name="T1" fmla="*/ 216 h 216"/>
                              <a:gd name="T2" fmla="*/ 150 w 200"/>
                              <a:gd name="T3" fmla="*/ 192 h 216"/>
                              <a:gd name="T4" fmla="*/ 80 w 200"/>
                              <a:gd name="T5" fmla="*/ 216 h 216"/>
                              <a:gd name="T6" fmla="*/ 39 w 200"/>
                              <a:gd name="T7" fmla="*/ 208 h 216"/>
                              <a:gd name="T8" fmla="*/ 10 w 200"/>
                              <a:gd name="T9" fmla="*/ 188 h 216"/>
                              <a:gd name="T10" fmla="*/ 0 w 200"/>
                              <a:gd name="T11" fmla="*/ 158 h 216"/>
                              <a:gd name="T12" fmla="*/ 11 w 200"/>
                              <a:gd name="T13" fmla="*/ 124 h 216"/>
                              <a:gd name="T14" fmla="*/ 46 w 200"/>
                              <a:gd name="T15" fmla="*/ 96 h 216"/>
                              <a:gd name="T16" fmla="*/ 29 w 200"/>
                              <a:gd name="T17" fmla="*/ 73 h 216"/>
                              <a:gd name="T18" fmla="*/ 24 w 200"/>
                              <a:gd name="T19" fmla="*/ 51 h 216"/>
                              <a:gd name="T20" fmla="*/ 32 w 200"/>
                              <a:gd name="T21" fmla="*/ 24 h 216"/>
                              <a:gd name="T22" fmla="*/ 55 w 200"/>
                              <a:gd name="T23" fmla="*/ 6 h 216"/>
                              <a:gd name="T24" fmla="*/ 89 w 200"/>
                              <a:gd name="T25" fmla="*/ 0 h 216"/>
                              <a:gd name="T26" fmla="*/ 133 w 200"/>
                              <a:gd name="T27" fmla="*/ 13 h 216"/>
                              <a:gd name="T28" fmla="*/ 150 w 200"/>
                              <a:gd name="T29" fmla="*/ 48 h 216"/>
                              <a:gd name="T30" fmla="*/ 140 w 200"/>
                              <a:gd name="T31" fmla="*/ 77 h 216"/>
                              <a:gd name="T32" fmla="*/ 109 w 200"/>
                              <a:gd name="T33" fmla="*/ 101 h 216"/>
                              <a:gd name="T34" fmla="*/ 147 w 200"/>
                              <a:gd name="T35" fmla="*/ 137 h 216"/>
                              <a:gd name="T36" fmla="*/ 157 w 200"/>
                              <a:gd name="T37" fmla="*/ 104 h 216"/>
                              <a:gd name="T38" fmla="*/ 195 w 200"/>
                              <a:gd name="T39" fmla="*/ 116 h 216"/>
                              <a:gd name="T40" fmla="*/ 176 w 200"/>
                              <a:gd name="T41" fmla="*/ 163 h 216"/>
                              <a:gd name="T42" fmla="*/ 200 w 200"/>
                              <a:gd name="T43" fmla="*/ 186 h 216"/>
                              <a:gd name="T44" fmla="*/ 175 w 200"/>
                              <a:gd name="T45" fmla="*/ 216 h 216"/>
                              <a:gd name="T46" fmla="*/ 122 w 200"/>
                              <a:gd name="T47" fmla="*/ 167 h 216"/>
                              <a:gd name="T48" fmla="*/ 72 w 200"/>
                              <a:gd name="T49" fmla="*/ 120 h 216"/>
                              <a:gd name="T50" fmla="*/ 51 w 200"/>
                              <a:gd name="T51" fmla="*/ 135 h 216"/>
                              <a:gd name="T52" fmla="*/ 45 w 200"/>
                              <a:gd name="T53" fmla="*/ 153 h 216"/>
                              <a:gd name="T54" fmla="*/ 56 w 200"/>
                              <a:gd name="T55" fmla="*/ 172 h 216"/>
                              <a:gd name="T56" fmla="*/ 83 w 200"/>
                              <a:gd name="T57" fmla="*/ 179 h 216"/>
                              <a:gd name="T58" fmla="*/ 122 w 200"/>
                              <a:gd name="T59" fmla="*/ 167 h 216"/>
                              <a:gd name="T60" fmla="*/ 73 w 200"/>
                              <a:gd name="T61" fmla="*/ 37 h 216"/>
                              <a:gd name="T62" fmla="*/ 67 w 200"/>
                              <a:gd name="T63" fmla="*/ 51 h 216"/>
                              <a:gd name="T64" fmla="*/ 70 w 200"/>
                              <a:gd name="T65" fmla="*/ 63 h 216"/>
                              <a:gd name="T66" fmla="*/ 83 w 200"/>
                              <a:gd name="T67" fmla="*/ 77 h 216"/>
                              <a:gd name="T68" fmla="*/ 104 w 200"/>
                              <a:gd name="T69" fmla="*/ 63 h 216"/>
                              <a:gd name="T70" fmla="*/ 110 w 200"/>
                              <a:gd name="T71" fmla="*/ 49 h 216"/>
                              <a:gd name="T72" fmla="*/ 105 w 200"/>
                              <a:gd name="T73" fmla="*/ 36 h 216"/>
                              <a:gd name="T74" fmla="*/ 89 w 200"/>
                              <a:gd name="T75" fmla="*/ 32 h 216"/>
                              <a:gd name="T76" fmla="*/ 73 w 200"/>
                              <a:gd name="T77" fmla="*/ 37 h 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00" h="216">
                                <a:moveTo>
                                  <a:pt x="175" y="216"/>
                                </a:moveTo>
                                <a:cubicBezTo>
                                  <a:pt x="150" y="192"/>
                                  <a:pt x="150" y="192"/>
                                  <a:pt x="150" y="192"/>
                                </a:cubicBezTo>
                                <a:cubicBezTo>
                                  <a:pt x="130" y="208"/>
                                  <a:pt x="106" y="216"/>
                                  <a:pt x="80" y="216"/>
                                </a:cubicBezTo>
                                <a:cubicBezTo>
                                  <a:pt x="64" y="216"/>
                                  <a:pt x="51" y="213"/>
                                  <a:pt x="39" y="208"/>
                                </a:cubicBezTo>
                                <a:cubicBezTo>
                                  <a:pt x="26" y="203"/>
                                  <a:pt x="17" y="197"/>
                                  <a:pt x="10" y="188"/>
                                </a:cubicBezTo>
                                <a:cubicBezTo>
                                  <a:pt x="3" y="179"/>
                                  <a:pt x="0" y="169"/>
                                  <a:pt x="0" y="158"/>
                                </a:cubicBezTo>
                                <a:cubicBezTo>
                                  <a:pt x="0" y="145"/>
                                  <a:pt x="3" y="134"/>
                                  <a:pt x="11" y="124"/>
                                </a:cubicBezTo>
                                <a:cubicBezTo>
                                  <a:pt x="18" y="114"/>
                                  <a:pt x="30" y="105"/>
                                  <a:pt x="46" y="96"/>
                                </a:cubicBezTo>
                                <a:cubicBezTo>
                                  <a:pt x="38" y="88"/>
                                  <a:pt x="33" y="80"/>
                                  <a:pt x="29" y="73"/>
                                </a:cubicBezTo>
                                <a:cubicBezTo>
                                  <a:pt x="26" y="66"/>
                                  <a:pt x="24" y="59"/>
                                  <a:pt x="24" y="51"/>
                                </a:cubicBezTo>
                                <a:cubicBezTo>
                                  <a:pt x="24" y="41"/>
                                  <a:pt x="27" y="32"/>
                                  <a:pt x="32" y="24"/>
                                </a:cubicBezTo>
                                <a:cubicBezTo>
                                  <a:pt x="38" y="17"/>
                                  <a:pt x="45" y="11"/>
                                  <a:pt x="55" y="6"/>
                                </a:cubicBezTo>
                                <a:cubicBezTo>
                                  <a:pt x="65" y="2"/>
                                  <a:pt x="77" y="0"/>
                                  <a:pt x="89" y="0"/>
                                </a:cubicBezTo>
                                <a:cubicBezTo>
                                  <a:pt x="108" y="0"/>
                                  <a:pt x="122" y="4"/>
                                  <a:pt x="133" y="13"/>
                                </a:cubicBezTo>
                                <a:cubicBezTo>
                                  <a:pt x="144" y="22"/>
                                  <a:pt x="150" y="33"/>
                                  <a:pt x="150" y="48"/>
                                </a:cubicBezTo>
                                <a:cubicBezTo>
                                  <a:pt x="150" y="59"/>
                                  <a:pt x="146" y="68"/>
                                  <a:pt x="140" y="77"/>
                                </a:cubicBezTo>
                                <a:cubicBezTo>
                                  <a:pt x="133" y="85"/>
                                  <a:pt x="123" y="93"/>
                                  <a:pt x="109" y="101"/>
                                </a:cubicBezTo>
                                <a:cubicBezTo>
                                  <a:pt x="147" y="137"/>
                                  <a:pt x="147" y="137"/>
                                  <a:pt x="147" y="137"/>
                                </a:cubicBezTo>
                                <a:cubicBezTo>
                                  <a:pt x="151" y="127"/>
                                  <a:pt x="155" y="116"/>
                                  <a:pt x="157" y="104"/>
                                </a:cubicBezTo>
                                <a:cubicBezTo>
                                  <a:pt x="195" y="116"/>
                                  <a:pt x="195" y="116"/>
                                  <a:pt x="195" y="116"/>
                                </a:cubicBezTo>
                                <a:cubicBezTo>
                                  <a:pt x="191" y="134"/>
                                  <a:pt x="184" y="150"/>
                                  <a:pt x="176" y="163"/>
                                </a:cubicBezTo>
                                <a:cubicBezTo>
                                  <a:pt x="200" y="186"/>
                                  <a:pt x="200" y="186"/>
                                  <a:pt x="200" y="186"/>
                                </a:cubicBezTo>
                                <a:lnTo>
                                  <a:pt x="175" y="216"/>
                                </a:lnTo>
                                <a:close/>
                                <a:moveTo>
                                  <a:pt x="122" y="167"/>
                                </a:moveTo>
                                <a:cubicBezTo>
                                  <a:pt x="72" y="120"/>
                                  <a:pt x="72" y="120"/>
                                  <a:pt x="72" y="120"/>
                                </a:cubicBezTo>
                                <a:cubicBezTo>
                                  <a:pt x="62" y="125"/>
                                  <a:pt x="55" y="130"/>
                                  <a:pt x="51" y="135"/>
                                </a:cubicBezTo>
                                <a:cubicBezTo>
                                  <a:pt x="47" y="141"/>
                                  <a:pt x="45" y="147"/>
                                  <a:pt x="45" y="153"/>
                                </a:cubicBezTo>
                                <a:cubicBezTo>
                                  <a:pt x="45" y="161"/>
                                  <a:pt x="49" y="167"/>
                                  <a:pt x="56" y="172"/>
                                </a:cubicBezTo>
                                <a:cubicBezTo>
                                  <a:pt x="62" y="177"/>
                                  <a:pt x="72" y="179"/>
                                  <a:pt x="83" y="179"/>
                                </a:cubicBezTo>
                                <a:cubicBezTo>
                                  <a:pt x="97" y="179"/>
                                  <a:pt x="111" y="175"/>
                                  <a:pt x="122" y="167"/>
                                </a:cubicBezTo>
                                <a:close/>
                                <a:moveTo>
                                  <a:pt x="73" y="37"/>
                                </a:moveTo>
                                <a:cubicBezTo>
                                  <a:pt x="69" y="41"/>
                                  <a:pt x="67" y="45"/>
                                  <a:pt x="67" y="51"/>
                                </a:cubicBezTo>
                                <a:cubicBezTo>
                                  <a:pt x="67" y="55"/>
                                  <a:pt x="68" y="59"/>
                                  <a:pt x="70" y="63"/>
                                </a:cubicBezTo>
                                <a:cubicBezTo>
                                  <a:pt x="72" y="66"/>
                                  <a:pt x="77" y="71"/>
                                  <a:pt x="83" y="77"/>
                                </a:cubicBezTo>
                                <a:cubicBezTo>
                                  <a:pt x="93" y="72"/>
                                  <a:pt x="100" y="67"/>
                                  <a:pt x="104" y="63"/>
                                </a:cubicBezTo>
                                <a:cubicBezTo>
                                  <a:pt x="108" y="59"/>
                                  <a:pt x="110" y="54"/>
                                  <a:pt x="110" y="49"/>
                                </a:cubicBezTo>
                                <a:cubicBezTo>
                                  <a:pt x="110" y="44"/>
                                  <a:pt x="108" y="40"/>
                                  <a:pt x="105" y="36"/>
                                </a:cubicBezTo>
                                <a:cubicBezTo>
                                  <a:pt x="101" y="33"/>
                                  <a:pt x="96" y="32"/>
                                  <a:pt x="89" y="32"/>
                                </a:cubicBezTo>
                                <a:cubicBezTo>
                                  <a:pt x="82" y="32"/>
                                  <a:pt x="77" y="33"/>
                                  <a:pt x="73" y="37"/>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69" name="Freeform 59"/>
                        <wps:cNvSpPr>
                          <a:spLocks noEditPoints="1"/>
                        </wps:cNvSpPr>
                        <wps:spPr bwMode="auto">
                          <a:xfrm>
                            <a:off x="863829" y="488086"/>
                            <a:ext cx="84916" cy="95398"/>
                          </a:xfrm>
                          <a:custGeom>
                            <a:avLst/>
                            <a:gdLst>
                              <a:gd name="T0" fmla="*/ 134 w 186"/>
                              <a:gd name="T1" fmla="*/ 209 h 209"/>
                              <a:gd name="T2" fmla="*/ 93 w 186"/>
                              <a:gd name="T3" fmla="*/ 151 h 209"/>
                              <a:gd name="T4" fmla="*/ 91 w 186"/>
                              <a:gd name="T5" fmla="*/ 151 h 209"/>
                              <a:gd name="T6" fmla="*/ 49 w 186"/>
                              <a:gd name="T7" fmla="*/ 151 h 209"/>
                              <a:gd name="T8" fmla="*/ 49 w 186"/>
                              <a:gd name="T9" fmla="*/ 209 h 209"/>
                              <a:gd name="T10" fmla="*/ 0 w 186"/>
                              <a:gd name="T11" fmla="*/ 209 h 209"/>
                              <a:gd name="T12" fmla="*/ 0 w 186"/>
                              <a:gd name="T13" fmla="*/ 0 h 209"/>
                              <a:gd name="T14" fmla="*/ 91 w 186"/>
                              <a:gd name="T15" fmla="*/ 0 h 209"/>
                              <a:gd name="T16" fmla="*/ 139 w 186"/>
                              <a:gd name="T17" fmla="*/ 9 h 209"/>
                              <a:gd name="T18" fmla="*/ 171 w 186"/>
                              <a:gd name="T19" fmla="*/ 35 h 209"/>
                              <a:gd name="T20" fmla="*/ 182 w 186"/>
                              <a:gd name="T21" fmla="*/ 76 h 209"/>
                              <a:gd name="T22" fmla="*/ 170 w 186"/>
                              <a:gd name="T23" fmla="*/ 116 h 209"/>
                              <a:gd name="T24" fmla="*/ 139 w 186"/>
                              <a:gd name="T25" fmla="*/ 142 h 209"/>
                              <a:gd name="T26" fmla="*/ 186 w 186"/>
                              <a:gd name="T27" fmla="*/ 209 h 209"/>
                              <a:gd name="T28" fmla="*/ 134 w 186"/>
                              <a:gd name="T29" fmla="*/ 209 h 209"/>
                              <a:gd name="T30" fmla="*/ 121 w 186"/>
                              <a:gd name="T31" fmla="*/ 49 h 209"/>
                              <a:gd name="T32" fmla="*/ 88 w 186"/>
                              <a:gd name="T33" fmla="*/ 39 h 209"/>
                              <a:gd name="T34" fmla="*/ 49 w 186"/>
                              <a:gd name="T35" fmla="*/ 39 h 209"/>
                              <a:gd name="T36" fmla="*/ 49 w 186"/>
                              <a:gd name="T37" fmla="*/ 112 h 209"/>
                              <a:gd name="T38" fmla="*/ 88 w 186"/>
                              <a:gd name="T39" fmla="*/ 112 h 209"/>
                              <a:gd name="T40" fmla="*/ 121 w 186"/>
                              <a:gd name="T41" fmla="*/ 103 h 209"/>
                              <a:gd name="T42" fmla="*/ 133 w 186"/>
                              <a:gd name="T43" fmla="*/ 76 h 209"/>
                              <a:gd name="T44" fmla="*/ 121 w 186"/>
                              <a:gd name="T45" fmla="*/ 49 h 2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86" h="209">
                                <a:moveTo>
                                  <a:pt x="134" y="209"/>
                                </a:moveTo>
                                <a:cubicBezTo>
                                  <a:pt x="93" y="151"/>
                                  <a:pt x="93" y="151"/>
                                  <a:pt x="93" y="151"/>
                                </a:cubicBezTo>
                                <a:cubicBezTo>
                                  <a:pt x="91" y="151"/>
                                  <a:pt x="91" y="151"/>
                                  <a:pt x="91" y="151"/>
                                </a:cubicBezTo>
                                <a:cubicBezTo>
                                  <a:pt x="49" y="151"/>
                                  <a:pt x="49" y="151"/>
                                  <a:pt x="49" y="151"/>
                                </a:cubicBezTo>
                                <a:cubicBezTo>
                                  <a:pt x="49" y="209"/>
                                  <a:pt x="49" y="209"/>
                                  <a:pt x="49" y="209"/>
                                </a:cubicBezTo>
                                <a:cubicBezTo>
                                  <a:pt x="0" y="209"/>
                                  <a:pt x="0" y="209"/>
                                  <a:pt x="0" y="209"/>
                                </a:cubicBezTo>
                                <a:cubicBezTo>
                                  <a:pt x="0" y="0"/>
                                  <a:pt x="0" y="0"/>
                                  <a:pt x="0" y="0"/>
                                </a:cubicBezTo>
                                <a:cubicBezTo>
                                  <a:pt x="91" y="0"/>
                                  <a:pt x="91" y="0"/>
                                  <a:pt x="91" y="0"/>
                                </a:cubicBezTo>
                                <a:cubicBezTo>
                                  <a:pt x="109" y="0"/>
                                  <a:pt x="125" y="3"/>
                                  <a:pt x="139" y="9"/>
                                </a:cubicBezTo>
                                <a:cubicBezTo>
                                  <a:pt x="153" y="15"/>
                                  <a:pt x="163" y="24"/>
                                  <a:pt x="171" y="35"/>
                                </a:cubicBezTo>
                                <a:cubicBezTo>
                                  <a:pt x="178" y="47"/>
                                  <a:pt x="182" y="60"/>
                                  <a:pt x="182" y="76"/>
                                </a:cubicBezTo>
                                <a:cubicBezTo>
                                  <a:pt x="182" y="91"/>
                                  <a:pt x="178" y="105"/>
                                  <a:pt x="170" y="116"/>
                                </a:cubicBezTo>
                                <a:cubicBezTo>
                                  <a:pt x="163" y="127"/>
                                  <a:pt x="152" y="136"/>
                                  <a:pt x="139" y="142"/>
                                </a:cubicBezTo>
                                <a:cubicBezTo>
                                  <a:pt x="186" y="209"/>
                                  <a:pt x="186" y="209"/>
                                  <a:pt x="186" y="209"/>
                                </a:cubicBezTo>
                                <a:lnTo>
                                  <a:pt x="134" y="209"/>
                                </a:lnTo>
                                <a:close/>
                                <a:moveTo>
                                  <a:pt x="121" y="49"/>
                                </a:moveTo>
                                <a:cubicBezTo>
                                  <a:pt x="114" y="42"/>
                                  <a:pt x="103" y="39"/>
                                  <a:pt x="88" y="39"/>
                                </a:cubicBezTo>
                                <a:cubicBezTo>
                                  <a:pt x="49" y="39"/>
                                  <a:pt x="49" y="39"/>
                                  <a:pt x="49" y="39"/>
                                </a:cubicBezTo>
                                <a:cubicBezTo>
                                  <a:pt x="49" y="112"/>
                                  <a:pt x="49" y="112"/>
                                  <a:pt x="49" y="112"/>
                                </a:cubicBezTo>
                                <a:cubicBezTo>
                                  <a:pt x="88" y="112"/>
                                  <a:pt x="88" y="112"/>
                                  <a:pt x="88" y="112"/>
                                </a:cubicBezTo>
                                <a:cubicBezTo>
                                  <a:pt x="103" y="112"/>
                                  <a:pt x="114" y="109"/>
                                  <a:pt x="121" y="103"/>
                                </a:cubicBezTo>
                                <a:cubicBezTo>
                                  <a:pt x="129" y="96"/>
                                  <a:pt x="133" y="87"/>
                                  <a:pt x="133" y="76"/>
                                </a:cubicBezTo>
                                <a:cubicBezTo>
                                  <a:pt x="133" y="64"/>
                                  <a:pt x="129" y="55"/>
                                  <a:pt x="121" y="49"/>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70" name="Freeform 60"/>
                        <wps:cNvSpPr>
                          <a:spLocks noEditPoints="1"/>
                        </wps:cNvSpPr>
                        <wps:spPr bwMode="auto">
                          <a:xfrm>
                            <a:off x="964469" y="509052"/>
                            <a:ext cx="76529" cy="75480"/>
                          </a:xfrm>
                          <a:custGeom>
                            <a:avLst/>
                            <a:gdLst>
                              <a:gd name="T0" fmla="*/ 168 w 169"/>
                              <a:gd name="T1" fmla="*/ 96 h 165"/>
                              <a:gd name="T2" fmla="*/ 47 w 169"/>
                              <a:gd name="T3" fmla="*/ 96 h 165"/>
                              <a:gd name="T4" fmla="*/ 62 w 169"/>
                              <a:gd name="T5" fmla="*/ 119 h 165"/>
                              <a:gd name="T6" fmla="*/ 93 w 169"/>
                              <a:gd name="T7" fmla="*/ 128 h 165"/>
                              <a:gd name="T8" fmla="*/ 115 w 169"/>
                              <a:gd name="T9" fmla="*/ 124 h 165"/>
                              <a:gd name="T10" fmla="*/ 133 w 169"/>
                              <a:gd name="T11" fmla="*/ 112 h 165"/>
                              <a:gd name="T12" fmla="*/ 158 w 169"/>
                              <a:gd name="T13" fmla="*/ 139 h 165"/>
                              <a:gd name="T14" fmla="*/ 91 w 169"/>
                              <a:gd name="T15" fmla="*/ 165 h 165"/>
                              <a:gd name="T16" fmla="*/ 43 w 169"/>
                              <a:gd name="T17" fmla="*/ 155 h 165"/>
                              <a:gd name="T18" fmla="*/ 11 w 169"/>
                              <a:gd name="T19" fmla="*/ 125 h 165"/>
                              <a:gd name="T20" fmla="*/ 0 w 169"/>
                              <a:gd name="T21" fmla="*/ 83 h 165"/>
                              <a:gd name="T22" fmla="*/ 11 w 169"/>
                              <a:gd name="T23" fmla="*/ 40 h 165"/>
                              <a:gd name="T24" fmla="*/ 42 w 169"/>
                              <a:gd name="T25" fmla="*/ 10 h 165"/>
                              <a:gd name="T26" fmla="*/ 86 w 169"/>
                              <a:gd name="T27" fmla="*/ 0 h 165"/>
                              <a:gd name="T28" fmla="*/ 128 w 169"/>
                              <a:gd name="T29" fmla="*/ 10 h 165"/>
                              <a:gd name="T30" fmla="*/ 158 w 169"/>
                              <a:gd name="T31" fmla="*/ 39 h 165"/>
                              <a:gd name="T32" fmla="*/ 169 w 169"/>
                              <a:gd name="T33" fmla="*/ 83 h 165"/>
                              <a:gd name="T34" fmla="*/ 168 w 169"/>
                              <a:gd name="T35" fmla="*/ 96 h 165"/>
                              <a:gd name="T36" fmla="*/ 59 w 169"/>
                              <a:gd name="T37" fmla="*/ 44 h 165"/>
                              <a:gd name="T38" fmla="*/ 46 w 169"/>
                              <a:gd name="T39" fmla="*/ 69 h 165"/>
                              <a:gd name="T40" fmla="*/ 125 w 169"/>
                              <a:gd name="T41" fmla="*/ 69 h 165"/>
                              <a:gd name="T42" fmla="*/ 112 w 169"/>
                              <a:gd name="T43" fmla="*/ 44 h 165"/>
                              <a:gd name="T44" fmla="*/ 86 w 169"/>
                              <a:gd name="T45" fmla="*/ 35 h 165"/>
                              <a:gd name="T46" fmla="*/ 59 w 169"/>
                              <a:gd name="T47" fmla="*/ 44 h 1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69" h="165">
                                <a:moveTo>
                                  <a:pt x="168" y="96"/>
                                </a:moveTo>
                                <a:cubicBezTo>
                                  <a:pt x="47" y="96"/>
                                  <a:pt x="47" y="96"/>
                                  <a:pt x="47" y="96"/>
                                </a:cubicBezTo>
                                <a:cubicBezTo>
                                  <a:pt x="49" y="106"/>
                                  <a:pt x="54" y="114"/>
                                  <a:pt x="62" y="119"/>
                                </a:cubicBezTo>
                                <a:cubicBezTo>
                                  <a:pt x="70" y="125"/>
                                  <a:pt x="81" y="128"/>
                                  <a:pt x="93" y="128"/>
                                </a:cubicBezTo>
                                <a:cubicBezTo>
                                  <a:pt x="101" y="128"/>
                                  <a:pt x="108" y="127"/>
                                  <a:pt x="115" y="124"/>
                                </a:cubicBezTo>
                                <a:cubicBezTo>
                                  <a:pt x="121" y="122"/>
                                  <a:pt x="127" y="118"/>
                                  <a:pt x="133" y="112"/>
                                </a:cubicBezTo>
                                <a:cubicBezTo>
                                  <a:pt x="158" y="139"/>
                                  <a:pt x="158" y="139"/>
                                  <a:pt x="158" y="139"/>
                                </a:cubicBezTo>
                                <a:cubicBezTo>
                                  <a:pt x="143" y="157"/>
                                  <a:pt x="121" y="165"/>
                                  <a:pt x="91" y="165"/>
                                </a:cubicBezTo>
                                <a:cubicBezTo>
                                  <a:pt x="73" y="165"/>
                                  <a:pt x="57" y="162"/>
                                  <a:pt x="43" y="155"/>
                                </a:cubicBezTo>
                                <a:cubicBezTo>
                                  <a:pt x="29" y="148"/>
                                  <a:pt x="19" y="138"/>
                                  <a:pt x="11" y="125"/>
                                </a:cubicBezTo>
                                <a:cubicBezTo>
                                  <a:pt x="3" y="113"/>
                                  <a:pt x="0" y="99"/>
                                  <a:pt x="0" y="83"/>
                                </a:cubicBezTo>
                                <a:cubicBezTo>
                                  <a:pt x="0" y="67"/>
                                  <a:pt x="3" y="53"/>
                                  <a:pt x="11" y="40"/>
                                </a:cubicBezTo>
                                <a:cubicBezTo>
                                  <a:pt x="18" y="27"/>
                                  <a:pt x="29" y="17"/>
                                  <a:pt x="42" y="10"/>
                                </a:cubicBezTo>
                                <a:cubicBezTo>
                                  <a:pt x="55" y="3"/>
                                  <a:pt x="69" y="0"/>
                                  <a:pt x="86" y="0"/>
                                </a:cubicBezTo>
                                <a:cubicBezTo>
                                  <a:pt x="101" y="0"/>
                                  <a:pt x="116" y="3"/>
                                  <a:pt x="128" y="10"/>
                                </a:cubicBezTo>
                                <a:cubicBezTo>
                                  <a:pt x="141" y="17"/>
                                  <a:pt x="151" y="26"/>
                                  <a:pt x="158" y="39"/>
                                </a:cubicBezTo>
                                <a:cubicBezTo>
                                  <a:pt x="166" y="52"/>
                                  <a:pt x="169" y="66"/>
                                  <a:pt x="169" y="83"/>
                                </a:cubicBezTo>
                                <a:cubicBezTo>
                                  <a:pt x="169" y="84"/>
                                  <a:pt x="169" y="88"/>
                                  <a:pt x="168" y="96"/>
                                </a:cubicBezTo>
                                <a:close/>
                                <a:moveTo>
                                  <a:pt x="59" y="44"/>
                                </a:moveTo>
                                <a:cubicBezTo>
                                  <a:pt x="52" y="50"/>
                                  <a:pt x="48" y="58"/>
                                  <a:pt x="46" y="69"/>
                                </a:cubicBezTo>
                                <a:cubicBezTo>
                                  <a:pt x="125" y="69"/>
                                  <a:pt x="125" y="69"/>
                                  <a:pt x="125" y="69"/>
                                </a:cubicBezTo>
                                <a:cubicBezTo>
                                  <a:pt x="124" y="58"/>
                                  <a:pt x="119" y="50"/>
                                  <a:pt x="112" y="44"/>
                                </a:cubicBezTo>
                                <a:cubicBezTo>
                                  <a:pt x="105" y="38"/>
                                  <a:pt x="96" y="35"/>
                                  <a:pt x="86" y="35"/>
                                </a:cubicBezTo>
                                <a:cubicBezTo>
                                  <a:pt x="75" y="35"/>
                                  <a:pt x="66" y="38"/>
                                  <a:pt x="59" y="44"/>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71" name="Freeform 61"/>
                        <wps:cNvSpPr>
                          <a:spLocks/>
                        </wps:cNvSpPr>
                        <wps:spPr bwMode="auto">
                          <a:xfrm>
                            <a:off x="1053578" y="493327"/>
                            <a:ext cx="56610" cy="91205"/>
                          </a:xfrm>
                          <a:custGeom>
                            <a:avLst/>
                            <a:gdLst>
                              <a:gd name="T0" fmla="*/ 123 w 123"/>
                              <a:gd name="T1" fmla="*/ 188 h 198"/>
                              <a:gd name="T2" fmla="*/ 106 w 123"/>
                              <a:gd name="T3" fmla="*/ 196 h 198"/>
                              <a:gd name="T4" fmla="*/ 85 w 123"/>
                              <a:gd name="T5" fmla="*/ 198 h 198"/>
                              <a:gd name="T6" fmla="*/ 40 w 123"/>
                              <a:gd name="T7" fmla="*/ 184 h 198"/>
                              <a:gd name="T8" fmla="*/ 25 w 123"/>
                              <a:gd name="T9" fmla="*/ 141 h 198"/>
                              <a:gd name="T10" fmla="*/ 25 w 123"/>
                              <a:gd name="T11" fmla="*/ 75 h 198"/>
                              <a:gd name="T12" fmla="*/ 0 w 123"/>
                              <a:gd name="T13" fmla="*/ 75 h 198"/>
                              <a:gd name="T14" fmla="*/ 0 w 123"/>
                              <a:gd name="T15" fmla="*/ 39 h 198"/>
                              <a:gd name="T16" fmla="*/ 25 w 123"/>
                              <a:gd name="T17" fmla="*/ 39 h 198"/>
                              <a:gd name="T18" fmla="*/ 25 w 123"/>
                              <a:gd name="T19" fmla="*/ 0 h 198"/>
                              <a:gd name="T20" fmla="*/ 71 w 123"/>
                              <a:gd name="T21" fmla="*/ 0 h 198"/>
                              <a:gd name="T22" fmla="*/ 71 w 123"/>
                              <a:gd name="T23" fmla="*/ 39 h 198"/>
                              <a:gd name="T24" fmla="*/ 111 w 123"/>
                              <a:gd name="T25" fmla="*/ 39 h 198"/>
                              <a:gd name="T26" fmla="*/ 111 w 123"/>
                              <a:gd name="T27" fmla="*/ 75 h 198"/>
                              <a:gd name="T28" fmla="*/ 71 w 123"/>
                              <a:gd name="T29" fmla="*/ 75 h 198"/>
                              <a:gd name="T30" fmla="*/ 71 w 123"/>
                              <a:gd name="T31" fmla="*/ 140 h 198"/>
                              <a:gd name="T32" fmla="*/ 77 w 123"/>
                              <a:gd name="T33" fmla="*/ 156 h 198"/>
                              <a:gd name="T34" fmla="*/ 91 w 123"/>
                              <a:gd name="T35" fmla="*/ 161 h 198"/>
                              <a:gd name="T36" fmla="*/ 110 w 123"/>
                              <a:gd name="T37" fmla="*/ 155 h 198"/>
                              <a:gd name="T38" fmla="*/ 123 w 123"/>
                              <a:gd name="T39" fmla="*/ 188 h 1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23" h="198">
                                <a:moveTo>
                                  <a:pt x="123" y="188"/>
                                </a:moveTo>
                                <a:cubicBezTo>
                                  <a:pt x="118" y="192"/>
                                  <a:pt x="113" y="194"/>
                                  <a:pt x="106" y="196"/>
                                </a:cubicBezTo>
                                <a:cubicBezTo>
                                  <a:pt x="99" y="198"/>
                                  <a:pt x="92" y="198"/>
                                  <a:pt x="85" y="198"/>
                                </a:cubicBezTo>
                                <a:cubicBezTo>
                                  <a:pt x="66" y="198"/>
                                  <a:pt x="51" y="194"/>
                                  <a:pt x="40" y="184"/>
                                </a:cubicBezTo>
                                <a:cubicBezTo>
                                  <a:pt x="30" y="174"/>
                                  <a:pt x="25" y="160"/>
                                  <a:pt x="25" y="141"/>
                                </a:cubicBezTo>
                                <a:cubicBezTo>
                                  <a:pt x="25" y="75"/>
                                  <a:pt x="25" y="75"/>
                                  <a:pt x="25" y="75"/>
                                </a:cubicBezTo>
                                <a:cubicBezTo>
                                  <a:pt x="0" y="75"/>
                                  <a:pt x="0" y="75"/>
                                  <a:pt x="0" y="75"/>
                                </a:cubicBezTo>
                                <a:cubicBezTo>
                                  <a:pt x="0" y="39"/>
                                  <a:pt x="0" y="39"/>
                                  <a:pt x="0" y="39"/>
                                </a:cubicBezTo>
                                <a:cubicBezTo>
                                  <a:pt x="25" y="39"/>
                                  <a:pt x="25" y="39"/>
                                  <a:pt x="25" y="39"/>
                                </a:cubicBezTo>
                                <a:cubicBezTo>
                                  <a:pt x="25" y="0"/>
                                  <a:pt x="25" y="0"/>
                                  <a:pt x="25" y="0"/>
                                </a:cubicBezTo>
                                <a:cubicBezTo>
                                  <a:pt x="71" y="0"/>
                                  <a:pt x="71" y="0"/>
                                  <a:pt x="71" y="0"/>
                                </a:cubicBezTo>
                                <a:cubicBezTo>
                                  <a:pt x="71" y="39"/>
                                  <a:pt x="71" y="39"/>
                                  <a:pt x="71" y="39"/>
                                </a:cubicBezTo>
                                <a:cubicBezTo>
                                  <a:pt x="111" y="39"/>
                                  <a:pt x="111" y="39"/>
                                  <a:pt x="111" y="39"/>
                                </a:cubicBezTo>
                                <a:cubicBezTo>
                                  <a:pt x="111" y="75"/>
                                  <a:pt x="111" y="75"/>
                                  <a:pt x="111" y="75"/>
                                </a:cubicBezTo>
                                <a:cubicBezTo>
                                  <a:pt x="71" y="75"/>
                                  <a:pt x="71" y="75"/>
                                  <a:pt x="71" y="75"/>
                                </a:cubicBezTo>
                                <a:cubicBezTo>
                                  <a:pt x="71" y="140"/>
                                  <a:pt x="71" y="140"/>
                                  <a:pt x="71" y="140"/>
                                </a:cubicBezTo>
                                <a:cubicBezTo>
                                  <a:pt x="71" y="147"/>
                                  <a:pt x="73" y="152"/>
                                  <a:pt x="77" y="156"/>
                                </a:cubicBezTo>
                                <a:cubicBezTo>
                                  <a:pt x="80" y="159"/>
                                  <a:pt x="85" y="161"/>
                                  <a:pt x="91" y="161"/>
                                </a:cubicBezTo>
                                <a:cubicBezTo>
                                  <a:pt x="99" y="161"/>
                                  <a:pt x="105" y="159"/>
                                  <a:pt x="110" y="155"/>
                                </a:cubicBezTo>
                                <a:lnTo>
                                  <a:pt x="123" y="18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72" name="Freeform 62"/>
                        <wps:cNvSpPr>
                          <a:spLocks/>
                        </wps:cNvSpPr>
                        <wps:spPr bwMode="auto">
                          <a:xfrm>
                            <a:off x="1129059" y="509052"/>
                            <a:ext cx="45079" cy="74432"/>
                          </a:xfrm>
                          <a:custGeom>
                            <a:avLst/>
                            <a:gdLst>
                              <a:gd name="T0" fmla="*/ 67 w 100"/>
                              <a:gd name="T1" fmla="*/ 6 h 163"/>
                              <a:gd name="T2" fmla="*/ 100 w 100"/>
                              <a:gd name="T3" fmla="*/ 0 h 163"/>
                              <a:gd name="T4" fmla="*/ 100 w 100"/>
                              <a:gd name="T5" fmla="*/ 43 h 163"/>
                              <a:gd name="T6" fmla="*/ 90 w 100"/>
                              <a:gd name="T7" fmla="*/ 42 h 163"/>
                              <a:gd name="T8" fmla="*/ 58 w 100"/>
                              <a:gd name="T9" fmla="*/ 53 h 163"/>
                              <a:gd name="T10" fmla="*/ 47 w 100"/>
                              <a:gd name="T11" fmla="*/ 87 h 163"/>
                              <a:gd name="T12" fmla="*/ 47 w 100"/>
                              <a:gd name="T13" fmla="*/ 163 h 163"/>
                              <a:gd name="T14" fmla="*/ 0 w 100"/>
                              <a:gd name="T15" fmla="*/ 163 h 163"/>
                              <a:gd name="T16" fmla="*/ 0 w 100"/>
                              <a:gd name="T17" fmla="*/ 2 h 163"/>
                              <a:gd name="T18" fmla="*/ 45 w 100"/>
                              <a:gd name="T19" fmla="*/ 2 h 163"/>
                              <a:gd name="T20" fmla="*/ 45 w 100"/>
                              <a:gd name="T21" fmla="*/ 23 h 163"/>
                              <a:gd name="T22" fmla="*/ 67 w 100"/>
                              <a:gd name="T23" fmla="*/ 6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0" h="163">
                                <a:moveTo>
                                  <a:pt x="67" y="6"/>
                                </a:moveTo>
                                <a:cubicBezTo>
                                  <a:pt x="77" y="2"/>
                                  <a:pt x="88" y="0"/>
                                  <a:pt x="100" y="0"/>
                                </a:cubicBezTo>
                                <a:cubicBezTo>
                                  <a:pt x="100" y="43"/>
                                  <a:pt x="100" y="43"/>
                                  <a:pt x="100" y="43"/>
                                </a:cubicBezTo>
                                <a:cubicBezTo>
                                  <a:pt x="95" y="42"/>
                                  <a:pt x="91" y="42"/>
                                  <a:pt x="90" y="42"/>
                                </a:cubicBezTo>
                                <a:cubicBezTo>
                                  <a:pt x="76" y="42"/>
                                  <a:pt x="66" y="46"/>
                                  <a:pt x="58" y="53"/>
                                </a:cubicBezTo>
                                <a:cubicBezTo>
                                  <a:pt x="51" y="61"/>
                                  <a:pt x="47" y="72"/>
                                  <a:pt x="47" y="87"/>
                                </a:cubicBezTo>
                                <a:cubicBezTo>
                                  <a:pt x="47" y="163"/>
                                  <a:pt x="47" y="163"/>
                                  <a:pt x="47" y="163"/>
                                </a:cubicBezTo>
                                <a:cubicBezTo>
                                  <a:pt x="0" y="163"/>
                                  <a:pt x="0" y="163"/>
                                  <a:pt x="0" y="163"/>
                                </a:cubicBezTo>
                                <a:cubicBezTo>
                                  <a:pt x="0" y="2"/>
                                  <a:pt x="0" y="2"/>
                                  <a:pt x="0" y="2"/>
                                </a:cubicBezTo>
                                <a:cubicBezTo>
                                  <a:pt x="45" y="2"/>
                                  <a:pt x="45" y="2"/>
                                  <a:pt x="45" y="2"/>
                                </a:cubicBezTo>
                                <a:cubicBezTo>
                                  <a:pt x="45" y="23"/>
                                  <a:pt x="45" y="23"/>
                                  <a:pt x="45" y="23"/>
                                </a:cubicBezTo>
                                <a:cubicBezTo>
                                  <a:pt x="50" y="16"/>
                                  <a:pt x="58" y="10"/>
                                  <a:pt x="67" y="6"/>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73" name="Freeform 63"/>
                        <wps:cNvSpPr>
                          <a:spLocks noEditPoints="1"/>
                        </wps:cNvSpPr>
                        <wps:spPr bwMode="auto">
                          <a:xfrm>
                            <a:off x="1189862" y="509052"/>
                            <a:ext cx="69190" cy="75480"/>
                          </a:xfrm>
                          <a:custGeom>
                            <a:avLst/>
                            <a:gdLst>
                              <a:gd name="T0" fmla="*/ 132 w 152"/>
                              <a:gd name="T1" fmla="*/ 17 h 165"/>
                              <a:gd name="T2" fmla="*/ 152 w 152"/>
                              <a:gd name="T3" fmla="*/ 71 h 165"/>
                              <a:gd name="T4" fmla="*/ 152 w 152"/>
                              <a:gd name="T5" fmla="*/ 163 h 165"/>
                              <a:gd name="T6" fmla="*/ 109 w 152"/>
                              <a:gd name="T7" fmla="*/ 163 h 165"/>
                              <a:gd name="T8" fmla="*/ 109 w 152"/>
                              <a:gd name="T9" fmla="*/ 143 h 165"/>
                              <a:gd name="T10" fmla="*/ 60 w 152"/>
                              <a:gd name="T11" fmla="*/ 165 h 165"/>
                              <a:gd name="T12" fmla="*/ 27 w 152"/>
                              <a:gd name="T13" fmla="*/ 159 h 165"/>
                              <a:gd name="T14" fmla="*/ 7 w 152"/>
                              <a:gd name="T15" fmla="*/ 142 h 165"/>
                              <a:gd name="T16" fmla="*/ 0 w 152"/>
                              <a:gd name="T17" fmla="*/ 117 h 165"/>
                              <a:gd name="T18" fmla="*/ 16 w 152"/>
                              <a:gd name="T19" fmla="*/ 81 h 165"/>
                              <a:gd name="T20" fmla="*/ 69 w 152"/>
                              <a:gd name="T21" fmla="*/ 69 h 165"/>
                              <a:gd name="T22" fmla="*/ 106 w 152"/>
                              <a:gd name="T23" fmla="*/ 69 h 165"/>
                              <a:gd name="T24" fmla="*/ 96 w 152"/>
                              <a:gd name="T25" fmla="*/ 45 h 165"/>
                              <a:gd name="T26" fmla="*/ 69 w 152"/>
                              <a:gd name="T27" fmla="*/ 37 h 165"/>
                              <a:gd name="T28" fmla="*/ 43 w 152"/>
                              <a:gd name="T29" fmla="*/ 41 h 165"/>
                              <a:gd name="T30" fmla="*/ 22 w 152"/>
                              <a:gd name="T31" fmla="*/ 52 h 165"/>
                              <a:gd name="T32" fmla="*/ 6 w 152"/>
                              <a:gd name="T33" fmla="*/ 19 h 165"/>
                              <a:gd name="T34" fmla="*/ 37 w 152"/>
                              <a:gd name="T35" fmla="*/ 5 h 165"/>
                              <a:gd name="T36" fmla="*/ 75 w 152"/>
                              <a:gd name="T37" fmla="*/ 0 h 165"/>
                              <a:gd name="T38" fmla="*/ 132 w 152"/>
                              <a:gd name="T39" fmla="*/ 17 h 165"/>
                              <a:gd name="T40" fmla="*/ 93 w 152"/>
                              <a:gd name="T41" fmla="*/ 128 h 165"/>
                              <a:gd name="T42" fmla="*/ 106 w 152"/>
                              <a:gd name="T43" fmla="*/ 112 h 165"/>
                              <a:gd name="T44" fmla="*/ 106 w 152"/>
                              <a:gd name="T45" fmla="*/ 96 h 165"/>
                              <a:gd name="T46" fmla="*/ 74 w 152"/>
                              <a:gd name="T47" fmla="*/ 96 h 165"/>
                              <a:gd name="T48" fmla="*/ 45 w 152"/>
                              <a:gd name="T49" fmla="*/ 115 h 165"/>
                              <a:gd name="T50" fmla="*/ 52 w 152"/>
                              <a:gd name="T51" fmla="*/ 129 h 165"/>
                              <a:gd name="T52" fmla="*/ 71 w 152"/>
                              <a:gd name="T53" fmla="*/ 134 h 165"/>
                              <a:gd name="T54" fmla="*/ 93 w 152"/>
                              <a:gd name="T55" fmla="*/ 128 h 1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52" h="165">
                                <a:moveTo>
                                  <a:pt x="132" y="17"/>
                                </a:moveTo>
                                <a:cubicBezTo>
                                  <a:pt x="146" y="29"/>
                                  <a:pt x="152" y="47"/>
                                  <a:pt x="152" y="71"/>
                                </a:cubicBezTo>
                                <a:cubicBezTo>
                                  <a:pt x="152" y="163"/>
                                  <a:pt x="152" y="163"/>
                                  <a:pt x="152" y="163"/>
                                </a:cubicBezTo>
                                <a:cubicBezTo>
                                  <a:pt x="109" y="163"/>
                                  <a:pt x="109" y="163"/>
                                  <a:pt x="109" y="163"/>
                                </a:cubicBezTo>
                                <a:cubicBezTo>
                                  <a:pt x="109" y="143"/>
                                  <a:pt x="109" y="143"/>
                                  <a:pt x="109" y="143"/>
                                </a:cubicBezTo>
                                <a:cubicBezTo>
                                  <a:pt x="100" y="158"/>
                                  <a:pt x="84" y="165"/>
                                  <a:pt x="60" y="165"/>
                                </a:cubicBezTo>
                                <a:cubicBezTo>
                                  <a:pt x="47" y="165"/>
                                  <a:pt x="37" y="163"/>
                                  <a:pt x="27" y="159"/>
                                </a:cubicBezTo>
                                <a:cubicBezTo>
                                  <a:pt x="18" y="155"/>
                                  <a:pt x="11" y="149"/>
                                  <a:pt x="7" y="142"/>
                                </a:cubicBezTo>
                                <a:cubicBezTo>
                                  <a:pt x="2" y="134"/>
                                  <a:pt x="0" y="126"/>
                                  <a:pt x="0" y="117"/>
                                </a:cubicBezTo>
                                <a:cubicBezTo>
                                  <a:pt x="0" y="102"/>
                                  <a:pt x="5" y="90"/>
                                  <a:pt x="16" y="81"/>
                                </a:cubicBezTo>
                                <a:cubicBezTo>
                                  <a:pt x="28" y="73"/>
                                  <a:pt x="45" y="69"/>
                                  <a:pt x="69" y="69"/>
                                </a:cubicBezTo>
                                <a:cubicBezTo>
                                  <a:pt x="106" y="69"/>
                                  <a:pt x="106" y="69"/>
                                  <a:pt x="106" y="69"/>
                                </a:cubicBezTo>
                                <a:cubicBezTo>
                                  <a:pt x="106" y="58"/>
                                  <a:pt x="103" y="51"/>
                                  <a:pt x="96" y="45"/>
                                </a:cubicBezTo>
                                <a:cubicBezTo>
                                  <a:pt x="90" y="40"/>
                                  <a:pt x="81" y="37"/>
                                  <a:pt x="69" y="37"/>
                                </a:cubicBezTo>
                                <a:cubicBezTo>
                                  <a:pt x="60" y="37"/>
                                  <a:pt x="52" y="38"/>
                                  <a:pt x="43" y="41"/>
                                </a:cubicBezTo>
                                <a:cubicBezTo>
                                  <a:pt x="35" y="44"/>
                                  <a:pt x="28" y="47"/>
                                  <a:pt x="22" y="52"/>
                                </a:cubicBezTo>
                                <a:cubicBezTo>
                                  <a:pt x="6" y="19"/>
                                  <a:pt x="6" y="19"/>
                                  <a:pt x="6" y="19"/>
                                </a:cubicBezTo>
                                <a:cubicBezTo>
                                  <a:pt x="14" y="13"/>
                                  <a:pt x="25" y="8"/>
                                  <a:pt x="37" y="5"/>
                                </a:cubicBezTo>
                                <a:cubicBezTo>
                                  <a:pt x="49" y="1"/>
                                  <a:pt x="62" y="0"/>
                                  <a:pt x="75" y="0"/>
                                </a:cubicBezTo>
                                <a:cubicBezTo>
                                  <a:pt x="100" y="0"/>
                                  <a:pt x="119" y="6"/>
                                  <a:pt x="132" y="17"/>
                                </a:cubicBezTo>
                                <a:close/>
                                <a:moveTo>
                                  <a:pt x="93" y="128"/>
                                </a:moveTo>
                                <a:cubicBezTo>
                                  <a:pt x="99" y="125"/>
                                  <a:pt x="103" y="119"/>
                                  <a:pt x="106" y="112"/>
                                </a:cubicBezTo>
                                <a:cubicBezTo>
                                  <a:pt x="106" y="96"/>
                                  <a:pt x="106" y="96"/>
                                  <a:pt x="106" y="96"/>
                                </a:cubicBezTo>
                                <a:cubicBezTo>
                                  <a:pt x="74" y="96"/>
                                  <a:pt x="74" y="96"/>
                                  <a:pt x="74" y="96"/>
                                </a:cubicBezTo>
                                <a:cubicBezTo>
                                  <a:pt x="55" y="96"/>
                                  <a:pt x="45" y="102"/>
                                  <a:pt x="45" y="115"/>
                                </a:cubicBezTo>
                                <a:cubicBezTo>
                                  <a:pt x="45" y="121"/>
                                  <a:pt x="47" y="125"/>
                                  <a:pt x="52" y="129"/>
                                </a:cubicBezTo>
                                <a:cubicBezTo>
                                  <a:pt x="57" y="132"/>
                                  <a:pt x="63" y="134"/>
                                  <a:pt x="71" y="134"/>
                                </a:cubicBezTo>
                                <a:cubicBezTo>
                                  <a:pt x="79" y="134"/>
                                  <a:pt x="86" y="132"/>
                                  <a:pt x="93" y="128"/>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74" name="Freeform 64"/>
                        <wps:cNvSpPr>
                          <a:spLocks noEditPoints="1"/>
                        </wps:cNvSpPr>
                        <wps:spPr bwMode="auto">
                          <a:xfrm>
                            <a:off x="1283164" y="475506"/>
                            <a:ext cx="26209" cy="107978"/>
                          </a:xfrm>
                          <a:custGeom>
                            <a:avLst/>
                            <a:gdLst>
                              <a:gd name="T0" fmla="*/ 8 w 58"/>
                              <a:gd name="T1" fmla="*/ 44 h 235"/>
                              <a:gd name="T2" fmla="*/ 0 w 58"/>
                              <a:gd name="T3" fmla="*/ 26 h 235"/>
                              <a:gd name="T4" fmla="*/ 8 w 58"/>
                              <a:gd name="T5" fmla="*/ 7 h 235"/>
                              <a:gd name="T6" fmla="*/ 29 w 58"/>
                              <a:gd name="T7" fmla="*/ 0 h 235"/>
                              <a:gd name="T8" fmla="*/ 50 w 58"/>
                              <a:gd name="T9" fmla="*/ 7 h 235"/>
                              <a:gd name="T10" fmla="*/ 58 w 58"/>
                              <a:gd name="T11" fmla="*/ 25 h 235"/>
                              <a:gd name="T12" fmla="*/ 50 w 58"/>
                              <a:gd name="T13" fmla="*/ 44 h 235"/>
                              <a:gd name="T14" fmla="*/ 29 w 58"/>
                              <a:gd name="T15" fmla="*/ 52 h 235"/>
                              <a:gd name="T16" fmla="*/ 8 w 58"/>
                              <a:gd name="T17" fmla="*/ 44 h 235"/>
                              <a:gd name="T18" fmla="*/ 6 w 58"/>
                              <a:gd name="T19" fmla="*/ 74 h 235"/>
                              <a:gd name="T20" fmla="*/ 52 w 58"/>
                              <a:gd name="T21" fmla="*/ 74 h 235"/>
                              <a:gd name="T22" fmla="*/ 52 w 58"/>
                              <a:gd name="T23" fmla="*/ 235 h 235"/>
                              <a:gd name="T24" fmla="*/ 6 w 58"/>
                              <a:gd name="T25" fmla="*/ 235 h 235"/>
                              <a:gd name="T26" fmla="*/ 6 w 58"/>
                              <a:gd name="T27" fmla="*/ 74 h 2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8" h="235">
                                <a:moveTo>
                                  <a:pt x="8" y="44"/>
                                </a:moveTo>
                                <a:cubicBezTo>
                                  <a:pt x="3" y="39"/>
                                  <a:pt x="0" y="33"/>
                                  <a:pt x="0" y="26"/>
                                </a:cubicBezTo>
                                <a:cubicBezTo>
                                  <a:pt x="0" y="18"/>
                                  <a:pt x="3" y="12"/>
                                  <a:pt x="8" y="7"/>
                                </a:cubicBezTo>
                                <a:cubicBezTo>
                                  <a:pt x="13" y="2"/>
                                  <a:pt x="20" y="0"/>
                                  <a:pt x="29" y="0"/>
                                </a:cubicBezTo>
                                <a:cubicBezTo>
                                  <a:pt x="37" y="0"/>
                                  <a:pt x="44" y="2"/>
                                  <a:pt x="50" y="7"/>
                                </a:cubicBezTo>
                                <a:cubicBezTo>
                                  <a:pt x="55" y="12"/>
                                  <a:pt x="58" y="18"/>
                                  <a:pt x="58" y="25"/>
                                </a:cubicBezTo>
                                <a:cubicBezTo>
                                  <a:pt x="58" y="33"/>
                                  <a:pt x="55" y="39"/>
                                  <a:pt x="50" y="44"/>
                                </a:cubicBezTo>
                                <a:cubicBezTo>
                                  <a:pt x="44" y="49"/>
                                  <a:pt x="37" y="52"/>
                                  <a:pt x="29" y="52"/>
                                </a:cubicBezTo>
                                <a:cubicBezTo>
                                  <a:pt x="20" y="52"/>
                                  <a:pt x="13" y="49"/>
                                  <a:pt x="8" y="44"/>
                                </a:cubicBezTo>
                                <a:close/>
                                <a:moveTo>
                                  <a:pt x="6" y="74"/>
                                </a:moveTo>
                                <a:cubicBezTo>
                                  <a:pt x="52" y="74"/>
                                  <a:pt x="52" y="74"/>
                                  <a:pt x="52" y="74"/>
                                </a:cubicBezTo>
                                <a:cubicBezTo>
                                  <a:pt x="52" y="235"/>
                                  <a:pt x="52" y="235"/>
                                  <a:pt x="52" y="235"/>
                                </a:cubicBezTo>
                                <a:cubicBezTo>
                                  <a:pt x="6" y="235"/>
                                  <a:pt x="6" y="235"/>
                                  <a:pt x="6" y="235"/>
                                </a:cubicBezTo>
                                <a:lnTo>
                                  <a:pt x="6"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75" name="Freeform 65"/>
                        <wps:cNvSpPr>
                          <a:spLocks/>
                        </wps:cNvSpPr>
                        <wps:spPr bwMode="auto">
                          <a:xfrm>
                            <a:off x="1325097" y="493327"/>
                            <a:ext cx="55562" cy="91205"/>
                          </a:xfrm>
                          <a:custGeom>
                            <a:avLst/>
                            <a:gdLst>
                              <a:gd name="T0" fmla="*/ 123 w 123"/>
                              <a:gd name="T1" fmla="*/ 188 h 198"/>
                              <a:gd name="T2" fmla="*/ 106 w 123"/>
                              <a:gd name="T3" fmla="*/ 196 h 198"/>
                              <a:gd name="T4" fmla="*/ 85 w 123"/>
                              <a:gd name="T5" fmla="*/ 198 h 198"/>
                              <a:gd name="T6" fmla="*/ 41 w 123"/>
                              <a:gd name="T7" fmla="*/ 184 h 198"/>
                              <a:gd name="T8" fmla="*/ 25 w 123"/>
                              <a:gd name="T9" fmla="*/ 141 h 198"/>
                              <a:gd name="T10" fmla="*/ 25 w 123"/>
                              <a:gd name="T11" fmla="*/ 75 h 198"/>
                              <a:gd name="T12" fmla="*/ 0 w 123"/>
                              <a:gd name="T13" fmla="*/ 75 h 198"/>
                              <a:gd name="T14" fmla="*/ 0 w 123"/>
                              <a:gd name="T15" fmla="*/ 39 h 198"/>
                              <a:gd name="T16" fmla="*/ 25 w 123"/>
                              <a:gd name="T17" fmla="*/ 39 h 198"/>
                              <a:gd name="T18" fmla="*/ 25 w 123"/>
                              <a:gd name="T19" fmla="*/ 0 h 198"/>
                              <a:gd name="T20" fmla="*/ 72 w 123"/>
                              <a:gd name="T21" fmla="*/ 0 h 198"/>
                              <a:gd name="T22" fmla="*/ 72 w 123"/>
                              <a:gd name="T23" fmla="*/ 39 h 198"/>
                              <a:gd name="T24" fmla="*/ 112 w 123"/>
                              <a:gd name="T25" fmla="*/ 39 h 198"/>
                              <a:gd name="T26" fmla="*/ 112 w 123"/>
                              <a:gd name="T27" fmla="*/ 75 h 198"/>
                              <a:gd name="T28" fmla="*/ 72 w 123"/>
                              <a:gd name="T29" fmla="*/ 75 h 198"/>
                              <a:gd name="T30" fmla="*/ 72 w 123"/>
                              <a:gd name="T31" fmla="*/ 140 h 198"/>
                              <a:gd name="T32" fmla="*/ 77 w 123"/>
                              <a:gd name="T33" fmla="*/ 156 h 198"/>
                              <a:gd name="T34" fmla="*/ 92 w 123"/>
                              <a:gd name="T35" fmla="*/ 161 h 198"/>
                              <a:gd name="T36" fmla="*/ 111 w 123"/>
                              <a:gd name="T37" fmla="*/ 155 h 198"/>
                              <a:gd name="T38" fmla="*/ 123 w 123"/>
                              <a:gd name="T39" fmla="*/ 188 h 1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23" h="198">
                                <a:moveTo>
                                  <a:pt x="123" y="188"/>
                                </a:moveTo>
                                <a:cubicBezTo>
                                  <a:pt x="119" y="192"/>
                                  <a:pt x="113" y="194"/>
                                  <a:pt x="106" y="196"/>
                                </a:cubicBezTo>
                                <a:cubicBezTo>
                                  <a:pt x="100" y="198"/>
                                  <a:pt x="93" y="198"/>
                                  <a:pt x="85" y="198"/>
                                </a:cubicBezTo>
                                <a:cubicBezTo>
                                  <a:pt x="66" y="198"/>
                                  <a:pt x="51" y="194"/>
                                  <a:pt x="41" y="184"/>
                                </a:cubicBezTo>
                                <a:cubicBezTo>
                                  <a:pt x="30" y="174"/>
                                  <a:pt x="25" y="160"/>
                                  <a:pt x="25" y="141"/>
                                </a:cubicBezTo>
                                <a:cubicBezTo>
                                  <a:pt x="25" y="75"/>
                                  <a:pt x="25" y="75"/>
                                  <a:pt x="25" y="75"/>
                                </a:cubicBezTo>
                                <a:cubicBezTo>
                                  <a:pt x="0" y="75"/>
                                  <a:pt x="0" y="75"/>
                                  <a:pt x="0" y="75"/>
                                </a:cubicBezTo>
                                <a:cubicBezTo>
                                  <a:pt x="0" y="39"/>
                                  <a:pt x="0" y="39"/>
                                  <a:pt x="0" y="39"/>
                                </a:cubicBezTo>
                                <a:cubicBezTo>
                                  <a:pt x="25" y="39"/>
                                  <a:pt x="25" y="39"/>
                                  <a:pt x="25" y="39"/>
                                </a:cubicBezTo>
                                <a:cubicBezTo>
                                  <a:pt x="25" y="0"/>
                                  <a:pt x="25" y="0"/>
                                  <a:pt x="25" y="0"/>
                                </a:cubicBezTo>
                                <a:cubicBezTo>
                                  <a:pt x="72" y="0"/>
                                  <a:pt x="72" y="0"/>
                                  <a:pt x="72" y="0"/>
                                </a:cubicBezTo>
                                <a:cubicBezTo>
                                  <a:pt x="72" y="39"/>
                                  <a:pt x="72" y="39"/>
                                  <a:pt x="72" y="39"/>
                                </a:cubicBezTo>
                                <a:cubicBezTo>
                                  <a:pt x="112" y="39"/>
                                  <a:pt x="112" y="39"/>
                                  <a:pt x="112" y="39"/>
                                </a:cubicBezTo>
                                <a:cubicBezTo>
                                  <a:pt x="112" y="75"/>
                                  <a:pt x="112" y="75"/>
                                  <a:pt x="112" y="75"/>
                                </a:cubicBezTo>
                                <a:cubicBezTo>
                                  <a:pt x="72" y="75"/>
                                  <a:pt x="72" y="75"/>
                                  <a:pt x="72" y="75"/>
                                </a:cubicBezTo>
                                <a:cubicBezTo>
                                  <a:pt x="72" y="140"/>
                                  <a:pt x="72" y="140"/>
                                  <a:pt x="72" y="140"/>
                                </a:cubicBezTo>
                                <a:cubicBezTo>
                                  <a:pt x="72" y="147"/>
                                  <a:pt x="74" y="152"/>
                                  <a:pt x="77" y="156"/>
                                </a:cubicBezTo>
                                <a:cubicBezTo>
                                  <a:pt x="81" y="159"/>
                                  <a:pt x="86" y="161"/>
                                  <a:pt x="92" y="161"/>
                                </a:cubicBezTo>
                                <a:cubicBezTo>
                                  <a:pt x="99" y="161"/>
                                  <a:pt x="106" y="159"/>
                                  <a:pt x="111" y="155"/>
                                </a:cubicBezTo>
                                <a:lnTo>
                                  <a:pt x="123" y="18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76" name="Freeform 66"/>
                        <wps:cNvSpPr>
                          <a:spLocks noEditPoints="1"/>
                        </wps:cNvSpPr>
                        <wps:spPr bwMode="auto">
                          <a:xfrm>
                            <a:off x="1394287" y="509052"/>
                            <a:ext cx="77577" cy="75480"/>
                          </a:xfrm>
                          <a:custGeom>
                            <a:avLst/>
                            <a:gdLst>
                              <a:gd name="T0" fmla="*/ 168 w 169"/>
                              <a:gd name="T1" fmla="*/ 96 h 165"/>
                              <a:gd name="T2" fmla="*/ 47 w 169"/>
                              <a:gd name="T3" fmla="*/ 96 h 165"/>
                              <a:gd name="T4" fmla="*/ 62 w 169"/>
                              <a:gd name="T5" fmla="*/ 119 h 165"/>
                              <a:gd name="T6" fmla="*/ 93 w 169"/>
                              <a:gd name="T7" fmla="*/ 128 h 165"/>
                              <a:gd name="T8" fmla="*/ 115 w 169"/>
                              <a:gd name="T9" fmla="*/ 124 h 165"/>
                              <a:gd name="T10" fmla="*/ 133 w 169"/>
                              <a:gd name="T11" fmla="*/ 112 h 165"/>
                              <a:gd name="T12" fmla="*/ 158 w 169"/>
                              <a:gd name="T13" fmla="*/ 139 h 165"/>
                              <a:gd name="T14" fmla="*/ 91 w 169"/>
                              <a:gd name="T15" fmla="*/ 165 h 165"/>
                              <a:gd name="T16" fmla="*/ 43 w 169"/>
                              <a:gd name="T17" fmla="*/ 155 h 165"/>
                              <a:gd name="T18" fmla="*/ 11 w 169"/>
                              <a:gd name="T19" fmla="*/ 125 h 165"/>
                              <a:gd name="T20" fmla="*/ 0 w 169"/>
                              <a:gd name="T21" fmla="*/ 83 h 165"/>
                              <a:gd name="T22" fmla="*/ 11 w 169"/>
                              <a:gd name="T23" fmla="*/ 40 h 165"/>
                              <a:gd name="T24" fmla="*/ 42 w 169"/>
                              <a:gd name="T25" fmla="*/ 10 h 165"/>
                              <a:gd name="T26" fmla="*/ 85 w 169"/>
                              <a:gd name="T27" fmla="*/ 0 h 165"/>
                              <a:gd name="T28" fmla="*/ 128 w 169"/>
                              <a:gd name="T29" fmla="*/ 10 h 165"/>
                              <a:gd name="T30" fmla="*/ 158 w 169"/>
                              <a:gd name="T31" fmla="*/ 39 h 165"/>
                              <a:gd name="T32" fmla="*/ 169 w 169"/>
                              <a:gd name="T33" fmla="*/ 83 h 165"/>
                              <a:gd name="T34" fmla="*/ 168 w 169"/>
                              <a:gd name="T35" fmla="*/ 96 h 165"/>
                              <a:gd name="T36" fmla="*/ 59 w 169"/>
                              <a:gd name="T37" fmla="*/ 44 h 165"/>
                              <a:gd name="T38" fmla="*/ 46 w 169"/>
                              <a:gd name="T39" fmla="*/ 69 h 165"/>
                              <a:gd name="T40" fmla="*/ 125 w 169"/>
                              <a:gd name="T41" fmla="*/ 69 h 165"/>
                              <a:gd name="T42" fmla="*/ 112 w 169"/>
                              <a:gd name="T43" fmla="*/ 44 h 165"/>
                              <a:gd name="T44" fmla="*/ 86 w 169"/>
                              <a:gd name="T45" fmla="*/ 35 h 165"/>
                              <a:gd name="T46" fmla="*/ 59 w 169"/>
                              <a:gd name="T47" fmla="*/ 44 h 1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69" h="165">
                                <a:moveTo>
                                  <a:pt x="168" y="96"/>
                                </a:moveTo>
                                <a:cubicBezTo>
                                  <a:pt x="47" y="96"/>
                                  <a:pt x="47" y="96"/>
                                  <a:pt x="47" y="96"/>
                                </a:cubicBezTo>
                                <a:cubicBezTo>
                                  <a:pt x="49" y="106"/>
                                  <a:pt x="54" y="114"/>
                                  <a:pt x="62" y="119"/>
                                </a:cubicBezTo>
                                <a:cubicBezTo>
                                  <a:pt x="70" y="125"/>
                                  <a:pt x="80" y="128"/>
                                  <a:pt x="93" y="128"/>
                                </a:cubicBezTo>
                                <a:cubicBezTo>
                                  <a:pt x="101" y="128"/>
                                  <a:pt x="108" y="127"/>
                                  <a:pt x="115" y="124"/>
                                </a:cubicBezTo>
                                <a:cubicBezTo>
                                  <a:pt x="121" y="122"/>
                                  <a:pt x="127" y="118"/>
                                  <a:pt x="133" y="112"/>
                                </a:cubicBezTo>
                                <a:cubicBezTo>
                                  <a:pt x="158" y="139"/>
                                  <a:pt x="158" y="139"/>
                                  <a:pt x="158" y="139"/>
                                </a:cubicBezTo>
                                <a:cubicBezTo>
                                  <a:pt x="143" y="157"/>
                                  <a:pt x="121" y="165"/>
                                  <a:pt x="91" y="165"/>
                                </a:cubicBezTo>
                                <a:cubicBezTo>
                                  <a:pt x="73" y="165"/>
                                  <a:pt x="57" y="162"/>
                                  <a:pt x="43" y="155"/>
                                </a:cubicBezTo>
                                <a:cubicBezTo>
                                  <a:pt x="29" y="148"/>
                                  <a:pt x="19" y="138"/>
                                  <a:pt x="11" y="125"/>
                                </a:cubicBezTo>
                                <a:cubicBezTo>
                                  <a:pt x="3" y="113"/>
                                  <a:pt x="0" y="99"/>
                                  <a:pt x="0" y="83"/>
                                </a:cubicBezTo>
                                <a:cubicBezTo>
                                  <a:pt x="0" y="67"/>
                                  <a:pt x="3" y="53"/>
                                  <a:pt x="11" y="40"/>
                                </a:cubicBezTo>
                                <a:cubicBezTo>
                                  <a:pt x="18" y="27"/>
                                  <a:pt x="29" y="17"/>
                                  <a:pt x="42" y="10"/>
                                </a:cubicBezTo>
                                <a:cubicBezTo>
                                  <a:pt x="55" y="3"/>
                                  <a:pt x="69" y="0"/>
                                  <a:pt x="85" y="0"/>
                                </a:cubicBezTo>
                                <a:cubicBezTo>
                                  <a:pt x="101" y="0"/>
                                  <a:pt x="115" y="3"/>
                                  <a:pt x="128" y="10"/>
                                </a:cubicBezTo>
                                <a:cubicBezTo>
                                  <a:pt x="141" y="17"/>
                                  <a:pt x="151" y="26"/>
                                  <a:pt x="158" y="39"/>
                                </a:cubicBezTo>
                                <a:cubicBezTo>
                                  <a:pt x="166" y="52"/>
                                  <a:pt x="169" y="66"/>
                                  <a:pt x="169" y="83"/>
                                </a:cubicBezTo>
                                <a:cubicBezTo>
                                  <a:pt x="169" y="84"/>
                                  <a:pt x="169" y="88"/>
                                  <a:pt x="168" y="96"/>
                                </a:cubicBezTo>
                                <a:close/>
                                <a:moveTo>
                                  <a:pt x="59" y="44"/>
                                </a:moveTo>
                                <a:cubicBezTo>
                                  <a:pt x="52" y="50"/>
                                  <a:pt x="48" y="58"/>
                                  <a:pt x="46" y="69"/>
                                </a:cubicBezTo>
                                <a:cubicBezTo>
                                  <a:pt x="125" y="69"/>
                                  <a:pt x="125" y="69"/>
                                  <a:pt x="125" y="69"/>
                                </a:cubicBezTo>
                                <a:cubicBezTo>
                                  <a:pt x="124" y="58"/>
                                  <a:pt x="119" y="50"/>
                                  <a:pt x="112" y="44"/>
                                </a:cubicBezTo>
                                <a:cubicBezTo>
                                  <a:pt x="105" y="38"/>
                                  <a:pt x="96" y="35"/>
                                  <a:pt x="86" y="35"/>
                                </a:cubicBezTo>
                                <a:cubicBezTo>
                                  <a:pt x="75" y="35"/>
                                  <a:pt x="66" y="38"/>
                                  <a:pt x="59" y="44"/>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wgp>
                </a:graphicData>
              </a:graphic>
              <wp14:sizeRelH relativeFrom="margin">
                <wp14:pctWidth>0</wp14:pctWidth>
              </wp14:sizeRelH>
              <wp14:sizeRelV relativeFrom="margin">
                <wp14:pctHeight>0</wp14:pctHeight>
              </wp14:sizeRelV>
            </wp:anchor>
          </w:drawing>
        </mc:Choice>
        <mc:Fallback>
          <w:pict>
            <v:group w14:anchorId="4B2245C0" id="Groupe 95" o:spid="_x0000_s1026" style="position:absolute;margin-left:0;margin-top:13.65pt;width:482.75pt;height:37.7pt;z-index:251657216;mso-position-horizontal:left;mso-position-horizontal-relative:margin;mso-position-vertical-relative:top-margin-area;mso-width-relative:margin;mso-height-relative:margin" coordsize="61316,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">
              <v:group id="Groupe 214" o:spid="_x0000_s1027" style="position:absolute;left:48167;width:13149;height:4634" coordorigin="48167" coordsize="24526,8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o:lock v:ext="edit" aspectratio="t"/>
                <v:shape id="Freeform 5" o:spid="_x0000_s1028" style="position:absolute;left:66287;width:6407;height:4312;visibility:visible;mso-wrap-style:square;v-text-anchor:top" coordsize="1877,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" path="m1862,460v-41,-63,-41,-63,-41,-63c1839,331,1829,266,1791,205v-35,-57,-90,-92,-160,-102c1575,27,1575,27,1575,27,1559,5,1528,,1506,16v-22,16,-27,47,-11,69c1511,106,1511,106,1511,106v-56,11,-112,32,-163,60c929,59,268,145,70,291,26,324,3,360,2,400,,446,22,489,67,528,204,645,575,718,923,733v-73,184,-103,355,-76,446c861,1229,891,1249,913,1256v12,4,26,6,40,6c1113,1262,1409,1022,1629,626v,-1,1,-2,1,-3c1687,589,1736,546,1770,500v9,13,9,13,9,13c1788,528,1804,536,1820,536v10,,19,-3,27,-8c1870,513,1877,482,1862,460e" fillcolor="black [3213]" stroked="f">
                  <v:path arrowok="t" o:connecttype="custom" o:connectlocs="635584,157192;621589,135664;611348,70053;556733,35197;537618,9226;514065,5468;510310,29046;515772,36223;460133,56726;23894,99441;683,136689;22870,180429;315061,250482;289119,402890;311648,429203;325301,431253;556051,213918;556392,212893;604180,170861;607252,175303;621247,183163;630464,180429;635584,157192" o:connectangles="0,0,0,0,0,0,0,0,0,0,0,0,0,0,0,0,0,0,0,0,0,0,0"/>
                </v:shape>
                <v:shape id="Freeform 6" o:spid="_x0000_s1029" style="position:absolute;left:69467;top:2372;width:1817;height:1595;visibility:visible;mso-wrap-style:square;v-text-anchor:top" coordsize="532,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" path="m19,463v4,4,69,-3,177,-87c285,308,396,209,532,v,,-93,24,-199,33c195,44,104,41,104,41,6,275,,441,19,463e" stroked="f">
                  <v:path arrowok="t" o:connecttype="custom" o:connectlocs="6488,158167;66928,128446;181662,0;113709,11273;35513,14006;6488,158167" o:connectangles="0,0,0,0,0,0"/>
                </v:shape>
                <v:shape id="Freeform 7" o:spid="_x0000_s1030" style="position:absolute;left:66647;top:761;width:3829;height:1390;visibility:visible;mso-wrap-style:square;v-text-anchor:top" coordsize="112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" path="m806,c482,,155,68,35,147,9,165,1,178,1,181v-1,15,15,32,28,43c145,323,517,395,862,406,916,294,984,181,1065,82v16,-19,35,-38,56,-57c1022,8,914,,806,e" stroked="f">
                  <v:path arrowok="t" o:connecttype="custom" o:connectlocs="275290,0;11954,50309;342,61945;9905,76661;294417,138948;363752,28063;382879,8556;275290,0" o:connectangles="0,0,0,0,0,0,0,0"/>
                </v:shape>
                <v:shape id="Freeform 8" o:spid="_x0000_s1031" style="position:absolute;left:70466;top:946;width:1106;height:1127;visibility:visible;mso-wrap-style:square;v-text-anchor:top" coordsize="32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" path="m132,c73,51,73,51,73,51,56,66,41,81,28,97,19,108,9,120,,133v40,31,110,97,143,197c143,330,199,320,235,308v45,-15,84,-34,84,-34c324,237,314,174,265,100,231,50,167,15,132,e" fillcolor="#ffc000" stroked="f">
                  <v:path arrowok="t" o:connecttype="custom" o:connectlocs="45077,0;24929,17418;9562,33128;0,45422;48834,112702;80251,105189;108937,93577;90496,34152;45077,0" o:connectangles="0,0,0,0,0,0,0,0,0"/>
                </v:shape>
                <v:shape id="Freeform 9" o:spid="_x0000_s1032" style="position:absolute;left:48270;top:7369;width:1359;height:1261;visibility:visible;mso-wrap-style:square;v-text-anchor:top" coordsize="264,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" path="m193,188r-122,l47,245,,245,110,r44,l264,245r-47,l193,188xm178,152l132,46,86,152r92,xe" fillcolor="black [3213]" stroked="f">
                  <v:path arrowok="t" o:connecttype="custom" o:connectlocs="99322,96749;36538,96749;24187,126083;0,126083;56608,0;79252,0;135860,126083;111673,126083;99322,96749;91603,78223;67930,23673;44257,78223;91603,78223" o:connectangles="0,0,0,0,0,0,0,0,0,0,0,0,0"/>
                  <o:lock v:ext="edit" verticies="t"/>
                </v:shape>
                <v:shape id="Freeform 10" o:spid="_x0000_s1033" style="position:absolute;left:50406;top:7348;width:1003;height:1297;visibility:visible;mso-wrap-style:square;v-text-anchor:top" coordsize="29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" path="m63,367c36,359,15,349,,335,24,282,24,282,24,282v15,12,33,22,55,29c101,319,123,322,145,322v27,,48,-4,61,-13c220,301,227,289,227,275v,-11,-4,-20,-12,-26c208,242,198,236,187,233v-12,-4,-28,-9,-48,-14c111,213,88,206,71,199,54,193,39,182,26,168,14,154,8,135,8,110,8,90,13,72,24,55,35,38,52,25,74,15,97,5,124,,156,v23,,45,3,66,9c244,15,263,23,279,33,257,86,257,86,257,86,241,77,224,70,207,65,189,60,172,57,156,57v-27,,-47,5,-61,14c82,80,76,92,76,107v,11,3,19,11,26c94,140,104,145,116,149v11,4,27,8,47,13c190,168,213,175,230,182v18,7,33,17,45,31c288,227,294,246,294,270v,20,-5,39,-16,55c266,342,250,355,227,365v-22,10,-50,14,-82,14c117,379,89,375,63,367e" fillcolor="black [3213]" stroked="f">
                  <v:path arrowok="t" o:connecttype="custom" o:connectlocs="21504,125579;0,114629;8192,96494;26965,106417;49493,110181;70314,105733;77482,94099;73386,85202;63829,79727;47445,74937;24234,68093;8875,57486;2731,37639;8192,18820;25258,5133;53247,0;75775,3080;95231,11292;87722,29427;70655,22241;53247,19504;32426,24295;25941,36613;29696,45510;39594,50984;55637,55433;78506,62276;93866,72884;100351,92388;94890,111207;77482,124895;49493,129685;21504,125579" o:connectangles="0,0,0,0,0,0,0,0,0,0,0,0,0,0,0,0,0,0,0,0,0,0,0,0,0,0,0,0,0,0,0,0,0"/>
                </v:shape>
                <v:shape id="Freeform 11" o:spid="_x0000_s1034" style="position:absolute;left:52253;top:7348;width:1004;height:1297;visibility:visible;mso-wrap-style:square;v-text-anchor:top" coordsize="29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" path="m63,367c37,359,16,349,,335,24,282,24,282,24,282v15,12,34,22,56,29c102,319,124,322,146,322v27,,47,-4,61,-13c220,301,227,289,227,275v,-11,-4,-20,-11,-26c208,242,199,236,187,233v-11,-4,-27,-9,-47,-14c112,213,89,206,72,199,54,193,39,182,27,168,14,154,8,135,8,110,8,90,14,72,25,55,36,38,52,25,75,15,97,5,124,,157,v22,,44,3,66,9c245,15,263,23,279,33,258,86,258,86,258,86,242,77,225,70,207,65,190,60,173,57,156,57v-27,,-47,5,-60,14c83,80,76,92,76,107v,11,4,19,11,26c95,140,105,145,116,149v12,4,27,8,48,13c191,168,213,175,231,182v17,7,32,17,45,31c288,227,294,246,294,270v,20,-5,39,-16,55c267,342,250,355,228,365v-23,10,-50,14,-82,14c117,379,90,375,63,367e" fillcolor="black [3213]" stroked="f">
                  <v:path arrowok="t" o:connecttype="custom" o:connectlocs="21504,125579;0,114629;8192,96494;27306,106417;49834,110181;70655,105733;77482,94099;73727,85202;63829,79727;47786,74937;24576,68093;9216,57486;2731,37639;8533,18820;25600,5133;53589,0;76117,3080;95231,11292;88063,29427;70655,22241;53247,19504;32768,24295;25941,36613;29696,45510;39594,50984;55978,55433;78847,62276;94207,72884;100351,92388;94890,111207;77823,124895;49834,129685;21504,125579" o:connectangles="0,0,0,0,0,0,0,0,0,0,0,0,0,0,0,0,0,0,0,0,0,0,0,0,0,0,0,0,0,0,0,0,0"/>
                </v:shape>
                <v:shape id="Freeform 12" o:spid="_x0000_s1035" style="position:absolute;left:54199;top:7369;width:1096;height:1276;visibility:visible;mso-wrap-style:square;v-text-anchor:top" coordsize="32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" path="m42,330c14,302,,261,,208,,,,,,,68,,68,,68,v,205,,205,,205c68,277,99,313,162,313v62,,93,-36,93,-108c255,,255,,255,v67,,67,,67,c322,208,322,208,322,208v,53,-14,94,-42,122c252,359,212,373,161,373,110,373,71,359,42,330e" fillcolor="black [3213]" stroked="f">
                  <v:path arrowok="t" o:connecttype="custom" o:connectlocs="14298,112913;0,71169;0,0;23149,0;23149,70143;55148,107096;86807,70143;86807,0;109615,0;109615,71169;95317,112913;54808,127626;14298,112913" o:connectangles="0,0,0,0,0,0,0,0,0,0,0,0,0"/>
                </v:shape>
                <v:shape id="Freeform 13" o:spid="_x0000_s1036" style="position:absolute;left:56345;top:7369;width:1070;height:1261;visibility:visible;mso-wrap-style:square;v-text-anchor:top" coordsize="314,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" path="m241,368c165,260,165,260,165,260v-3,1,-7,1,-14,1c68,261,68,261,68,261v,107,,107,,107c,368,,368,,368,,,,,,,151,,151,,151,v32,,60,5,84,15c258,26,276,41,289,61v13,19,19,43,19,70c308,158,301,182,288,202v-14,20,-33,35,-58,45c314,368,314,368,314,368r-73,xm216,77c201,64,178,58,148,58v-80,,-80,,-80,c68,204,68,204,68,204v80,,80,,80,c178,204,201,198,216,185v15,-13,23,-31,23,-54c239,107,231,89,216,77e" fillcolor="black [3213]" stroked="f">
                  <v:path arrowok="t" o:connecttype="custom" o:connectlocs="82156,126083;56248,89080;51475,89423;23181,89423;23181,126083;0,126083;0,0;51475,0;80110,5139;98519,20900;104996,44883;98178,69209;78406,84626;107041,126083;82156,126083;73633,26381;50452,19872;23181,19872;23181,69894;50452,69894;73633,63384;81474,44883;73633,26381" o:connectangles="0,0,0,0,0,0,0,0,0,0,0,0,0,0,0,0,0,0,0,0,0,0,0"/>
                  <o:lock v:ext="edit" verticies="t"/>
                </v:shape>
                <v:shape id="Freeform 14" o:spid="_x0000_s1037" style="position:absolute;left:58197;top:7369;width:1364;height:1261;visibility:visible;mso-wrap-style:square;v-text-anchor:top" coordsize="26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" path="m193,188r-123,l47,245,,245,110,r45,l265,245r-48,l193,188xm178,152l132,46,86,152r92,xe" fillcolor="black [3213]" stroked="f">
                  <v:path arrowok="t" o:connecttype="custom" o:connectlocs="99322,96749;36024,96749;24187,126083;0,126083;56608,0;79767,0;136375,126083;111673,126083;99322,96749;91603,78223;67930,23673;44258,78223;91603,78223" o:connectangles="0,0,0,0,0,0,0,0,0,0,0,0,0"/>
                  <o:lock v:ext="edit" verticies="t"/>
                </v:shape>
                <v:shape id="Freeform 15" o:spid="_x0000_s1038" style="position:absolute;left:60436;top:7369;width:1122;height:1261;visibility:visible;mso-wrap-style:square;v-text-anchor:top" coordsize="218,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" path="m218,r,245l180,245,45,79r,166l,245,,,38,,173,166,173,r45,xe" fillcolor="black [3213]" stroked="f">
                  <v:path arrowok="t" o:connecttype="custom" o:connectlocs="112188,0;112188,126083;92632,126083;23158,40655;23158,126083;0,126083;0,0;19556,0;89030,85428;89030,0;112188,0" o:connectangles="0,0,0,0,0,0,0,0,0,0,0"/>
                </v:shape>
                <v:shape id="Freeform 16" o:spid="_x0000_s1039" style="position:absolute;left:62525;top:7348;width:1168;height:1297;visibility:visible;mso-wrap-style:square;v-text-anchor:top" coordsize="343,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" path="m96,355c66,339,42,316,25,287,8,258,,226,,190,,154,8,121,26,92,43,64,66,41,96,25,126,9,160,,197,v30,,58,6,83,16c305,27,326,42,343,62v-44,42,-44,42,-44,42c272,75,239,60,200,60v-25,,-47,6,-68,17c112,88,97,103,86,123,74,143,69,165,69,190v,25,5,47,17,67c97,276,112,292,132,303v21,11,43,16,68,16c239,319,272,305,299,276v44,42,44,42,44,42c326,338,305,353,280,364v-26,10,-53,15,-83,15c159,379,126,371,96,355e" fillcolor="black [3213]" stroked="f">
                  <v:path arrowok="t" o:connecttype="custom" o:connectlocs="32696,121473;8515,98205;0,65014;8855,31480;32696,8554;67094,0;95362,5475;116819,21215;101833,35586;68116,20531;44957,26348;29290,42088;23500,65014;29290,87939;44957,103680;68116,109154;101833,94441;116819,108812;95362,124552;67094,129685;32696,121473" o:connectangles="0,0,0,0,0,0,0,0,0,0,0,0,0,0,0,0,0,0,0,0,0"/>
                </v:shape>
                <v:shape id="Freeform 17" o:spid="_x0000_s1040" style="position:absolute;left:64635;top:7369;width:947;height:1261;visibility:visible;mso-wrap-style:square;v-text-anchor:top" coordsize="184,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" path="m184,207r,38l,245,,,179,r,38l46,38r,64l164,102r,37l46,139r,68l184,207xe" fillcolor="black [3213]" stroked="f">
                  <v:path arrowok="t" o:connecttype="custom" o:connectlocs="94690,106527;94690,126083;0,126083;0,0;92117,0;92117,19556;23672,19556;23672,52492;84398,52492;84398,71533;23672,71533;23672,106527;94690,106527" o:connectangles="0,0,0,0,0,0,0,0,0,0,0,0,0"/>
                </v:shape>
                <v:shape id="Freeform 18" o:spid="_x0000_s1041" style="position:absolute;left:66452;top:7348;width:1003;height:1297;visibility:visible;mso-wrap-style:square;v-text-anchor:top" coordsize="29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" path="m63,367c37,359,16,348,,335,24,282,24,282,24,282v15,12,34,22,55,29c101,319,123,322,145,322v28,,48,-4,62,-13c220,301,227,289,227,275v,-11,-4,-20,-11,-26c208,242,199,236,187,233v-11,-4,-27,-9,-47,-14c112,213,89,206,72,199,54,193,39,182,27,168,14,154,8,135,8,110,8,90,14,72,25,55,36,38,52,25,75,15,97,5,124,,157,v22,,44,3,66,9c245,15,263,23,279,33,258,86,258,86,258,86,241,77,225,70,207,65,190,60,173,57,156,57v-27,,-47,5,-60,14c83,80,76,92,76,107v,11,4,19,11,26c95,140,104,145,116,149v12,4,27,8,47,13c191,168,213,175,231,182v17,7,32,17,45,31c288,227,294,246,294,270v,20,-5,39,-16,55c267,342,250,355,228,365v-23,9,-50,14,-83,14c117,379,90,375,63,367e" fillcolor="black [3213]" stroked="f">
                  <v:path arrowok="t" o:connecttype="custom" o:connectlocs="21504,125579;0,114629;8192,96494;26965,106417;49493,110181;70655,105733;77482,94099;73727,85202;63829,79727;47786,74937;24576,68093;9216,57486;2731,37639;8533,18820;25600,5133;53589,0;76117,3080;95231,11292;88063,29427;70655,22241;53247,19504;32768,24295;25941,36613;29696,45510;39594,50984;55637,55433;78847,62276;94207,72884;100351,92388;94890,111207;77823,124895;49493,129685;21504,125579" o:connectangles="0,0,0,0,0,0,0,0,0,0,0,0,0,0,0,0,0,0,0,0,0,0,0,0,0,0,0,0,0,0,0,0,0"/>
                </v:shape>
                <v:shape id="Freeform 19" o:spid="_x0000_s1042" style="position:absolute;left:48167;top:3221;width:3608;height:3283;visibility:visible;mso-wrap-style:square;v-text-anchor:top" coordsize="1057,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" path="m781,961v274,,274,,274,c1055,961,1057,585,1054,460,1049,204,833,,574,,481,,481,,481,,215,,,215,,481,,746,215,961,480,961v121,,228,-53,301,-138l781,961xm527,735c387,735,273,621,273,480,273,340,387,226,527,226v141,,255,114,255,254c782,621,668,735,527,735e" fillcolor="black [3213]" stroked="f">
                  <v:path arrowok="t" o:connecttype="custom" o:connectlocs="266552,328329;360067,328329;359726,157161;195904,0;164163,0;0,164335;163822,328329;266552,281181;266552,328329;179863,251115;93174,163994;179863,77214;266894,163994;179863,251115" o:connectangles="0,0,0,0,0,0,0,0,0,0,0,0,0,0"/>
                  <o:lock v:ext="edit" verticies="t"/>
                </v:shape>
                <v:shape id="Freeform 20" o:spid="_x0000_s1043" style="position:absolute;left:52145;top:2207;width:3608;height:4297;visibility:visible;mso-wrap-style:square;v-text-anchor:top" coordsize="1057,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" path="m276,c2,,2,,2,,2,,,673,3,798v6,256,222,460,480,460c576,1258,576,1258,576,1258v266,,481,-215,481,-480c1057,512,842,297,577,297v-121,,-228,53,-301,138l276,xm530,523v140,,254,114,254,255c784,918,670,1032,530,1032,389,1032,275,918,275,778,275,637,389,523,530,523e" fillcolor="black [3213]" stroked="f">
                  <v:path arrowok="t" o:connecttype="custom" o:connectlocs="94198,0;683,0;1024,272582;164846,429709;196587,429709;360750,265750;196928,101450;94198,148588;94198,0;180887,178647;267576,265750;180887,352512;93856,265750;180887,178647" o:connectangles="0,0,0,0,0,0,0,0,0,0,0,0,0,0"/>
                  <o:lock v:ext="edit" verticies="t"/>
                </v:shape>
                <v:shape id="Freeform 21" o:spid="_x0000_s1044" style="position:absolute;left:56118;top:3180;width:3407;height:3268;visibility:visible;mso-wrap-style:square;v-text-anchor:top" coordsize="9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" path="m298,545v696,,696,,696,c998,376,956,243,871,145,785,48,660,,495,,347,,228,43,137,131,46,219,,331,,467,,619,49,738,146,825v92,82,217,132,391,132c687,957,687,957,687,957,825,753,825,753,825,753v-245,,-245,,-245,c403,753,298,628,298,545m364,238v36,-32,83,-49,139,-49c559,189,604,205,640,236v35,31,57,74,64,129c291,365,291,365,291,365v11,-52,36,-95,73,-127e" fillcolor="black [3213]" stroked="f">
                  <v:path arrowok="t" o:connecttype="custom" o:connectlocs="101726,186100;339315,186100;297327,49513;168975,0;46767,44732;0,159466;49839,281711;183312,326785;234516,326785;281624,257126;197990,257126;101726,186100;124256,81269;171705,64537;218472,80586;240319,124636;99337,124636;124256,81269" o:connectangles="0,0,0,0,0,0,0,0,0,0,0,0,0,0,0,0,0,0"/>
                  <o:lock v:ext="edit" verticies="t"/>
                </v:shape>
                <v:rect id="Rectangle 233" o:spid="_x0000_s1045" style="position:absolute;left:59947;top:3303;width:937;height:3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" fillcolor="black [3213]" stroked="f"/>
                <v:oval id="Oval 23" o:spid="_x0000_s1046" style="position:absolute;left:59926;top:2166;width:978;height: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" fillcolor="black [3213]" stroked="f"/>
                <v:rect id="Rectangle 235" o:spid="_x0000_s1047" style="position:absolute;left:61614;top:2207;width:937;height:4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" fillcolor="black [3213]" stroked="f"/>
                <v:rect id="Rectangle 236" o:spid="_x0000_s1048" style="position:absolute;left:63282;top:2207;width:936;height:4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" fillcolor="black [3213]" stroked="f"/>
                <v:shape id="Freeform 26" o:spid="_x0000_s1049" style="position:absolute;left:64615;top:3180;width:3406;height:3268;visibility:visible;mso-wrap-style:square;v-text-anchor:top" coordsize="997,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" path="m297,545v696,,696,,696,c997,376,956,243,870,145,785,48,659,,494,,346,,227,43,136,131,45,219,,331,,467,,619,48,738,146,825v91,82,216,132,390,132c686,957,686,957,686,957,825,753,825,753,825,753v-246,,-246,,-246,c402,753,297,628,297,545m363,238v37,-32,83,-49,140,-49c558,189,603,205,639,236v36,31,57,74,64,129c290,365,290,365,290,365v12,-52,36,-95,73,-127e" fillcolor="black [3213]" stroked="f">
                  <v:path arrowok="t" o:connecttype="custom" o:connectlocs="101486,186100;339313,186100;297283,49513;168802,0;46472,44732;0,159466;49889,281711;183154,326785;234410,326785;281907,257126;197847,257126;101486,186100;124039,81269;171878,64537;218350,80586;240219,124636;99094,124636;124039,81269" o:connectangles="0,0,0,0,0,0,0,0,0,0,0,0,0,0,0,0,0,0"/>
                  <o:lock v:ext="edit" verticies="t"/>
                </v:shape>
              </v:group>
              <v:group id="Groupe 238" o:spid="_x0000_s1050" style="position:absolute;top:2805;width:10995;height:1995" coordorigin=",2805" coordsize="18199,3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shape id="Freeform 31" o:spid="_x0000_s1051" style="position:absolute;top:2920;width:1079;height:964;visibility:visible;mso-wrap-style:square;v-text-anchor:top" coordsize="10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" path="m72,72r-42,l22,92,,92,41,,62,r41,92l81,92,72,72xm66,56l51,21,37,56r29,xe" fillcolor="black" stroked="f">
                  <v:path arrowok="t" o:connecttype="custom" o:connectlocs="75480,75480;31450,75480;23063,96447;0,96447;42982,0;64997,0;107979,96447;84916,96447;75480,75480;69190,58707;53465,22015;38789,58707;69190,58707" o:connectangles="0,0,0,0,0,0,0,0,0,0,0,0,0"/>
                  <o:lock v:ext="edit" verticies="t"/>
                </v:shape>
                <v:shape id="Freeform 32" o:spid="_x0000_s1052" style="position:absolute;left:1163;top:3130;width:661;height:765;visibility:visible;mso-wrap-style:square;v-text-anchor:top" coordsize="145,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" path="m30,161c17,157,7,153,,148,15,115,15,115,15,115v7,4,16,8,26,11c51,129,61,130,71,130v20,,30,-5,30,-14c101,111,98,108,93,106v-6,-2,-14,-4,-25,-5c55,99,44,96,35,94,27,91,19,87,13,80,7,73,3,64,3,52,3,42,6,33,12,25,18,17,27,11,38,6,49,2,63,,78,v11,,23,1,34,4c123,6,133,10,140,14,124,47,124,47,124,47,110,39,95,35,78,35v-10,,-17,2,-22,4c51,42,48,46,48,50v,5,3,9,8,11c62,63,70,64,82,66v13,2,24,5,32,7c123,76,130,80,136,87v6,6,9,16,9,27c145,124,142,133,136,141v-6,8,-14,14,-26,18c99,163,85,166,69,166v-13,,-26,-2,-39,-5xe" fillcolor="black" stroked="f">
                  <v:path arrowok="t" o:connecttype="custom" o:connectlocs="13665,74223;0,68230;6832,53016;18675,58088;32340,59932;46004,53477;42361,48867;30973,46562;15942,43335;5921,36881;1366,23973;5466,11525;17309,2766;35528,0;51015,1844;63769,6454;56481,21668;35528,16135;25507,17979;21864,23051;25507,28122;37350,30427;51926,33654;61947,40108;66046,52555;61947,65003;50104,73301;31429,76528;13665,74223" o:connectangles="0,0,0,0,0,0,0,0,0,0,0,0,0,0,0,0,0,0,0,0,0,0,0,0,0,0,0,0,0"/>
                </v:shape>
                <v:shape id="Freeform 33" o:spid="_x0000_s1053" style="position:absolute;left:1949;top:3130;width:671;height:765;visibility:visible;mso-wrap-style:square;v-text-anchor:top" coordsize="14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" path="m31,161c18,157,8,153,,148,16,115,16,115,16,115v7,4,16,8,26,11c52,129,62,130,72,130v20,,29,-5,29,-14c101,111,99,108,93,106v-5,-2,-13,-4,-24,-5c55,99,45,96,36,94,27,91,20,87,14,80,7,73,4,64,4,52,4,42,7,33,13,25,19,17,28,11,39,6,50,2,63,,79,v11,,22,1,34,4c124,6,133,10,141,14,125,47,125,47,125,47,111,39,96,35,79,35v-10,,-18,2,-23,4c51,42,49,46,49,50v,5,3,9,8,11c62,63,71,64,83,66v13,2,24,5,32,7c123,76,131,80,137,87v6,6,9,16,9,27c146,124,143,133,137,141v-6,8,-15,14,-26,18c99,163,86,166,70,166v-13,,-26,-2,-39,-5xe" fillcolor="black" stroked="f">
                  <v:path arrowok="t" o:connecttype="custom" o:connectlocs="14246,74223;0,68230;7353,53016;19301,58088;33087,59932;46414,53477;42738,48867;31709,46562;16544,43335;6434,36881;1838,23973;5974,11525;17922,2766;36304,0;51929,1844;64796,6454;57443,21668;36304,16135;25735,17979;22518,23051;26194,28122;38142,30427;52848,33654;62958,40108;67094,52555;62958,65003;51010,73301;32168,76528;14246,74223" o:connectangles="0,0,0,0,0,0,0,0,0,0,0,0,0,0,0,0,0,0,0,0,0,0,0,0,0,0,0,0,0"/>
                </v:shape>
                <v:shape id="Freeform 34" o:spid="_x0000_s1054" style="position:absolute;left:2820;top:3140;width:744;height:755;visibility:visible;mso-wrap-style:square;v-text-anchor:top" coordsize="163,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" path="m163,v,161,,161,,161c119,161,119,161,119,161v,-19,,-19,,-19c112,149,105,154,96,158v-8,4,-17,6,-27,6c47,164,31,157,18,145,6,133,,115,,91,,,,,,,46,,46,,46,v,84,,84,,84c46,110,57,123,79,123v11,,20,-3,27,-11c113,105,116,94,116,80,116,,116,,116,r47,xe" fillcolor="black" stroked="f">
                  <v:path arrowok="t" o:connecttype="custom" o:connectlocs="74432,0;74432,74099;54340,74099;54340,65355;43837,72719;31508,75480;8219,66735;0,41882;0,0;21005,0;21005,38660;36074,56610;48404,51547;52970,36820;52970,0;74432,0" o:connectangles="0,0,0,0,0,0,0,0,0,0,0,0,0,0,0,0"/>
                </v:shape>
                <v:shape id="Freeform 35" o:spid="_x0000_s1055" style="position:absolute;left:3826;top:3130;width:451;height:754;visibility:visible;mso-wrap-style:square;v-text-anchor:top" coordsize="100,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" path="m67,6c77,2,87,,100,v,43,,43,,43c95,43,91,42,89,42,76,42,65,46,58,54,50,61,47,72,47,87v,76,,76,,76c,163,,163,,163,,2,,2,,2v44,,44,,44,c44,23,44,23,44,23,50,16,58,10,67,6xe" fillcolor="black" stroked="f">
                  <v:path arrowok="t" o:connecttype="custom" o:connectlocs="30203,2778;45079,0;45079,19912;40120,19449;26146,25006;21187,40287;21187,75480;0,75480;0,926;19835,926;19835,10651;30203,2778" o:connectangles="0,0,0,0,0,0,0,0,0,0,0,0"/>
                </v:shape>
                <v:shape id="Freeform 36" o:spid="_x0000_s1056" style="position:absolute;left:4434;top:3130;width:702;height:765;visibility:visible;mso-wrap-style:square;v-text-anchor:top" coordsize="1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" path="m133,18v13,12,20,29,20,53c153,163,153,163,153,163v-44,,-44,,-44,c109,143,109,143,109,143v-8,15,-25,23,-49,23c48,166,37,163,28,159,19,155,12,149,7,142,3,135,,126,,117,,102,6,90,17,82,28,73,46,69,69,69v37,,37,,37,c106,58,103,51,97,45,91,40,82,37,69,37v-8,,-17,1,-25,4c36,44,29,47,23,52,6,19,6,19,6,19,15,13,26,8,38,5,50,2,63,,76,v25,,44,6,57,18xm93,129v7,-4,11,-10,13,-17c106,96,106,96,106,96v-32,,-32,,-32,c55,96,46,102,46,115v,6,2,10,7,14c57,132,64,134,72,134v8,,15,-2,21,-5xe" fillcolor="black" stroked="f">
                  <v:path arrowok="t" o:connecttype="custom" o:connectlocs="61057,8298;70239,32732;70239,75145;50040,75145;50040,65925;27545,76528;12854,73301;3214,65464;0,53938;7804,37803;31676,31810;48662,31810;44531,20746;31676,17057;20199,18901;10559,23973;2754,8759;17445,2305;34890,0;61057,8298;42694,59471;48662,51633;48662,44257;33972,44257;21118,53016;24331,59471;33054,61776;42694,59471" o:connectangles="0,0,0,0,0,0,0,0,0,0,0,0,0,0,0,0,0,0,0,0,0,0,0,0,0,0,0,0"/>
                  <o:lock v:ext="edit" verticies="t"/>
                </v:shape>
                <v:shape id="Freeform 37" o:spid="_x0000_s1057" style="position:absolute;left:5388;top:3130;width:755;height:754;visibility:visible;mso-wrap-style:square;v-text-anchor:top" coordsize="165,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" path="m146,18v13,12,19,30,19,53c165,163,165,163,165,163v-47,,-47,,-47,c118,78,118,78,118,78v,-13,-3,-22,-8,-28c104,43,96,40,86,40,74,40,64,44,57,51,50,58,47,69,47,84v,79,,79,,79c,163,,163,,163,,2,,2,,2v45,,45,,45,c45,21,45,21,45,21,51,14,59,9,68,5,77,2,87,,98,v20,,36,6,48,18xe" fillcolor="black" stroked="f">
                  <v:path arrowok="t" o:connecttype="custom" o:connectlocs="66788,8335;75480,32878;75480,75480;53980,75480;53980,36119;50320,23153;39341,18523;26075,23616;21500,38898;21500,75480;0,75480;0,926;20585,926;20585,9724;31107,2315;44831,0;66788,8335" o:connectangles="0,0,0,0,0,0,0,0,0,0,0,0,0,0,0,0,0"/>
                </v:shape>
                <v:shape id="Freeform 38" o:spid="_x0000_s1058" style="position:absolute;left:6352;top:3130;width:734;height:765;visibility:visible;mso-wrap-style:square;v-text-anchor:top" coordsize="162,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" path="m43,155c30,148,19,138,11,125,4,113,,99,,83,,67,4,52,11,40,19,27,30,18,43,10,57,3,73,,90,v17,,31,3,44,10c147,18,156,28,162,41,126,60,126,60,126,60,117,46,105,38,89,38,77,38,67,42,59,50,51,58,47,69,47,83v,13,4,24,12,32c67,123,77,127,89,127v16,,28,-7,37,-22c162,125,162,125,162,125v-6,13,-15,23,-28,30c121,162,107,166,90,166v-17,,-33,-4,-47,-11xe" fillcolor="black" stroked="f">
                  <v:path arrowok="t" o:connecttype="custom" o:connectlocs="19478,71457;4983,57627;0,38264;4983,18440;19478,4610;40769,0;60700,4610;73384,18901;57076,27661;40316,17518;26726,23051;21290,38264;26726,53016;40316,58549;57076,48406;73384,57627;60700,71457;40769,76528;19478,71457" o:connectangles="0,0,0,0,0,0,0,0,0,0,0,0,0,0,0,0,0,0,0"/>
                </v:shape>
                <v:shape id="Freeform 39" o:spid="_x0000_s1059" style="position:absolute;left:7233;top:3130;width:765;height:765;visibility:visible;mso-wrap-style:square;v-text-anchor:top" coordsize="169,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" path="m168,96c47,96,47,96,47,96v2,10,7,18,15,23c70,125,81,128,93,128v8,,16,-1,22,-4c122,122,128,118,133,113v25,27,25,27,25,27c143,157,121,166,92,166v-19,,-35,-4,-49,-11c29,148,19,138,11,125,4,113,,99,,83,,67,3,53,11,40,18,27,29,18,42,10,55,3,69,,86,v15,,30,3,42,10c141,17,151,27,158,39v8,13,11,28,11,44c169,84,169,88,168,96xm59,44c52,50,48,58,46,69v79,,79,,79,c124,58,119,50,112,44,105,38,96,35,86,35v-11,,-20,3,-27,9xe" fillcolor="black" stroked="f">
                  <v:path arrowok="t" o:connecttype="custom" o:connectlocs="76076,44257;21283,44257;28076,54860;42114,59010;52076,57165;60227,52094;71548,64542;41661,76528;19472,71457;4981,57627;0,38264;4981,18440;19019,4610;38944,0;57963,4610;71548,17979;76529,38264;76076,44257;26717,20285;20830,31810;56604,31810;50717,20285;38944,16135;26717,20285" o:connectangles="0,0,0,0,0,0,0,0,0,0,0,0,0,0,0,0,0,0,0,0,0,0,0,0"/>
                  <o:lock v:ext="edit" verticies="t"/>
                </v:shape>
                <v:shape id="Freeform 40" o:spid="_x0000_s1060" style="position:absolute;left:8617;top:2909;width:912;height:986;visibility:visible;mso-wrap-style:square;v-text-anchor:top" coordsize="200,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" path="m175,216c150,192,150,192,150,192v-20,16,-44,24,-70,24c65,216,51,213,39,208,27,204,17,197,10,188,3,179,,169,,158,,145,4,134,11,124,18,114,30,105,46,96,38,88,33,81,30,74,26,66,24,59,24,52v,-11,3,-20,9,-27c38,17,46,11,55,7,65,2,77,,90,v18,,32,4,43,13c144,22,150,33,150,48v,11,-3,21,-10,29c134,85,123,93,109,101v38,36,38,36,38,36c152,127,155,116,158,104v37,12,37,12,37,12c191,134,185,150,176,163v24,23,24,23,24,23l175,216xm122,167c72,120,72,120,72,120v-10,5,-16,10,-20,16c48,141,46,147,46,153v,8,3,14,10,19c63,177,72,179,83,179v15,,28,-4,39,-12xm73,37v-4,4,-6,8,-6,14c67,55,68,59,70,63v2,3,7,8,13,15c93,72,100,67,104,63v4,-4,6,-9,6,-14c110,44,108,40,105,37,101,33,96,32,90,32v-7,,-13,2,-17,5xe" fillcolor="black" stroked="f">
                  <v:path arrowok="t" o:connecttype="custom" o:connectlocs="79805,98544;68405,87595;36482,98544;17785,94894;4560,85770;0,72083;5016,56572;20977,43797;13681,33760;10945,23724;15049,11406;25082,3194;41043,0;60652,5931;68405,21899;63844,35129;49707,46078;67036,62502;72053,47447;88926,52922;80261,74364;91206,84857;79805,98544;55636,76189;32834,54747;23714,62046;20977,69802;25538,78470;37850,81664;55636,76189;33290,16880;30554,23267;31922,28742;37850,35585;47427,28742;50163,22355;47883,16880;41043,14599;33290,16880" o:connectangles="0,0,0,0,0,0,0,0,0,0,0,0,0,0,0,0,0,0,0,0,0,0,0,0,0,0,0,0,0,0,0,0,0,0,0,0,0,0,0"/>
                  <o:lock v:ext="edit" verticies="t"/>
                </v:shape>
                <v:shape id="Freeform 41" o:spid="_x0000_s1061" style="position:absolute;left:10200;top:2920;width:828;height:964;visibility:visible;mso-wrap-style:square;v-text-anchor:top" coordsize="182,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" path="m139,9v14,6,24,15,32,26c178,47,182,60,182,76v,15,-4,29,-11,40c163,127,153,136,139,142v-13,6,-30,9,-48,9c49,151,49,151,49,151v,58,,58,,58c,209,,209,,209,,,,,,,91,,91,,91,v18,,35,3,48,9xm121,103v8,-7,12,-16,12,-27c133,64,129,55,121,49,114,42,103,39,88,39v-39,,-39,,-39,c49,112,49,112,49,112v39,,39,,39,c103,112,114,109,121,103xe" fillcolor="black" stroked="f">
                  <v:path arrowok="t" o:connecttype="custom" o:connectlocs="63252,4153;77813,16151;82819,35072;77813,53530;63252,65529;41410,69682;22297,69682;22297,96447;0,96447;0,0;41410,0;63252,4153;55061,47531;60522,35072;55061,22612;40044,17997;22297,17997;22297,51685;40044,51685;55061,47531" o:connectangles="0,0,0,0,0,0,0,0,0,0,0,0,0,0,0,0,0,0,0,0"/>
                  <o:lock v:ext="edit" verticies="t"/>
                </v:shape>
                <v:shape id="Freeform 42" o:spid="_x0000_s1062" style="position:absolute;left:11259;top:3130;width:450;height:754;visibility:visible;mso-wrap-style:square;v-text-anchor:top" coordsize="100,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" path="m67,6c77,2,87,,100,v,43,,43,,43c95,43,91,42,89,42,76,42,66,46,58,54,50,61,47,72,47,87v,76,,76,,76c,163,,163,,163,,2,,2,,2v45,,45,,45,c45,23,45,23,45,23,50,16,58,10,67,6xe" fillcolor="black" stroked="f">
                  <v:path arrowok="t" o:connecttype="custom" o:connectlocs="30203,2778;45079,0;45079,19912;40120,19449;26146,25006;21187,40287;21187,75480;0,75480;0,926;20286,926;20286,10651;30203,2778" o:connectangles="0,0,0,0,0,0,0,0,0,0,0,0"/>
                </v:shape>
                <v:shape id="Freeform 43" o:spid="_x0000_s1063" style="position:absolute;left:11856;top:3130;width:807;height:765;visibility:visible;mso-wrap-style:square;v-text-anchor:top" coordsize="177,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" path="m43,155c29,148,19,138,11,125,4,113,,99,,83,,67,4,52,11,40,19,27,29,18,43,10,56,3,71,,88,v17,,32,3,46,10c147,18,158,27,165,40v8,12,12,27,12,43c177,99,173,113,165,125v-7,13,-18,23,-31,30c120,162,105,166,88,166v-17,,-32,-4,-45,-11xm118,115v8,-8,11,-19,11,-32c129,69,126,58,118,50,110,42,100,38,88,38,76,38,67,42,59,50,51,58,47,69,47,83v,13,4,24,12,32c67,123,76,127,88,127v12,,22,-4,30,-12xe" fillcolor="black" stroked="f">
                  <v:path arrowok="t" o:connecttype="custom" o:connectlocs="19610,71457;5017,57627;0,38264;5017,18440;19610,4610;40133,0;61112,4610;75249,18440;80722,38264;75249,57627;61112,71457;40133,76528;19610,71457;53815,53016;58831,38264;53815,23051;40133,17518;26907,23051;21435,38264;26907,53016;40133,58549;53815,53016" o:connectangles="0,0,0,0,0,0,0,0,0,0,0,0,0,0,0,0,0,0,0,0,0,0"/>
                  <o:lock v:ext="edit" verticies="t"/>
                </v:shape>
                <v:shape id="Freeform 44" o:spid="_x0000_s1064" style="position:absolute;left:12789;top:2983;width:556;height:912;visibility:visible;mso-wrap-style:square;v-text-anchor:top" coordsize="122,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" path="m122,188v-4,4,-10,6,-16,8c99,198,92,199,85,199v-20,,-34,-5,-45,-15c30,174,24,160,24,141v,-66,,-66,,-66c,75,,75,,75,,39,,39,,39v24,,24,,24,c24,,24,,24,,71,,71,,71,v,39,,39,,39c111,39,111,39,111,39v,36,,36,,36c71,75,71,75,71,75v,65,,65,,65c71,147,73,152,76,156v4,4,9,5,15,5c98,161,105,159,110,155r12,33xe" fillcolor="black" stroked="f">
                  <v:path arrowok="t" o:connecttype="custom" o:connectlocs="55562,86164;48275,89830;38711,91205;18217,84330;10930,64623;10930,34374;0,34374;0,17874;10930,17874;10930,0;32335,0;32335,17874;50552,17874;50552,34374;32335,34374;32335,64164;34612,71497;41444,73789;50097,71039;55562,86164" o:connectangles="0,0,0,0,0,0,0,0,0,0,0,0,0,0,0,0,0,0,0,0"/>
                </v:shape>
                <v:shape id="Freeform 45" o:spid="_x0000_s1065" style="position:absolute;left:13481;top:3130;width:776;height:765;visibility:visible;mso-wrap-style:square;v-text-anchor:top" coordsize="170,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" path="m169,96c47,96,47,96,47,96v3,10,8,18,16,23c71,125,81,128,94,128v8,,15,-1,22,-4c122,122,128,118,134,113v25,27,25,27,25,27c144,157,121,166,92,166v-18,,-34,-4,-48,-11c30,148,19,138,12,125,4,113,,99,,83,,67,4,53,12,40,19,27,29,18,43,10,56,3,70,,86,v16,,30,3,43,10c142,17,152,27,159,39v7,13,11,28,11,44c170,84,170,88,169,96xm60,44c53,50,48,58,47,69v79,,79,,79,c125,58,120,50,113,44,106,38,97,35,87,35v-11,,-20,3,-27,9xe" fillcolor="black" stroked="f">
                  <v:path arrowok="t" o:connecttype="custom" o:connectlocs="77121,44257;21448,44257;28749,54860;42896,59010;52935,57165;61149,52094;72557,64542;41983,76528;20079,71457;5476,57627;0,38264;5476,18440;19622,4610;39245,0;58867,4610;72557,17979;77577,38264;77121,44257;27380,20285;21448,31810;57498,31810;51566,20285;39701,16135;27380,20285" o:connectangles="0,0,0,0,0,0,0,0,0,0,0,0,0,0,0,0,0,0,0,0,0,0,0,0"/>
                  <o:lock v:ext="edit" verticies="t"/>
                </v:shape>
                <v:shape id="Freeform 46" o:spid="_x0000_s1066" style="position:absolute;left:14414;top:3130;width:734;height:765;visibility:visible;mso-wrap-style:square;v-text-anchor:top" coordsize="162,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" path="m44,155c30,148,19,138,12,125,4,113,,99,,83,,67,4,52,12,40,19,27,30,18,44,10,57,3,73,,90,v17,,32,3,44,10c147,18,156,28,162,41,126,60,126,60,126,60,117,46,105,38,90,38,77,38,67,42,59,50,51,58,47,69,47,83v,13,4,24,12,32c67,123,77,127,90,127v16,,28,-7,36,-22c162,125,162,125,162,125v-6,13,-15,23,-28,30c122,162,107,166,90,166v-17,,-33,-4,-46,-11xe" fillcolor="black" stroked="f">
                  <v:path arrowok="t" o:connecttype="custom" o:connectlocs="19931,71457;5436,57627;0,38264;5436,18440;19931,4610;40769,0;60700,4610;73384,18901;57076,27661;40769,17518;26726,23051;21290,38264;26726,53016;40769,58549;57076,48406;73384,57627;60700,71457;40769,76528;19931,71457" o:connectangles="0,0,0,0,0,0,0,0,0,0,0,0,0,0,0,0,0,0,0"/>
                </v:shape>
                <v:shape id="Freeform 47" o:spid="_x0000_s1067" style="position:absolute;left:15253;top:2983;width:566;height:912;visibility:visible;mso-wrap-style:square;v-text-anchor:top" coordsize="123,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" path="m123,188v-5,4,-11,6,-17,8c99,198,92,199,85,199v-19,,-34,-5,-45,-15c30,174,25,160,25,141v,-66,,-66,,-66c,75,,75,,75,,39,,39,,39v25,,25,,25,c25,,25,,25,,71,,71,,71,v,39,,39,,39c111,39,111,39,111,39v,36,,36,,36c71,75,71,75,71,75v,65,,65,,65c71,147,73,152,76,156v4,4,9,5,15,5c99,161,105,159,110,155r13,33xe" fillcolor="black" stroked="f">
                  <v:path arrowok="t" o:connecttype="custom" o:connectlocs="56610,86164;48786,89830;39121,91205;18410,84330;11506,64623;11506,34374;0,34374;0,17874;11506,17874;11506,0;32677,0;32677,17874;51087,17874;51087,34374;32677,34374;32677,64164;34979,71497;41882,73789;50627,71039;56610,86164" o:connectangles="0,0,0,0,0,0,0,0,0,0,0,0,0,0,0,0,0,0,0,0"/>
                </v:shape>
                <v:shape id="Freeform 48" o:spid="_x0000_s1068" style="position:absolute;left:15976;top:2805;width:262;height:1079;visibility:visible;mso-wrap-style:square;v-text-anchor:top" coordsize="5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" path="m8,44c3,39,,33,,26,,18,3,12,8,7,14,2,21,,29,v9,,16,2,21,7c56,12,58,18,58,25v,8,-2,14,-8,19c45,49,38,52,29,52,21,52,14,49,8,44xm6,74v47,,47,,47,c53,235,53,235,53,235v-47,,-47,,-47,l6,74xe" fillcolor="black" stroked="f">
                  <v:path arrowok="t" o:connecttype="custom" o:connectlocs="3615,20217;0,11947;3615,3216;13105,0;22594,3216;26209,11487;22594,20217;13105,23893;3615,20217;2711,34002;23950,34002;23950,107978;2711,107978;2711,34002" o:connectangles="0,0,0,0,0,0,0,0,0,0,0,0,0,0"/>
                  <o:lock v:ext="edit" verticies="t"/>
                </v:shape>
                <v:shape id="Freeform 49" o:spid="_x0000_s1069" style="position:absolute;left:16427;top:3130;width:807;height:765;visibility:visible;mso-wrap-style:square;v-text-anchor:top" coordsize="177,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" path="m43,155c29,148,19,138,11,125,4,113,,99,,83,,67,4,52,11,40,19,27,29,18,43,10,56,3,72,,89,v17,,32,3,45,10c147,18,158,27,165,40v8,12,12,27,12,43c177,99,173,113,165,125v-7,13,-18,23,-31,30c121,162,106,166,89,166v-17,,-33,-4,-46,-11xm118,115v8,-8,12,-19,12,-32c130,69,126,58,118,50,110,42,101,38,89,38,77,38,67,42,59,50,51,58,47,69,47,83v,13,4,24,12,32c67,123,77,127,89,127v12,,21,-4,29,-12xe" fillcolor="black" stroked="f">
                  <v:path arrowok="t" o:connecttype="custom" o:connectlocs="19610,71457;5017,57627;0,38264;5017,18440;19610,4610;40589,0;61112,4610;75249,18440;80722,38264;75249,57627;61112,71457;40589,76528;19610,71457;53815,53016;59287,38264;53815,23051;40589,17518;26907,23051;21435,38264;26907,53016;40589,58549;53815,53016" o:connectangles="0,0,0,0,0,0,0,0,0,0,0,0,0,0,0,0,0,0,0,0,0,0"/>
                  <o:lock v:ext="edit" verticies="t"/>
                </v:shape>
                <v:shape id="Freeform 50" o:spid="_x0000_s1070" style="position:absolute;left:17454;top:3130;width:745;height:754;visibility:visible;mso-wrap-style:square;v-text-anchor:top" coordsize="164,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" path="m146,18v12,12,18,30,18,53c164,163,164,163,164,163v-46,,-46,,-46,c118,78,118,78,118,78v,-13,-3,-22,-9,-28c104,43,96,40,85,40,73,40,64,44,57,51,50,58,47,69,47,84v,79,,79,,79c,163,,163,,163,,2,,2,,2v44,,44,,44,c44,21,44,21,44,21,51,14,58,9,67,5,77,2,87,,98,v20,,36,6,48,18xe" fillcolor="black" stroked="f">
                  <v:path arrowok="t" o:connecttype="custom" o:connectlocs="66263,8335;74432,32878;74432,75480;53555,75480;53555,36119;49470,23153;38578,18523;25870,23616;21331,38898;21331,75480;0,75480;0,926;19970,926;19970,9724;30408,2315;44478,0;66263,8335" o:connectangles="0,0,0,0,0,0,0,0,0,0,0,0,0,0,0,0,0"/>
                </v:shape>
                <v:shape id="Freeform 51" o:spid="_x0000_s1071" style="position:absolute;left:125;top:4597;width:745;height:1237;visibility:visible;mso-wrap-style:square;v-text-anchor:top" coordsize="71,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" path="m71,101r,17l,118,,27r70,l70,44r-48,l22,63r42,l64,80r-42,l22,101r49,xm41,l63,,39,19r-16,l41,xe" fillcolor="black" stroked="f">
                  <v:path arrowok="t" o:connecttype="custom" o:connectlocs="74432,105882;74432,123704;0,123704;0,28305;73384,28305;73384,46127;23063,46127;23063,66045;67094,66045;67094,83867;23063,83867;23063,105882;74432,105882;42982,0;66045,0;40885,19918;24112,19918;42982,0" o:connectangles="0,0,0,0,0,0,0,0,0,0,0,0,0,0,0,0,0,0"/>
                  <o:lock v:ext="edit" verticies="t"/>
                </v:shape>
                <v:shape id="Freeform 52" o:spid="_x0000_s1072" style="position:absolute;left:1100;top:5090;width:797;height:1006;visibility:visible;mso-wrap-style:square;v-text-anchor:top" coordsize="175,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" path="m136,10v12,7,22,17,29,29c172,52,175,66,175,83v,16,-3,31,-10,43c158,139,148,148,136,155v-13,7,-26,10,-41,10c74,165,58,159,46,146v,75,,75,,75c,221,,221,,221,,2,,2,,2v44,,44,,44,c44,21,44,21,44,21,56,7,73,,95,v15,,28,3,41,10xm116,115v8,-8,12,-19,12,-32c128,69,124,58,116,50,109,42,99,38,87,38,75,38,65,42,57,50,50,58,46,69,46,83v,13,4,24,11,32c65,123,75,127,87,127v12,,22,-4,29,-12xe" fillcolor="black" stroked="f">
                  <v:path arrowok="t" o:connecttype="custom" o:connectlocs="61918,4554;75121,17760;79674,37797;75121,57378;61918,70585;43252,75138;20943,66486;20943,100640;0,100640;0,911;20032,911;20032,9563;43252,0;61918,4554;52812,52369;58276,37797;52812,22769;39609,17305;25951,22769;20943,37797;25951,52369;39609,57834;52812,52369" o:connectangles="0,0,0,0,0,0,0,0,0,0,0,0,0,0,0,0,0,0,0,0,0,0,0"/>
                  <o:lock v:ext="edit" verticies="t"/>
                </v:shape>
                <v:shape id="Freeform 53" o:spid="_x0000_s1073" style="position:absolute;left:2065;top:5090;width:692;height:755;visibility:visible;mso-wrap-style:square;v-text-anchor:top" coordsize="15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" path="m132,17v14,12,20,30,20,54c152,163,152,163,152,163v-43,,-43,,-43,c109,143,109,143,109,143v-9,15,-25,22,-49,22c47,165,37,163,28,159,19,155,12,149,7,142,2,134,,126,,117,,102,5,90,17,81,28,73,45,69,69,69v37,,37,,37,c106,58,103,51,97,45,90,40,81,37,69,37v-9,,-17,1,-26,4c35,44,28,47,22,52,6,19,6,19,6,19,14,13,25,8,37,5,49,1,62,,75,v25,,44,6,57,17xm93,128v6,-3,10,-9,13,-16c106,96,106,96,106,96v-32,,-32,,-32,c55,96,45,102,45,115v,6,2,10,7,14c57,132,63,134,71,134v8,,15,-2,22,-6xe" fillcolor="black" stroked="f">
                  <v:path arrowok="t" o:connecttype="custom" o:connectlocs="60086,7777;69190,32479;69190,74565;49617,74565;49617,65416;27312,75480;12746,72735;3186,64959;0,53522;7738,37054;31409,31564;48251,31564;44154,20585;31409,16926;19573,18756;10014,23788;2731,8692;16842,2287;34140,0;60086,7777;42333,58554;48251,51235;48251,43916;33685,43916;20484,52607;23670,59012;32319,61299;42333,58554" o:connectangles="0,0,0,0,0,0,0,0,0,0,0,0,0,0,0,0,0,0,0,0,0,0,0,0,0,0,0,0"/>
                  <o:lock v:ext="edit" verticies="t"/>
                </v:shape>
                <v:shape id="Freeform 54" o:spid="_x0000_s1074" style="position:absolute;left:3029;top:5090;width:451;height:744;visibility:visible;mso-wrap-style:square;v-text-anchor:top" coordsize="100,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" path="m67,6c76,2,87,,100,v,43,,43,,43c94,42,91,42,89,42,76,42,65,46,58,53,50,61,46,72,46,87v,76,,76,,76c,163,,163,,163,,2,,2,,2v44,,44,,44,c44,23,44,23,44,23,50,16,57,10,67,6xe" fillcolor="black" stroked="f">
                  <v:path arrowok="t" o:connecttype="custom" o:connectlocs="30203,2740;45079,0;45079,19635;40120,19179;26146,24202;20736,39728;20736,74432;0,74432;0,913;19835,913;19835,10503;30203,2740" o:connectangles="0,0,0,0,0,0,0,0,0,0,0,0"/>
                </v:shape>
                <v:shape id="Freeform 55" o:spid="_x0000_s1075" style="position:absolute;left:3627;top:5090;width:807;height:1017;visibility:visible;mso-wrap-style:square;v-text-anchor:top" coordsize="17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" path="m177,2v,134,,134,,134c177,166,170,188,154,202v-15,14,-37,21,-67,21c72,223,57,222,43,218,29,214,17,208,8,201,27,168,27,168,27,168v7,5,15,10,25,13c63,184,73,186,84,186v16,,28,-4,35,-11c127,168,131,157,131,142v,-7,,-7,,-7c119,149,102,155,80,155v-15,,-28,-3,-41,-9c27,139,17,130,10,118,3,106,,93,,77,,62,3,49,10,37,17,25,27,16,39,9,52,3,65,,80,v23,,41,7,53,23c133,2,133,2,133,2r44,xm120,106v7,-7,11,-17,11,-29c131,66,127,56,120,49,112,42,102,38,89,38,77,38,67,42,59,49,51,56,47,66,47,77v,12,4,22,12,29c67,113,77,117,89,117v13,,23,-4,31,-11xe" fillcolor="black" stroked="f">
                  <v:path arrowok="t" o:connecttype="custom" o:connectlocs="80722,912;80722,62016;70233,92112;39677,101688;19610,99408;3648,91656;12314,76608;23715,82536;38309,84816;54271,79800;59743,64752;59743,61560;36485,70680;17786,66576;4561,53808;0,35112;4561,16872;17786,4104;36485,0;60656,10488;60656,912;80722,912;54727,48336;59743,35112;54727,22344;40589,17328;26907,22344;21435,35112;26907,48336;40589,53352;54727,48336" o:connectangles="0,0,0,0,0,0,0,0,0,0,0,0,0,0,0,0,0,0,0,0,0,0,0,0,0,0,0,0,0,0,0"/>
                  <o:lock v:ext="edit" verticies="t"/>
                </v:shape>
                <v:shape id="Freeform 56" o:spid="_x0000_s1076" style="position:absolute;left:4707;top:5090;width:744;height:744;visibility:visible;mso-wrap-style:square;v-text-anchor:top" coordsize="164,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" path="m146,18v12,12,18,29,18,53c164,163,164,163,164,163v-47,,-47,,-47,c117,78,117,78,117,78v,-13,-2,-22,-8,-28c103,43,95,40,85,40,73,40,64,44,57,51,50,58,46,69,46,83v,80,,80,,80c,163,,163,,163,,2,,2,,2v44,,44,,44,c44,21,44,21,44,21,50,14,58,9,67,5,76,2,86,,97,v20,,36,6,49,18xe" fillcolor="black" stroked="f">
                  <v:path arrowok="t" o:connecttype="custom" o:connectlocs="66263,8219;74432,32421;74432,74432;53101,74432;53101,35618;49470,22832;38578,18266;25870,23289;20877,37901;20877,74432;0,74432;0,913;19970,913;19970,9589;30408,2283;44024,0;66263,8219" o:connectangles="0,0,0,0,0,0,0,0,0,0,0,0,0,0,0,0,0"/>
                </v:shape>
                <v:shape id="Freeform 57" o:spid="_x0000_s1077" style="position:absolute;left:5661;top:5090;width:775;height:755;visibility:visible;mso-wrap-style:square;v-text-anchor:top" coordsize="17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" path="m169,96c47,96,47,96,47,96v2,10,8,18,16,23c71,125,81,128,93,128v9,,16,-1,23,-4c122,122,128,118,134,112v24,27,24,27,24,27c143,157,121,165,92,165v-18,,-34,-3,-48,-10c30,148,19,138,12,125,4,113,,99,,83,,67,4,53,11,40,19,27,29,17,42,10,55,3,70,,86,v16,,30,3,43,10c142,17,152,26,159,39v7,13,11,27,11,44c170,84,170,88,169,96xm60,44c53,50,48,58,47,69v79,,79,,79,c124,58,120,50,113,44,106,38,97,35,86,35v-10,,-19,3,-26,9xe" fillcolor="black" stroked="f">
                  <v:path arrowok="t" o:connecttype="custom" o:connectlocs="77121,43916;21448,43916;28749,54437;42439,58554;52935,56724;61149,51235;72101,63586;41983,75480;20079,70905;5476,57182;0,37969;5020,18298;19166,4575;39245,0;58867,4575;72557,17841;77577,37969;77121,43916;27380,20128;21448,31564;57498,31564;51566,20128;39245,16011;27380,20128" o:connectangles="0,0,0,0,0,0,0,0,0,0,0,0,0,0,0,0,0,0,0,0,0,0,0,0"/>
                  <o:lock v:ext="edit" verticies="t"/>
                </v:shape>
                <v:shape id="Freeform 58" o:spid="_x0000_s1078" style="position:absolute;left:7055;top:4859;width:912;height:996;visibility:visible;mso-wrap-style:square;v-text-anchor:top" coordsize="200,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" path="m175,216c150,192,150,192,150,192v-20,16,-44,24,-70,24c64,216,51,213,39,208,26,203,17,197,10,188,3,179,,169,,158,,145,3,134,11,124,18,114,30,105,46,96,38,88,33,80,29,73,26,66,24,59,24,51v,-10,3,-19,8,-27c38,17,45,11,55,6,65,2,77,,89,v19,,33,4,44,13c144,22,150,33,150,48v,11,-4,20,-10,29c133,85,123,93,109,101v38,36,38,36,38,36c151,127,155,116,157,104v38,12,38,12,38,12c191,134,184,150,176,163v24,23,24,23,24,23l175,216xm122,167c72,120,72,120,72,120v-10,5,-17,10,-21,15c47,141,45,147,45,153v,8,4,14,11,19c62,177,72,179,83,179v14,,28,-4,39,-12xm73,37v-4,4,-6,8,-6,14c67,55,68,59,70,63v2,3,7,8,13,14c93,72,100,67,104,63v4,-4,6,-9,6,-14c110,44,108,40,105,36,101,33,96,32,89,32v-7,,-12,1,-16,5xe" fillcolor="black" stroked="f">
                  <v:path arrowok="t" o:connecttype="custom" o:connectlocs="79805,99592;68405,88526;36482,99592;17785,95903;4560,86682;0,72850;5016,57173;20977,44263;13225,33658;10945,23515;14593,11066;25082,2766;40587,0;60652,5994;68405,22132;63844,35503;49707,46568;67036,63167;71597,47952;88926,53485;80261,75155;91206,85760;79805,99592;55636,76999;32834,55329;23258,62245;20521,70544;25538,79305;37850,82532;55636,76999;33290,17060;30554,23515;31922,29048;37850,35503;47427,29048;50163,22593;47883,16599;40587,14754;33290,17060" o:connectangles="0,0,0,0,0,0,0,0,0,0,0,0,0,0,0,0,0,0,0,0,0,0,0,0,0,0,0,0,0,0,0,0,0,0,0,0,0,0,0"/>
                  <o:lock v:ext="edit" verticies="t"/>
                </v:shape>
                <v:shape id="Freeform 59" o:spid="_x0000_s1079" style="position:absolute;left:8638;top:4880;width:849;height:954;visibility:visible;mso-wrap-style:square;v-text-anchor:top" coordsize="186,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" path="m134,209c93,151,93,151,93,151v-2,,-2,,-2,c49,151,49,151,49,151v,58,,58,,58c,209,,209,,209,,,,,,,91,,91,,91,v18,,34,3,48,9c153,15,163,24,171,35v7,12,11,25,11,41c182,91,178,105,170,116v-7,11,-18,20,-31,26c186,209,186,209,186,209r-52,xm121,49c114,42,103,39,88,39v-39,,-39,,-39,c49,112,49,112,49,112v39,,39,,39,c103,112,114,109,121,103v8,-7,12,-16,12,-27c133,64,129,55,121,49xe" fillcolor="black" stroked="f">
                  <v:path arrowok="t" o:connecttype="custom" o:connectlocs="61176,95398;42458,68924;41545,68924;22370,68924;22370,95398;0,95398;0,0;41545,0;63459,4108;78068,15976;83090,34690;77611,52948;63459,64816;84916,95398;61176,95398;55241,22366;40175,17802;22370,17802;22370,51122;40175,51122;55241,47014;60720,34690;55241,22366" o:connectangles="0,0,0,0,0,0,0,0,0,0,0,0,0,0,0,0,0,0,0,0,0,0,0"/>
                  <o:lock v:ext="edit" verticies="t"/>
                </v:shape>
                <v:shape id="Freeform 60" o:spid="_x0000_s1080" style="position:absolute;left:9644;top:5090;width:765;height:755;visibility:visible;mso-wrap-style:square;v-text-anchor:top" coordsize="1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" path="m168,96c47,96,47,96,47,96v2,10,7,18,15,23c70,125,81,128,93,128v8,,15,-1,22,-4c121,122,127,118,133,112v25,27,25,27,25,27c143,157,121,165,91,165v-18,,-34,-3,-48,-10c29,148,19,138,11,125,3,113,,99,,83,,67,3,53,11,40,18,27,29,17,42,10,55,3,69,,86,v15,,30,3,42,10c141,17,151,26,158,39v8,13,11,27,11,44c169,84,169,88,168,96xm59,44c52,50,48,58,46,69v79,,79,,79,c124,58,119,50,112,44,105,38,96,35,86,35v-11,,-20,3,-27,9xe" fillcolor="black" stroked="f">
                  <v:path arrowok="t" o:connecttype="custom" o:connectlocs="76076,43916;21283,43916;28076,54437;42114,58554;52076,56724;60227,51235;71548,63586;41208,75480;19472,70905;4981,57182;0,37969;4981,18298;19019,4575;38944,0;57963,4575;71548,17841;76529,37969;76076,43916;26717,20128;20830,31564;56604,31564;50717,20128;38944,16011;26717,20128" o:connectangles="0,0,0,0,0,0,0,0,0,0,0,0,0,0,0,0,0,0,0,0,0,0,0,0"/>
                  <o:lock v:ext="edit" verticies="t"/>
                </v:shape>
                <v:shape id="Freeform 61" o:spid="_x0000_s1081" style="position:absolute;left:10535;top:4933;width:566;height:912;visibility:visible;mso-wrap-style:square;v-text-anchor:top" coordsize="12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" path="m123,188v-5,4,-10,6,-17,8c99,198,92,198,85,198v-19,,-34,-4,-45,-14c30,174,25,160,25,141v,-66,,-66,,-66c,75,,75,,75,,39,,39,,39v25,,25,,25,c25,,25,,25,,71,,71,,71,v,39,,39,,39c111,39,111,39,111,39v,36,,36,,36c71,75,71,75,71,75v,65,,65,,65c71,147,73,152,77,156v3,3,8,5,14,5c99,161,105,159,110,155r13,33xe" fillcolor="black" stroked="f">
                  <v:path arrowok="t" o:connecttype="custom" o:connectlocs="56610,86599;48786,90284;39121,91205;18410,84756;11506,64949;11506,34547;0,34547;0,17965;11506,17965;11506,0;32677,0;32677,17965;51087,17965;51087,34547;32677,34547;32677,64488;35439,71858;41882,74162;50627,71398;56610,86599" o:connectangles="0,0,0,0,0,0,0,0,0,0,0,0,0,0,0,0,0,0,0,0"/>
                </v:shape>
                <v:shape id="Freeform 62" o:spid="_x0000_s1082" style="position:absolute;left:11290;top:5090;width:451;height:744;visibility:visible;mso-wrap-style:square;v-text-anchor:top" coordsize="100,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" path="m67,6c77,2,88,,100,v,43,,43,,43c95,42,91,42,90,42,76,42,66,46,58,53,51,61,47,72,47,87v,76,,76,,76c,163,,163,,163,,2,,2,,2v45,,45,,45,c45,23,45,23,45,23,50,16,58,10,67,6xe" fillcolor="black" stroked="f">
                  <v:path arrowok="t" o:connecttype="custom" o:connectlocs="30203,2740;45079,0;45079,19635;40571,19179;26146,24202;21187,39728;21187,74432;0,74432;0,913;20286,913;20286,10503;30203,2740" o:connectangles="0,0,0,0,0,0,0,0,0,0,0,0"/>
                </v:shape>
                <v:shape id="Freeform 63" o:spid="_x0000_s1083" style="position:absolute;left:11898;top:5090;width:692;height:755;visibility:visible;mso-wrap-style:square;v-text-anchor:top" coordsize="15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" path="m132,17v14,12,20,30,20,54c152,163,152,163,152,163v-43,,-43,,-43,c109,143,109,143,109,143v-9,15,-25,22,-49,22c47,165,37,163,27,159,18,155,11,149,7,142,2,134,,126,,117,,102,5,90,16,81,28,73,45,69,69,69v37,,37,,37,c106,58,103,51,96,45,90,40,81,37,69,37v-9,,-17,1,-26,4c35,44,28,47,22,52,6,19,6,19,6,19,14,13,25,8,37,5,49,1,62,,75,v25,,44,6,57,17xm93,128v6,-3,10,-9,13,-16c106,96,106,96,106,96v-32,,-32,,-32,c55,96,45,102,45,115v,6,2,10,7,14c57,132,63,134,71,134v8,,15,-2,22,-6xe" fillcolor="black" stroked="f">
                  <v:path arrowok="t" o:connecttype="custom" o:connectlocs="60086,7777;69190,32479;69190,74565;49617,74565;49617,65416;27312,75480;12290,72735;3186,64959;0,53522;7283,37054;31409,31564;48251,31564;43699,20585;31409,16926;19573,18756;10014,23788;2731,8692;16842,2287;34140,0;60086,7777;42333,58554;48251,51235;48251,43916;33685,43916;20484,52607;23670,59012;32319,61299;42333,58554" o:connectangles="0,0,0,0,0,0,0,0,0,0,0,0,0,0,0,0,0,0,0,0,0,0,0,0,0,0,0,0"/>
                  <o:lock v:ext="edit" verticies="t"/>
                </v:shape>
                <v:shape id="Freeform 64" o:spid="_x0000_s1084" style="position:absolute;left:12831;top:4755;width:262;height:1079;visibility:visible;mso-wrap-style:square;v-text-anchor:top" coordsize="5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" path="m8,44c3,39,,33,,26,,18,3,12,8,7,13,2,20,,29,v8,,15,2,21,7c55,12,58,18,58,25v,8,-3,14,-8,19c44,49,37,52,29,52,20,52,13,49,8,44xm6,74v46,,46,,46,c52,235,52,235,52,235v-46,,-46,,-46,l6,74xe" fillcolor="black" stroked="f">
                  <v:path arrowok="t" o:connecttype="custom" o:connectlocs="3615,20217;0,11947;3615,3216;13105,0;22594,3216;26209,11487;22594,20217;13105,23893;3615,20217;2711,34002;23498,34002;23498,107978;2711,107978;2711,34002" o:connectangles="0,0,0,0,0,0,0,0,0,0,0,0,0,0"/>
                  <o:lock v:ext="edit" verticies="t"/>
                </v:shape>
                <v:shape id="Freeform 65" o:spid="_x0000_s1085" style="position:absolute;left:13250;top:4933;width:556;height:912;visibility:visible;mso-wrap-style:square;v-text-anchor:top" coordsize="12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" path="m123,188v-4,4,-10,6,-17,8c100,198,93,198,85,198v-19,,-34,-4,-44,-14c30,174,25,160,25,141v,-66,,-66,,-66c,75,,75,,75,,39,,39,,39v25,,25,,25,c25,,25,,25,,72,,72,,72,v,39,,39,,39c112,39,112,39,112,39v,36,,36,,36c72,75,72,75,72,75v,65,,65,,65c72,147,74,152,77,156v4,3,9,5,15,5c99,161,106,159,111,155r12,33xe" fillcolor="black" stroked="f">
                  <v:path arrowok="t" o:connecttype="custom" o:connectlocs="55562,86599;47883,90284;38397,91205;18521,84756;11293,64949;11293,34547;0,34547;0,17965;11293,17965;11293,0;32524,0;32524,17965;50593,17965;50593,34547;32524,34547;32524,64488;34783,71858;41559,74162;50141,71398;55562,86599" o:connectangles="0,0,0,0,0,0,0,0,0,0,0,0,0,0,0,0,0,0,0,0"/>
                </v:shape>
                <v:shape id="Freeform 66" o:spid="_x0000_s1086" style="position:absolute;left:13942;top:5090;width:776;height:755;visibility:visible;mso-wrap-style:square;v-text-anchor:top" coordsize="1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" path="m168,96c47,96,47,96,47,96v2,10,7,18,15,23c70,125,80,128,93,128v8,,15,-1,22,-4c121,122,127,118,133,112v25,27,25,27,25,27c143,157,121,165,91,165v-18,,-34,-3,-48,-10c29,148,19,138,11,125,3,113,,99,,83,,67,3,53,11,40,18,27,29,17,42,10,55,3,69,,85,v16,,30,3,43,10c141,17,151,26,158,39v8,13,11,27,11,44c169,84,169,88,168,96xm59,44c52,50,48,58,46,69v79,,79,,79,c124,58,119,50,112,44,105,38,96,35,86,35v-11,,-20,3,-27,9xe" fillcolor="black" stroked="f">
                  <v:path arrowok="t" o:connecttype="custom" o:connectlocs="77118,43916;21575,43916;28460,54437;42690,58554;52789,56724;61052,51235;72528,63586;41772,75480;19739,70905;5049,57182;0,37969;5049,18298;19279,4575;39018,0;58757,4575;72528,17841;77577,37969;77118,43916;27083,20128;21116,31564;57379,31564;51412,20128;39477,16011;27083,20128" o:connectangles="0,0,0,0,0,0,0,0,0,0,0,0,0,0,0,0,0,0,0,0,0,0,0,0"/>
                  <o:lock v:ext="edit" verticies="t"/>
                </v:shape>
              </v:group>
              <w10:wrap anchorx="margin" anchory="margin"/>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1799E" w14:textId="7633F31B" w:rsidR="00875F93" w:rsidRDefault="00BF6E61" w:rsidP="000C0896">
    <w:pPr>
      <w:pStyle w:val="En-tte"/>
    </w:pPr>
    <w:r w:rsidRPr="001C0930">
      <w:rPr>
        <w:noProof/>
      </w:rPr>
      <mc:AlternateContent>
        <mc:Choice Requires="wpg">
          <w:drawing>
            <wp:anchor distT="0" distB="0" distL="114300" distR="114300" simplePos="0" relativeHeight="251655168" behindDoc="0" locked="0" layoutInCell="1" allowOverlap="1" wp14:anchorId="77CFCA7E" wp14:editId="63AF36D8">
              <wp:simplePos x="0" y="0"/>
              <wp:positionH relativeFrom="margin">
                <wp:align>center</wp:align>
              </wp:positionH>
              <wp:positionV relativeFrom="topMargin">
                <wp:posOffset>252211</wp:posOffset>
              </wp:positionV>
              <wp:extent cx="6327801" cy="566573"/>
              <wp:effectExtent l="0" t="0" r="0" b="5080"/>
              <wp:wrapNone/>
              <wp:docPr id="2267" name="Groupe 95"/>
              <wp:cNvGraphicFramePr/>
              <a:graphic xmlns:a="http://schemas.openxmlformats.org/drawingml/2006/main">
                <a:graphicData uri="http://schemas.microsoft.com/office/word/2010/wordprocessingGroup">
                  <wpg:wgp>
                    <wpg:cNvGrpSpPr/>
                    <wpg:grpSpPr>
                      <a:xfrm>
                        <a:off x="0" y="0"/>
                        <a:ext cx="6327801" cy="566573"/>
                        <a:chOff x="0" y="0"/>
                        <a:chExt cx="6131609" cy="480031"/>
                      </a:xfrm>
                    </wpg:grpSpPr>
                    <wpg:grpSp>
                      <wpg:cNvPr id="2268" name="Groupe 2268"/>
                      <wpg:cNvGrpSpPr>
                        <a:grpSpLocks noChangeAspect="1"/>
                      </wpg:cNvGrpSpPr>
                      <wpg:grpSpPr>
                        <a:xfrm>
                          <a:off x="4816768" y="0"/>
                          <a:ext cx="1314841" cy="463478"/>
                          <a:chOff x="4816772" y="0"/>
                          <a:chExt cx="2452687" cy="864565"/>
                        </a:xfrm>
                      </wpg:grpSpPr>
                      <wps:wsp>
                        <wps:cNvPr id="2269" name="Freeform 5"/>
                        <wps:cNvSpPr>
                          <a:spLocks/>
                        </wps:cNvSpPr>
                        <wps:spPr bwMode="auto">
                          <a:xfrm>
                            <a:off x="6628755" y="0"/>
                            <a:ext cx="640704" cy="431253"/>
                          </a:xfrm>
                          <a:custGeom>
                            <a:avLst/>
                            <a:gdLst>
                              <a:gd name="T0" fmla="*/ 1862 w 1877"/>
                              <a:gd name="T1" fmla="*/ 460 h 1262"/>
                              <a:gd name="T2" fmla="*/ 1821 w 1877"/>
                              <a:gd name="T3" fmla="*/ 397 h 1262"/>
                              <a:gd name="T4" fmla="*/ 1791 w 1877"/>
                              <a:gd name="T5" fmla="*/ 205 h 1262"/>
                              <a:gd name="T6" fmla="*/ 1631 w 1877"/>
                              <a:gd name="T7" fmla="*/ 103 h 1262"/>
                              <a:gd name="T8" fmla="*/ 1575 w 1877"/>
                              <a:gd name="T9" fmla="*/ 27 h 1262"/>
                              <a:gd name="T10" fmla="*/ 1506 w 1877"/>
                              <a:gd name="T11" fmla="*/ 16 h 1262"/>
                              <a:gd name="T12" fmla="*/ 1495 w 1877"/>
                              <a:gd name="T13" fmla="*/ 85 h 1262"/>
                              <a:gd name="T14" fmla="*/ 1511 w 1877"/>
                              <a:gd name="T15" fmla="*/ 106 h 1262"/>
                              <a:gd name="T16" fmla="*/ 1348 w 1877"/>
                              <a:gd name="T17" fmla="*/ 166 h 1262"/>
                              <a:gd name="T18" fmla="*/ 70 w 1877"/>
                              <a:gd name="T19" fmla="*/ 291 h 1262"/>
                              <a:gd name="T20" fmla="*/ 2 w 1877"/>
                              <a:gd name="T21" fmla="*/ 400 h 1262"/>
                              <a:gd name="T22" fmla="*/ 67 w 1877"/>
                              <a:gd name="T23" fmla="*/ 528 h 1262"/>
                              <a:gd name="T24" fmla="*/ 923 w 1877"/>
                              <a:gd name="T25" fmla="*/ 733 h 1262"/>
                              <a:gd name="T26" fmla="*/ 847 w 1877"/>
                              <a:gd name="T27" fmla="*/ 1179 h 1262"/>
                              <a:gd name="T28" fmla="*/ 913 w 1877"/>
                              <a:gd name="T29" fmla="*/ 1256 h 1262"/>
                              <a:gd name="T30" fmla="*/ 953 w 1877"/>
                              <a:gd name="T31" fmla="*/ 1262 h 1262"/>
                              <a:gd name="T32" fmla="*/ 1629 w 1877"/>
                              <a:gd name="T33" fmla="*/ 626 h 1262"/>
                              <a:gd name="T34" fmla="*/ 1630 w 1877"/>
                              <a:gd name="T35" fmla="*/ 623 h 1262"/>
                              <a:gd name="T36" fmla="*/ 1770 w 1877"/>
                              <a:gd name="T37" fmla="*/ 500 h 1262"/>
                              <a:gd name="T38" fmla="*/ 1779 w 1877"/>
                              <a:gd name="T39" fmla="*/ 513 h 1262"/>
                              <a:gd name="T40" fmla="*/ 1820 w 1877"/>
                              <a:gd name="T41" fmla="*/ 536 h 1262"/>
                              <a:gd name="T42" fmla="*/ 1847 w 1877"/>
                              <a:gd name="T43" fmla="*/ 528 h 1262"/>
                              <a:gd name="T44" fmla="*/ 1862 w 1877"/>
                              <a:gd name="T45" fmla="*/ 460 h 12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877" h="1262">
                                <a:moveTo>
                                  <a:pt x="1862" y="460"/>
                                </a:moveTo>
                                <a:cubicBezTo>
                                  <a:pt x="1821" y="397"/>
                                  <a:pt x="1821" y="397"/>
                                  <a:pt x="1821" y="397"/>
                                </a:cubicBezTo>
                                <a:cubicBezTo>
                                  <a:pt x="1839" y="331"/>
                                  <a:pt x="1829" y="266"/>
                                  <a:pt x="1791" y="205"/>
                                </a:cubicBezTo>
                                <a:cubicBezTo>
                                  <a:pt x="1756" y="148"/>
                                  <a:pt x="1701" y="113"/>
                                  <a:pt x="1631" y="103"/>
                                </a:cubicBezTo>
                                <a:cubicBezTo>
                                  <a:pt x="1575" y="27"/>
                                  <a:pt x="1575" y="27"/>
                                  <a:pt x="1575" y="27"/>
                                </a:cubicBezTo>
                                <a:cubicBezTo>
                                  <a:pt x="1559" y="5"/>
                                  <a:pt x="1528" y="0"/>
                                  <a:pt x="1506" y="16"/>
                                </a:cubicBezTo>
                                <a:cubicBezTo>
                                  <a:pt x="1484" y="32"/>
                                  <a:pt x="1479" y="63"/>
                                  <a:pt x="1495" y="85"/>
                                </a:cubicBezTo>
                                <a:cubicBezTo>
                                  <a:pt x="1511" y="106"/>
                                  <a:pt x="1511" y="106"/>
                                  <a:pt x="1511" y="106"/>
                                </a:cubicBezTo>
                                <a:cubicBezTo>
                                  <a:pt x="1455" y="117"/>
                                  <a:pt x="1399" y="138"/>
                                  <a:pt x="1348" y="166"/>
                                </a:cubicBezTo>
                                <a:cubicBezTo>
                                  <a:pt x="929" y="59"/>
                                  <a:pt x="268" y="145"/>
                                  <a:pt x="70" y="291"/>
                                </a:cubicBezTo>
                                <a:cubicBezTo>
                                  <a:pt x="26" y="324"/>
                                  <a:pt x="3" y="360"/>
                                  <a:pt x="2" y="400"/>
                                </a:cubicBezTo>
                                <a:cubicBezTo>
                                  <a:pt x="0" y="446"/>
                                  <a:pt x="22" y="489"/>
                                  <a:pt x="67" y="528"/>
                                </a:cubicBezTo>
                                <a:cubicBezTo>
                                  <a:pt x="204" y="645"/>
                                  <a:pt x="575" y="718"/>
                                  <a:pt x="923" y="733"/>
                                </a:cubicBezTo>
                                <a:cubicBezTo>
                                  <a:pt x="850" y="917"/>
                                  <a:pt x="820" y="1088"/>
                                  <a:pt x="847" y="1179"/>
                                </a:cubicBezTo>
                                <a:cubicBezTo>
                                  <a:pt x="861" y="1229"/>
                                  <a:pt x="891" y="1249"/>
                                  <a:pt x="913" y="1256"/>
                                </a:cubicBezTo>
                                <a:cubicBezTo>
                                  <a:pt x="925" y="1260"/>
                                  <a:pt x="939" y="1262"/>
                                  <a:pt x="953" y="1262"/>
                                </a:cubicBezTo>
                                <a:cubicBezTo>
                                  <a:pt x="1113" y="1262"/>
                                  <a:pt x="1409" y="1022"/>
                                  <a:pt x="1629" y="626"/>
                                </a:cubicBezTo>
                                <a:cubicBezTo>
                                  <a:pt x="1629" y="625"/>
                                  <a:pt x="1630" y="624"/>
                                  <a:pt x="1630" y="623"/>
                                </a:cubicBezTo>
                                <a:cubicBezTo>
                                  <a:pt x="1687" y="589"/>
                                  <a:pt x="1736" y="546"/>
                                  <a:pt x="1770" y="500"/>
                                </a:cubicBezTo>
                                <a:cubicBezTo>
                                  <a:pt x="1779" y="513"/>
                                  <a:pt x="1779" y="513"/>
                                  <a:pt x="1779" y="513"/>
                                </a:cubicBezTo>
                                <a:cubicBezTo>
                                  <a:pt x="1788" y="528"/>
                                  <a:pt x="1804" y="536"/>
                                  <a:pt x="1820" y="536"/>
                                </a:cubicBezTo>
                                <a:cubicBezTo>
                                  <a:pt x="1830" y="536"/>
                                  <a:pt x="1839" y="533"/>
                                  <a:pt x="1847" y="528"/>
                                </a:cubicBezTo>
                                <a:cubicBezTo>
                                  <a:pt x="1870" y="513"/>
                                  <a:pt x="1877" y="482"/>
                                  <a:pt x="1862" y="460"/>
                                </a:cubicBezTo>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70" name="Freeform 6"/>
                        <wps:cNvSpPr>
                          <a:spLocks/>
                        </wps:cNvSpPr>
                        <wps:spPr bwMode="auto">
                          <a:xfrm>
                            <a:off x="6946791" y="237241"/>
                            <a:ext cx="181662" cy="159533"/>
                          </a:xfrm>
                          <a:custGeom>
                            <a:avLst/>
                            <a:gdLst>
                              <a:gd name="T0" fmla="*/ 19 w 532"/>
                              <a:gd name="T1" fmla="*/ 463 h 467"/>
                              <a:gd name="T2" fmla="*/ 196 w 532"/>
                              <a:gd name="T3" fmla="*/ 376 h 467"/>
                              <a:gd name="T4" fmla="*/ 532 w 532"/>
                              <a:gd name="T5" fmla="*/ 0 h 467"/>
                              <a:gd name="T6" fmla="*/ 333 w 532"/>
                              <a:gd name="T7" fmla="*/ 33 h 467"/>
                              <a:gd name="T8" fmla="*/ 104 w 532"/>
                              <a:gd name="T9" fmla="*/ 41 h 467"/>
                              <a:gd name="T10" fmla="*/ 19 w 532"/>
                              <a:gd name="T11" fmla="*/ 463 h 467"/>
                            </a:gdLst>
                            <a:ahLst/>
                            <a:cxnLst>
                              <a:cxn ang="0">
                                <a:pos x="T0" y="T1"/>
                              </a:cxn>
                              <a:cxn ang="0">
                                <a:pos x="T2" y="T3"/>
                              </a:cxn>
                              <a:cxn ang="0">
                                <a:pos x="T4" y="T5"/>
                              </a:cxn>
                              <a:cxn ang="0">
                                <a:pos x="T6" y="T7"/>
                              </a:cxn>
                              <a:cxn ang="0">
                                <a:pos x="T8" y="T9"/>
                              </a:cxn>
                              <a:cxn ang="0">
                                <a:pos x="T10" y="T11"/>
                              </a:cxn>
                            </a:cxnLst>
                            <a:rect l="0" t="0" r="r" b="b"/>
                            <a:pathLst>
                              <a:path w="532" h="467">
                                <a:moveTo>
                                  <a:pt x="19" y="463"/>
                                </a:moveTo>
                                <a:cubicBezTo>
                                  <a:pt x="23" y="467"/>
                                  <a:pt x="88" y="460"/>
                                  <a:pt x="196" y="376"/>
                                </a:cubicBezTo>
                                <a:cubicBezTo>
                                  <a:pt x="285" y="308"/>
                                  <a:pt x="396" y="209"/>
                                  <a:pt x="532" y="0"/>
                                </a:cubicBezTo>
                                <a:cubicBezTo>
                                  <a:pt x="532" y="0"/>
                                  <a:pt x="439" y="24"/>
                                  <a:pt x="333" y="33"/>
                                </a:cubicBezTo>
                                <a:cubicBezTo>
                                  <a:pt x="195" y="44"/>
                                  <a:pt x="104" y="41"/>
                                  <a:pt x="104" y="41"/>
                                </a:cubicBezTo>
                                <a:cubicBezTo>
                                  <a:pt x="6" y="275"/>
                                  <a:pt x="0" y="441"/>
                                  <a:pt x="19" y="463"/>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71" name="Freeform 7"/>
                        <wps:cNvSpPr>
                          <a:spLocks/>
                        </wps:cNvSpPr>
                        <wps:spPr bwMode="auto">
                          <a:xfrm>
                            <a:off x="6664778" y="76164"/>
                            <a:ext cx="382879" cy="138948"/>
                          </a:xfrm>
                          <a:custGeom>
                            <a:avLst/>
                            <a:gdLst>
                              <a:gd name="T0" fmla="*/ 806 w 1121"/>
                              <a:gd name="T1" fmla="*/ 0 h 406"/>
                              <a:gd name="T2" fmla="*/ 35 w 1121"/>
                              <a:gd name="T3" fmla="*/ 147 h 406"/>
                              <a:gd name="T4" fmla="*/ 1 w 1121"/>
                              <a:gd name="T5" fmla="*/ 181 h 406"/>
                              <a:gd name="T6" fmla="*/ 29 w 1121"/>
                              <a:gd name="T7" fmla="*/ 224 h 406"/>
                              <a:gd name="T8" fmla="*/ 862 w 1121"/>
                              <a:gd name="T9" fmla="*/ 406 h 406"/>
                              <a:gd name="T10" fmla="*/ 1065 w 1121"/>
                              <a:gd name="T11" fmla="*/ 82 h 406"/>
                              <a:gd name="T12" fmla="*/ 1121 w 1121"/>
                              <a:gd name="T13" fmla="*/ 25 h 406"/>
                              <a:gd name="T14" fmla="*/ 806 w 1121"/>
                              <a:gd name="T15" fmla="*/ 0 h 40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121" h="406">
                                <a:moveTo>
                                  <a:pt x="806" y="0"/>
                                </a:moveTo>
                                <a:cubicBezTo>
                                  <a:pt x="482" y="0"/>
                                  <a:pt x="155" y="68"/>
                                  <a:pt x="35" y="147"/>
                                </a:cubicBezTo>
                                <a:cubicBezTo>
                                  <a:pt x="9" y="165"/>
                                  <a:pt x="1" y="178"/>
                                  <a:pt x="1" y="181"/>
                                </a:cubicBezTo>
                                <a:cubicBezTo>
                                  <a:pt x="0" y="196"/>
                                  <a:pt x="16" y="213"/>
                                  <a:pt x="29" y="224"/>
                                </a:cubicBezTo>
                                <a:cubicBezTo>
                                  <a:pt x="145" y="323"/>
                                  <a:pt x="517" y="395"/>
                                  <a:pt x="862" y="406"/>
                                </a:cubicBezTo>
                                <a:cubicBezTo>
                                  <a:pt x="916" y="294"/>
                                  <a:pt x="984" y="181"/>
                                  <a:pt x="1065" y="82"/>
                                </a:cubicBezTo>
                                <a:cubicBezTo>
                                  <a:pt x="1081" y="63"/>
                                  <a:pt x="1100" y="44"/>
                                  <a:pt x="1121" y="25"/>
                                </a:cubicBezTo>
                                <a:cubicBezTo>
                                  <a:pt x="1022" y="8"/>
                                  <a:pt x="914" y="0"/>
                                  <a:pt x="806" y="0"/>
                                </a:cubicBez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72" name="Freeform 8"/>
                        <wps:cNvSpPr>
                          <a:spLocks/>
                        </wps:cNvSpPr>
                        <wps:spPr bwMode="auto">
                          <a:xfrm>
                            <a:off x="7046628" y="94691"/>
                            <a:ext cx="110644" cy="112702"/>
                          </a:xfrm>
                          <a:custGeom>
                            <a:avLst/>
                            <a:gdLst>
                              <a:gd name="T0" fmla="*/ 132 w 324"/>
                              <a:gd name="T1" fmla="*/ 0 h 330"/>
                              <a:gd name="T2" fmla="*/ 73 w 324"/>
                              <a:gd name="T3" fmla="*/ 51 h 330"/>
                              <a:gd name="T4" fmla="*/ 28 w 324"/>
                              <a:gd name="T5" fmla="*/ 97 h 330"/>
                              <a:gd name="T6" fmla="*/ 0 w 324"/>
                              <a:gd name="T7" fmla="*/ 133 h 330"/>
                              <a:gd name="T8" fmla="*/ 143 w 324"/>
                              <a:gd name="T9" fmla="*/ 330 h 330"/>
                              <a:gd name="T10" fmla="*/ 235 w 324"/>
                              <a:gd name="T11" fmla="*/ 308 h 330"/>
                              <a:gd name="T12" fmla="*/ 319 w 324"/>
                              <a:gd name="T13" fmla="*/ 274 h 330"/>
                              <a:gd name="T14" fmla="*/ 265 w 324"/>
                              <a:gd name="T15" fmla="*/ 100 h 330"/>
                              <a:gd name="T16" fmla="*/ 132 w 324"/>
                              <a:gd name="T17" fmla="*/ 0 h 3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24" h="330">
                                <a:moveTo>
                                  <a:pt x="132" y="0"/>
                                </a:moveTo>
                                <a:cubicBezTo>
                                  <a:pt x="73" y="51"/>
                                  <a:pt x="73" y="51"/>
                                  <a:pt x="73" y="51"/>
                                </a:cubicBezTo>
                                <a:cubicBezTo>
                                  <a:pt x="56" y="66"/>
                                  <a:pt x="41" y="81"/>
                                  <a:pt x="28" y="97"/>
                                </a:cubicBezTo>
                                <a:cubicBezTo>
                                  <a:pt x="19" y="108"/>
                                  <a:pt x="9" y="120"/>
                                  <a:pt x="0" y="133"/>
                                </a:cubicBezTo>
                                <a:cubicBezTo>
                                  <a:pt x="40" y="164"/>
                                  <a:pt x="110" y="230"/>
                                  <a:pt x="143" y="330"/>
                                </a:cubicBezTo>
                                <a:cubicBezTo>
                                  <a:pt x="143" y="330"/>
                                  <a:pt x="199" y="320"/>
                                  <a:pt x="235" y="308"/>
                                </a:cubicBezTo>
                                <a:cubicBezTo>
                                  <a:pt x="280" y="293"/>
                                  <a:pt x="319" y="274"/>
                                  <a:pt x="319" y="274"/>
                                </a:cubicBezTo>
                                <a:cubicBezTo>
                                  <a:pt x="324" y="237"/>
                                  <a:pt x="314" y="174"/>
                                  <a:pt x="265" y="100"/>
                                </a:cubicBezTo>
                                <a:cubicBezTo>
                                  <a:pt x="231" y="50"/>
                                  <a:pt x="167" y="15"/>
                                  <a:pt x="132" y="0"/>
                                </a:cubicBezTo>
                              </a:path>
                            </a:pathLst>
                          </a:custGeom>
                          <a:solidFill>
                            <a:srgbClr val="FFC000"/>
                          </a:solidFill>
                          <a:ln>
                            <a:noFill/>
                          </a:ln>
                        </wps:spPr>
                        <wps:bodyPr vert="horz" wrap="square" lIns="91440" tIns="45720" rIns="91440" bIns="45720" numCol="1" anchor="t" anchorCtr="0" compatLnSpc="1">
                          <a:prstTxWarp prst="textNoShape">
                            <a:avLst/>
                          </a:prstTxWarp>
                        </wps:bodyPr>
                      </wps:wsp>
                      <wps:wsp>
                        <wps:cNvPr id="2273" name="Freeform 9"/>
                        <wps:cNvSpPr>
                          <a:spLocks noEditPoints="1"/>
                        </wps:cNvSpPr>
                        <wps:spPr bwMode="auto">
                          <a:xfrm>
                            <a:off x="4827064" y="736939"/>
                            <a:ext cx="135860" cy="126083"/>
                          </a:xfrm>
                          <a:custGeom>
                            <a:avLst/>
                            <a:gdLst>
                              <a:gd name="T0" fmla="*/ 193 w 264"/>
                              <a:gd name="T1" fmla="*/ 188 h 245"/>
                              <a:gd name="T2" fmla="*/ 71 w 264"/>
                              <a:gd name="T3" fmla="*/ 188 h 245"/>
                              <a:gd name="T4" fmla="*/ 47 w 264"/>
                              <a:gd name="T5" fmla="*/ 245 h 245"/>
                              <a:gd name="T6" fmla="*/ 0 w 264"/>
                              <a:gd name="T7" fmla="*/ 245 h 245"/>
                              <a:gd name="T8" fmla="*/ 110 w 264"/>
                              <a:gd name="T9" fmla="*/ 0 h 245"/>
                              <a:gd name="T10" fmla="*/ 154 w 264"/>
                              <a:gd name="T11" fmla="*/ 0 h 245"/>
                              <a:gd name="T12" fmla="*/ 264 w 264"/>
                              <a:gd name="T13" fmla="*/ 245 h 245"/>
                              <a:gd name="T14" fmla="*/ 217 w 264"/>
                              <a:gd name="T15" fmla="*/ 245 h 245"/>
                              <a:gd name="T16" fmla="*/ 193 w 264"/>
                              <a:gd name="T17" fmla="*/ 188 h 245"/>
                              <a:gd name="T18" fmla="*/ 178 w 264"/>
                              <a:gd name="T19" fmla="*/ 152 h 245"/>
                              <a:gd name="T20" fmla="*/ 132 w 264"/>
                              <a:gd name="T21" fmla="*/ 46 h 245"/>
                              <a:gd name="T22" fmla="*/ 86 w 264"/>
                              <a:gd name="T23" fmla="*/ 152 h 245"/>
                              <a:gd name="T24" fmla="*/ 178 w 264"/>
                              <a:gd name="T25" fmla="*/ 152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64" h="245">
                                <a:moveTo>
                                  <a:pt x="193" y="188"/>
                                </a:moveTo>
                                <a:lnTo>
                                  <a:pt x="71" y="188"/>
                                </a:lnTo>
                                <a:lnTo>
                                  <a:pt x="47" y="245"/>
                                </a:lnTo>
                                <a:lnTo>
                                  <a:pt x="0" y="245"/>
                                </a:lnTo>
                                <a:lnTo>
                                  <a:pt x="110" y="0"/>
                                </a:lnTo>
                                <a:lnTo>
                                  <a:pt x="154" y="0"/>
                                </a:lnTo>
                                <a:lnTo>
                                  <a:pt x="264" y="245"/>
                                </a:lnTo>
                                <a:lnTo>
                                  <a:pt x="217" y="245"/>
                                </a:lnTo>
                                <a:lnTo>
                                  <a:pt x="193" y="188"/>
                                </a:lnTo>
                                <a:close/>
                                <a:moveTo>
                                  <a:pt x="178" y="152"/>
                                </a:moveTo>
                                <a:lnTo>
                                  <a:pt x="132" y="46"/>
                                </a:lnTo>
                                <a:lnTo>
                                  <a:pt x="86" y="152"/>
                                </a:lnTo>
                                <a:lnTo>
                                  <a:pt x="178" y="152"/>
                                </a:lnTo>
                                <a:close/>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74" name="Freeform 10"/>
                        <wps:cNvSpPr>
                          <a:spLocks/>
                        </wps:cNvSpPr>
                        <wps:spPr bwMode="auto">
                          <a:xfrm>
                            <a:off x="5040632" y="734880"/>
                            <a:ext cx="100351" cy="129685"/>
                          </a:xfrm>
                          <a:custGeom>
                            <a:avLst/>
                            <a:gdLst>
                              <a:gd name="T0" fmla="*/ 63 w 294"/>
                              <a:gd name="T1" fmla="*/ 367 h 379"/>
                              <a:gd name="T2" fmla="*/ 0 w 294"/>
                              <a:gd name="T3" fmla="*/ 335 h 379"/>
                              <a:gd name="T4" fmla="*/ 24 w 294"/>
                              <a:gd name="T5" fmla="*/ 282 h 379"/>
                              <a:gd name="T6" fmla="*/ 79 w 294"/>
                              <a:gd name="T7" fmla="*/ 311 h 379"/>
                              <a:gd name="T8" fmla="*/ 145 w 294"/>
                              <a:gd name="T9" fmla="*/ 322 h 379"/>
                              <a:gd name="T10" fmla="*/ 206 w 294"/>
                              <a:gd name="T11" fmla="*/ 309 h 379"/>
                              <a:gd name="T12" fmla="*/ 227 w 294"/>
                              <a:gd name="T13" fmla="*/ 275 h 379"/>
                              <a:gd name="T14" fmla="*/ 215 w 294"/>
                              <a:gd name="T15" fmla="*/ 249 h 379"/>
                              <a:gd name="T16" fmla="*/ 187 w 294"/>
                              <a:gd name="T17" fmla="*/ 233 h 379"/>
                              <a:gd name="T18" fmla="*/ 139 w 294"/>
                              <a:gd name="T19" fmla="*/ 219 h 379"/>
                              <a:gd name="T20" fmla="*/ 71 w 294"/>
                              <a:gd name="T21" fmla="*/ 199 h 379"/>
                              <a:gd name="T22" fmla="*/ 26 w 294"/>
                              <a:gd name="T23" fmla="*/ 168 h 379"/>
                              <a:gd name="T24" fmla="*/ 8 w 294"/>
                              <a:gd name="T25" fmla="*/ 110 h 379"/>
                              <a:gd name="T26" fmla="*/ 24 w 294"/>
                              <a:gd name="T27" fmla="*/ 55 h 379"/>
                              <a:gd name="T28" fmla="*/ 74 w 294"/>
                              <a:gd name="T29" fmla="*/ 15 h 379"/>
                              <a:gd name="T30" fmla="*/ 156 w 294"/>
                              <a:gd name="T31" fmla="*/ 0 h 379"/>
                              <a:gd name="T32" fmla="*/ 222 w 294"/>
                              <a:gd name="T33" fmla="*/ 9 h 379"/>
                              <a:gd name="T34" fmla="*/ 279 w 294"/>
                              <a:gd name="T35" fmla="*/ 33 h 379"/>
                              <a:gd name="T36" fmla="*/ 257 w 294"/>
                              <a:gd name="T37" fmla="*/ 86 h 379"/>
                              <a:gd name="T38" fmla="*/ 207 w 294"/>
                              <a:gd name="T39" fmla="*/ 65 h 379"/>
                              <a:gd name="T40" fmla="*/ 156 w 294"/>
                              <a:gd name="T41" fmla="*/ 57 h 379"/>
                              <a:gd name="T42" fmla="*/ 95 w 294"/>
                              <a:gd name="T43" fmla="*/ 71 h 379"/>
                              <a:gd name="T44" fmla="*/ 76 w 294"/>
                              <a:gd name="T45" fmla="*/ 107 h 379"/>
                              <a:gd name="T46" fmla="*/ 87 w 294"/>
                              <a:gd name="T47" fmla="*/ 133 h 379"/>
                              <a:gd name="T48" fmla="*/ 116 w 294"/>
                              <a:gd name="T49" fmla="*/ 149 h 379"/>
                              <a:gd name="T50" fmla="*/ 163 w 294"/>
                              <a:gd name="T51" fmla="*/ 162 h 379"/>
                              <a:gd name="T52" fmla="*/ 230 w 294"/>
                              <a:gd name="T53" fmla="*/ 182 h 379"/>
                              <a:gd name="T54" fmla="*/ 275 w 294"/>
                              <a:gd name="T55" fmla="*/ 213 h 379"/>
                              <a:gd name="T56" fmla="*/ 294 w 294"/>
                              <a:gd name="T57" fmla="*/ 270 h 379"/>
                              <a:gd name="T58" fmla="*/ 278 w 294"/>
                              <a:gd name="T59" fmla="*/ 325 h 379"/>
                              <a:gd name="T60" fmla="*/ 227 w 294"/>
                              <a:gd name="T61" fmla="*/ 365 h 379"/>
                              <a:gd name="T62" fmla="*/ 145 w 294"/>
                              <a:gd name="T63" fmla="*/ 379 h 379"/>
                              <a:gd name="T64" fmla="*/ 63 w 294"/>
                              <a:gd name="T65" fmla="*/ 367 h 3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4" h="379">
                                <a:moveTo>
                                  <a:pt x="63" y="367"/>
                                </a:moveTo>
                                <a:cubicBezTo>
                                  <a:pt x="36" y="359"/>
                                  <a:pt x="15" y="349"/>
                                  <a:pt x="0" y="335"/>
                                </a:cubicBezTo>
                                <a:cubicBezTo>
                                  <a:pt x="24" y="282"/>
                                  <a:pt x="24" y="282"/>
                                  <a:pt x="24" y="282"/>
                                </a:cubicBezTo>
                                <a:cubicBezTo>
                                  <a:pt x="39" y="294"/>
                                  <a:pt x="57" y="304"/>
                                  <a:pt x="79" y="311"/>
                                </a:cubicBezTo>
                                <a:cubicBezTo>
                                  <a:pt x="101" y="319"/>
                                  <a:pt x="123" y="322"/>
                                  <a:pt x="145" y="322"/>
                                </a:cubicBezTo>
                                <a:cubicBezTo>
                                  <a:pt x="172" y="322"/>
                                  <a:pt x="193" y="318"/>
                                  <a:pt x="206" y="309"/>
                                </a:cubicBezTo>
                                <a:cubicBezTo>
                                  <a:pt x="220" y="301"/>
                                  <a:pt x="227" y="289"/>
                                  <a:pt x="227" y="275"/>
                                </a:cubicBezTo>
                                <a:cubicBezTo>
                                  <a:pt x="227" y="264"/>
                                  <a:pt x="223" y="255"/>
                                  <a:pt x="215" y="249"/>
                                </a:cubicBezTo>
                                <a:cubicBezTo>
                                  <a:pt x="208" y="242"/>
                                  <a:pt x="198" y="236"/>
                                  <a:pt x="187" y="233"/>
                                </a:cubicBezTo>
                                <a:cubicBezTo>
                                  <a:pt x="175" y="229"/>
                                  <a:pt x="159" y="224"/>
                                  <a:pt x="139" y="219"/>
                                </a:cubicBezTo>
                                <a:cubicBezTo>
                                  <a:pt x="111" y="213"/>
                                  <a:pt x="88" y="206"/>
                                  <a:pt x="71" y="199"/>
                                </a:cubicBezTo>
                                <a:cubicBezTo>
                                  <a:pt x="54" y="193"/>
                                  <a:pt x="39" y="182"/>
                                  <a:pt x="26" y="168"/>
                                </a:cubicBezTo>
                                <a:cubicBezTo>
                                  <a:pt x="14" y="154"/>
                                  <a:pt x="8" y="135"/>
                                  <a:pt x="8" y="110"/>
                                </a:cubicBezTo>
                                <a:cubicBezTo>
                                  <a:pt x="8" y="90"/>
                                  <a:pt x="13" y="72"/>
                                  <a:pt x="24" y="55"/>
                                </a:cubicBezTo>
                                <a:cubicBezTo>
                                  <a:pt x="35" y="38"/>
                                  <a:pt x="52" y="25"/>
                                  <a:pt x="74" y="15"/>
                                </a:cubicBezTo>
                                <a:cubicBezTo>
                                  <a:pt x="97" y="5"/>
                                  <a:pt x="124" y="0"/>
                                  <a:pt x="156" y="0"/>
                                </a:cubicBezTo>
                                <a:cubicBezTo>
                                  <a:pt x="179" y="0"/>
                                  <a:pt x="201" y="3"/>
                                  <a:pt x="222" y="9"/>
                                </a:cubicBezTo>
                                <a:cubicBezTo>
                                  <a:pt x="244" y="15"/>
                                  <a:pt x="263" y="23"/>
                                  <a:pt x="279" y="33"/>
                                </a:cubicBezTo>
                                <a:cubicBezTo>
                                  <a:pt x="257" y="86"/>
                                  <a:pt x="257" y="86"/>
                                  <a:pt x="257" y="86"/>
                                </a:cubicBezTo>
                                <a:cubicBezTo>
                                  <a:pt x="241" y="77"/>
                                  <a:pt x="224" y="70"/>
                                  <a:pt x="207" y="65"/>
                                </a:cubicBezTo>
                                <a:cubicBezTo>
                                  <a:pt x="189" y="60"/>
                                  <a:pt x="172" y="57"/>
                                  <a:pt x="156" y="57"/>
                                </a:cubicBezTo>
                                <a:cubicBezTo>
                                  <a:pt x="129" y="57"/>
                                  <a:pt x="109" y="62"/>
                                  <a:pt x="95" y="71"/>
                                </a:cubicBezTo>
                                <a:cubicBezTo>
                                  <a:pt x="82" y="80"/>
                                  <a:pt x="76" y="92"/>
                                  <a:pt x="76" y="107"/>
                                </a:cubicBezTo>
                                <a:cubicBezTo>
                                  <a:pt x="76" y="118"/>
                                  <a:pt x="79" y="126"/>
                                  <a:pt x="87" y="133"/>
                                </a:cubicBezTo>
                                <a:cubicBezTo>
                                  <a:pt x="94" y="140"/>
                                  <a:pt x="104" y="145"/>
                                  <a:pt x="116" y="149"/>
                                </a:cubicBezTo>
                                <a:cubicBezTo>
                                  <a:pt x="127" y="153"/>
                                  <a:pt x="143" y="157"/>
                                  <a:pt x="163" y="162"/>
                                </a:cubicBezTo>
                                <a:cubicBezTo>
                                  <a:pt x="190" y="168"/>
                                  <a:pt x="213" y="175"/>
                                  <a:pt x="230" y="182"/>
                                </a:cubicBezTo>
                                <a:cubicBezTo>
                                  <a:pt x="248" y="189"/>
                                  <a:pt x="263" y="199"/>
                                  <a:pt x="275" y="213"/>
                                </a:cubicBezTo>
                                <a:cubicBezTo>
                                  <a:pt x="288" y="227"/>
                                  <a:pt x="294" y="246"/>
                                  <a:pt x="294" y="270"/>
                                </a:cubicBezTo>
                                <a:cubicBezTo>
                                  <a:pt x="294" y="290"/>
                                  <a:pt x="289" y="309"/>
                                  <a:pt x="278" y="325"/>
                                </a:cubicBezTo>
                                <a:cubicBezTo>
                                  <a:pt x="266" y="342"/>
                                  <a:pt x="250" y="355"/>
                                  <a:pt x="227" y="365"/>
                                </a:cubicBezTo>
                                <a:cubicBezTo>
                                  <a:pt x="205" y="375"/>
                                  <a:pt x="177" y="379"/>
                                  <a:pt x="145" y="379"/>
                                </a:cubicBezTo>
                                <a:cubicBezTo>
                                  <a:pt x="117" y="379"/>
                                  <a:pt x="89" y="375"/>
                                  <a:pt x="63" y="367"/>
                                </a:cubicBezTo>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75" name="Freeform 11"/>
                        <wps:cNvSpPr>
                          <a:spLocks/>
                        </wps:cNvSpPr>
                        <wps:spPr bwMode="auto">
                          <a:xfrm>
                            <a:off x="5225382" y="734880"/>
                            <a:ext cx="100351" cy="129685"/>
                          </a:xfrm>
                          <a:custGeom>
                            <a:avLst/>
                            <a:gdLst>
                              <a:gd name="T0" fmla="*/ 63 w 294"/>
                              <a:gd name="T1" fmla="*/ 367 h 379"/>
                              <a:gd name="T2" fmla="*/ 0 w 294"/>
                              <a:gd name="T3" fmla="*/ 335 h 379"/>
                              <a:gd name="T4" fmla="*/ 24 w 294"/>
                              <a:gd name="T5" fmla="*/ 282 h 379"/>
                              <a:gd name="T6" fmla="*/ 80 w 294"/>
                              <a:gd name="T7" fmla="*/ 311 h 379"/>
                              <a:gd name="T8" fmla="*/ 146 w 294"/>
                              <a:gd name="T9" fmla="*/ 322 h 379"/>
                              <a:gd name="T10" fmla="*/ 207 w 294"/>
                              <a:gd name="T11" fmla="*/ 309 h 379"/>
                              <a:gd name="T12" fmla="*/ 227 w 294"/>
                              <a:gd name="T13" fmla="*/ 275 h 379"/>
                              <a:gd name="T14" fmla="*/ 216 w 294"/>
                              <a:gd name="T15" fmla="*/ 249 h 379"/>
                              <a:gd name="T16" fmla="*/ 187 w 294"/>
                              <a:gd name="T17" fmla="*/ 233 h 379"/>
                              <a:gd name="T18" fmla="*/ 140 w 294"/>
                              <a:gd name="T19" fmla="*/ 219 h 379"/>
                              <a:gd name="T20" fmla="*/ 72 w 294"/>
                              <a:gd name="T21" fmla="*/ 199 h 379"/>
                              <a:gd name="T22" fmla="*/ 27 w 294"/>
                              <a:gd name="T23" fmla="*/ 168 h 379"/>
                              <a:gd name="T24" fmla="*/ 8 w 294"/>
                              <a:gd name="T25" fmla="*/ 110 h 379"/>
                              <a:gd name="T26" fmla="*/ 25 w 294"/>
                              <a:gd name="T27" fmla="*/ 55 h 379"/>
                              <a:gd name="T28" fmla="*/ 75 w 294"/>
                              <a:gd name="T29" fmla="*/ 15 h 379"/>
                              <a:gd name="T30" fmla="*/ 157 w 294"/>
                              <a:gd name="T31" fmla="*/ 0 h 379"/>
                              <a:gd name="T32" fmla="*/ 223 w 294"/>
                              <a:gd name="T33" fmla="*/ 9 h 379"/>
                              <a:gd name="T34" fmla="*/ 279 w 294"/>
                              <a:gd name="T35" fmla="*/ 33 h 379"/>
                              <a:gd name="T36" fmla="*/ 258 w 294"/>
                              <a:gd name="T37" fmla="*/ 86 h 379"/>
                              <a:gd name="T38" fmla="*/ 207 w 294"/>
                              <a:gd name="T39" fmla="*/ 65 h 379"/>
                              <a:gd name="T40" fmla="*/ 156 w 294"/>
                              <a:gd name="T41" fmla="*/ 57 h 379"/>
                              <a:gd name="T42" fmla="*/ 96 w 294"/>
                              <a:gd name="T43" fmla="*/ 71 h 379"/>
                              <a:gd name="T44" fmla="*/ 76 w 294"/>
                              <a:gd name="T45" fmla="*/ 107 h 379"/>
                              <a:gd name="T46" fmla="*/ 87 w 294"/>
                              <a:gd name="T47" fmla="*/ 133 h 379"/>
                              <a:gd name="T48" fmla="*/ 116 w 294"/>
                              <a:gd name="T49" fmla="*/ 149 h 379"/>
                              <a:gd name="T50" fmla="*/ 164 w 294"/>
                              <a:gd name="T51" fmla="*/ 162 h 379"/>
                              <a:gd name="T52" fmla="*/ 231 w 294"/>
                              <a:gd name="T53" fmla="*/ 182 h 379"/>
                              <a:gd name="T54" fmla="*/ 276 w 294"/>
                              <a:gd name="T55" fmla="*/ 213 h 379"/>
                              <a:gd name="T56" fmla="*/ 294 w 294"/>
                              <a:gd name="T57" fmla="*/ 270 h 379"/>
                              <a:gd name="T58" fmla="*/ 278 w 294"/>
                              <a:gd name="T59" fmla="*/ 325 h 379"/>
                              <a:gd name="T60" fmla="*/ 228 w 294"/>
                              <a:gd name="T61" fmla="*/ 365 h 379"/>
                              <a:gd name="T62" fmla="*/ 146 w 294"/>
                              <a:gd name="T63" fmla="*/ 379 h 379"/>
                              <a:gd name="T64" fmla="*/ 63 w 294"/>
                              <a:gd name="T65" fmla="*/ 367 h 3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4" h="379">
                                <a:moveTo>
                                  <a:pt x="63" y="367"/>
                                </a:moveTo>
                                <a:cubicBezTo>
                                  <a:pt x="37" y="359"/>
                                  <a:pt x="16" y="349"/>
                                  <a:pt x="0" y="335"/>
                                </a:cubicBezTo>
                                <a:cubicBezTo>
                                  <a:pt x="24" y="282"/>
                                  <a:pt x="24" y="282"/>
                                  <a:pt x="24" y="282"/>
                                </a:cubicBezTo>
                                <a:cubicBezTo>
                                  <a:pt x="39" y="294"/>
                                  <a:pt x="58" y="304"/>
                                  <a:pt x="80" y="311"/>
                                </a:cubicBezTo>
                                <a:cubicBezTo>
                                  <a:pt x="102" y="319"/>
                                  <a:pt x="124" y="322"/>
                                  <a:pt x="146" y="322"/>
                                </a:cubicBezTo>
                                <a:cubicBezTo>
                                  <a:pt x="173" y="322"/>
                                  <a:pt x="193" y="318"/>
                                  <a:pt x="207" y="309"/>
                                </a:cubicBezTo>
                                <a:cubicBezTo>
                                  <a:pt x="220" y="301"/>
                                  <a:pt x="227" y="289"/>
                                  <a:pt x="227" y="275"/>
                                </a:cubicBezTo>
                                <a:cubicBezTo>
                                  <a:pt x="227" y="264"/>
                                  <a:pt x="223" y="255"/>
                                  <a:pt x="216" y="249"/>
                                </a:cubicBezTo>
                                <a:cubicBezTo>
                                  <a:pt x="208" y="242"/>
                                  <a:pt x="199" y="236"/>
                                  <a:pt x="187" y="233"/>
                                </a:cubicBezTo>
                                <a:cubicBezTo>
                                  <a:pt x="176" y="229"/>
                                  <a:pt x="160" y="224"/>
                                  <a:pt x="140" y="219"/>
                                </a:cubicBezTo>
                                <a:cubicBezTo>
                                  <a:pt x="112" y="213"/>
                                  <a:pt x="89" y="206"/>
                                  <a:pt x="72" y="199"/>
                                </a:cubicBezTo>
                                <a:cubicBezTo>
                                  <a:pt x="54" y="193"/>
                                  <a:pt x="39" y="182"/>
                                  <a:pt x="27" y="168"/>
                                </a:cubicBezTo>
                                <a:cubicBezTo>
                                  <a:pt x="14" y="154"/>
                                  <a:pt x="8" y="135"/>
                                  <a:pt x="8" y="110"/>
                                </a:cubicBezTo>
                                <a:cubicBezTo>
                                  <a:pt x="8" y="90"/>
                                  <a:pt x="14" y="72"/>
                                  <a:pt x="25" y="55"/>
                                </a:cubicBezTo>
                                <a:cubicBezTo>
                                  <a:pt x="36" y="38"/>
                                  <a:pt x="52" y="25"/>
                                  <a:pt x="75" y="15"/>
                                </a:cubicBezTo>
                                <a:cubicBezTo>
                                  <a:pt x="97" y="5"/>
                                  <a:pt x="124" y="0"/>
                                  <a:pt x="157" y="0"/>
                                </a:cubicBezTo>
                                <a:cubicBezTo>
                                  <a:pt x="179" y="0"/>
                                  <a:pt x="201" y="3"/>
                                  <a:pt x="223" y="9"/>
                                </a:cubicBezTo>
                                <a:cubicBezTo>
                                  <a:pt x="245" y="15"/>
                                  <a:pt x="263" y="23"/>
                                  <a:pt x="279" y="33"/>
                                </a:cubicBezTo>
                                <a:cubicBezTo>
                                  <a:pt x="258" y="86"/>
                                  <a:pt x="258" y="86"/>
                                  <a:pt x="258" y="86"/>
                                </a:cubicBezTo>
                                <a:cubicBezTo>
                                  <a:pt x="242" y="77"/>
                                  <a:pt x="225" y="70"/>
                                  <a:pt x="207" y="65"/>
                                </a:cubicBezTo>
                                <a:cubicBezTo>
                                  <a:pt x="190" y="60"/>
                                  <a:pt x="173" y="57"/>
                                  <a:pt x="156" y="57"/>
                                </a:cubicBezTo>
                                <a:cubicBezTo>
                                  <a:pt x="129" y="57"/>
                                  <a:pt x="109" y="62"/>
                                  <a:pt x="96" y="71"/>
                                </a:cubicBezTo>
                                <a:cubicBezTo>
                                  <a:pt x="83" y="80"/>
                                  <a:pt x="76" y="92"/>
                                  <a:pt x="76" y="107"/>
                                </a:cubicBezTo>
                                <a:cubicBezTo>
                                  <a:pt x="76" y="118"/>
                                  <a:pt x="80" y="126"/>
                                  <a:pt x="87" y="133"/>
                                </a:cubicBezTo>
                                <a:cubicBezTo>
                                  <a:pt x="95" y="140"/>
                                  <a:pt x="105" y="145"/>
                                  <a:pt x="116" y="149"/>
                                </a:cubicBezTo>
                                <a:cubicBezTo>
                                  <a:pt x="128" y="153"/>
                                  <a:pt x="143" y="157"/>
                                  <a:pt x="164" y="162"/>
                                </a:cubicBezTo>
                                <a:cubicBezTo>
                                  <a:pt x="191" y="168"/>
                                  <a:pt x="213" y="175"/>
                                  <a:pt x="231" y="182"/>
                                </a:cubicBezTo>
                                <a:cubicBezTo>
                                  <a:pt x="248" y="189"/>
                                  <a:pt x="263" y="199"/>
                                  <a:pt x="276" y="213"/>
                                </a:cubicBezTo>
                                <a:cubicBezTo>
                                  <a:pt x="288" y="227"/>
                                  <a:pt x="294" y="246"/>
                                  <a:pt x="294" y="270"/>
                                </a:cubicBezTo>
                                <a:cubicBezTo>
                                  <a:pt x="294" y="290"/>
                                  <a:pt x="289" y="309"/>
                                  <a:pt x="278" y="325"/>
                                </a:cubicBezTo>
                                <a:cubicBezTo>
                                  <a:pt x="267" y="342"/>
                                  <a:pt x="250" y="355"/>
                                  <a:pt x="228" y="365"/>
                                </a:cubicBezTo>
                                <a:cubicBezTo>
                                  <a:pt x="205" y="375"/>
                                  <a:pt x="178" y="379"/>
                                  <a:pt x="146" y="379"/>
                                </a:cubicBezTo>
                                <a:cubicBezTo>
                                  <a:pt x="117" y="379"/>
                                  <a:pt x="90" y="375"/>
                                  <a:pt x="63" y="367"/>
                                </a:cubicBezTo>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76" name="Freeform 12"/>
                        <wps:cNvSpPr>
                          <a:spLocks/>
                        </wps:cNvSpPr>
                        <wps:spPr bwMode="auto">
                          <a:xfrm>
                            <a:off x="5419909" y="736939"/>
                            <a:ext cx="109615" cy="127626"/>
                          </a:xfrm>
                          <a:custGeom>
                            <a:avLst/>
                            <a:gdLst>
                              <a:gd name="T0" fmla="*/ 42 w 322"/>
                              <a:gd name="T1" fmla="*/ 330 h 373"/>
                              <a:gd name="T2" fmla="*/ 0 w 322"/>
                              <a:gd name="T3" fmla="*/ 208 h 373"/>
                              <a:gd name="T4" fmla="*/ 0 w 322"/>
                              <a:gd name="T5" fmla="*/ 0 h 373"/>
                              <a:gd name="T6" fmla="*/ 68 w 322"/>
                              <a:gd name="T7" fmla="*/ 0 h 373"/>
                              <a:gd name="T8" fmla="*/ 68 w 322"/>
                              <a:gd name="T9" fmla="*/ 205 h 373"/>
                              <a:gd name="T10" fmla="*/ 162 w 322"/>
                              <a:gd name="T11" fmla="*/ 313 h 373"/>
                              <a:gd name="T12" fmla="*/ 255 w 322"/>
                              <a:gd name="T13" fmla="*/ 205 h 373"/>
                              <a:gd name="T14" fmla="*/ 255 w 322"/>
                              <a:gd name="T15" fmla="*/ 0 h 373"/>
                              <a:gd name="T16" fmla="*/ 322 w 322"/>
                              <a:gd name="T17" fmla="*/ 0 h 373"/>
                              <a:gd name="T18" fmla="*/ 322 w 322"/>
                              <a:gd name="T19" fmla="*/ 208 h 373"/>
                              <a:gd name="T20" fmla="*/ 280 w 322"/>
                              <a:gd name="T21" fmla="*/ 330 h 373"/>
                              <a:gd name="T22" fmla="*/ 161 w 322"/>
                              <a:gd name="T23" fmla="*/ 373 h 373"/>
                              <a:gd name="T24" fmla="*/ 42 w 322"/>
                              <a:gd name="T25" fmla="*/ 330 h 3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22" h="373">
                                <a:moveTo>
                                  <a:pt x="42" y="330"/>
                                </a:moveTo>
                                <a:cubicBezTo>
                                  <a:pt x="14" y="302"/>
                                  <a:pt x="0" y="261"/>
                                  <a:pt x="0" y="208"/>
                                </a:cubicBezTo>
                                <a:cubicBezTo>
                                  <a:pt x="0" y="0"/>
                                  <a:pt x="0" y="0"/>
                                  <a:pt x="0" y="0"/>
                                </a:cubicBezTo>
                                <a:cubicBezTo>
                                  <a:pt x="68" y="0"/>
                                  <a:pt x="68" y="0"/>
                                  <a:pt x="68" y="0"/>
                                </a:cubicBezTo>
                                <a:cubicBezTo>
                                  <a:pt x="68" y="205"/>
                                  <a:pt x="68" y="205"/>
                                  <a:pt x="68" y="205"/>
                                </a:cubicBezTo>
                                <a:cubicBezTo>
                                  <a:pt x="68" y="277"/>
                                  <a:pt x="99" y="313"/>
                                  <a:pt x="162" y="313"/>
                                </a:cubicBezTo>
                                <a:cubicBezTo>
                                  <a:pt x="224" y="313"/>
                                  <a:pt x="255" y="277"/>
                                  <a:pt x="255" y="205"/>
                                </a:cubicBezTo>
                                <a:cubicBezTo>
                                  <a:pt x="255" y="0"/>
                                  <a:pt x="255" y="0"/>
                                  <a:pt x="255" y="0"/>
                                </a:cubicBezTo>
                                <a:cubicBezTo>
                                  <a:pt x="322" y="0"/>
                                  <a:pt x="322" y="0"/>
                                  <a:pt x="322" y="0"/>
                                </a:cubicBezTo>
                                <a:cubicBezTo>
                                  <a:pt x="322" y="208"/>
                                  <a:pt x="322" y="208"/>
                                  <a:pt x="322" y="208"/>
                                </a:cubicBezTo>
                                <a:cubicBezTo>
                                  <a:pt x="322" y="261"/>
                                  <a:pt x="308" y="302"/>
                                  <a:pt x="280" y="330"/>
                                </a:cubicBezTo>
                                <a:cubicBezTo>
                                  <a:pt x="252" y="359"/>
                                  <a:pt x="212" y="373"/>
                                  <a:pt x="161" y="373"/>
                                </a:cubicBezTo>
                                <a:cubicBezTo>
                                  <a:pt x="110" y="373"/>
                                  <a:pt x="71" y="359"/>
                                  <a:pt x="42" y="330"/>
                                </a:cubicBezTo>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77" name="Freeform 13"/>
                        <wps:cNvSpPr>
                          <a:spLocks noEditPoints="1"/>
                        </wps:cNvSpPr>
                        <wps:spPr bwMode="auto">
                          <a:xfrm>
                            <a:off x="5634506" y="736939"/>
                            <a:ext cx="107041" cy="126083"/>
                          </a:xfrm>
                          <a:custGeom>
                            <a:avLst/>
                            <a:gdLst>
                              <a:gd name="T0" fmla="*/ 241 w 314"/>
                              <a:gd name="T1" fmla="*/ 368 h 368"/>
                              <a:gd name="T2" fmla="*/ 165 w 314"/>
                              <a:gd name="T3" fmla="*/ 260 h 368"/>
                              <a:gd name="T4" fmla="*/ 151 w 314"/>
                              <a:gd name="T5" fmla="*/ 261 h 368"/>
                              <a:gd name="T6" fmla="*/ 68 w 314"/>
                              <a:gd name="T7" fmla="*/ 261 h 368"/>
                              <a:gd name="T8" fmla="*/ 68 w 314"/>
                              <a:gd name="T9" fmla="*/ 368 h 368"/>
                              <a:gd name="T10" fmla="*/ 0 w 314"/>
                              <a:gd name="T11" fmla="*/ 368 h 368"/>
                              <a:gd name="T12" fmla="*/ 0 w 314"/>
                              <a:gd name="T13" fmla="*/ 0 h 368"/>
                              <a:gd name="T14" fmla="*/ 151 w 314"/>
                              <a:gd name="T15" fmla="*/ 0 h 368"/>
                              <a:gd name="T16" fmla="*/ 235 w 314"/>
                              <a:gd name="T17" fmla="*/ 15 h 368"/>
                              <a:gd name="T18" fmla="*/ 289 w 314"/>
                              <a:gd name="T19" fmla="*/ 61 h 368"/>
                              <a:gd name="T20" fmla="*/ 308 w 314"/>
                              <a:gd name="T21" fmla="*/ 131 h 368"/>
                              <a:gd name="T22" fmla="*/ 288 w 314"/>
                              <a:gd name="T23" fmla="*/ 202 h 368"/>
                              <a:gd name="T24" fmla="*/ 230 w 314"/>
                              <a:gd name="T25" fmla="*/ 247 h 368"/>
                              <a:gd name="T26" fmla="*/ 314 w 314"/>
                              <a:gd name="T27" fmla="*/ 368 h 368"/>
                              <a:gd name="T28" fmla="*/ 241 w 314"/>
                              <a:gd name="T29" fmla="*/ 368 h 368"/>
                              <a:gd name="T30" fmla="*/ 216 w 314"/>
                              <a:gd name="T31" fmla="*/ 77 h 368"/>
                              <a:gd name="T32" fmla="*/ 148 w 314"/>
                              <a:gd name="T33" fmla="*/ 58 h 368"/>
                              <a:gd name="T34" fmla="*/ 68 w 314"/>
                              <a:gd name="T35" fmla="*/ 58 h 368"/>
                              <a:gd name="T36" fmla="*/ 68 w 314"/>
                              <a:gd name="T37" fmla="*/ 204 h 368"/>
                              <a:gd name="T38" fmla="*/ 148 w 314"/>
                              <a:gd name="T39" fmla="*/ 204 h 368"/>
                              <a:gd name="T40" fmla="*/ 216 w 314"/>
                              <a:gd name="T41" fmla="*/ 185 h 368"/>
                              <a:gd name="T42" fmla="*/ 239 w 314"/>
                              <a:gd name="T43" fmla="*/ 131 h 368"/>
                              <a:gd name="T44" fmla="*/ 216 w 314"/>
                              <a:gd name="T45" fmla="*/ 77 h 3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4" h="368">
                                <a:moveTo>
                                  <a:pt x="241" y="368"/>
                                </a:moveTo>
                                <a:cubicBezTo>
                                  <a:pt x="165" y="260"/>
                                  <a:pt x="165" y="260"/>
                                  <a:pt x="165" y="260"/>
                                </a:cubicBezTo>
                                <a:cubicBezTo>
                                  <a:pt x="162" y="261"/>
                                  <a:pt x="158" y="261"/>
                                  <a:pt x="151" y="261"/>
                                </a:cubicBezTo>
                                <a:cubicBezTo>
                                  <a:pt x="68" y="261"/>
                                  <a:pt x="68" y="261"/>
                                  <a:pt x="68" y="261"/>
                                </a:cubicBezTo>
                                <a:cubicBezTo>
                                  <a:pt x="68" y="368"/>
                                  <a:pt x="68" y="368"/>
                                  <a:pt x="68" y="368"/>
                                </a:cubicBezTo>
                                <a:cubicBezTo>
                                  <a:pt x="0" y="368"/>
                                  <a:pt x="0" y="368"/>
                                  <a:pt x="0" y="368"/>
                                </a:cubicBezTo>
                                <a:cubicBezTo>
                                  <a:pt x="0" y="0"/>
                                  <a:pt x="0" y="0"/>
                                  <a:pt x="0" y="0"/>
                                </a:cubicBezTo>
                                <a:cubicBezTo>
                                  <a:pt x="151" y="0"/>
                                  <a:pt x="151" y="0"/>
                                  <a:pt x="151" y="0"/>
                                </a:cubicBezTo>
                                <a:cubicBezTo>
                                  <a:pt x="183" y="0"/>
                                  <a:pt x="211" y="5"/>
                                  <a:pt x="235" y="15"/>
                                </a:cubicBezTo>
                                <a:cubicBezTo>
                                  <a:pt x="258" y="26"/>
                                  <a:pt x="276" y="41"/>
                                  <a:pt x="289" y="61"/>
                                </a:cubicBezTo>
                                <a:cubicBezTo>
                                  <a:pt x="302" y="80"/>
                                  <a:pt x="308" y="104"/>
                                  <a:pt x="308" y="131"/>
                                </a:cubicBezTo>
                                <a:cubicBezTo>
                                  <a:pt x="308" y="158"/>
                                  <a:pt x="301" y="182"/>
                                  <a:pt x="288" y="202"/>
                                </a:cubicBezTo>
                                <a:cubicBezTo>
                                  <a:pt x="274" y="222"/>
                                  <a:pt x="255" y="237"/>
                                  <a:pt x="230" y="247"/>
                                </a:cubicBezTo>
                                <a:cubicBezTo>
                                  <a:pt x="314" y="368"/>
                                  <a:pt x="314" y="368"/>
                                  <a:pt x="314" y="368"/>
                                </a:cubicBezTo>
                                <a:lnTo>
                                  <a:pt x="241" y="368"/>
                                </a:lnTo>
                                <a:close/>
                                <a:moveTo>
                                  <a:pt x="216" y="77"/>
                                </a:moveTo>
                                <a:cubicBezTo>
                                  <a:pt x="201" y="64"/>
                                  <a:pt x="178" y="58"/>
                                  <a:pt x="148" y="58"/>
                                </a:cubicBezTo>
                                <a:cubicBezTo>
                                  <a:pt x="68" y="58"/>
                                  <a:pt x="68" y="58"/>
                                  <a:pt x="68" y="58"/>
                                </a:cubicBezTo>
                                <a:cubicBezTo>
                                  <a:pt x="68" y="204"/>
                                  <a:pt x="68" y="204"/>
                                  <a:pt x="68" y="204"/>
                                </a:cubicBezTo>
                                <a:cubicBezTo>
                                  <a:pt x="148" y="204"/>
                                  <a:pt x="148" y="204"/>
                                  <a:pt x="148" y="204"/>
                                </a:cubicBezTo>
                                <a:cubicBezTo>
                                  <a:pt x="178" y="204"/>
                                  <a:pt x="201" y="198"/>
                                  <a:pt x="216" y="185"/>
                                </a:cubicBezTo>
                                <a:cubicBezTo>
                                  <a:pt x="231" y="172"/>
                                  <a:pt x="239" y="154"/>
                                  <a:pt x="239" y="131"/>
                                </a:cubicBezTo>
                                <a:cubicBezTo>
                                  <a:pt x="239" y="107"/>
                                  <a:pt x="231" y="89"/>
                                  <a:pt x="216" y="77"/>
                                </a:cubicBezTo>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78" name="Freeform 14"/>
                        <wps:cNvSpPr>
                          <a:spLocks noEditPoints="1"/>
                        </wps:cNvSpPr>
                        <wps:spPr bwMode="auto">
                          <a:xfrm>
                            <a:off x="5819770" y="736939"/>
                            <a:ext cx="136375" cy="126083"/>
                          </a:xfrm>
                          <a:custGeom>
                            <a:avLst/>
                            <a:gdLst>
                              <a:gd name="T0" fmla="*/ 193 w 265"/>
                              <a:gd name="T1" fmla="*/ 188 h 245"/>
                              <a:gd name="T2" fmla="*/ 70 w 265"/>
                              <a:gd name="T3" fmla="*/ 188 h 245"/>
                              <a:gd name="T4" fmla="*/ 47 w 265"/>
                              <a:gd name="T5" fmla="*/ 245 h 245"/>
                              <a:gd name="T6" fmla="*/ 0 w 265"/>
                              <a:gd name="T7" fmla="*/ 245 h 245"/>
                              <a:gd name="T8" fmla="*/ 110 w 265"/>
                              <a:gd name="T9" fmla="*/ 0 h 245"/>
                              <a:gd name="T10" fmla="*/ 155 w 265"/>
                              <a:gd name="T11" fmla="*/ 0 h 245"/>
                              <a:gd name="T12" fmla="*/ 265 w 265"/>
                              <a:gd name="T13" fmla="*/ 245 h 245"/>
                              <a:gd name="T14" fmla="*/ 217 w 265"/>
                              <a:gd name="T15" fmla="*/ 245 h 245"/>
                              <a:gd name="T16" fmla="*/ 193 w 265"/>
                              <a:gd name="T17" fmla="*/ 188 h 245"/>
                              <a:gd name="T18" fmla="*/ 178 w 265"/>
                              <a:gd name="T19" fmla="*/ 152 h 245"/>
                              <a:gd name="T20" fmla="*/ 132 w 265"/>
                              <a:gd name="T21" fmla="*/ 46 h 245"/>
                              <a:gd name="T22" fmla="*/ 86 w 265"/>
                              <a:gd name="T23" fmla="*/ 152 h 245"/>
                              <a:gd name="T24" fmla="*/ 178 w 265"/>
                              <a:gd name="T25" fmla="*/ 152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65" h="245">
                                <a:moveTo>
                                  <a:pt x="193" y="188"/>
                                </a:moveTo>
                                <a:lnTo>
                                  <a:pt x="70" y="188"/>
                                </a:lnTo>
                                <a:lnTo>
                                  <a:pt x="47" y="245"/>
                                </a:lnTo>
                                <a:lnTo>
                                  <a:pt x="0" y="245"/>
                                </a:lnTo>
                                <a:lnTo>
                                  <a:pt x="110" y="0"/>
                                </a:lnTo>
                                <a:lnTo>
                                  <a:pt x="155" y="0"/>
                                </a:lnTo>
                                <a:lnTo>
                                  <a:pt x="265" y="245"/>
                                </a:lnTo>
                                <a:lnTo>
                                  <a:pt x="217" y="245"/>
                                </a:lnTo>
                                <a:lnTo>
                                  <a:pt x="193" y="188"/>
                                </a:lnTo>
                                <a:close/>
                                <a:moveTo>
                                  <a:pt x="178" y="152"/>
                                </a:moveTo>
                                <a:lnTo>
                                  <a:pt x="132" y="46"/>
                                </a:lnTo>
                                <a:lnTo>
                                  <a:pt x="86" y="152"/>
                                </a:lnTo>
                                <a:lnTo>
                                  <a:pt x="178" y="152"/>
                                </a:lnTo>
                                <a:close/>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79" name="Freeform 15"/>
                        <wps:cNvSpPr>
                          <a:spLocks/>
                        </wps:cNvSpPr>
                        <wps:spPr bwMode="auto">
                          <a:xfrm>
                            <a:off x="6043630" y="736939"/>
                            <a:ext cx="112188" cy="126083"/>
                          </a:xfrm>
                          <a:custGeom>
                            <a:avLst/>
                            <a:gdLst>
                              <a:gd name="T0" fmla="*/ 218 w 218"/>
                              <a:gd name="T1" fmla="*/ 0 h 245"/>
                              <a:gd name="T2" fmla="*/ 218 w 218"/>
                              <a:gd name="T3" fmla="*/ 245 h 245"/>
                              <a:gd name="T4" fmla="*/ 180 w 218"/>
                              <a:gd name="T5" fmla="*/ 245 h 245"/>
                              <a:gd name="T6" fmla="*/ 45 w 218"/>
                              <a:gd name="T7" fmla="*/ 79 h 245"/>
                              <a:gd name="T8" fmla="*/ 45 w 218"/>
                              <a:gd name="T9" fmla="*/ 245 h 245"/>
                              <a:gd name="T10" fmla="*/ 0 w 218"/>
                              <a:gd name="T11" fmla="*/ 245 h 245"/>
                              <a:gd name="T12" fmla="*/ 0 w 218"/>
                              <a:gd name="T13" fmla="*/ 0 h 245"/>
                              <a:gd name="T14" fmla="*/ 38 w 218"/>
                              <a:gd name="T15" fmla="*/ 0 h 245"/>
                              <a:gd name="T16" fmla="*/ 173 w 218"/>
                              <a:gd name="T17" fmla="*/ 166 h 245"/>
                              <a:gd name="T18" fmla="*/ 173 w 218"/>
                              <a:gd name="T19" fmla="*/ 0 h 245"/>
                              <a:gd name="T20" fmla="*/ 218 w 218"/>
                              <a:gd name="T21" fmla="*/ 0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18" h="245">
                                <a:moveTo>
                                  <a:pt x="218" y="0"/>
                                </a:moveTo>
                                <a:lnTo>
                                  <a:pt x="218" y="245"/>
                                </a:lnTo>
                                <a:lnTo>
                                  <a:pt x="180" y="245"/>
                                </a:lnTo>
                                <a:lnTo>
                                  <a:pt x="45" y="79"/>
                                </a:lnTo>
                                <a:lnTo>
                                  <a:pt x="45" y="245"/>
                                </a:lnTo>
                                <a:lnTo>
                                  <a:pt x="0" y="245"/>
                                </a:lnTo>
                                <a:lnTo>
                                  <a:pt x="0" y="0"/>
                                </a:lnTo>
                                <a:lnTo>
                                  <a:pt x="38" y="0"/>
                                </a:lnTo>
                                <a:lnTo>
                                  <a:pt x="173" y="166"/>
                                </a:lnTo>
                                <a:lnTo>
                                  <a:pt x="173" y="0"/>
                                </a:lnTo>
                                <a:lnTo>
                                  <a:pt x="218" y="0"/>
                                </a:lnTo>
                                <a:close/>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80" name="Freeform 16"/>
                        <wps:cNvSpPr>
                          <a:spLocks/>
                        </wps:cNvSpPr>
                        <wps:spPr bwMode="auto">
                          <a:xfrm>
                            <a:off x="6252567" y="734880"/>
                            <a:ext cx="116819" cy="129685"/>
                          </a:xfrm>
                          <a:custGeom>
                            <a:avLst/>
                            <a:gdLst>
                              <a:gd name="T0" fmla="*/ 96 w 343"/>
                              <a:gd name="T1" fmla="*/ 355 h 379"/>
                              <a:gd name="T2" fmla="*/ 25 w 343"/>
                              <a:gd name="T3" fmla="*/ 287 h 379"/>
                              <a:gd name="T4" fmla="*/ 0 w 343"/>
                              <a:gd name="T5" fmla="*/ 190 h 379"/>
                              <a:gd name="T6" fmla="*/ 26 w 343"/>
                              <a:gd name="T7" fmla="*/ 92 h 379"/>
                              <a:gd name="T8" fmla="*/ 96 w 343"/>
                              <a:gd name="T9" fmla="*/ 25 h 379"/>
                              <a:gd name="T10" fmla="*/ 197 w 343"/>
                              <a:gd name="T11" fmla="*/ 0 h 379"/>
                              <a:gd name="T12" fmla="*/ 280 w 343"/>
                              <a:gd name="T13" fmla="*/ 16 h 379"/>
                              <a:gd name="T14" fmla="*/ 343 w 343"/>
                              <a:gd name="T15" fmla="*/ 62 h 379"/>
                              <a:gd name="T16" fmla="*/ 299 w 343"/>
                              <a:gd name="T17" fmla="*/ 104 h 379"/>
                              <a:gd name="T18" fmla="*/ 200 w 343"/>
                              <a:gd name="T19" fmla="*/ 60 h 379"/>
                              <a:gd name="T20" fmla="*/ 132 w 343"/>
                              <a:gd name="T21" fmla="*/ 77 h 379"/>
                              <a:gd name="T22" fmla="*/ 86 w 343"/>
                              <a:gd name="T23" fmla="*/ 123 h 379"/>
                              <a:gd name="T24" fmla="*/ 69 w 343"/>
                              <a:gd name="T25" fmla="*/ 190 h 379"/>
                              <a:gd name="T26" fmla="*/ 86 w 343"/>
                              <a:gd name="T27" fmla="*/ 257 h 379"/>
                              <a:gd name="T28" fmla="*/ 132 w 343"/>
                              <a:gd name="T29" fmla="*/ 303 h 379"/>
                              <a:gd name="T30" fmla="*/ 200 w 343"/>
                              <a:gd name="T31" fmla="*/ 319 h 379"/>
                              <a:gd name="T32" fmla="*/ 299 w 343"/>
                              <a:gd name="T33" fmla="*/ 276 h 379"/>
                              <a:gd name="T34" fmla="*/ 343 w 343"/>
                              <a:gd name="T35" fmla="*/ 318 h 379"/>
                              <a:gd name="T36" fmla="*/ 280 w 343"/>
                              <a:gd name="T37" fmla="*/ 364 h 379"/>
                              <a:gd name="T38" fmla="*/ 197 w 343"/>
                              <a:gd name="T39" fmla="*/ 379 h 379"/>
                              <a:gd name="T40" fmla="*/ 96 w 343"/>
                              <a:gd name="T41" fmla="*/ 355 h 3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343" h="379">
                                <a:moveTo>
                                  <a:pt x="96" y="355"/>
                                </a:moveTo>
                                <a:cubicBezTo>
                                  <a:pt x="66" y="339"/>
                                  <a:pt x="42" y="316"/>
                                  <a:pt x="25" y="287"/>
                                </a:cubicBezTo>
                                <a:cubicBezTo>
                                  <a:pt x="8" y="258"/>
                                  <a:pt x="0" y="226"/>
                                  <a:pt x="0" y="190"/>
                                </a:cubicBezTo>
                                <a:cubicBezTo>
                                  <a:pt x="0" y="154"/>
                                  <a:pt x="8" y="121"/>
                                  <a:pt x="26" y="92"/>
                                </a:cubicBezTo>
                                <a:cubicBezTo>
                                  <a:pt x="43" y="64"/>
                                  <a:pt x="66" y="41"/>
                                  <a:pt x="96" y="25"/>
                                </a:cubicBezTo>
                                <a:cubicBezTo>
                                  <a:pt x="126" y="9"/>
                                  <a:pt x="160" y="0"/>
                                  <a:pt x="197" y="0"/>
                                </a:cubicBezTo>
                                <a:cubicBezTo>
                                  <a:pt x="227" y="0"/>
                                  <a:pt x="255" y="6"/>
                                  <a:pt x="280" y="16"/>
                                </a:cubicBezTo>
                                <a:cubicBezTo>
                                  <a:pt x="305" y="27"/>
                                  <a:pt x="326" y="42"/>
                                  <a:pt x="343" y="62"/>
                                </a:cubicBezTo>
                                <a:cubicBezTo>
                                  <a:pt x="299" y="104"/>
                                  <a:pt x="299" y="104"/>
                                  <a:pt x="299" y="104"/>
                                </a:cubicBezTo>
                                <a:cubicBezTo>
                                  <a:pt x="272" y="75"/>
                                  <a:pt x="239" y="60"/>
                                  <a:pt x="200" y="60"/>
                                </a:cubicBezTo>
                                <a:cubicBezTo>
                                  <a:pt x="175" y="60"/>
                                  <a:pt x="153" y="66"/>
                                  <a:pt x="132" y="77"/>
                                </a:cubicBezTo>
                                <a:cubicBezTo>
                                  <a:pt x="112" y="88"/>
                                  <a:pt x="97" y="103"/>
                                  <a:pt x="86" y="123"/>
                                </a:cubicBezTo>
                                <a:cubicBezTo>
                                  <a:pt x="74" y="143"/>
                                  <a:pt x="69" y="165"/>
                                  <a:pt x="69" y="190"/>
                                </a:cubicBezTo>
                                <a:cubicBezTo>
                                  <a:pt x="69" y="215"/>
                                  <a:pt x="74" y="237"/>
                                  <a:pt x="86" y="257"/>
                                </a:cubicBezTo>
                                <a:cubicBezTo>
                                  <a:pt x="97" y="276"/>
                                  <a:pt x="112" y="292"/>
                                  <a:pt x="132" y="303"/>
                                </a:cubicBezTo>
                                <a:cubicBezTo>
                                  <a:pt x="153" y="314"/>
                                  <a:pt x="175" y="319"/>
                                  <a:pt x="200" y="319"/>
                                </a:cubicBezTo>
                                <a:cubicBezTo>
                                  <a:pt x="239" y="319"/>
                                  <a:pt x="272" y="305"/>
                                  <a:pt x="299" y="276"/>
                                </a:cubicBezTo>
                                <a:cubicBezTo>
                                  <a:pt x="343" y="318"/>
                                  <a:pt x="343" y="318"/>
                                  <a:pt x="343" y="318"/>
                                </a:cubicBezTo>
                                <a:cubicBezTo>
                                  <a:pt x="326" y="338"/>
                                  <a:pt x="305" y="353"/>
                                  <a:pt x="280" y="364"/>
                                </a:cubicBezTo>
                                <a:cubicBezTo>
                                  <a:pt x="254" y="374"/>
                                  <a:pt x="227" y="379"/>
                                  <a:pt x="197" y="379"/>
                                </a:cubicBezTo>
                                <a:cubicBezTo>
                                  <a:pt x="159" y="379"/>
                                  <a:pt x="126" y="371"/>
                                  <a:pt x="96" y="355"/>
                                </a:cubicBezTo>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81" name="Freeform 17"/>
                        <wps:cNvSpPr>
                          <a:spLocks/>
                        </wps:cNvSpPr>
                        <wps:spPr bwMode="auto">
                          <a:xfrm>
                            <a:off x="6463561" y="736939"/>
                            <a:ext cx="94690" cy="126083"/>
                          </a:xfrm>
                          <a:custGeom>
                            <a:avLst/>
                            <a:gdLst>
                              <a:gd name="T0" fmla="*/ 184 w 184"/>
                              <a:gd name="T1" fmla="*/ 207 h 245"/>
                              <a:gd name="T2" fmla="*/ 184 w 184"/>
                              <a:gd name="T3" fmla="*/ 245 h 245"/>
                              <a:gd name="T4" fmla="*/ 0 w 184"/>
                              <a:gd name="T5" fmla="*/ 245 h 245"/>
                              <a:gd name="T6" fmla="*/ 0 w 184"/>
                              <a:gd name="T7" fmla="*/ 0 h 245"/>
                              <a:gd name="T8" fmla="*/ 179 w 184"/>
                              <a:gd name="T9" fmla="*/ 0 h 245"/>
                              <a:gd name="T10" fmla="*/ 179 w 184"/>
                              <a:gd name="T11" fmla="*/ 38 h 245"/>
                              <a:gd name="T12" fmla="*/ 46 w 184"/>
                              <a:gd name="T13" fmla="*/ 38 h 245"/>
                              <a:gd name="T14" fmla="*/ 46 w 184"/>
                              <a:gd name="T15" fmla="*/ 102 h 245"/>
                              <a:gd name="T16" fmla="*/ 164 w 184"/>
                              <a:gd name="T17" fmla="*/ 102 h 245"/>
                              <a:gd name="T18" fmla="*/ 164 w 184"/>
                              <a:gd name="T19" fmla="*/ 139 h 245"/>
                              <a:gd name="T20" fmla="*/ 46 w 184"/>
                              <a:gd name="T21" fmla="*/ 139 h 245"/>
                              <a:gd name="T22" fmla="*/ 46 w 184"/>
                              <a:gd name="T23" fmla="*/ 207 h 245"/>
                              <a:gd name="T24" fmla="*/ 184 w 184"/>
                              <a:gd name="T25" fmla="*/ 207 h 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84" h="245">
                                <a:moveTo>
                                  <a:pt x="184" y="207"/>
                                </a:moveTo>
                                <a:lnTo>
                                  <a:pt x="184" y="245"/>
                                </a:lnTo>
                                <a:lnTo>
                                  <a:pt x="0" y="245"/>
                                </a:lnTo>
                                <a:lnTo>
                                  <a:pt x="0" y="0"/>
                                </a:lnTo>
                                <a:lnTo>
                                  <a:pt x="179" y="0"/>
                                </a:lnTo>
                                <a:lnTo>
                                  <a:pt x="179" y="38"/>
                                </a:lnTo>
                                <a:lnTo>
                                  <a:pt x="46" y="38"/>
                                </a:lnTo>
                                <a:lnTo>
                                  <a:pt x="46" y="102"/>
                                </a:lnTo>
                                <a:lnTo>
                                  <a:pt x="164" y="102"/>
                                </a:lnTo>
                                <a:lnTo>
                                  <a:pt x="164" y="139"/>
                                </a:lnTo>
                                <a:lnTo>
                                  <a:pt x="46" y="139"/>
                                </a:lnTo>
                                <a:lnTo>
                                  <a:pt x="46" y="207"/>
                                </a:lnTo>
                                <a:lnTo>
                                  <a:pt x="184" y="207"/>
                                </a:lnTo>
                                <a:close/>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82" name="Freeform 18"/>
                        <wps:cNvSpPr>
                          <a:spLocks/>
                        </wps:cNvSpPr>
                        <wps:spPr bwMode="auto">
                          <a:xfrm>
                            <a:off x="6645223" y="734880"/>
                            <a:ext cx="100351" cy="129685"/>
                          </a:xfrm>
                          <a:custGeom>
                            <a:avLst/>
                            <a:gdLst>
                              <a:gd name="T0" fmla="*/ 63 w 294"/>
                              <a:gd name="T1" fmla="*/ 367 h 379"/>
                              <a:gd name="T2" fmla="*/ 0 w 294"/>
                              <a:gd name="T3" fmla="*/ 335 h 379"/>
                              <a:gd name="T4" fmla="*/ 24 w 294"/>
                              <a:gd name="T5" fmla="*/ 282 h 379"/>
                              <a:gd name="T6" fmla="*/ 79 w 294"/>
                              <a:gd name="T7" fmla="*/ 311 h 379"/>
                              <a:gd name="T8" fmla="*/ 145 w 294"/>
                              <a:gd name="T9" fmla="*/ 322 h 379"/>
                              <a:gd name="T10" fmla="*/ 207 w 294"/>
                              <a:gd name="T11" fmla="*/ 309 h 379"/>
                              <a:gd name="T12" fmla="*/ 227 w 294"/>
                              <a:gd name="T13" fmla="*/ 275 h 379"/>
                              <a:gd name="T14" fmla="*/ 216 w 294"/>
                              <a:gd name="T15" fmla="*/ 249 h 379"/>
                              <a:gd name="T16" fmla="*/ 187 w 294"/>
                              <a:gd name="T17" fmla="*/ 233 h 379"/>
                              <a:gd name="T18" fmla="*/ 140 w 294"/>
                              <a:gd name="T19" fmla="*/ 219 h 379"/>
                              <a:gd name="T20" fmla="*/ 72 w 294"/>
                              <a:gd name="T21" fmla="*/ 199 h 379"/>
                              <a:gd name="T22" fmla="*/ 27 w 294"/>
                              <a:gd name="T23" fmla="*/ 168 h 379"/>
                              <a:gd name="T24" fmla="*/ 8 w 294"/>
                              <a:gd name="T25" fmla="*/ 110 h 379"/>
                              <a:gd name="T26" fmla="*/ 25 w 294"/>
                              <a:gd name="T27" fmla="*/ 55 h 379"/>
                              <a:gd name="T28" fmla="*/ 75 w 294"/>
                              <a:gd name="T29" fmla="*/ 15 h 379"/>
                              <a:gd name="T30" fmla="*/ 157 w 294"/>
                              <a:gd name="T31" fmla="*/ 0 h 379"/>
                              <a:gd name="T32" fmla="*/ 223 w 294"/>
                              <a:gd name="T33" fmla="*/ 9 h 379"/>
                              <a:gd name="T34" fmla="*/ 279 w 294"/>
                              <a:gd name="T35" fmla="*/ 33 h 379"/>
                              <a:gd name="T36" fmla="*/ 258 w 294"/>
                              <a:gd name="T37" fmla="*/ 86 h 379"/>
                              <a:gd name="T38" fmla="*/ 207 w 294"/>
                              <a:gd name="T39" fmla="*/ 65 h 379"/>
                              <a:gd name="T40" fmla="*/ 156 w 294"/>
                              <a:gd name="T41" fmla="*/ 57 h 379"/>
                              <a:gd name="T42" fmla="*/ 96 w 294"/>
                              <a:gd name="T43" fmla="*/ 71 h 379"/>
                              <a:gd name="T44" fmla="*/ 76 w 294"/>
                              <a:gd name="T45" fmla="*/ 107 h 379"/>
                              <a:gd name="T46" fmla="*/ 87 w 294"/>
                              <a:gd name="T47" fmla="*/ 133 h 379"/>
                              <a:gd name="T48" fmla="*/ 116 w 294"/>
                              <a:gd name="T49" fmla="*/ 149 h 379"/>
                              <a:gd name="T50" fmla="*/ 163 w 294"/>
                              <a:gd name="T51" fmla="*/ 162 h 379"/>
                              <a:gd name="T52" fmla="*/ 231 w 294"/>
                              <a:gd name="T53" fmla="*/ 182 h 379"/>
                              <a:gd name="T54" fmla="*/ 276 w 294"/>
                              <a:gd name="T55" fmla="*/ 213 h 379"/>
                              <a:gd name="T56" fmla="*/ 294 w 294"/>
                              <a:gd name="T57" fmla="*/ 270 h 379"/>
                              <a:gd name="T58" fmla="*/ 278 w 294"/>
                              <a:gd name="T59" fmla="*/ 325 h 379"/>
                              <a:gd name="T60" fmla="*/ 228 w 294"/>
                              <a:gd name="T61" fmla="*/ 365 h 379"/>
                              <a:gd name="T62" fmla="*/ 145 w 294"/>
                              <a:gd name="T63" fmla="*/ 379 h 379"/>
                              <a:gd name="T64" fmla="*/ 63 w 294"/>
                              <a:gd name="T65" fmla="*/ 367 h 3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4" h="379">
                                <a:moveTo>
                                  <a:pt x="63" y="367"/>
                                </a:moveTo>
                                <a:cubicBezTo>
                                  <a:pt x="37" y="359"/>
                                  <a:pt x="16" y="348"/>
                                  <a:pt x="0" y="335"/>
                                </a:cubicBezTo>
                                <a:cubicBezTo>
                                  <a:pt x="24" y="282"/>
                                  <a:pt x="24" y="282"/>
                                  <a:pt x="24" y="282"/>
                                </a:cubicBezTo>
                                <a:cubicBezTo>
                                  <a:pt x="39" y="294"/>
                                  <a:pt x="58" y="304"/>
                                  <a:pt x="79" y="311"/>
                                </a:cubicBezTo>
                                <a:cubicBezTo>
                                  <a:pt x="101" y="319"/>
                                  <a:pt x="123" y="322"/>
                                  <a:pt x="145" y="322"/>
                                </a:cubicBezTo>
                                <a:cubicBezTo>
                                  <a:pt x="173" y="322"/>
                                  <a:pt x="193" y="318"/>
                                  <a:pt x="207" y="309"/>
                                </a:cubicBezTo>
                                <a:cubicBezTo>
                                  <a:pt x="220" y="301"/>
                                  <a:pt x="227" y="289"/>
                                  <a:pt x="227" y="275"/>
                                </a:cubicBezTo>
                                <a:cubicBezTo>
                                  <a:pt x="227" y="264"/>
                                  <a:pt x="223" y="255"/>
                                  <a:pt x="216" y="249"/>
                                </a:cubicBezTo>
                                <a:cubicBezTo>
                                  <a:pt x="208" y="242"/>
                                  <a:pt x="199" y="236"/>
                                  <a:pt x="187" y="233"/>
                                </a:cubicBezTo>
                                <a:cubicBezTo>
                                  <a:pt x="176" y="229"/>
                                  <a:pt x="160" y="224"/>
                                  <a:pt x="140" y="219"/>
                                </a:cubicBezTo>
                                <a:cubicBezTo>
                                  <a:pt x="112" y="213"/>
                                  <a:pt x="89" y="206"/>
                                  <a:pt x="72" y="199"/>
                                </a:cubicBezTo>
                                <a:cubicBezTo>
                                  <a:pt x="54" y="193"/>
                                  <a:pt x="39" y="182"/>
                                  <a:pt x="27" y="168"/>
                                </a:cubicBezTo>
                                <a:cubicBezTo>
                                  <a:pt x="14" y="154"/>
                                  <a:pt x="8" y="135"/>
                                  <a:pt x="8" y="110"/>
                                </a:cubicBezTo>
                                <a:cubicBezTo>
                                  <a:pt x="8" y="90"/>
                                  <a:pt x="14" y="72"/>
                                  <a:pt x="25" y="55"/>
                                </a:cubicBezTo>
                                <a:cubicBezTo>
                                  <a:pt x="36" y="38"/>
                                  <a:pt x="52" y="25"/>
                                  <a:pt x="75" y="15"/>
                                </a:cubicBezTo>
                                <a:cubicBezTo>
                                  <a:pt x="97" y="5"/>
                                  <a:pt x="124" y="0"/>
                                  <a:pt x="157" y="0"/>
                                </a:cubicBezTo>
                                <a:cubicBezTo>
                                  <a:pt x="179" y="0"/>
                                  <a:pt x="201" y="3"/>
                                  <a:pt x="223" y="9"/>
                                </a:cubicBezTo>
                                <a:cubicBezTo>
                                  <a:pt x="245" y="15"/>
                                  <a:pt x="263" y="23"/>
                                  <a:pt x="279" y="33"/>
                                </a:cubicBezTo>
                                <a:cubicBezTo>
                                  <a:pt x="258" y="86"/>
                                  <a:pt x="258" y="86"/>
                                  <a:pt x="258" y="86"/>
                                </a:cubicBezTo>
                                <a:cubicBezTo>
                                  <a:pt x="241" y="77"/>
                                  <a:pt x="225" y="70"/>
                                  <a:pt x="207" y="65"/>
                                </a:cubicBezTo>
                                <a:cubicBezTo>
                                  <a:pt x="190" y="60"/>
                                  <a:pt x="173" y="57"/>
                                  <a:pt x="156" y="57"/>
                                </a:cubicBezTo>
                                <a:cubicBezTo>
                                  <a:pt x="129" y="57"/>
                                  <a:pt x="109" y="62"/>
                                  <a:pt x="96" y="71"/>
                                </a:cubicBezTo>
                                <a:cubicBezTo>
                                  <a:pt x="83" y="80"/>
                                  <a:pt x="76" y="92"/>
                                  <a:pt x="76" y="107"/>
                                </a:cubicBezTo>
                                <a:cubicBezTo>
                                  <a:pt x="76" y="118"/>
                                  <a:pt x="80" y="126"/>
                                  <a:pt x="87" y="133"/>
                                </a:cubicBezTo>
                                <a:cubicBezTo>
                                  <a:pt x="95" y="140"/>
                                  <a:pt x="104" y="145"/>
                                  <a:pt x="116" y="149"/>
                                </a:cubicBezTo>
                                <a:cubicBezTo>
                                  <a:pt x="128" y="153"/>
                                  <a:pt x="143" y="157"/>
                                  <a:pt x="163" y="162"/>
                                </a:cubicBezTo>
                                <a:cubicBezTo>
                                  <a:pt x="191" y="168"/>
                                  <a:pt x="213" y="175"/>
                                  <a:pt x="231" y="182"/>
                                </a:cubicBezTo>
                                <a:cubicBezTo>
                                  <a:pt x="248" y="189"/>
                                  <a:pt x="263" y="199"/>
                                  <a:pt x="276" y="213"/>
                                </a:cubicBezTo>
                                <a:cubicBezTo>
                                  <a:pt x="288" y="227"/>
                                  <a:pt x="294" y="246"/>
                                  <a:pt x="294" y="270"/>
                                </a:cubicBezTo>
                                <a:cubicBezTo>
                                  <a:pt x="294" y="290"/>
                                  <a:pt x="289" y="309"/>
                                  <a:pt x="278" y="325"/>
                                </a:cubicBezTo>
                                <a:cubicBezTo>
                                  <a:pt x="267" y="342"/>
                                  <a:pt x="250" y="355"/>
                                  <a:pt x="228" y="365"/>
                                </a:cubicBezTo>
                                <a:cubicBezTo>
                                  <a:pt x="205" y="374"/>
                                  <a:pt x="178" y="379"/>
                                  <a:pt x="145" y="379"/>
                                </a:cubicBezTo>
                                <a:cubicBezTo>
                                  <a:pt x="117" y="379"/>
                                  <a:pt x="90" y="375"/>
                                  <a:pt x="63" y="367"/>
                                </a:cubicBezTo>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83" name="Freeform 19"/>
                        <wps:cNvSpPr>
                          <a:spLocks noEditPoints="1"/>
                        </wps:cNvSpPr>
                        <wps:spPr bwMode="auto">
                          <a:xfrm>
                            <a:off x="4816772" y="322154"/>
                            <a:ext cx="360750" cy="328329"/>
                          </a:xfrm>
                          <a:custGeom>
                            <a:avLst/>
                            <a:gdLst>
                              <a:gd name="T0" fmla="*/ 781 w 1057"/>
                              <a:gd name="T1" fmla="*/ 961 h 961"/>
                              <a:gd name="T2" fmla="*/ 1055 w 1057"/>
                              <a:gd name="T3" fmla="*/ 961 h 961"/>
                              <a:gd name="T4" fmla="*/ 1054 w 1057"/>
                              <a:gd name="T5" fmla="*/ 460 h 961"/>
                              <a:gd name="T6" fmla="*/ 574 w 1057"/>
                              <a:gd name="T7" fmla="*/ 0 h 961"/>
                              <a:gd name="T8" fmla="*/ 481 w 1057"/>
                              <a:gd name="T9" fmla="*/ 0 h 961"/>
                              <a:gd name="T10" fmla="*/ 0 w 1057"/>
                              <a:gd name="T11" fmla="*/ 481 h 961"/>
                              <a:gd name="T12" fmla="*/ 480 w 1057"/>
                              <a:gd name="T13" fmla="*/ 961 h 961"/>
                              <a:gd name="T14" fmla="*/ 781 w 1057"/>
                              <a:gd name="T15" fmla="*/ 823 h 961"/>
                              <a:gd name="T16" fmla="*/ 781 w 1057"/>
                              <a:gd name="T17" fmla="*/ 961 h 961"/>
                              <a:gd name="T18" fmla="*/ 527 w 1057"/>
                              <a:gd name="T19" fmla="*/ 735 h 961"/>
                              <a:gd name="T20" fmla="*/ 273 w 1057"/>
                              <a:gd name="T21" fmla="*/ 480 h 961"/>
                              <a:gd name="T22" fmla="*/ 527 w 1057"/>
                              <a:gd name="T23" fmla="*/ 226 h 961"/>
                              <a:gd name="T24" fmla="*/ 782 w 1057"/>
                              <a:gd name="T25" fmla="*/ 480 h 961"/>
                              <a:gd name="T26" fmla="*/ 527 w 1057"/>
                              <a:gd name="T27" fmla="*/ 735 h 9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057" h="961">
                                <a:moveTo>
                                  <a:pt x="781" y="961"/>
                                </a:moveTo>
                                <a:cubicBezTo>
                                  <a:pt x="1055" y="961"/>
                                  <a:pt x="1055" y="961"/>
                                  <a:pt x="1055" y="961"/>
                                </a:cubicBezTo>
                                <a:cubicBezTo>
                                  <a:pt x="1055" y="961"/>
                                  <a:pt x="1057" y="585"/>
                                  <a:pt x="1054" y="460"/>
                                </a:cubicBezTo>
                                <a:cubicBezTo>
                                  <a:pt x="1049" y="204"/>
                                  <a:pt x="833" y="0"/>
                                  <a:pt x="574" y="0"/>
                                </a:cubicBezTo>
                                <a:cubicBezTo>
                                  <a:pt x="481" y="0"/>
                                  <a:pt x="481" y="0"/>
                                  <a:pt x="481" y="0"/>
                                </a:cubicBezTo>
                                <a:cubicBezTo>
                                  <a:pt x="215" y="0"/>
                                  <a:pt x="0" y="215"/>
                                  <a:pt x="0" y="481"/>
                                </a:cubicBezTo>
                                <a:cubicBezTo>
                                  <a:pt x="0" y="746"/>
                                  <a:pt x="215" y="961"/>
                                  <a:pt x="480" y="961"/>
                                </a:cubicBezTo>
                                <a:cubicBezTo>
                                  <a:pt x="601" y="961"/>
                                  <a:pt x="708" y="908"/>
                                  <a:pt x="781" y="823"/>
                                </a:cubicBezTo>
                                <a:lnTo>
                                  <a:pt x="781" y="961"/>
                                </a:lnTo>
                                <a:close/>
                                <a:moveTo>
                                  <a:pt x="527" y="735"/>
                                </a:moveTo>
                                <a:cubicBezTo>
                                  <a:pt x="387" y="735"/>
                                  <a:pt x="273" y="621"/>
                                  <a:pt x="273" y="480"/>
                                </a:cubicBezTo>
                                <a:cubicBezTo>
                                  <a:pt x="273" y="340"/>
                                  <a:pt x="387" y="226"/>
                                  <a:pt x="527" y="226"/>
                                </a:cubicBezTo>
                                <a:cubicBezTo>
                                  <a:pt x="668" y="226"/>
                                  <a:pt x="782" y="340"/>
                                  <a:pt x="782" y="480"/>
                                </a:cubicBezTo>
                                <a:cubicBezTo>
                                  <a:pt x="782" y="621"/>
                                  <a:pt x="668" y="735"/>
                                  <a:pt x="527" y="735"/>
                                </a:cubicBezTo>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84" name="Freeform 20"/>
                        <wps:cNvSpPr>
                          <a:spLocks noEditPoints="1"/>
                        </wps:cNvSpPr>
                        <wps:spPr bwMode="auto">
                          <a:xfrm>
                            <a:off x="5214574" y="220773"/>
                            <a:ext cx="360750" cy="429709"/>
                          </a:xfrm>
                          <a:custGeom>
                            <a:avLst/>
                            <a:gdLst>
                              <a:gd name="T0" fmla="*/ 276 w 1057"/>
                              <a:gd name="T1" fmla="*/ 0 h 1258"/>
                              <a:gd name="T2" fmla="*/ 2 w 1057"/>
                              <a:gd name="T3" fmla="*/ 0 h 1258"/>
                              <a:gd name="T4" fmla="*/ 3 w 1057"/>
                              <a:gd name="T5" fmla="*/ 798 h 1258"/>
                              <a:gd name="T6" fmla="*/ 483 w 1057"/>
                              <a:gd name="T7" fmla="*/ 1258 h 1258"/>
                              <a:gd name="T8" fmla="*/ 576 w 1057"/>
                              <a:gd name="T9" fmla="*/ 1258 h 1258"/>
                              <a:gd name="T10" fmla="*/ 1057 w 1057"/>
                              <a:gd name="T11" fmla="*/ 778 h 1258"/>
                              <a:gd name="T12" fmla="*/ 577 w 1057"/>
                              <a:gd name="T13" fmla="*/ 297 h 1258"/>
                              <a:gd name="T14" fmla="*/ 276 w 1057"/>
                              <a:gd name="T15" fmla="*/ 435 h 1258"/>
                              <a:gd name="T16" fmla="*/ 276 w 1057"/>
                              <a:gd name="T17" fmla="*/ 0 h 1258"/>
                              <a:gd name="T18" fmla="*/ 530 w 1057"/>
                              <a:gd name="T19" fmla="*/ 523 h 1258"/>
                              <a:gd name="T20" fmla="*/ 784 w 1057"/>
                              <a:gd name="T21" fmla="*/ 778 h 1258"/>
                              <a:gd name="T22" fmla="*/ 530 w 1057"/>
                              <a:gd name="T23" fmla="*/ 1032 h 1258"/>
                              <a:gd name="T24" fmla="*/ 275 w 1057"/>
                              <a:gd name="T25" fmla="*/ 778 h 1258"/>
                              <a:gd name="T26" fmla="*/ 530 w 1057"/>
                              <a:gd name="T27" fmla="*/ 523 h 12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057" h="1258">
                                <a:moveTo>
                                  <a:pt x="276" y="0"/>
                                </a:moveTo>
                                <a:cubicBezTo>
                                  <a:pt x="2" y="0"/>
                                  <a:pt x="2" y="0"/>
                                  <a:pt x="2" y="0"/>
                                </a:cubicBezTo>
                                <a:cubicBezTo>
                                  <a:pt x="2" y="0"/>
                                  <a:pt x="0" y="673"/>
                                  <a:pt x="3" y="798"/>
                                </a:cubicBezTo>
                                <a:cubicBezTo>
                                  <a:pt x="9" y="1054"/>
                                  <a:pt x="225" y="1258"/>
                                  <a:pt x="483" y="1258"/>
                                </a:cubicBezTo>
                                <a:cubicBezTo>
                                  <a:pt x="576" y="1258"/>
                                  <a:pt x="576" y="1258"/>
                                  <a:pt x="576" y="1258"/>
                                </a:cubicBezTo>
                                <a:cubicBezTo>
                                  <a:pt x="842" y="1258"/>
                                  <a:pt x="1057" y="1043"/>
                                  <a:pt x="1057" y="778"/>
                                </a:cubicBezTo>
                                <a:cubicBezTo>
                                  <a:pt x="1057" y="512"/>
                                  <a:pt x="842" y="297"/>
                                  <a:pt x="577" y="297"/>
                                </a:cubicBezTo>
                                <a:cubicBezTo>
                                  <a:pt x="456" y="297"/>
                                  <a:pt x="349" y="350"/>
                                  <a:pt x="276" y="435"/>
                                </a:cubicBezTo>
                                <a:lnTo>
                                  <a:pt x="276" y="0"/>
                                </a:lnTo>
                                <a:close/>
                                <a:moveTo>
                                  <a:pt x="530" y="523"/>
                                </a:moveTo>
                                <a:cubicBezTo>
                                  <a:pt x="670" y="523"/>
                                  <a:pt x="784" y="637"/>
                                  <a:pt x="784" y="778"/>
                                </a:cubicBezTo>
                                <a:cubicBezTo>
                                  <a:pt x="784" y="918"/>
                                  <a:pt x="670" y="1032"/>
                                  <a:pt x="530" y="1032"/>
                                </a:cubicBezTo>
                                <a:cubicBezTo>
                                  <a:pt x="389" y="1032"/>
                                  <a:pt x="275" y="918"/>
                                  <a:pt x="275" y="778"/>
                                </a:cubicBezTo>
                                <a:cubicBezTo>
                                  <a:pt x="275" y="637"/>
                                  <a:pt x="389" y="523"/>
                                  <a:pt x="530" y="523"/>
                                </a:cubicBezTo>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85" name="Freeform 21"/>
                        <wps:cNvSpPr>
                          <a:spLocks noEditPoints="1"/>
                        </wps:cNvSpPr>
                        <wps:spPr bwMode="auto">
                          <a:xfrm>
                            <a:off x="5611862" y="318037"/>
                            <a:ext cx="340680" cy="326785"/>
                          </a:xfrm>
                          <a:custGeom>
                            <a:avLst/>
                            <a:gdLst>
                              <a:gd name="T0" fmla="*/ 298 w 998"/>
                              <a:gd name="T1" fmla="*/ 545 h 957"/>
                              <a:gd name="T2" fmla="*/ 994 w 998"/>
                              <a:gd name="T3" fmla="*/ 545 h 957"/>
                              <a:gd name="T4" fmla="*/ 871 w 998"/>
                              <a:gd name="T5" fmla="*/ 145 h 957"/>
                              <a:gd name="T6" fmla="*/ 495 w 998"/>
                              <a:gd name="T7" fmla="*/ 0 h 957"/>
                              <a:gd name="T8" fmla="*/ 137 w 998"/>
                              <a:gd name="T9" fmla="*/ 131 h 957"/>
                              <a:gd name="T10" fmla="*/ 0 w 998"/>
                              <a:gd name="T11" fmla="*/ 467 h 957"/>
                              <a:gd name="T12" fmla="*/ 146 w 998"/>
                              <a:gd name="T13" fmla="*/ 825 h 957"/>
                              <a:gd name="T14" fmla="*/ 537 w 998"/>
                              <a:gd name="T15" fmla="*/ 957 h 957"/>
                              <a:gd name="T16" fmla="*/ 687 w 998"/>
                              <a:gd name="T17" fmla="*/ 957 h 957"/>
                              <a:gd name="T18" fmla="*/ 825 w 998"/>
                              <a:gd name="T19" fmla="*/ 753 h 957"/>
                              <a:gd name="T20" fmla="*/ 580 w 998"/>
                              <a:gd name="T21" fmla="*/ 753 h 957"/>
                              <a:gd name="T22" fmla="*/ 298 w 998"/>
                              <a:gd name="T23" fmla="*/ 545 h 957"/>
                              <a:gd name="T24" fmla="*/ 364 w 998"/>
                              <a:gd name="T25" fmla="*/ 238 h 957"/>
                              <a:gd name="T26" fmla="*/ 503 w 998"/>
                              <a:gd name="T27" fmla="*/ 189 h 957"/>
                              <a:gd name="T28" fmla="*/ 640 w 998"/>
                              <a:gd name="T29" fmla="*/ 236 h 957"/>
                              <a:gd name="T30" fmla="*/ 704 w 998"/>
                              <a:gd name="T31" fmla="*/ 365 h 957"/>
                              <a:gd name="T32" fmla="*/ 291 w 998"/>
                              <a:gd name="T33" fmla="*/ 365 h 957"/>
                              <a:gd name="T34" fmla="*/ 364 w 998"/>
                              <a:gd name="T35" fmla="*/ 238 h 9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998" h="957">
                                <a:moveTo>
                                  <a:pt x="298" y="545"/>
                                </a:moveTo>
                                <a:cubicBezTo>
                                  <a:pt x="994" y="545"/>
                                  <a:pt x="994" y="545"/>
                                  <a:pt x="994" y="545"/>
                                </a:cubicBezTo>
                                <a:cubicBezTo>
                                  <a:pt x="998" y="376"/>
                                  <a:pt x="956" y="243"/>
                                  <a:pt x="871" y="145"/>
                                </a:cubicBezTo>
                                <a:cubicBezTo>
                                  <a:pt x="785" y="48"/>
                                  <a:pt x="660" y="0"/>
                                  <a:pt x="495" y="0"/>
                                </a:cubicBezTo>
                                <a:cubicBezTo>
                                  <a:pt x="347" y="0"/>
                                  <a:pt x="228" y="43"/>
                                  <a:pt x="137" y="131"/>
                                </a:cubicBezTo>
                                <a:cubicBezTo>
                                  <a:pt x="46" y="219"/>
                                  <a:pt x="0" y="331"/>
                                  <a:pt x="0" y="467"/>
                                </a:cubicBezTo>
                                <a:cubicBezTo>
                                  <a:pt x="0" y="619"/>
                                  <a:pt x="49" y="738"/>
                                  <a:pt x="146" y="825"/>
                                </a:cubicBezTo>
                                <a:cubicBezTo>
                                  <a:pt x="238" y="907"/>
                                  <a:pt x="363" y="957"/>
                                  <a:pt x="537" y="957"/>
                                </a:cubicBezTo>
                                <a:cubicBezTo>
                                  <a:pt x="687" y="957"/>
                                  <a:pt x="687" y="957"/>
                                  <a:pt x="687" y="957"/>
                                </a:cubicBezTo>
                                <a:cubicBezTo>
                                  <a:pt x="825" y="753"/>
                                  <a:pt x="825" y="753"/>
                                  <a:pt x="825" y="753"/>
                                </a:cubicBezTo>
                                <a:cubicBezTo>
                                  <a:pt x="580" y="753"/>
                                  <a:pt x="580" y="753"/>
                                  <a:pt x="580" y="753"/>
                                </a:cubicBezTo>
                                <a:cubicBezTo>
                                  <a:pt x="403" y="753"/>
                                  <a:pt x="298" y="628"/>
                                  <a:pt x="298" y="545"/>
                                </a:cubicBezTo>
                                <a:moveTo>
                                  <a:pt x="364" y="238"/>
                                </a:moveTo>
                                <a:cubicBezTo>
                                  <a:pt x="400" y="206"/>
                                  <a:pt x="447" y="189"/>
                                  <a:pt x="503" y="189"/>
                                </a:cubicBezTo>
                                <a:cubicBezTo>
                                  <a:pt x="559" y="189"/>
                                  <a:pt x="604" y="205"/>
                                  <a:pt x="640" y="236"/>
                                </a:cubicBezTo>
                                <a:cubicBezTo>
                                  <a:pt x="675" y="267"/>
                                  <a:pt x="697" y="310"/>
                                  <a:pt x="704" y="365"/>
                                </a:cubicBezTo>
                                <a:cubicBezTo>
                                  <a:pt x="291" y="365"/>
                                  <a:pt x="291" y="365"/>
                                  <a:pt x="291" y="365"/>
                                </a:cubicBezTo>
                                <a:cubicBezTo>
                                  <a:pt x="302" y="313"/>
                                  <a:pt x="327" y="270"/>
                                  <a:pt x="364" y="238"/>
                                </a:cubicBezTo>
                              </a:path>
                            </a:pathLst>
                          </a:custGeom>
                          <a:solidFill>
                            <a:schemeClr val="tx1"/>
                          </a:solidFill>
                          <a:ln>
                            <a:noFill/>
                          </a:ln>
                        </wps:spPr>
                        <wps:bodyPr vert="horz" wrap="square" lIns="91440" tIns="45720" rIns="91440" bIns="45720" numCol="1" anchor="t" anchorCtr="0" compatLnSpc="1">
                          <a:prstTxWarp prst="textNoShape">
                            <a:avLst/>
                          </a:prstTxWarp>
                        </wps:bodyPr>
                      </wps:wsp>
                      <wps:wsp>
                        <wps:cNvPr id="2286" name="Rectangle 2286"/>
                        <wps:cNvSpPr>
                          <a:spLocks noChangeArrowheads="1"/>
                        </wps:cNvSpPr>
                        <wps:spPr bwMode="auto">
                          <a:xfrm>
                            <a:off x="5994741" y="330388"/>
                            <a:ext cx="93661" cy="314434"/>
                          </a:xfrm>
                          <a:prstGeom prst="rect">
                            <a:avLst/>
                          </a:prstGeom>
                          <a:solidFill>
                            <a:schemeClr val="tx1"/>
                          </a:solidFill>
                          <a:ln>
                            <a:noFill/>
                          </a:ln>
                        </wps:spPr>
                        <wps:bodyPr vert="horz" wrap="square" lIns="91440" tIns="45720" rIns="91440" bIns="45720" numCol="1" anchor="t" anchorCtr="0" compatLnSpc="1">
                          <a:prstTxWarp prst="textNoShape">
                            <a:avLst/>
                          </a:prstTxWarp>
                        </wps:bodyPr>
                      </wps:wsp>
                      <wps:wsp>
                        <wps:cNvPr id="2287" name="Oval 23"/>
                        <wps:cNvSpPr>
                          <a:spLocks noChangeArrowheads="1"/>
                        </wps:cNvSpPr>
                        <wps:spPr bwMode="auto">
                          <a:xfrm>
                            <a:off x="5992682" y="216656"/>
                            <a:ext cx="97778" cy="91603"/>
                          </a:xfrm>
                          <a:prstGeom prst="ellipse">
                            <a:avLst/>
                          </a:prstGeom>
                          <a:solidFill>
                            <a:schemeClr val="tx1"/>
                          </a:solidFill>
                          <a:ln>
                            <a:noFill/>
                          </a:ln>
                        </wps:spPr>
                        <wps:bodyPr vert="horz" wrap="square" lIns="91440" tIns="45720" rIns="91440" bIns="45720" numCol="1" anchor="t" anchorCtr="0" compatLnSpc="1">
                          <a:prstTxWarp prst="textNoShape">
                            <a:avLst/>
                          </a:prstTxWarp>
                        </wps:bodyPr>
                      </wps:wsp>
                      <wps:wsp>
                        <wps:cNvPr id="2288" name="Rectangle 2288"/>
                        <wps:cNvSpPr>
                          <a:spLocks noChangeArrowheads="1"/>
                        </wps:cNvSpPr>
                        <wps:spPr bwMode="auto">
                          <a:xfrm>
                            <a:off x="6161478" y="220773"/>
                            <a:ext cx="93661" cy="424048"/>
                          </a:xfrm>
                          <a:prstGeom prst="rect">
                            <a:avLst/>
                          </a:prstGeom>
                          <a:solidFill>
                            <a:schemeClr val="tx1"/>
                          </a:solidFill>
                          <a:ln>
                            <a:noFill/>
                          </a:ln>
                        </wps:spPr>
                        <wps:bodyPr vert="horz" wrap="square" lIns="91440" tIns="45720" rIns="91440" bIns="45720" numCol="1" anchor="t" anchorCtr="0" compatLnSpc="1">
                          <a:prstTxWarp prst="textNoShape">
                            <a:avLst/>
                          </a:prstTxWarp>
                        </wps:bodyPr>
                      </wps:wsp>
                      <wps:wsp>
                        <wps:cNvPr id="2289" name="Rectangle 2289"/>
                        <wps:cNvSpPr>
                          <a:spLocks noChangeArrowheads="1"/>
                        </wps:cNvSpPr>
                        <wps:spPr bwMode="auto">
                          <a:xfrm>
                            <a:off x="6328216" y="220773"/>
                            <a:ext cx="93661" cy="424048"/>
                          </a:xfrm>
                          <a:prstGeom prst="rect">
                            <a:avLst/>
                          </a:prstGeom>
                          <a:solidFill>
                            <a:schemeClr val="tx1"/>
                          </a:solidFill>
                          <a:ln>
                            <a:noFill/>
                          </a:ln>
                        </wps:spPr>
                        <wps:bodyPr vert="horz" wrap="square" lIns="91440" tIns="45720" rIns="91440" bIns="45720" numCol="1" anchor="t" anchorCtr="0" compatLnSpc="1">
                          <a:prstTxWarp prst="textNoShape">
                            <a:avLst/>
                          </a:prstTxWarp>
                        </wps:bodyPr>
                      </wps:wsp>
                      <wps:wsp>
                        <wps:cNvPr id="2290" name="Freeform 26"/>
                        <wps:cNvSpPr>
                          <a:spLocks noEditPoints="1"/>
                        </wps:cNvSpPr>
                        <wps:spPr bwMode="auto">
                          <a:xfrm>
                            <a:off x="6461503" y="318037"/>
                            <a:ext cx="340680" cy="326785"/>
                          </a:xfrm>
                          <a:custGeom>
                            <a:avLst/>
                            <a:gdLst>
                              <a:gd name="T0" fmla="*/ 297 w 997"/>
                              <a:gd name="T1" fmla="*/ 545 h 957"/>
                              <a:gd name="T2" fmla="*/ 993 w 997"/>
                              <a:gd name="T3" fmla="*/ 545 h 957"/>
                              <a:gd name="T4" fmla="*/ 870 w 997"/>
                              <a:gd name="T5" fmla="*/ 145 h 957"/>
                              <a:gd name="T6" fmla="*/ 494 w 997"/>
                              <a:gd name="T7" fmla="*/ 0 h 957"/>
                              <a:gd name="T8" fmla="*/ 136 w 997"/>
                              <a:gd name="T9" fmla="*/ 131 h 957"/>
                              <a:gd name="T10" fmla="*/ 0 w 997"/>
                              <a:gd name="T11" fmla="*/ 467 h 957"/>
                              <a:gd name="T12" fmla="*/ 146 w 997"/>
                              <a:gd name="T13" fmla="*/ 825 h 957"/>
                              <a:gd name="T14" fmla="*/ 536 w 997"/>
                              <a:gd name="T15" fmla="*/ 957 h 957"/>
                              <a:gd name="T16" fmla="*/ 686 w 997"/>
                              <a:gd name="T17" fmla="*/ 957 h 957"/>
                              <a:gd name="T18" fmla="*/ 825 w 997"/>
                              <a:gd name="T19" fmla="*/ 753 h 957"/>
                              <a:gd name="T20" fmla="*/ 579 w 997"/>
                              <a:gd name="T21" fmla="*/ 753 h 957"/>
                              <a:gd name="T22" fmla="*/ 297 w 997"/>
                              <a:gd name="T23" fmla="*/ 545 h 957"/>
                              <a:gd name="T24" fmla="*/ 363 w 997"/>
                              <a:gd name="T25" fmla="*/ 238 h 957"/>
                              <a:gd name="T26" fmla="*/ 503 w 997"/>
                              <a:gd name="T27" fmla="*/ 189 h 957"/>
                              <a:gd name="T28" fmla="*/ 639 w 997"/>
                              <a:gd name="T29" fmla="*/ 236 h 957"/>
                              <a:gd name="T30" fmla="*/ 703 w 997"/>
                              <a:gd name="T31" fmla="*/ 365 h 957"/>
                              <a:gd name="T32" fmla="*/ 290 w 997"/>
                              <a:gd name="T33" fmla="*/ 365 h 957"/>
                              <a:gd name="T34" fmla="*/ 363 w 997"/>
                              <a:gd name="T35" fmla="*/ 238 h 9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997" h="957">
                                <a:moveTo>
                                  <a:pt x="297" y="545"/>
                                </a:moveTo>
                                <a:cubicBezTo>
                                  <a:pt x="993" y="545"/>
                                  <a:pt x="993" y="545"/>
                                  <a:pt x="993" y="545"/>
                                </a:cubicBezTo>
                                <a:cubicBezTo>
                                  <a:pt x="997" y="376"/>
                                  <a:pt x="956" y="243"/>
                                  <a:pt x="870" y="145"/>
                                </a:cubicBezTo>
                                <a:cubicBezTo>
                                  <a:pt x="785" y="48"/>
                                  <a:pt x="659" y="0"/>
                                  <a:pt x="494" y="0"/>
                                </a:cubicBezTo>
                                <a:cubicBezTo>
                                  <a:pt x="346" y="0"/>
                                  <a:pt x="227" y="43"/>
                                  <a:pt x="136" y="131"/>
                                </a:cubicBezTo>
                                <a:cubicBezTo>
                                  <a:pt x="45" y="219"/>
                                  <a:pt x="0" y="331"/>
                                  <a:pt x="0" y="467"/>
                                </a:cubicBezTo>
                                <a:cubicBezTo>
                                  <a:pt x="0" y="619"/>
                                  <a:pt x="48" y="738"/>
                                  <a:pt x="146" y="825"/>
                                </a:cubicBezTo>
                                <a:cubicBezTo>
                                  <a:pt x="237" y="907"/>
                                  <a:pt x="362" y="957"/>
                                  <a:pt x="536" y="957"/>
                                </a:cubicBezTo>
                                <a:cubicBezTo>
                                  <a:pt x="686" y="957"/>
                                  <a:pt x="686" y="957"/>
                                  <a:pt x="686" y="957"/>
                                </a:cubicBezTo>
                                <a:cubicBezTo>
                                  <a:pt x="825" y="753"/>
                                  <a:pt x="825" y="753"/>
                                  <a:pt x="825" y="753"/>
                                </a:cubicBezTo>
                                <a:cubicBezTo>
                                  <a:pt x="579" y="753"/>
                                  <a:pt x="579" y="753"/>
                                  <a:pt x="579" y="753"/>
                                </a:cubicBezTo>
                                <a:cubicBezTo>
                                  <a:pt x="402" y="753"/>
                                  <a:pt x="297" y="628"/>
                                  <a:pt x="297" y="545"/>
                                </a:cubicBezTo>
                                <a:moveTo>
                                  <a:pt x="363" y="238"/>
                                </a:moveTo>
                                <a:cubicBezTo>
                                  <a:pt x="400" y="206"/>
                                  <a:pt x="446" y="189"/>
                                  <a:pt x="503" y="189"/>
                                </a:cubicBezTo>
                                <a:cubicBezTo>
                                  <a:pt x="558" y="189"/>
                                  <a:pt x="603" y="205"/>
                                  <a:pt x="639" y="236"/>
                                </a:cubicBezTo>
                                <a:cubicBezTo>
                                  <a:pt x="675" y="267"/>
                                  <a:pt x="696" y="310"/>
                                  <a:pt x="703" y="365"/>
                                </a:cubicBezTo>
                                <a:cubicBezTo>
                                  <a:pt x="290" y="365"/>
                                  <a:pt x="290" y="365"/>
                                  <a:pt x="290" y="365"/>
                                </a:cubicBezTo>
                                <a:cubicBezTo>
                                  <a:pt x="302" y="313"/>
                                  <a:pt x="326" y="270"/>
                                  <a:pt x="363" y="238"/>
                                </a:cubicBezTo>
                              </a:path>
                            </a:pathLst>
                          </a:custGeom>
                          <a:solidFill>
                            <a:schemeClr val="tx1"/>
                          </a:solidFill>
                          <a:ln>
                            <a:noFill/>
                          </a:ln>
                        </wps:spPr>
                        <wps:bodyPr vert="horz" wrap="square" lIns="91440" tIns="45720" rIns="91440" bIns="45720" numCol="1" anchor="t" anchorCtr="0" compatLnSpc="1">
                          <a:prstTxWarp prst="textNoShape">
                            <a:avLst/>
                          </a:prstTxWarp>
                        </wps:bodyPr>
                      </wps:wsp>
                    </wpg:grpSp>
                    <wpg:grpSp>
                      <wpg:cNvPr id="2291" name="Groupe 2291"/>
                      <wpg:cNvGrpSpPr/>
                      <wpg:grpSpPr>
                        <a:xfrm>
                          <a:off x="0" y="280516"/>
                          <a:ext cx="1099535" cy="199515"/>
                          <a:chOff x="0" y="280515"/>
                          <a:chExt cx="1819912" cy="330225"/>
                        </a:xfrm>
                      </wpg:grpSpPr>
                      <wps:wsp>
                        <wps:cNvPr id="2292" name="Freeform 31"/>
                        <wps:cNvSpPr>
                          <a:spLocks noEditPoints="1"/>
                        </wps:cNvSpPr>
                        <wps:spPr bwMode="auto">
                          <a:xfrm>
                            <a:off x="0" y="292046"/>
                            <a:ext cx="107979" cy="96447"/>
                          </a:xfrm>
                          <a:custGeom>
                            <a:avLst/>
                            <a:gdLst>
                              <a:gd name="T0" fmla="*/ 72 w 103"/>
                              <a:gd name="T1" fmla="*/ 72 h 92"/>
                              <a:gd name="T2" fmla="*/ 30 w 103"/>
                              <a:gd name="T3" fmla="*/ 72 h 92"/>
                              <a:gd name="T4" fmla="*/ 22 w 103"/>
                              <a:gd name="T5" fmla="*/ 92 h 92"/>
                              <a:gd name="T6" fmla="*/ 0 w 103"/>
                              <a:gd name="T7" fmla="*/ 92 h 92"/>
                              <a:gd name="T8" fmla="*/ 41 w 103"/>
                              <a:gd name="T9" fmla="*/ 0 h 92"/>
                              <a:gd name="T10" fmla="*/ 62 w 103"/>
                              <a:gd name="T11" fmla="*/ 0 h 92"/>
                              <a:gd name="T12" fmla="*/ 103 w 103"/>
                              <a:gd name="T13" fmla="*/ 92 h 92"/>
                              <a:gd name="T14" fmla="*/ 81 w 103"/>
                              <a:gd name="T15" fmla="*/ 92 h 92"/>
                              <a:gd name="T16" fmla="*/ 72 w 103"/>
                              <a:gd name="T17" fmla="*/ 72 h 92"/>
                              <a:gd name="T18" fmla="*/ 66 w 103"/>
                              <a:gd name="T19" fmla="*/ 56 h 92"/>
                              <a:gd name="T20" fmla="*/ 51 w 103"/>
                              <a:gd name="T21" fmla="*/ 21 h 92"/>
                              <a:gd name="T22" fmla="*/ 37 w 103"/>
                              <a:gd name="T23" fmla="*/ 56 h 92"/>
                              <a:gd name="T24" fmla="*/ 66 w 103"/>
                              <a:gd name="T25" fmla="*/ 56 h 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03" h="92">
                                <a:moveTo>
                                  <a:pt x="72" y="72"/>
                                </a:moveTo>
                                <a:lnTo>
                                  <a:pt x="30" y="72"/>
                                </a:lnTo>
                                <a:lnTo>
                                  <a:pt x="22" y="92"/>
                                </a:lnTo>
                                <a:lnTo>
                                  <a:pt x="0" y="92"/>
                                </a:lnTo>
                                <a:lnTo>
                                  <a:pt x="41" y="0"/>
                                </a:lnTo>
                                <a:lnTo>
                                  <a:pt x="62" y="0"/>
                                </a:lnTo>
                                <a:lnTo>
                                  <a:pt x="103" y="92"/>
                                </a:lnTo>
                                <a:lnTo>
                                  <a:pt x="81" y="92"/>
                                </a:lnTo>
                                <a:lnTo>
                                  <a:pt x="72" y="72"/>
                                </a:lnTo>
                                <a:close/>
                                <a:moveTo>
                                  <a:pt x="66" y="56"/>
                                </a:moveTo>
                                <a:lnTo>
                                  <a:pt x="51" y="21"/>
                                </a:lnTo>
                                <a:lnTo>
                                  <a:pt x="37" y="56"/>
                                </a:lnTo>
                                <a:lnTo>
                                  <a:pt x="66" y="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93" name="Freeform 32"/>
                        <wps:cNvSpPr>
                          <a:spLocks/>
                        </wps:cNvSpPr>
                        <wps:spPr bwMode="auto">
                          <a:xfrm>
                            <a:off x="116366" y="313013"/>
                            <a:ext cx="66046" cy="76528"/>
                          </a:xfrm>
                          <a:custGeom>
                            <a:avLst/>
                            <a:gdLst>
                              <a:gd name="T0" fmla="*/ 30 w 145"/>
                              <a:gd name="T1" fmla="*/ 161 h 166"/>
                              <a:gd name="T2" fmla="*/ 0 w 145"/>
                              <a:gd name="T3" fmla="*/ 148 h 166"/>
                              <a:gd name="T4" fmla="*/ 15 w 145"/>
                              <a:gd name="T5" fmla="*/ 115 h 166"/>
                              <a:gd name="T6" fmla="*/ 41 w 145"/>
                              <a:gd name="T7" fmla="*/ 126 h 166"/>
                              <a:gd name="T8" fmla="*/ 71 w 145"/>
                              <a:gd name="T9" fmla="*/ 130 h 166"/>
                              <a:gd name="T10" fmla="*/ 101 w 145"/>
                              <a:gd name="T11" fmla="*/ 116 h 166"/>
                              <a:gd name="T12" fmla="*/ 93 w 145"/>
                              <a:gd name="T13" fmla="*/ 106 h 166"/>
                              <a:gd name="T14" fmla="*/ 68 w 145"/>
                              <a:gd name="T15" fmla="*/ 101 h 166"/>
                              <a:gd name="T16" fmla="*/ 35 w 145"/>
                              <a:gd name="T17" fmla="*/ 94 h 166"/>
                              <a:gd name="T18" fmla="*/ 13 w 145"/>
                              <a:gd name="T19" fmla="*/ 80 h 166"/>
                              <a:gd name="T20" fmla="*/ 3 w 145"/>
                              <a:gd name="T21" fmla="*/ 52 h 166"/>
                              <a:gd name="T22" fmla="*/ 12 w 145"/>
                              <a:gd name="T23" fmla="*/ 25 h 166"/>
                              <a:gd name="T24" fmla="*/ 38 w 145"/>
                              <a:gd name="T25" fmla="*/ 6 h 166"/>
                              <a:gd name="T26" fmla="*/ 78 w 145"/>
                              <a:gd name="T27" fmla="*/ 0 h 166"/>
                              <a:gd name="T28" fmla="*/ 112 w 145"/>
                              <a:gd name="T29" fmla="*/ 4 h 166"/>
                              <a:gd name="T30" fmla="*/ 140 w 145"/>
                              <a:gd name="T31" fmla="*/ 14 h 166"/>
                              <a:gd name="T32" fmla="*/ 124 w 145"/>
                              <a:gd name="T33" fmla="*/ 47 h 166"/>
                              <a:gd name="T34" fmla="*/ 78 w 145"/>
                              <a:gd name="T35" fmla="*/ 35 h 166"/>
                              <a:gd name="T36" fmla="*/ 56 w 145"/>
                              <a:gd name="T37" fmla="*/ 39 h 166"/>
                              <a:gd name="T38" fmla="*/ 48 w 145"/>
                              <a:gd name="T39" fmla="*/ 50 h 166"/>
                              <a:gd name="T40" fmla="*/ 56 w 145"/>
                              <a:gd name="T41" fmla="*/ 61 h 166"/>
                              <a:gd name="T42" fmla="*/ 82 w 145"/>
                              <a:gd name="T43" fmla="*/ 66 h 166"/>
                              <a:gd name="T44" fmla="*/ 114 w 145"/>
                              <a:gd name="T45" fmla="*/ 73 h 166"/>
                              <a:gd name="T46" fmla="*/ 136 w 145"/>
                              <a:gd name="T47" fmla="*/ 87 h 166"/>
                              <a:gd name="T48" fmla="*/ 145 w 145"/>
                              <a:gd name="T49" fmla="*/ 114 h 166"/>
                              <a:gd name="T50" fmla="*/ 136 w 145"/>
                              <a:gd name="T51" fmla="*/ 141 h 166"/>
                              <a:gd name="T52" fmla="*/ 110 w 145"/>
                              <a:gd name="T53" fmla="*/ 159 h 166"/>
                              <a:gd name="T54" fmla="*/ 69 w 145"/>
                              <a:gd name="T55" fmla="*/ 166 h 166"/>
                              <a:gd name="T56" fmla="*/ 30 w 145"/>
                              <a:gd name="T57" fmla="*/ 161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45" h="166">
                                <a:moveTo>
                                  <a:pt x="30" y="161"/>
                                </a:moveTo>
                                <a:cubicBezTo>
                                  <a:pt x="17" y="157"/>
                                  <a:pt x="7" y="153"/>
                                  <a:pt x="0" y="148"/>
                                </a:cubicBezTo>
                                <a:cubicBezTo>
                                  <a:pt x="15" y="115"/>
                                  <a:pt x="15" y="115"/>
                                  <a:pt x="15" y="115"/>
                                </a:cubicBezTo>
                                <a:cubicBezTo>
                                  <a:pt x="22" y="119"/>
                                  <a:pt x="31" y="123"/>
                                  <a:pt x="41" y="126"/>
                                </a:cubicBezTo>
                                <a:cubicBezTo>
                                  <a:pt x="51" y="129"/>
                                  <a:pt x="61" y="130"/>
                                  <a:pt x="71" y="130"/>
                                </a:cubicBezTo>
                                <a:cubicBezTo>
                                  <a:pt x="91" y="130"/>
                                  <a:pt x="101" y="125"/>
                                  <a:pt x="101" y="116"/>
                                </a:cubicBezTo>
                                <a:cubicBezTo>
                                  <a:pt x="101" y="111"/>
                                  <a:pt x="98" y="108"/>
                                  <a:pt x="93" y="106"/>
                                </a:cubicBezTo>
                                <a:cubicBezTo>
                                  <a:pt x="87" y="104"/>
                                  <a:pt x="79" y="102"/>
                                  <a:pt x="68" y="101"/>
                                </a:cubicBezTo>
                                <a:cubicBezTo>
                                  <a:pt x="55" y="99"/>
                                  <a:pt x="44" y="96"/>
                                  <a:pt x="35" y="94"/>
                                </a:cubicBezTo>
                                <a:cubicBezTo>
                                  <a:pt x="27" y="91"/>
                                  <a:pt x="19" y="87"/>
                                  <a:pt x="13" y="80"/>
                                </a:cubicBezTo>
                                <a:cubicBezTo>
                                  <a:pt x="7" y="73"/>
                                  <a:pt x="3" y="64"/>
                                  <a:pt x="3" y="52"/>
                                </a:cubicBezTo>
                                <a:cubicBezTo>
                                  <a:pt x="3" y="42"/>
                                  <a:pt x="6" y="33"/>
                                  <a:pt x="12" y="25"/>
                                </a:cubicBezTo>
                                <a:cubicBezTo>
                                  <a:pt x="18" y="17"/>
                                  <a:pt x="27" y="11"/>
                                  <a:pt x="38" y="6"/>
                                </a:cubicBezTo>
                                <a:cubicBezTo>
                                  <a:pt x="49" y="2"/>
                                  <a:pt x="63" y="0"/>
                                  <a:pt x="78" y="0"/>
                                </a:cubicBezTo>
                                <a:cubicBezTo>
                                  <a:pt x="89" y="0"/>
                                  <a:pt x="101" y="1"/>
                                  <a:pt x="112" y="4"/>
                                </a:cubicBezTo>
                                <a:cubicBezTo>
                                  <a:pt x="123" y="6"/>
                                  <a:pt x="133" y="10"/>
                                  <a:pt x="140" y="14"/>
                                </a:cubicBezTo>
                                <a:cubicBezTo>
                                  <a:pt x="124" y="47"/>
                                  <a:pt x="124" y="47"/>
                                  <a:pt x="124" y="47"/>
                                </a:cubicBezTo>
                                <a:cubicBezTo>
                                  <a:pt x="110" y="39"/>
                                  <a:pt x="95" y="35"/>
                                  <a:pt x="78" y="35"/>
                                </a:cubicBezTo>
                                <a:cubicBezTo>
                                  <a:pt x="68" y="35"/>
                                  <a:pt x="61" y="37"/>
                                  <a:pt x="56" y="39"/>
                                </a:cubicBezTo>
                                <a:cubicBezTo>
                                  <a:pt x="51" y="42"/>
                                  <a:pt x="48" y="46"/>
                                  <a:pt x="48" y="50"/>
                                </a:cubicBezTo>
                                <a:cubicBezTo>
                                  <a:pt x="48" y="55"/>
                                  <a:pt x="51" y="59"/>
                                  <a:pt x="56" y="61"/>
                                </a:cubicBezTo>
                                <a:cubicBezTo>
                                  <a:pt x="62" y="63"/>
                                  <a:pt x="70" y="64"/>
                                  <a:pt x="82" y="66"/>
                                </a:cubicBezTo>
                                <a:cubicBezTo>
                                  <a:pt x="95" y="68"/>
                                  <a:pt x="106" y="71"/>
                                  <a:pt x="114" y="73"/>
                                </a:cubicBezTo>
                                <a:cubicBezTo>
                                  <a:pt x="123" y="76"/>
                                  <a:pt x="130" y="80"/>
                                  <a:pt x="136" y="87"/>
                                </a:cubicBezTo>
                                <a:cubicBezTo>
                                  <a:pt x="142" y="93"/>
                                  <a:pt x="145" y="103"/>
                                  <a:pt x="145" y="114"/>
                                </a:cubicBezTo>
                                <a:cubicBezTo>
                                  <a:pt x="145" y="124"/>
                                  <a:pt x="142" y="133"/>
                                  <a:pt x="136" y="141"/>
                                </a:cubicBezTo>
                                <a:cubicBezTo>
                                  <a:pt x="130" y="149"/>
                                  <a:pt x="122" y="155"/>
                                  <a:pt x="110" y="159"/>
                                </a:cubicBezTo>
                                <a:cubicBezTo>
                                  <a:pt x="99" y="163"/>
                                  <a:pt x="85" y="166"/>
                                  <a:pt x="69" y="166"/>
                                </a:cubicBezTo>
                                <a:cubicBezTo>
                                  <a:pt x="56" y="166"/>
                                  <a:pt x="43" y="164"/>
                                  <a:pt x="30" y="161"/>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94" name="Freeform 33"/>
                        <wps:cNvSpPr>
                          <a:spLocks/>
                        </wps:cNvSpPr>
                        <wps:spPr bwMode="auto">
                          <a:xfrm>
                            <a:off x="194991" y="313013"/>
                            <a:ext cx="67094" cy="76528"/>
                          </a:xfrm>
                          <a:custGeom>
                            <a:avLst/>
                            <a:gdLst>
                              <a:gd name="T0" fmla="*/ 31 w 146"/>
                              <a:gd name="T1" fmla="*/ 161 h 166"/>
                              <a:gd name="T2" fmla="*/ 0 w 146"/>
                              <a:gd name="T3" fmla="*/ 148 h 166"/>
                              <a:gd name="T4" fmla="*/ 16 w 146"/>
                              <a:gd name="T5" fmla="*/ 115 h 166"/>
                              <a:gd name="T6" fmla="*/ 42 w 146"/>
                              <a:gd name="T7" fmla="*/ 126 h 166"/>
                              <a:gd name="T8" fmla="*/ 72 w 146"/>
                              <a:gd name="T9" fmla="*/ 130 h 166"/>
                              <a:gd name="T10" fmla="*/ 101 w 146"/>
                              <a:gd name="T11" fmla="*/ 116 h 166"/>
                              <a:gd name="T12" fmla="*/ 93 w 146"/>
                              <a:gd name="T13" fmla="*/ 106 h 166"/>
                              <a:gd name="T14" fmla="*/ 69 w 146"/>
                              <a:gd name="T15" fmla="*/ 101 h 166"/>
                              <a:gd name="T16" fmla="*/ 36 w 146"/>
                              <a:gd name="T17" fmla="*/ 94 h 166"/>
                              <a:gd name="T18" fmla="*/ 14 w 146"/>
                              <a:gd name="T19" fmla="*/ 80 h 166"/>
                              <a:gd name="T20" fmla="*/ 4 w 146"/>
                              <a:gd name="T21" fmla="*/ 52 h 166"/>
                              <a:gd name="T22" fmla="*/ 13 w 146"/>
                              <a:gd name="T23" fmla="*/ 25 h 166"/>
                              <a:gd name="T24" fmla="*/ 39 w 146"/>
                              <a:gd name="T25" fmla="*/ 6 h 166"/>
                              <a:gd name="T26" fmla="*/ 79 w 146"/>
                              <a:gd name="T27" fmla="*/ 0 h 166"/>
                              <a:gd name="T28" fmla="*/ 113 w 146"/>
                              <a:gd name="T29" fmla="*/ 4 h 166"/>
                              <a:gd name="T30" fmla="*/ 141 w 146"/>
                              <a:gd name="T31" fmla="*/ 14 h 166"/>
                              <a:gd name="T32" fmla="*/ 125 w 146"/>
                              <a:gd name="T33" fmla="*/ 47 h 166"/>
                              <a:gd name="T34" fmla="*/ 79 w 146"/>
                              <a:gd name="T35" fmla="*/ 35 h 166"/>
                              <a:gd name="T36" fmla="*/ 56 w 146"/>
                              <a:gd name="T37" fmla="*/ 39 h 166"/>
                              <a:gd name="T38" fmla="*/ 49 w 146"/>
                              <a:gd name="T39" fmla="*/ 50 h 166"/>
                              <a:gd name="T40" fmla="*/ 57 w 146"/>
                              <a:gd name="T41" fmla="*/ 61 h 166"/>
                              <a:gd name="T42" fmla="*/ 83 w 146"/>
                              <a:gd name="T43" fmla="*/ 66 h 166"/>
                              <a:gd name="T44" fmla="*/ 115 w 146"/>
                              <a:gd name="T45" fmla="*/ 73 h 166"/>
                              <a:gd name="T46" fmla="*/ 137 w 146"/>
                              <a:gd name="T47" fmla="*/ 87 h 166"/>
                              <a:gd name="T48" fmla="*/ 146 w 146"/>
                              <a:gd name="T49" fmla="*/ 114 h 166"/>
                              <a:gd name="T50" fmla="*/ 137 w 146"/>
                              <a:gd name="T51" fmla="*/ 141 h 166"/>
                              <a:gd name="T52" fmla="*/ 111 w 146"/>
                              <a:gd name="T53" fmla="*/ 159 h 166"/>
                              <a:gd name="T54" fmla="*/ 70 w 146"/>
                              <a:gd name="T55" fmla="*/ 166 h 166"/>
                              <a:gd name="T56" fmla="*/ 31 w 146"/>
                              <a:gd name="T57" fmla="*/ 161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46" h="166">
                                <a:moveTo>
                                  <a:pt x="31" y="161"/>
                                </a:moveTo>
                                <a:cubicBezTo>
                                  <a:pt x="18" y="157"/>
                                  <a:pt x="8" y="153"/>
                                  <a:pt x="0" y="148"/>
                                </a:cubicBezTo>
                                <a:cubicBezTo>
                                  <a:pt x="16" y="115"/>
                                  <a:pt x="16" y="115"/>
                                  <a:pt x="16" y="115"/>
                                </a:cubicBezTo>
                                <a:cubicBezTo>
                                  <a:pt x="23" y="119"/>
                                  <a:pt x="32" y="123"/>
                                  <a:pt x="42" y="126"/>
                                </a:cubicBezTo>
                                <a:cubicBezTo>
                                  <a:pt x="52" y="129"/>
                                  <a:pt x="62" y="130"/>
                                  <a:pt x="72" y="130"/>
                                </a:cubicBezTo>
                                <a:cubicBezTo>
                                  <a:pt x="92" y="130"/>
                                  <a:pt x="101" y="125"/>
                                  <a:pt x="101" y="116"/>
                                </a:cubicBezTo>
                                <a:cubicBezTo>
                                  <a:pt x="101" y="111"/>
                                  <a:pt x="99" y="108"/>
                                  <a:pt x="93" y="106"/>
                                </a:cubicBezTo>
                                <a:cubicBezTo>
                                  <a:pt x="88" y="104"/>
                                  <a:pt x="80" y="102"/>
                                  <a:pt x="69" y="101"/>
                                </a:cubicBezTo>
                                <a:cubicBezTo>
                                  <a:pt x="55" y="99"/>
                                  <a:pt x="45" y="96"/>
                                  <a:pt x="36" y="94"/>
                                </a:cubicBezTo>
                                <a:cubicBezTo>
                                  <a:pt x="27" y="91"/>
                                  <a:pt x="20" y="87"/>
                                  <a:pt x="14" y="80"/>
                                </a:cubicBezTo>
                                <a:cubicBezTo>
                                  <a:pt x="7" y="73"/>
                                  <a:pt x="4" y="64"/>
                                  <a:pt x="4" y="52"/>
                                </a:cubicBezTo>
                                <a:cubicBezTo>
                                  <a:pt x="4" y="42"/>
                                  <a:pt x="7" y="33"/>
                                  <a:pt x="13" y="25"/>
                                </a:cubicBezTo>
                                <a:cubicBezTo>
                                  <a:pt x="19" y="17"/>
                                  <a:pt x="28" y="11"/>
                                  <a:pt x="39" y="6"/>
                                </a:cubicBezTo>
                                <a:cubicBezTo>
                                  <a:pt x="50" y="2"/>
                                  <a:pt x="63" y="0"/>
                                  <a:pt x="79" y="0"/>
                                </a:cubicBezTo>
                                <a:cubicBezTo>
                                  <a:pt x="90" y="0"/>
                                  <a:pt x="101" y="1"/>
                                  <a:pt x="113" y="4"/>
                                </a:cubicBezTo>
                                <a:cubicBezTo>
                                  <a:pt x="124" y="6"/>
                                  <a:pt x="133" y="10"/>
                                  <a:pt x="141" y="14"/>
                                </a:cubicBezTo>
                                <a:cubicBezTo>
                                  <a:pt x="125" y="47"/>
                                  <a:pt x="125" y="47"/>
                                  <a:pt x="125" y="47"/>
                                </a:cubicBezTo>
                                <a:cubicBezTo>
                                  <a:pt x="111" y="39"/>
                                  <a:pt x="96" y="35"/>
                                  <a:pt x="79" y="35"/>
                                </a:cubicBezTo>
                                <a:cubicBezTo>
                                  <a:pt x="69" y="35"/>
                                  <a:pt x="61" y="37"/>
                                  <a:pt x="56" y="39"/>
                                </a:cubicBezTo>
                                <a:cubicBezTo>
                                  <a:pt x="51" y="42"/>
                                  <a:pt x="49" y="46"/>
                                  <a:pt x="49" y="50"/>
                                </a:cubicBezTo>
                                <a:cubicBezTo>
                                  <a:pt x="49" y="55"/>
                                  <a:pt x="52" y="59"/>
                                  <a:pt x="57" y="61"/>
                                </a:cubicBezTo>
                                <a:cubicBezTo>
                                  <a:pt x="62" y="63"/>
                                  <a:pt x="71" y="64"/>
                                  <a:pt x="83" y="66"/>
                                </a:cubicBezTo>
                                <a:cubicBezTo>
                                  <a:pt x="96" y="68"/>
                                  <a:pt x="107" y="71"/>
                                  <a:pt x="115" y="73"/>
                                </a:cubicBezTo>
                                <a:cubicBezTo>
                                  <a:pt x="123" y="76"/>
                                  <a:pt x="131" y="80"/>
                                  <a:pt x="137" y="87"/>
                                </a:cubicBezTo>
                                <a:cubicBezTo>
                                  <a:pt x="143" y="93"/>
                                  <a:pt x="146" y="103"/>
                                  <a:pt x="146" y="114"/>
                                </a:cubicBezTo>
                                <a:cubicBezTo>
                                  <a:pt x="146" y="124"/>
                                  <a:pt x="143" y="133"/>
                                  <a:pt x="137" y="141"/>
                                </a:cubicBezTo>
                                <a:cubicBezTo>
                                  <a:pt x="131" y="149"/>
                                  <a:pt x="122" y="155"/>
                                  <a:pt x="111" y="159"/>
                                </a:cubicBezTo>
                                <a:cubicBezTo>
                                  <a:pt x="99" y="163"/>
                                  <a:pt x="86" y="166"/>
                                  <a:pt x="70" y="166"/>
                                </a:cubicBezTo>
                                <a:cubicBezTo>
                                  <a:pt x="57" y="166"/>
                                  <a:pt x="44" y="164"/>
                                  <a:pt x="31" y="161"/>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95" name="Freeform 34"/>
                        <wps:cNvSpPr>
                          <a:spLocks/>
                        </wps:cNvSpPr>
                        <wps:spPr bwMode="auto">
                          <a:xfrm>
                            <a:off x="282003" y="314062"/>
                            <a:ext cx="74432" cy="75480"/>
                          </a:xfrm>
                          <a:custGeom>
                            <a:avLst/>
                            <a:gdLst>
                              <a:gd name="T0" fmla="*/ 163 w 163"/>
                              <a:gd name="T1" fmla="*/ 0 h 164"/>
                              <a:gd name="T2" fmla="*/ 163 w 163"/>
                              <a:gd name="T3" fmla="*/ 161 h 164"/>
                              <a:gd name="T4" fmla="*/ 119 w 163"/>
                              <a:gd name="T5" fmla="*/ 161 h 164"/>
                              <a:gd name="T6" fmla="*/ 119 w 163"/>
                              <a:gd name="T7" fmla="*/ 142 h 164"/>
                              <a:gd name="T8" fmla="*/ 96 w 163"/>
                              <a:gd name="T9" fmla="*/ 158 h 164"/>
                              <a:gd name="T10" fmla="*/ 69 w 163"/>
                              <a:gd name="T11" fmla="*/ 164 h 164"/>
                              <a:gd name="T12" fmla="*/ 18 w 163"/>
                              <a:gd name="T13" fmla="*/ 145 h 164"/>
                              <a:gd name="T14" fmla="*/ 0 w 163"/>
                              <a:gd name="T15" fmla="*/ 91 h 164"/>
                              <a:gd name="T16" fmla="*/ 0 w 163"/>
                              <a:gd name="T17" fmla="*/ 0 h 164"/>
                              <a:gd name="T18" fmla="*/ 46 w 163"/>
                              <a:gd name="T19" fmla="*/ 0 h 164"/>
                              <a:gd name="T20" fmla="*/ 46 w 163"/>
                              <a:gd name="T21" fmla="*/ 84 h 164"/>
                              <a:gd name="T22" fmla="*/ 79 w 163"/>
                              <a:gd name="T23" fmla="*/ 123 h 164"/>
                              <a:gd name="T24" fmla="*/ 106 w 163"/>
                              <a:gd name="T25" fmla="*/ 112 h 164"/>
                              <a:gd name="T26" fmla="*/ 116 w 163"/>
                              <a:gd name="T27" fmla="*/ 80 h 164"/>
                              <a:gd name="T28" fmla="*/ 116 w 163"/>
                              <a:gd name="T29" fmla="*/ 0 h 164"/>
                              <a:gd name="T30" fmla="*/ 163 w 163"/>
                              <a:gd name="T31" fmla="*/ 0 h 1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63" h="164">
                                <a:moveTo>
                                  <a:pt x="163" y="0"/>
                                </a:moveTo>
                                <a:cubicBezTo>
                                  <a:pt x="163" y="161"/>
                                  <a:pt x="163" y="161"/>
                                  <a:pt x="163" y="161"/>
                                </a:cubicBezTo>
                                <a:cubicBezTo>
                                  <a:pt x="119" y="161"/>
                                  <a:pt x="119" y="161"/>
                                  <a:pt x="119" y="161"/>
                                </a:cubicBezTo>
                                <a:cubicBezTo>
                                  <a:pt x="119" y="142"/>
                                  <a:pt x="119" y="142"/>
                                  <a:pt x="119" y="142"/>
                                </a:cubicBezTo>
                                <a:cubicBezTo>
                                  <a:pt x="112" y="149"/>
                                  <a:pt x="105" y="154"/>
                                  <a:pt x="96" y="158"/>
                                </a:cubicBezTo>
                                <a:cubicBezTo>
                                  <a:pt x="88" y="162"/>
                                  <a:pt x="79" y="164"/>
                                  <a:pt x="69" y="164"/>
                                </a:cubicBezTo>
                                <a:cubicBezTo>
                                  <a:pt x="47" y="164"/>
                                  <a:pt x="31" y="157"/>
                                  <a:pt x="18" y="145"/>
                                </a:cubicBezTo>
                                <a:cubicBezTo>
                                  <a:pt x="6" y="133"/>
                                  <a:pt x="0" y="115"/>
                                  <a:pt x="0" y="91"/>
                                </a:cubicBezTo>
                                <a:cubicBezTo>
                                  <a:pt x="0" y="0"/>
                                  <a:pt x="0" y="0"/>
                                  <a:pt x="0" y="0"/>
                                </a:cubicBezTo>
                                <a:cubicBezTo>
                                  <a:pt x="46" y="0"/>
                                  <a:pt x="46" y="0"/>
                                  <a:pt x="46" y="0"/>
                                </a:cubicBezTo>
                                <a:cubicBezTo>
                                  <a:pt x="46" y="84"/>
                                  <a:pt x="46" y="84"/>
                                  <a:pt x="46" y="84"/>
                                </a:cubicBezTo>
                                <a:cubicBezTo>
                                  <a:pt x="46" y="110"/>
                                  <a:pt x="57" y="123"/>
                                  <a:pt x="79" y="123"/>
                                </a:cubicBezTo>
                                <a:cubicBezTo>
                                  <a:pt x="90" y="123"/>
                                  <a:pt x="99" y="120"/>
                                  <a:pt x="106" y="112"/>
                                </a:cubicBezTo>
                                <a:cubicBezTo>
                                  <a:pt x="113" y="105"/>
                                  <a:pt x="116" y="94"/>
                                  <a:pt x="116" y="80"/>
                                </a:cubicBezTo>
                                <a:cubicBezTo>
                                  <a:pt x="116" y="0"/>
                                  <a:pt x="116" y="0"/>
                                  <a:pt x="116" y="0"/>
                                </a:cubicBezTo>
                                <a:lnTo>
                                  <a:pt x="16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96" name="Freeform 35"/>
                        <wps:cNvSpPr>
                          <a:spLocks/>
                        </wps:cNvSpPr>
                        <wps:spPr bwMode="auto">
                          <a:xfrm>
                            <a:off x="382643" y="313013"/>
                            <a:ext cx="45079" cy="75480"/>
                          </a:xfrm>
                          <a:custGeom>
                            <a:avLst/>
                            <a:gdLst>
                              <a:gd name="T0" fmla="*/ 67 w 100"/>
                              <a:gd name="T1" fmla="*/ 6 h 163"/>
                              <a:gd name="T2" fmla="*/ 100 w 100"/>
                              <a:gd name="T3" fmla="*/ 0 h 163"/>
                              <a:gd name="T4" fmla="*/ 100 w 100"/>
                              <a:gd name="T5" fmla="*/ 43 h 163"/>
                              <a:gd name="T6" fmla="*/ 89 w 100"/>
                              <a:gd name="T7" fmla="*/ 42 h 163"/>
                              <a:gd name="T8" fmla="*/ 58 w 100"/>
                              <a:gd name="T9" fmla="*/ 54 h 163"/>
                              <a:gd name="T10" fmla="*/ 47 w 100"/>
                              <a:gd name="T11" fmla="*/ 87 h 163"/>
                              <a:gd name="T12" fmla="*/ 47 w 100"/>
                              <a:gd name="T13" fmla="*/ 163 h 163"/>
                              <a:gd name="T14" fmla="*/ 0 w 100"/>
                              <a:gd name="T15" fmla="*/ 163 h 163"/>
                              <a:gd name="T16" fmla="*/ 0 w 100"/>
                              <a:gd name="T17" fmla="*/ 2 h 163"/>
                              <a:gd name="T18" fmla="*/ 44 w 100"/>
                              <a:gd name="T19" fmla="*/ 2 h 163"/>
                              <a:gd name="T20" fmla="*/ 44 w 100"/>
                              <a:gd name="T21" fmla="*/ 23 h 163"/>
                              <a:gd name="T22" fmla="*/ 67 w 100"/>
                              <a:gd name="T23" fmla="*/ 6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0" h="163">
                                <a:moveTo>
                                  <a:pt x="67" y="6"/>
                                </a:moveTo>
                                <a:cubicBezTo>
                                  <a:pt x="77" y="2"/>
                                  <a:pt x="87" y="0"/>
                                  <a:pt x="100" y="0"/>
                                </a:cubicBezTo>
                                <a:cubicBezTo>
                                  <a:pt x="100" y="43"/>
                                  <a:pt x="100" y="43"/>
                                  <a:pt x="100" y="43"/>
                                </a:cubicBezTo>
                                <a:cubicBezTo>
                                  <a:pt x="95" y="43"/>
                                  <a:pt x="91" y="42"/>
                                  <a:pt x="89" y="42"/>
                                </a:cubicBezTo>
                                <a:cubicBezTo>
                                  <a:pt x="76" y="42"/>
                                  <a:pt x="65" y="46"/>
                                  <a:pt x="58" y="54"/>
                                </a:cubicBezTo>
                                <a:cubicBezTo>
                                  <a:pt x="50" y="61"/>
                                  <a:pt x="47" y="72"/>
                                  <a:pt x="47" y="87"/>
                                </a:cubicBezTo>
                                <a:cubicBezTo>
                                  <a:pt x="47" y="163"/>
                                  <a:pt x="47" y="163"/>
                                  <a:pt x="47" y="163"/>
                                </a:cubicBezTo>
                                <a:cubicBezTo>
                                  <a:pt x="0" y="163"/>
                                  <a:pt x="0" y="163"/>
                                  <a:pt x="0" y="163"/>
                                </a:cubicBezTo>
                                <a:cubicBezTo>
                                  <a:pt x="0" y="2"/>
                                  <a:pt x="0" y="2"/>
                                  <a:pt x="0" y="2"/>
                                </a:cubicBezTo>
                                <a:cubicBezTo>
                                  <a:pt x="44" y="2"/>
                                  <a:pt x="44" y="2"/>
                                  <a:pt x="44" y="2"/>
                                </a:cubicBezTo>
                                <a:cubicBezTo>
                                  <a:pt x="44" y="23"/>
                                  <a:pt x="44" y="23"/>
                                  <a:pt x="44" y="23"/>
                                </a:cubicBezTo>
                                <a:cubicBezTo>
                                  <a:pt x="50" y="16"/>
                                  <a:pt x="58" y="10"/>
                                  <a:pt x="67" y="6"/>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97" name="Freeform 36"/>
                        <wps:cNvSpPr>
                          <a:spLocks noEditPoints="1"/>
                        </wps:cNvSpPr>
                        <wps:spPr bwMode="auto">
                          <a:xfrm>
                            <a:off x="443447" y="313013"/>
                            <a:ext cx="70239" cy="76528"/>
                          </a:xfrm>
                          <a:custGeom>
                            <a:avLst/>
                            <a:gdLst>
                              <a:gd name="T0" fmla="*/ 133 w 153"/>
                              <a:gd name="T1" fmla="*/ 18 h 166"/>
                              <a:gd name="T2" fmla="*/ 153 w 153"/>
                              <a:gd name="T3" fmla="*/ 71 h 166"/>
                              <a:gd name="T4" fmla="*/ 153 w 153"/>
                              <a:gd name="T5" fmla="*/ 163 h 166"/>
                              <a:gd name="T6" fmla="*/ 109 w 153"/>
                              <a:gd name="T7" fmla="*/ 163 h 166"/>
                              <a:gd name="T8" fmla="*/ 109 w 153"/>
                              <a:gd name="T9" fmla="*/ 143 h 166"/>
                              <a:gd name="T10" fmla="*/ 60 w 153"/>
                              <a:gd name="T11" fmla="*/ 166 h 166"/>
                              <a:gd name="T12" fmla="*/ 28 w 153"/>
                              <a:gd name="T13" fmla="*/ 159 h 166"/>
                              <a:gd name="T14" fmla="*/ 7 w 153"/>
                              <a:gd name="T15" fmla="*/ 142 h 166"/>
                              <a:gd name="T16" fmla="*/ 0 w 153"/>
                              <a:gd name="T17" fmla="*/ 117 h 166"/>
                              <a:gd name="T18" fmla="*/ 17 w 153"/>
                              <a:gd name="T19" fmla="*/ 82 h 166"/>
                              <a:gd name="T20" fmla="*/ 69 w 153"/>
                              <a:gd name="T21" fmla="*/ 69 h 166"/>
                              <a:gd name="T22" fmla="*/ 106 w 153"/>
                              <a:gd name="T23" fmla="*/ 69 h 166"/>
                              <a:gd name="T24" fmla="*/ 97 w 153"/>
                              <a:gd name="T25" fmla="*/ 45 h 166"/>
                              <a:gd name="T26" fmla="*/ 69 w 153"/>
                              <a:gd name="T27" fmla="*/ 37 h 166"/>
                              <a:gd name="T28" fmla="*/ 44 w 153"/>
                              <a:gd name="T29" fmla="*/ 41 h 166"/>
                              <a:gd name="T30" fmla="*/ 23 w 153"/>
                              <a:gd name="T31" fmla="*/ 52 h 166"/>
                              <a:gd name="T32" fmla="*/ 6 w 153"/>
                              <a:gd name="T33" fmla="*/ 19 h 166"/>
                              <a:gd name="T34" fmla="*/ 38 w 153"/>
                              <a:gd name="T35" fmla="*/ 5 h 166"/>
                              <a:gd name="T36" fmla="*/ 76 w 153"/>
                              <a:gd name="T37" fmla="*/ 0 h 166"/>
                              <a:gd name="T38" fmla="*/ 133 w 153"/>
                              <a:gd name="T39" fmla="*/ 18 h 166"/>
                              <a:gd name="T40" fmla="*/ 93 w 153"/>
                              <a:gd name="T41" fmla="*/ 129 h 166"/>
                              <a:gd name="T42" fmla="*/ 106 w 153"/>
                              <a:gd name="T43" fmla="*/ 112 h 166"/>
                              <a:gd name="T44" fmla="*/ 106 w 153"/>
                              <a:gd name="T45" fmla="*/ 96 h 166"/>
                              <a:gd name="T46" fmla="*/ 74 w 153"/>
                              <a:gd name="T47" fmla="*/ 96 h 166"/>
                              <a:gd name="T48" fmla="*/ 46 w 153"/>
                              <a:gd name="T49" fmla="*/ 115 h 166"/>
                              <a:gd name="T50" fmla="*/ 53 w 153"/>
                              <a:gd name="T51" fmla="*/ 129 h 166"/>
                              <a:gd name="T52" fmla="*/ 72 w 153"/>
                              <a:gd name="T53" fmla="*/ 134 h 166"/>
                              <a:gd name="T54" fmla="*/ 93 w 153"/>
                              <a:gd name="T55" fmla="*/ 129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53" h="166">
                                <a:moveTo>
                                  <a:pt x="133" y="18"/>
                                </a:moveTo>
                                <a:cubicBezTo>
                                  <a:pt x="146" y="30"/>
                                  <a:pt x="153" y="47"/>
                                  <a:pt x="153" y="71"/>
                                </a:cubicBezTo>
                                <a:cubicBezTo>
                                  <a:pt x="153" y="163"/>
                                  <a:pt x="153" y="163"/>
                                  <a:pt x="153" y="163"/>
                                </a:cubicBezTo>
                                <a:cubicBezTo>
                                  <a:pt x="109" y="163"/>
                                  <a:pt x="109" y="163"/>
                                  <a:pt x="109" y="163"/>
                                </a:cubicBezTo>
                                <a:cubicBezTo>
                                  <a:pt x="109" y="143"/>
                                  <a:pt x="109" y="143"/>
                                  <a:pt x="109" y="143"/>
                                </a:cubicBezTo>
                                <a:cubicBezTo>
                                  <a:pt x="101" y="158"/>
                                  <a:pt x="84" y="166"/>
                                  <a:pt x="60" y="166"/>
                                </a:cubicBezTo>
                                <a:cubicBezTo>
                                  <a:pt x="48" y="166"/>
                                  <a:pt x="37" y="163"/>
                                  <a:pt x="28" y="159"/>
                                </a:cubicBezTo>
                                <a:cubicBezTo>
                                  <a:pt x="19" y="155"/>
                                  <a:pt x="12" y="149"/>
                                  <a:pt x="7" y="142"/>
                                </a:cubicBezTo>
                                <a:cubicBezTo>
                                  <a:pt x="3" y="135"/>
                                  <a:pt x="0" y="126"/>
                                  <a:pt x="0" y="117"/>
                                </a:cubicBezTo>
                                <a:cubicBezTo>
                                  <a:pt x="0" y="102"/>
                                  <a:pt x="6" y="90"/>
                                  <a:pt x="17" y="82"/>
                                </a:cubicBezTo>
                                <a:cubicBezTo>
                                  <a:pt x="28" y="73"/>
                                  <a:pt x="46" y="69"/>
                                  <a:pt x="69" y="69"/>
                                </a:cubicBezTo>
                                <a:cubicBezTo>
                                  <a:pt x="106" y="69"/>
                                  <a:pt x="106" y="69"/>
                                  <a:pt x="106" y="69"/>
                                </a:cubicBezTo>
                                <a:cubicBezTo>
                                  <a:pt x="106" y="58"/>
                                  <a:pt x="103" y="51"/>
                                  <a:pt x="97" y="45"/>
                                </a:cubicBezTo>
                                <a:cubicBezTo>
                                  <a:pt x="91" y="40"/>
                                  <a:pt x="82" y="37"/>
                                  <a:pt x="69" y="37"/>
                                </a:cubicBezTo>
                                <a:cubicBezTo>
                                  <a:pt x="61" y="37"/>
                                  <a:pt x="52" y="38"/>
                                  <a:pt x="44" y="41"/>
                                </a:cubicBezTo>
                                <a:cubicBezTo>
                                  <a:pt x="36" y="44"/>
                                  <a:pt x="29" y="47"/>
                                  <a:pt x="23" y="52"/>
                                </a:cubicBezTo>
                                <a:cubicBezTo>
                                  <a:pt x="6" y="19"/>
                                  <a:pt x="6" y="19"/>
                                  <a:pt x="6" y="19"/>
                                </a:cubicBezTo>
                                <a:cubicBezTo>
                                  <a:pt x="15" y="13"/>
                                  <a:pt x="26" y="8"/>
                                  <a:pt x="38" y="5"/>
                                </a:cubicBezTo>
                                <a:cubicBezTo>
                                  <a:pt x="50" y="2"/>
                                  <a:pt x="63" y="0"/>
                                  <a:pt x="76" y="0"/>
                                </a:cubicBezTo>
                                <a:cubicBezTo>
                                  <a:pt x="101" y="0"/>
                                  <a:pt x="120" y="6"/>
                                  <a:pt x="133" y="18"/>
                                </a:cubicBezTo>
                                <a:close/>
                                <a:moveTo>
                                  <a:pt x="93" y="129"/>
                                </a:moveTo>
                                <a:cubicBezTo>
                                  <a:pt x="100" y="125"/>
                                  <a:pt x="104" y="119"/>
                                  <a:pt x="106" y="112"/>
                                </a:cubicBezTo>
                                <a:cubicBezTo>
                                  <a:pt x="106" y="96"/>
                                  <a:pt x="106" y="96"/>
                                  <a:pt x="106" y="96"/>
                                </a:cubicBezTo>
                                <a:cubicBezTo>
                                  <a:pt x="74" y="96"/>
                                  <a:pt x="74" y="96"/>
                                  <a:pt x="74" y="96"/>
                                </a:cubicBezTo>
                                <a:cubicBezTo>
                                  <a:pt x="55" y="96"/>
                                  <a:pt x="46" y="102"/>
                                  <a:pt x="46" y="115"/>
                                </a:cubicBezTo>
                                <a:cubicBezTo>
                                  <a:pt x="46" y="121"/>
                                  <a:pt x="48" y="125"/>
                                  <a:pt x="53" y="129"/>
                                </a:cubicBezTo>
                                <a:cubicBezTo>
                                  <a:pt x="57" y="132"/>
                                  <a:pt x="64" y="134"/>
                                  <a:pt x="72" y="134"/>
                                </a:cubicBezTo>
                                <a:cubicBezTo>
                                  <a:pt x="80" y="134"/>
                                  <a:pt x="87" y="132"/>
                                  <a:pt x="93" y="129"/>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98" name="Freeform 37"/>
                        <wps:cNvSpPr>
                          <a:spLocks/>
                        </wps:cNvSpPr>
                        <wps:spPr bwMode="auto">
                          <a:xfrm>
                            <a:off x="538845" y="313013"/>
                            <a:ext cx="75480" cy="75480"/>
                          </a:xfrm>
                          <a:custGeom>
                            <a:avLst/>
                            <a:gdLst>
                              <a:gd name="T0" fmla="*/ 146 w 165"/>
                              <a:gd name="T1" fmla="*/ 18 h 163"/>
                              <a:gd name="T2" fmla="*/ 165 w 165"/>
                              <a:gd name="T3" fmla="*/ 71 h 163"/>
                              <a:gd name="T4" fmla="*/ 165 w 165"/>
                              <a:gd name="T5" fmla="*/ 163 h 163"/>
                              <a:gd name="T6" fmla="*/ 118 w 165"/>
                              <a:gd name="T7" fmla="*/ 163 h 163"/>
                              <a:gd name="T8" fmla="*/ 118 w 165"/>
                              <a:gd name="T9" fmla="*/ 78 h 163"/>
                              <a:gd name="T10" fmla="*/ 110 w 165"/>
                              <a:gd name="T11" fmla="*/ 50 h 163"/>
                              <a:gd name="T12" fmla="*/ 86 w 165"/>
                              <a:gd name="T13" fmla="*/ 40 h 163"/>
                              <a:gd name="T14" fmla="*/ 57 w 165"/>
                              <a:gd name="T15" fmla="*/ 51 h 163"/>
                              <a:gd name="T16" fmla="*/ 47 w 165"/>
                              <a:gd name="T17" fmla="*/ 84 h 163"/>
                              <a:gd name="T18" fmla="*/ 47 w 165"/>
                              <a:gd name="T19" fmla="*/ 163 h 163"/>
                              <a:gd name="T20" fmla="*/ 0 w 165"/>
                              <a:gd name="T21" fmla="*/ 163 h 163"/>
                              <a:gd name="T22" fmla="*/ 0 w 165"/>
                              <a:gd name="T23" fmla="*/ 2 h 163"/>
                              <a:gd name="T24" fmla="*/ 45 w 165"/>
                              <a:gd name="T25" fmla="*/ 2 h 163"/>
                              <a:gd name="T26" fmla="*/ 45 w 165"/>
                              <a:gd name="T27" fmla="*/ 21 h 163"/>
                              <a:gd name="T28" fmla="*/ 68 w 165"/>
                              <a:gd name="T29" fmla="*/ 5 h 163"/>
                              <a:gd name="T30" fmla="*/ 98 w 165"/>
                              <a:gd name="T31" fmla="*/ 0 h 163"/>
                              <a:gd name="T32" fmla="*/ 146 w 165"/>
                              <a:gd name="T33" fmla="*/ 18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65" h="163">
                                <a:moveTo>
                                  <a:pt x="146" y="18"/>
                                </a:moveTo>
                                <a:cubicBezTo>
                                  <a:pt x="159" y="30"/>
                                  <a:pt x="165" y="48"/>
                                  <a:pt x="165" y="71"/>
                                </a:cubicBezTo>
                                <a:cubicBezTo>
                                  <a:pt x="165" y="163"/>
                                  <a:pt x="165" y="163"/>
                                  <a:pt x="165" y="163"/>
                                </a:cubicBezTo>
                                <a:cubicBezTo>
                                  <a:pt x="118" y="163"/>
                                  <a:pt x="118" y="163"/>
                                  <a:pt x="118" y="163"/>
                                </a:cubicBezTo>
                                <a:cubicBezTo>
                                  <a:pt x="118" y="78"/>
                                  <a:pt x="118" y="78"/>
                                  <a:pt x="118" y="78"/>
                                </a:cubicBezTo>
                                <a:cubicBezTo>
                                  <a:pt x="118" y="65"/>
                                  <a:pt x="115" y="56"/>
                                  <a:pt x="110" y="50"/>
                                </a:cubicBezTo>
                                <a:cubicBezTo>
                                  <a:pt x="104" y="43"/>
                                  <a:pt x="96" y="40"/>
                                  <a:pt x="86" y="40"/>
                                </a:cubicBezTo>
                                <a:cubicBezTo>
                                  <a:pt x="74" y="40"/>
                                  <a:pt x="64" y="44"/>
                                  <a:pt x="57" y="51"/>
                                </a:cubicBezTo>
                                <a:cubicBezTo>
                                  <a:pt x="50" y="58"/>
                                  <a:pt x="47" y="69"/>
                                  <a:pt x="47" y="84"/>
                                </a:cubicBezTo>
                                <a:cubicBezTo>
                                  <a:pt x="47" y="163"/>
                                  <a:pt x="47" y="163"/>
                                  <a:pt x="47" y="163"/>
                                </a:cubicBezTo>
                                <a:cubicBezTo>
                                  <a:pt x="0" y="163"/>
                                  <a:pt x="0" y="163"/>
                                  <a:pt x="0" y="163"/>
                                </a:cubicBezTo>
                                <a:cubicBezTo>
                                  <a:pt x="0" y="2"/>
                                  <a:pt x="0" y="2"/>
                                  <a:pt x="0" y="2"/>
                                </a:cubicBezTo>
                                <a:cubicBezTo>
                                  <a:pt x="45" y="2"/>
                                  <a:pt x="45" y="2"/>
                                  <a:pt x="45" y="2"/>
                                </a:cubicBezTo>
                                <a:cubicBezTo>
                                  <a:pt x="45" y="21"/>
                                  <a:pt x="45" y="21"/>
                                  <a:pt x="45" y="21"/>
                                </a:cubicBezTo>
                                <a:cubicBezTo>
                                  <a:pt x="51" y="14"/>
                                  <a:pt x="59" y="9"/>
                                  <a:pt x="68" y="5"/>
                                </a:cubicBezTo>
                                <a:cubicBezTo>
                                  <a:pt x="77" y="2"/>
                                  <a:pt x="87" y="0"/>
                                  <a:pt x="98" y="0"/>
                                </a:cubicBezTo>
                                <a:cubicBezTo>
                                  <a:pt x="118" y="0"/>
                                  <a:pt x="134" y="6"/>
                                  <a:pt x="146" y="18"/>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99" name="Freeform 38"/>
                        <wps:cNvSpPr>
                          <a:spLocks/>
                        </wps:cNvSpPr>
                        <wps:spPr bwMode="auto">
                          <a:xfrm>
                            <a:off x="635292" y="313013"/>
                            <a:ext cx="73384" cy="76528"/>
                          </a:xfrm>
                          <a:custGeom>
                            <a:avLst/>
                            <a:gdLst>
                              <a:gd name="T0" fmla="*/ 43 w 162"/>
                              <a:gd name="T1" fmla="*/ 155 h 166"/>
                              <a:gd name="T2" fmla="*/ 11 w 162"/>
                              <a:gd name="T3" fmla="*/ 125 h 166"/>
                              <a:gd name="T4" fmla="*/ 0 w 162"/>
                              <a:gd name="T5" fmla="*/ 83 h 166"/>
                              <a:gd name="T6" fmla="*/ 11 w 162"/>
                              <a:gd name="T7" fmla="*/ 40 h 166"/>
                              <a:gd name="T8" fmla="*/ 43 w 162"/>
                              <a:gd name="T9" fmla="*/ 10 h 166"/>
                              <a:gd name="T10" fmla="*/ 90 w 162"/>
                              <a:gd name="T11" fmla="*/ 0 h 166"/>
                              <a:gd name="T12" fmla="*/ 134 w 162"/>
                              <a:gd name="T13" fmla="*/ 10 h 166"/>
                              <a:gd name="T14" fmla="*/ 162 w 162"/>
                              <a:gd name="T15" fmla="*/ 41 h 166"/>
                              <a:gd name="T16" fmla="*/ 126 w 162"/>
                              <a:gd name="T17" fmla="*/ 60 h 166"/>
                              <a:gd name="T18" fmla="*/ 89 w 162"/>
                              <a:gd name="T19" fmla="*/ 38 h 166"/>
                              <a:gd name="T20" fmla="*/ 59 w 162"/>
                              <a:gd name="T21" fmla="*/ 50 h 166"/>
                              <a:gd name="T22" fmla="*/ 47 w 162"/>
                              <a:gd name="T23" fmla="*/ 83 h 166"/>
                              <a:gd name="T24" fmla="*/ 59 w 162"/>
                              <a:gd name="T25" fmla="*/ 115 h 166"/>
                              <a:gd name="T26" fmla="*/ 89 w 162"/>
                              <a:gd name="T27" fmla="*/ 127 h 166"/>
                              <a:gd name="T28" fmla="*/ 126 w 162"/>
                              <a:gd name="T29" fmla="*/ 105 h 166"/>
                              <a:gd name="T30" fmla="*/ 162 w 162"/>
                              <a:gd name="T31" fmla="*/ 125 h 166"/>
                              <a:gd name="T32" fmla="*/ 134 w 162"/>
                              <a:gd name="T33" fmla="*/ 155 h 166"/>
                              <a:gd name="T34" fmla="*/ 90 w 162"/>
                              <a:gd name="T35" fmla="*/ 166 h 166"/>
                              <a:gd name="T36" fmla="*/ 43 w 162"/>
                              <a:gd name="T37" fmla="*/ 155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62" h="166">
                                <a:moveTo>
                                  <a:pt x="43" y="155"/>
                                </a:moveTo>
                                <a:cubicBezTo>
                                  <a:pt x="30" y="148"/>
                                  <a:pt x="19" y="138"/>
                                  <a:pt x="11" y="125"/>
                                </a:cubicBezTo>
                                <a:cubicBezTo>
                                  <a:pt x="4" y="113"/>
                                  <a:pt x="0" y="99"/>
                                  <a:pt x="0" y="83"/>
                                </a:cubicBezTo>
                                <a:cubicBezTo>
                                  <a:pt x="0" y="67"/>
                                  <a:pt x="4" y="52"/>
                                  <a:pt x="11" y="40"/>
                                </a:cubicBezTo>
                                <a:cubicBezTo>
                                  <a:pt x="19" y="27"/>
                                  <a:pt x="30" y="18"/>
                                  <a:pt x="43" y="10"/>
                                </a:cubicBezTo>
                                <a:cubicBezTo>
                                  <a:pt x="57" y="3"/>
                                  <a:pt x="73" y="0"/>
                                  <a:pt x="90" y="0"/>
                                </a:cubicBezTo>
                                <a:cubicBezTo>
                                  <a:pt x="107" y="0"/>
                                  <a:pt x="121" y="3"/>
                                  <a:pt x="134" y="10"/>
                                </a:cubicBezTo>
                                <a:cubicBezTo>
                                  <a:pt x="147" y="18"/>
                                  <a:pt x="156" y="28"/>
                                  <a:pt x="162" y="41"/>
                                </a:cubicBezTo>
                                <a:cubicBezTo>
                                  <a:pt x="126" y="60"/>
                                  <a:pt x="126" y="60"/>
                                  <a:pt x="126" y="60"/>
                                </a:cubicBezTo>
                                <a:cubicBezTo>
                                  <a:pt x="117" y="46"/>
                                  <a:pt x="105" y="38"/>
                                  <a:pt x="89" y="38"/>
                                </a:cubicBezTo>
                                <a:cubicBezTo>
                                  <a:pt x="77" y="38"/>
                                  <a:pt x="67" y="42"/>
                                  <a:pt x="59" y="50"/>
                                </a:cubicBezTo>
                                <a:cubicBezTo>
                                  <a:pt x="51" y="58"/>
                                  <a:pt x="47" y="69"/>
                                  <a:pt x="47" y="83"/>
                                </a:cubicBezTo>
                                <a:cubicBezTo>
                                  <a:pt x="47" y="96"/>
                                  <a:pt x="51" y="107"/>
                                  <a:pt x="59" y="115"/>
                                </a:cubicBezTo>
                                <a:cubicBezTo>
                                  <a:pt x="67" y="123"/>
                                  <a:pt x="77" y="127"/>
                                  <a:pt x="89" y="127"/>
                                </a:cubicBezTo>
                                <a:cubicBezTo>
                                  <a:pt x="105" y="127"/>
                                  <a:pt x="117" y="120"/>
                                  <a:pt x="126" y="105"/>
                                </a:cubicBezTo>
                                <a:cubicBezTo>
                                  <a:pt x="162" y="125"/>
                                  <a:pt x="162" y="125"/>
                                  <a:pt x="162" y="125"/>
                                </a:cubicBezTo>
                                <a:cubicBezTo>
                                  <a:pt x="156" y="138"/>
                                  <a:pt x="147" y="148"/>
                                  <a:pt x="134" y="155"/>
                                </a:cubicBezTo>
                                <a:cubicBezTo>
                                  <a:pt x="121" y="162"/>
                                  <a:pt x="107" y="166"/>
                                  <a:pt x="90" y="166"/>
                                </a:cubicBezTo>
                                <a:cubicBezTo>
                                  <a:pt x="73" y="166"/>
                                  <a:pt x="57" y="162"/>
                                  <a:pt x="43" y="155"/>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300" name="Freeform 39"/>
                        <wps:cNvSpPr>
                          <a:spLocks noEditPoints="1"/>
                        </wps:cNvSpPr>
                        <wps:spPr bwMode="auto">
                          <a:xfrm>
                            <a:off x="723352" y="313013"/>
                            <a:ext cx="76529" cy="76528"/>
                          </a:xfrm>
                          <a:custGeom>
                            <a:avLst/>
                            <a:gdLst>
                              <a:gd name="T0" fmla="*/ 168 w 169"/>
                              <a:gd name="T1" fmla="*/ 96 h 166"/>
                              <a:gd name="T2" fmla="*/ 47 w 169"/>
                              <a:gd name="T3" fmla="*/ 96 h 166"/>
                              <a:gd name="T4" fmla="*/ 62 w 169"/>
                              <a:gd name="T5" fmla="*/ 119 h 166"/>
                              <a:gd name="T6" fmla="*/ 93 w 169"/>
                              <a:gd name="T7" fmla="*/ 128 h 166"/>
                              <a:gd name="T8" fmla="*/ 115 w 169"/>
                              <a:gd name="T9" fmla="*/ 124 h 166"/>
                              <a:gd name="T10" fmla="*/ 133 w 169"/>
                              <a:gd name="T11" fmla="*/ 113 h 166"/>
                              <a:gd name="T12" fmla="*/ 158 w 169"/>
                              <a:gd name="T13" fmla="*/ 140 h 166"/>
                              <a:gd name="T14" fmla="*/ 92 w 169"/>
                              <a:gd name="T15" fmla="*/ 166 h 166"/>
                              <a:gd name="T16" fmla="*/ 43 w 169"/>
                              <a:gd name="T17" fmla="*/ 155 h 166"/>
                              <a:gd name="T18" fmla="*/ 11 w 169"/>
                              <a:gd name="T19" fmla="*/ 125 h 166"/>
                              <a:gd name="T20" fmla="*/ 0 w 169"/>
                              <a:gd name="T21" fmla="*/ 83 h 166"/>
                              <a:gd name="T22" fmla="*/ 11 w 169"/>
                              <a:gd name="T23" fmla="*/ 40 h 166"/>
                              <a:gd name="T24" fmla="*/ 42 w 169"/>
                              <a:gd name="T25" fmla="*/ 10 h 166"/>
                              <a:gd name="T26" fmla="*/ 86 w 169"/>
                              <a:gd name="T27" fmla="*/ 0 h 166"/>
                              <a:gd name="T28" fmla="*/ 128 w 169"/>
                              <a:gd name="T29" fmla="*/ 10 h 166"/>
                              <a:gd name="T30" fmla="*/ 158 w 169"/>
                              <a:gd name="T31" fmla="*/ 39 h 166"/>
                              <a:gd name="T32" fmla="*/ 169 w 169"/>
                              <a:gd name="T33" fmla="*/ 83 h 166"/>
                              <a:gd name="T34" fmla="*/ 168 w 169"/>
                              <a:gd name="T35" fmla="*/ 96 h 166"/>
                              <a:gd name="T36" fmla="*/ 59 w 169"/>
                              <a:gd name="T37" fmla="*/ 44 h 166"/>
                              <a:gd name="T38" fmla="*/ 46 w 169"/>
                              <a:gd name="T39" fmla="*/ 69 h 166"/>
                              <a:gd name="T40" fmla="*/ 125 w 169"/>
                              <a:gd name="T41" fmla="*/ 69 h 166"/>
                              <a:gd name="T42" fmla="*/ 112 w 169"/>
                              <a:gd name="T43" fmla="*/ 44 h 166"/>
                              <a:gd name="T44" fmla="*/ 86 w 169"/>
                              <a:gd name="T45" fmla="*/ 35 h 166"/>
                              <a:gd name="T46" fmla="*/ 59 w 169"/>
                              <a:gd name="T47" fmla="*/ 44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69" h="166">
                                <a:moveTo>
                                  <a:pt x="168" y="96"/>
                                </a:moveTo>
                                <a:cubicBezTo>
                                  <a:pt x="47" y="96"/>
                                  <a:pt x="47" y="96"/>
                                  <a:pt x="47" y="96"/>
                                </a:cubicBezTo>
                                <a:cubicBezTo>
                                  <a:pt x="49" y="106"/>
                                  <a:pt x="54" y="114"/>
                                  <a:pt x="62" y="119"/>
                                </a:cubicBezTo>
                                <a:cubicBezTo>
                                  <a:pt x="70" y="125"/>
                                  <a:pt x="81" y="128"/>
                                  <a:pt x="93" y="128"/>
                                </a:cubicBezTo>
                                <a:cubicBezTo>
                                  <a:pt x="101" y="128"/>
                                  <a:pt x="109" y="127"/>
                                  <a:pt x="115" y="124"/>
                                </a:cubicBezTo>
                                <a:cubicBezTo>
                                  <a:pt x="122" y="122"/>
                                  <a:pt x="128" y="118"/>
                                  <a:pt x="133" y="113"/>
                                </a:cubicBezTo>
                                <a:cubicBezTo>
                                  <a:pt x="158" y="140"/>
                                  <a:pt x="158" y="140"/>
                                  <a:pt x="158" y="140"/>
                                </a:cubicBezTo>
                                <a:cubicBezTo>
                                  <a:pt x="143" y="157"/>
                                  <a:pt x="121" y="166"/>
                                  <a:pt x="92" y="166"/>
                                </a:cubicBezTo>
                                <a:cubicBezTo>
                                  <a:pt x="73" y="166"/>
                                  <a:pt x="57" y="162"/>
                                  <a:pt x="43" y="155"/>
                                </a:cubicBezTo>
                                <a:cubicBezTo>
                                  <a:pt x="29" y="148"/>
                                  <a:pt x="19" y="138"/>
                                  <a:pt x="11" y="125"/>
                                </a:cubicBezTo>
                                <a:cubicBezTo>
                                  <a:pt x="4" y="113"/>
                                  <a:pt x="0" y="99"/>
                                  <a:pt x="0" y="83"/>
                                </a:cubicBezTo>
                                <a:cubicBezTo>
                                  <a:pt x="0" y="67"/>
                                  <a:pt x="3" y="53"/>
                                  <a:pt x="11" y="40"/>
                                </a:cubicBezTo>
                                <a:cubicBezTo>
                                  <a:pt x="18" y="27"/>
                                  <a:pt x="29" y="18"/>
                                  <a:pt x="42" y="10"/>
                                </a:cubicBezTo>
                                <a:cubicBezTo>
                                  <a:pt x="55" y="3"/>
                                  <a:pt x="69" y="0"/>
                                  <a:pt x="86" y="0"/>
                                </a:cubicBezTo>
                                <a:cubicBezTo>
                                  <a:pt x="101" y="0"/>
                                  <a:pt x="116" y="3"/>
                                  <a:pt x="128" y="10"/>
                                </a:cubicBezTo>
                                <a:cubicBezTo>
                                  <a:pt x="141" y="17"/>
                                  <a:pt x="151" y="27"/>
                                  <a:pt x="158" y="39"/>
                                </a:cubicBezTo>
                                <a:cubicBezTo>
                                  <a:pt x="166" y="52"/>
                                  <a:pt x="169" y="67"/>
                                  <a:pt x="169" y="83"/>
                                </a:cubicBezTo>
                                <a:cubicBezTo>
                                  <a:pt x="169" y="84"/>
                                  <a:pt x="169" y="88"/>
                                  <a:pt x="168" y="96"/>
                                </a:cubicBezTo>
                                <a:close/>
                                <a:moveTo>
                                  <a:pt x="59" y="44"/>
                                </a:moveTo>
                                <a:cubicBezTo>
                                  <a:pt x="52" y="50"/>
                                  <a:pt x="48" y="58"/>
                                  <a:pt x="46" y="69"/>
                                </a:cubicBezTo>
                                <a:cubicBezTo>
                                  <a:pt x="125" y="69"/>
                                  <a:pt x="125" y="69"/>
                                  <a:pt x="125" y="69"/>
                                </a:cubicBezTo>
                                <a:cubicBezTo>
                                  <a:pt x="124" y="58"/>
                                  <a:pt x="119" y="50"/>
                                  <a:pt x="112" y="44"/>
                                </a:cubicBezTo>
                                <a:cubicBezTo>
                                  <a:pt x="105" y="38"/>
                                  <a:pt x="96" y="35"/>
                                  <a:pt x="86" y="35"/>
                                </a:cubicBezTo>
                                <a:cubicBezTo>
                                  <a:pt x="75" y="35"/>
                                  <a:pt x="66" y="38"/>
                                  <a:pt x="59" y="44"/>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301" name="Freeform 40"/>
                        <wps:cNvSpPr>
                          <a:spLocks noEditPoints="1"/>
                        </wps:cNvSpPr>
                        <wps:spPr bwMode="auto">
                          <a:xfrm>
                            <a:off x="861732" y="290998"/>
                            <a:ext cx="91206" cy="98544"/>
                          </a:xfrm>
                          <a:custGeom>
                            <a:avLst/>
                            <a:gdLst>
                              <a:gd name="T0" fmla="*/ 175 w 200"/>
                              <a:gd name="T1" fmla="*/ 216 h 216"/>
                              <a:gd name="T2" fmla="*/ 150 w 200"/>
                              <a:gd name="T3" fmla="*/ 192 h 216"/>
                              <a:gd name="T4" fmla="*/ 80 w 200"/>
                              <a:gd name="T5" fmla="*/ 216 h 216"/>
                              <a:gd name="T6" fmla="*/ 39 w 200"/>
                              <a:gd name="T7" fmla="*/ 208 h 216"/>
                              <a:gd name="T8" fmla="*/ 10 w 200"/>
                              <a:gd name="T9" fmla="*/ 188 h 216"/>
                              <a:gd name="T10" fmla="*/ 0 w 200"/>
                              <a:gd name="T11" fmla="*/ 158 h 216"/>
                              <a:gd name="T12" fmla="*/ 11 w 200"/>
                              <a:gd name="T13" fmla="*/ 124 h 216"/>
                              <a:gd name="T14" fmla="*/ 46 w 200"/>
                              <a:gd name="T15" fmla="*/ 96 h 216"/>
                              <a:gd name="T16" fmla="*/ 30 w 200"/>
                              <a:gd name="T17" fmla="*/ 74 h 216"/>
                              <a:gd name="T18" fmla="*/ 24 w 200"/>
                              <a:gd name="T19" fmla="*/ 52 h 216"/>
                              <a:gd name="T20" fmla="*/ 33 w 200"/>
                              <a:gd name="T21" fmla="*/ 25 h 216"/>
                              <a:gd name="T22" fmla="*/ 55 w 200"/>
                              <a:gd name="T23" fmla="*/ 7 h 216"/>
                              <a:gd name="T24" fmla="*/ 90 w 200"/>
                              <a:gd name="T25" fmla="*/ 0 h 216"/>
                              <a:gd name="T26" fmla="*/ 133 w 200"/>
                              <a:gd name="T27" fmla="*/ 13 h 216"/>
                              <a:gd name="T28" fmla="*/ 150 w 200"/>
                              <a:gd name="T29" fmla="*/ 48 h 216"/>
                              <a:gd name="T30" fmla="*/ 140 w 200"/>
                              <a:gd name="T31" fmla="*/ 77 h 216"/>
                              <a:gd name="T32" fmla="*/ 109 w 200"/>
                              <a:gd name="T33" fmla="*/ 101 h 216"/>
                              <a:gd name="T34" fmla="*/ 147 w 200"/>
                              <a:gd name="T35" fmla="*/ 137 h 216"/>
                              <a:gd name="T36" fmla="*/ 158 w 200"/>
                              <a:gd name="T37" fmla="*/ 104 h 216"/>
                              <a:gd name="T38" fmla="*/ 195 w 200"/>
                              <a:gd name="T39" fmla="*/ 116 h 216"/>
                              <a:gd name="T40" fmla="*/ 176 w 200"/>
                              <a:gd name="T41" fmla="*/ 163 h 216"/>
                              <a:gd name="T42" fmla="*/ 200 w 200"/>
                              <a:gd name="T43" fmla="*/ 186 h 216"/>
                              <a:gd name="T44" fmla="*/ 175 w 200"/>
                              <a:gd name="T45" fmla="*/ 216 h 216"/>
                              <a:gd name="T46" fmla="*/ 122 w 200"/>
                              <a:gd name="T47" fmla="*/ 167 h 216"/>
                              <a:gd name="T48" fmla="*/ 72 w 200"/>
                              <a:gd name="T49" fmla="*/ 120 h 216"/>
                              <a:gd name="T50" fmla="*/ 52 w 200"/>
                              <a:gd name="T51" fmla="*/ 136 h 216"/>
                              <a:gd name="T52" fmla="*/ 46 w 200"/>
                              <a:gd name="T53" fmla="*/ 153 h 216"/>
                              <a:gd name="T54" fmla="*/ 56 w 200"/>
                              <a:gd name="T55" fmla="*/ 172 h 216"/>
                              <a:gd name="T56" fmla="*/ 83 w 200"/>
                              <a:gd name="T57" fmla="*/ 179 h 216"/>
                              <a:gd name="T58" fmla="*/ 122 w 200"/>
                              <a:gd name="T59" fmla="*/ 167 h 216"/>
                              <a:gd name="T60" fmla="*/ 73 w 200"/>
                              <a:gd name="T61" fmla="*/ 37 h 216"/>
                              <a:gd name="T62" fmla="*/ 67 w 200"/>
                              <a:gd name="T63" fmla="*/ 51 h 216"/>
                              <a:gd name="T64" fmla="*/ 70 w 200"/>
                              <a:gd name="T65" fmla="*/ 63 h 216"/>
                              <a:gd name="T66" fmla="*/ 83 w 200"/>
                              <a:gd name="T67" fmla="*/ 78 h 216"/>
                              <a:gd name="T68" fmla="*/ 104 w 200"/>
                              <a:gd name="T69" fmla="*/ 63 h 216"/>
                              <a:gd name="T70" fmla="*/ 110 w 200"/>
                              <a:gd name="T71" fmla="*/ 49 h 216"/>
                              <a:gd name="T72" fmla="*/ 105 w 200"/>
                              <a:gd name="T73" fmla="*/ 37 h 216"/>
                              <a:gd name="T74" fmla="*/ 90 w 200"/>
                              <a:gd name="T75" fmla="*/ 32 h 216"/>
                              <a:gd name="T76" fmla="*/ 73 w 200"/>
                              <a:gd name="T77" fmla="*/ 37 h 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00" h="216">
                                <a:moveTo>
                                  <a:pt x="175" y="216"/>
                                </a:moveTo>
                                <a:cubicBezTo>
                                  <a:pt x="150" y="192"/>
                                  <a:pt x="150" y="192"/>
                                  <a:pt x="150" y="192"/>
                                </a:cubicBezTo>
                                <a:cubicBezTo>
                                  <a:pt x="130" y="208"/>
                                  <a:pt x="106" y="216"/>
                                  <a:pt x="80" y="216"/>
                                </a:cubicBezTo>
                                <a:cubicBezTo>
                                  <a:pt x="65" y="216"/>
                                  <a:pt x="51" y="213"/>
                                  <a:pt x="39" y="208"/>
                                </a:cubicBezTo>
                                <a:cubicBezTo>
                                  <a:pt x="27" y="204"/>
                                  <a:pt x="17" y="197"/>
                                  <a:pt x="10" y="188"/>
                                </a:cubicBezTo>
                                <a:cubicBezTo>
                                  <a:pt x="3" y="179"/>
                                  <a:pt x="0" y="169"/>
                                  <a:pt x="0" y="158"/>
                                </a:cubicBezTo>
                                <a:cubicBezTo>
                                  <a:pt x="0" y="145"/>
                                  <a:pt x="4" y="134"/>
                                  <a:pt x="11" y="124"/>
                                </a:cubicBezTo>
                                <a:cubicBezTo>
                                  <a:pt x="18" y="114"/>
                                  <a:pt x="30" y="105"/>
                                  <a:pt x="46" y="96"/>
                                </a:cubicBezTo>
                                <a:cubicBezTo>
                                  <a:pt x="38" y="88"/>
                                  <a:pt x="33" y="81"/>
                                  <a:pt x="30" y="74"/>
                                </a:cubicBezTo>
                                <a:cubicBezTo>
                                  <a:pt x="26" y="66"/>
                                  <a:pt x="24" y="59"/>
                                  <a:pt x="24" y="52"/>
                                </a:cubicBezTo>
                                <a:cubicBezTo>
                                  <a:pt x="24" y="41"/>
                                  <a:pt x="27" y="32"/>
                                  <a:pt x="33" y="25"/>
                                </a:cubicBezTo>
                                <a:cubicBezTo>
                                  <a:pt x="38" y="17"/>
                                  <a:pt x="46" y="11"/>
                                  <a:pt x="55" y="7"/>
                                </a:cubicBezTo>
                                <a:cubicBezTo>
                                  <a:pt x="65" y="2"/>
                                  <a:pt x="77" y="0"/>
                                  <a:pt x="90" y="0"/>
                                </a:cubicBezTo>
                                <a:cubicBezTo>
                                  <a:pt x="108" y="0"/>
                                  <a:pt x="122" y="4"/>
                                  <a:pt x="133" y="13"/>
                                </a:cubicBezTo>
                                <a:cubicBezTo>
                                  <a:pt x="144" y="22"/>
                                  <a:pt x="150" y="33"/>
                                  <a:pt x="150" y="48"/>
                                </a:cubicBezTo>
                                <a:cubicBezTo>
                                  <a:pt x="150" y="59"/>
                                  <a:pt x="147" y="69"/>
                                  <a:pt x="140" y="77"/>
                                </a:cubicBezTo>
                                <a:cubicBezTo>
                                  <a:pt x="134" y="85"/>
                                  <a:pt x="123" y="93"/>
                                  <a:pt x="109" y="101"/>
                                </a:cubicBezTo>
                                <a:cubicBezTo>
                                  <a:pt x="147" y="137"/>
                                  <a:pt x="147" y="137"/>
                                  <a:pt x="147" y="137"/>
                                </a:cubicBezTo>
                                <a:cubicBezTo>
                                  <a:pt x="152" y="127"/>
                                  <a:pt x="155" y="116"/>
                                  <a:pt x="158" y="104"/>
                                </a:cubicBezTo>
                                <a:cubicBezTo>
                                  <a:pt x="195" y="116"/>
                                  <a:pt x="195" y="116"/>
                                  <a:pt x="195" y="116"/>
                                </a:cubicBezTo>
                                <a:cubicBezTo>
                                  <a:pt x="191" y="134"/>
                                  <a:pt x="185" y="150"/>
                                  <a:pt x="176" y="163"/>
                                </a:cubicBezTo>
                                <a:cubicBezTo>
                                  <a:pt x="200" y="186"/>
                                  <a:pt x="200" y="186"/>
                                  <a:pt x="200" y="186"/>
                                </a:cubicBezTo>
                                <a:lnTo>
                                  <a:pt x="175" y="216"/>
                                </a:lnTo>
                                <a:close/>
                                <a:moveTo>
                                  <a:pt x="122" y="167"/>
                                </a:moveTo>
                                <a:cubicBezTo>
                                  <a:pt x="72" y="120"/>
                                  <a:pt x="72" y="120"/>
                                  <a:pt x="72" y="120"/>
                                </a:cubicBezTo>
                                <a:cubicBezTo>
                                  <a:pt x="62" y="125"/>
                                  <a:pt x="56" y="130"/>
                                  <a:pt x="52" y="136"/>
                                </a:cubicBezTo>
                                <a:cubicBezTo>
                                  <a:pt x="48" y="141"/>
                                  <a:pt x="46" y="147"/>
                                  <a:pt x="46" y="153"/>
                                </a:cubicBezTo>
                                <a:cubicBezTo>
                                  <a:pt x="46" y="161"/>
                                  <a:pt x="49" y="167"/>
                                  <a:pt x="56" y="172"/>
                                </a:cubicBezTo>
                                <a:cubicBezTo>
                                  <a:pt x="63" y="177"/>
                                  <a:pt x="72" y="179"/>
                                  <a:pt x="83" y="179"/>
                                </a:cubicBezTo>
                                <a:cubicBezTo>
                                  <a:pt x="98" y="179"/>
                                  <a:pt x="111" y="175"/>
                                  <a:pt x="122" y="167"/>
                                </a:cubicBezTo>
                                <a:close/>
                                <a:moveTo>
                                  <a:pt x="73" y="37"/>
                                </a:moveTo>
                                <a:cubicBezTo>
                                  <a:pt x="69" y="41"/>
                                  <a:pt x="67" y="45"/>
                                  <a:pt x="67" y="51"/>
                                </a:cubicBezTo>
                                <a:cubicBezTo>
                                  <a:pt x="67" y="55"/>
                                  <a:pt x="68" y="59"/>
                                  <a:pt x="70" y="63"/>
                                </a:cubicBezTo>
                                <a:cubicBezTo>
                                  <a:pt x="72" y="66"/>
                                  <a:pt x="77" y="71"/>
                                  <a:pt x="83" y="78"/>
                                </a:cubicBezTo>
                                <a:cubicBezTo>
                                  <a:pt x="93" y="72"/>
                                  <a:pt x="100" y="67"/>
                                  <a:pt x="104" y="63"/>
                                </a:cubicBezTo>
                                <a:cubicBezTo>
                                  <a:pt x="108" y="59"/>
                                  <a:pt x="110" y="54"/>
                                  <a:pt x="110" y="49"/>
                                </a:cubicBezTo>
                                <a:cubicBezTo>
                                  <a:pt x="110" y="44"/>
                                  <a:pt x="108" y="40"/>
                                  <a:pt x="105" y="37"/>
                                </a:cubicBezTo>
                                <a:cubicBezTo>
                                  <a:pt x="101" y="33"/>
                                  <a:pt x="96" y="32"/>
                                  <a:pt x="90" y="32"/>
                                </a:cubicBezTo>
                                <a:cubicBezTo>
                                  <a:pt x="83" y="32"/>
                                  <a:pt x="77" y="34"/>
                                  <a:pt x="73" y="37"/>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302" name="Freeform 41"/>
                        <wps:cNvSpPr>
                          <a:spLocks noEditPoints="1"/>
                        </wps:cNvSpPr>
                        <wps:spPr bwMode="auto">
                          <a:xfrm>
                            <a:off x="1020032" y="292046"/>
                            <a:ext cx="82819" cy="96447"/>
                          </a:xfrm>
                          <a:custGeom>
                            <a:avLst/>
                            <a:gdLst>
                              <a:gd name="T0" fmla="*/ 139 w 182"/>
                              <a:gd name="T1" fmla="*/ 9 h 209"/>
                              <a:gd name="T2" fmla="*/ 171 w 182"/>
                              <a:gd name="T3" fmla="*/ 35 h 209"/>
                              <a:gd name="T4" fmla="*/ 182 w 182"/>
                              <a:gd name="T5" fmla="*/ 76 h 209"/>
                              <a:gd name="T6" fmla="*/ 171 w 182"/>
                              <a:gd name="T7" fmla="*/ 116 h 209"/>
                              <a:gd name="T8" fmla="*/ 139 w 182"/>
                              <a:gd name="T9" fmla="*/ 142 h 209"/>
                              <a:gd name="T10" fmla="*/ 91 w 182"/>
                              <a:gd name="T11" fmla="*/ 151 h 209"/>
                              <a:gd name="T12" fmla="*/ 49 w 182"/>
                              <a:gd name="T13" fmla="*/ 151 h 209"/>
                              <a:gd name="T14" fmla="*/ 49 w 182"/>
                              <a:gd name="T15" fmla="*/ 209 h 209"/>
                              <a:gd name="T16" fmla="*/ 0 w 182"/>
                              <a:gd name="T17" fmla="*/ 209 h 209"/>
                              <a:gd name="T18" fmla="*/ 0 w 182"/>
                              <a:gd name="T19" fmla="*/ 0 h 209"/>
                              <a:gd name="T20" fmla="*/ 91 w 182"/>
                              <a:gd name="T21" fmla="*/ 0 h 209"/>
                              <a:gd name="T22" fmla="*/ 139 w 182"/>
                              <a:gd name="T23" fmla="*/ 9 h 209"/>
                              <a:gd name="T24" fmla="*/ 121 w 182"/>
                              <a:gd name="T25" fmla="*/ 103 h 209"/>
                              <a:gd name="T26" fmla="*/ 133 w 182"/>
                              <a:gd name="T27" fmla="*/ 76 h 209"/>
                              <a:gd name="T28" fmla="*/ 121 w 182"/>
                              <a:gd name="T29" fmla="*/ 49 h 209"/>
                              <a:gd name="T30" fmla="*/ 88 w 182"/>
                              <a:gd name="T31" fmla="*/ 39 h 209"/>
                              <a:gd name="T32" fmla="*/ 49 w 182"/>
                              <a:gd name="T33" fmla="*/ 39 h 209"/>
                              <a:gd name="T34" fmla="*/ 49 w 182"/>
                              <a:gd name="T35" fmla="*/ 112 h 209"/>
                              <a:gd name="T36" fmla="*/ 88 w 182"/>
                              <a:gd name="T37" fmla="*/ 112 h 209"/>
                              <a:gd name="T38" fmla="*/ 121 w 182"/>
                              <a:gd name="T39" fmla="*/ 103 h 2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82" h="209">
                                <a:moveTo>
                                  <a:pt x="139" y="9"/>
                                </a:moveTo>
                                <a:cubicBezTo>
                                  <a:pt x="153" y="15"/>
                                  <a:pt x="163" y="24"/>
                                  <a:pt x="171" y="35"/>
                                </a:cubicBezTo>
                                <a:cubicBezTo>
                                  <a:pt x="178" y="47"/>
                                  <a:pt x="182" y="60"/>
                                  <a:pt x="182" y="76"/>
                                </a:cubicBezTo>
                                <a:cubicBezTo>
                                  <a:pt x="182" y="91"/>
                                  <a:pt x="178" y="105"/>
                                  <a:pt x="171" y="116"/>
                                </a:cubicBezTo>
                                <a:cubicBezTo>
                                  <a:pt x="163" y="127"/>
                                  <a:pt x="153" y="136"/>
                                  <a:pt x="139" y="142"/>
                                </a:cubicBezTo>
                                <a:cubicBezTo>
                                  <a:pt x="126" y="148"/>
                                  <a:pt x="109" y="151"/>
                                  <a:pt x="91" y="151"/>
                                </a:cubicBezTo>
                                <a:cubicBezTo>
                                  <a:pt x="49" y="151"/>
                                  <a:pt x="49" y="151"/>
                                  <a:pt x="49" y="151"/>
                                </a:cubicBezTo>
                                <a:cubicBezTo>
                                  <a:pt x="49" y="209"/>
                                  <a:pt x="49" y="209"/>
                                  <a:pt x="49" y="209"/>
                                </a:cubicBezTo>
                                <a:cubicBezTo>
                                  <a:pt x="0" y="209"/>
                                  <a:pt x="0" y="209"/>
                                  <a:pt x="0" y="209"/>
                                </a:cubicBezTo>
                                <a:cubicBezTo>
                                  <a:pt x="0" y="0"/>
                                  <a:pt x="0" y="0"/>
                                  <a:pt x="0" y="0"/>
                                </a:cubicBezTo>
                                <a:cubicBezTo>
                                  <a:pt x="91" y="0"/>
                                  <a:pt x="91" y="0"/>
                                  <a:pt x="91" y="0"/>
                                </a:cubicBezTo>
                                <a:cubicBezTo>
                                  <a:pt x="109" y="0"/>
                                  <a:pt x="126" y="3"/>
                                  <a:pt x="139" y="9"/>
                                </a:cubicBezTo>
                                <a:close/>
                                <a:moveTo>
                                  <a:pt x="121" y="103"/>
                                </a:moveTo>
                                <a:cubicBezTo>
                                  <a:pt x="129" y="96"/>
                                  <a:pt x="133" y="87"/>
                                  <a:pt x="133" y="76"/>
                                </a:cubicBezTo>
                                <a:cubicBezTo>
                                  <a:pt x="133" y="64"/>
                                  <a:pt x="129" y="55"/>
                                  <a:pt x="121" y="49"/>
                                </a:cubicBezTo>
                                <a:cubicBezTo>
                                  <a:pt x="114" y="42"/>
                                  <a:pt x="103" y="39"/>
                                  <a:pt x="88" y="39"/>
                                </a:cubicBezTo>
                                <a:cubicBezTo>
                                  <a:pt x="49" y="39"/>
                                  <a:pt x="49" y="39"/>
                                  <a:pt x="49" y="39"/>
                                </a:cubicBezTo>
                                <a:cubicBezTo>
                                  <a:pt x="49" y="112"/>
                                  <a:pt x="49" y="112"/>
                                  <a:pt x="49" y="112"/>
                                </a:cubicBezTo>
                                <a:cubicBezTo>
                                  <a:pt x="88" y="112"/>
                                  <a:pt x="88" y="112"/>
                                  <a:pt x="88" y="112"/>
                                </a:cubicBezTo>
                                <a:cubicBezTo>
                                  <a:pt x="103" y="112"/>
                                  <a:pt x="114" y="109"/>
                                  <a:pt x="121" y="103"/>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303" name="Freeform 42"/>
                        <wps:cNvSpPr>
                          <a:spLocks/>
                        </wps:cNvSpPr>
                        <wps:spPr bwMode="auto">
                          <a:xfrm>
                            <a:off x="1125913" y="313013"/>
                            <a:ext cx="45079" cy="75480"/>
                          </a:xfrm>
                          <a:custGeom>
                            <a:avLst/>
                            <a:gdLst>
                              <a:gd name="T0" fmla="*/ 67 w 100"/>
                              <a:gd name="T1" fmla="*/ 6 h 163"/>
                              <a:gd name="T2" fmla="*/ 100 w 100"/>
                              <a:gd name="T3" fmla="*/ 0 h 163"/>
                              <a:gd name="T4" fmla="*/ 100 w 100"/>
                              <a:gd name="T5" fmla="*/ 43 h 163"/>
                              <a:gd name="T6" fmla="*/ 89 w 100"/>
                              <a:gd name="T7" fmla="*/ 42 h 163"/>
                              <a:gd name="T8" fmla="*/ 58 w 100"/>
                              <a:gd name="T9" fmla="*/ 54 h 163"/>
                              <a:gd name="T10" fmla="*/ 47 w 100"/>
                              <a:gd name="T11" fmla="*/ 87 h 163"/>
                              <a:gd name="T12" fmla="*/ 47 w 100"/>
                              <a:gd name="T13" fmla="*/ 163 h 163"/>
                              <a:gd name="T14" fmla="*/ 0 w 100"/>
                              <a:gd name="T15" fmla="*/ 163 h 163"/>
                              <a:gd name="T16" fmla="*/ 0 w 100"/>
                              <a:gd name="T17" fmla="*/ 2 h 163"/>
                              <a:gd name="T18" fmla="*/ 45 w 100"/>
                              <a:gd name="T19" fmla="*/ 2 h 163"/>
                              <a:gd name="T20" fmla="*/ 45 w 100"/>
                              <a:gd name="T21" fmla="*/ 23 h 163"/>
                              <a:gd name="T22" fmla="*/ 67 w 100"/>
                              <a:gd name="T23" fmla="*/ 6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0" h="163">
                                <a:moveTo>
                                  <a:pt x="67" y="6"/>
                                </a:moveTo>
                                <a:cubicBezTo>
                                  <a:pt x="77" y="2"/>
                                  <a:pt x="87" y="0"/>
                                  <a:pt x="100" y="0"/>
                                </a:cubicBezTo>
                                <a:cubicBezTo>
                                  <a:pt x="100" y="43"/>
                                  <a:pt x="100" y="43"/>
                                  <a:pt x="100" y="43"/>
                                </a:cubicBezTo>
                                <a:cubicBezTo>
                                  <a:pt x="95" y="43"/>
                                  <a:pt x="91" y="42"/>
                                  <a:pt x="89" y="42"/>
                                </a:cubicBezTo>
                                <a:cubicBezTo>
                                  <a:pt x="76" y="42"/>
                                  <a:pt x="66" y="46"/>
                                  <a:pt x="58" y="54"/>
                                </a:cubicBezTo>
                                <a:cubicBezTo>
                                  <a:pt x="50" y="61"/>
                                  <a:pt x="47" y="72"/>
                                  <a:pt x="47" y="87"/>
                                </a:cubicBezTo>
                                <a:cubicBezTo>
                                  <a:pt x="47" y="163"/>
                                  <a:pt x="47" y="163"/>
                                  <a:pt x="47" y="163"/>
                                </a:cubicBezTo>
                                <a:cubicBezTo>
                                  <a:pt x="0" y="163"/>
                                  <a:pt x="0" y="163"/>
                                  <a:pt x="0" y="163"/>
                                </a:cubicBezTo>
                                <a:cubicBezTo>
                                  <a:pt x="0" y="2"/>
                                  <a:pt x="0" y="2"/>
                                  <a:pt x="0" y="2"/>
                                </a:cubicBezTo>
                                <a:cubicBezTo>
                                  <a:pt x="45" y="2"/>
                                  <a:pt x="45" y="2"/>
                                  <a:pt x="45" y="2"/>
                                </a:cubicBezTo>
                                <a:cubicBezTo>
                                  <a:pt x="45" y="23"/>
                                  <a:pt x="45" y="23"/>
                                  <a:pt x="45" y="23"/>
                                </a:cubicBezTo>
                                <a:cubicBezTo>
                                  <a:pt x="50" y="16"/>
                                  <a:pt x="58" y="10"/>
                                  <a:pt x="67" y="6"/>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84" name="Freeform 43"/>
                        <wps:cNvSpPr>
                          <a:spLocks noEditPoints="1"/>
                        </wps:cNvSpPr>
                        <wps:spPr bwMode="auto">
                          <a:xfrm>
                            <a:off x="1185669" y="313013"/>
                            <a:ext cx="80722" cy="76528"/>
                          </a:xfrm>
                          <a:custGeom>
                            <a:avLst/>
                            <a:gdLst>
                              <a:gd name="T0" fmla="*/ 43 w 177"/>
                              <a:gd name="T1" fmla="*/ 155 h 166"/>
                              <a:gd name="T2" fmla="*/ 11 w 177"/>
                              <a:gd name="T3" fmla="*/ 125 h 166"/>
                              <a:gd name="T4" fmla="*/ 0 w 177"/>
                              <a:gd name="T5" fmla="*/ 83 h 166"/>
                              <a:gd name="T6" fmla="*/ 11 w 177"/>
                              <a:gd name="T7" fmla="*/ 40 h 166"/>
                              <a:gd name="T8" fmla="*/ 43 w 177"/>
                              <a:gd name="T9" fmla="*/ 10 h 166"/>
                              <a:gd name="T10" fmla="*/ 88 w 177"/>
                              <a:gd name="T11" fmla="*/ 0 h 166"/>
                              <a:gd name="T12" fmla="*/ 134 w 177"/>
                              <a:gd name="T13" fmla="*/ 10 h 166"/>
                              <a:gd name="T14" fmla="*/ 165 w 177"/>
                              <a:gd name="T15" fmla="*/ 40 h 166"/>
                              <a:gd name="T16" fmla="*/ 177 w 177"/>
                              <a:gd name="T17" fmla="*/ 83 h 166"/>
                              <a:gd name="T18" fmla="*/ 165 w 177"/>
                              <a:gd name="T19" fmla="*/ 125 h 166"/>
                              <a:gd name="T20" fmla="*/ 134 w 177"/>
                              <a:gd name="T21" fmla="*/ 155 h 166"/>
                              <a:gd name="T22" fmla="*/ 88 w 177"/>
                              <a:gd name="T23" fmla="*/ 166 h 166"/>
                              <a:gd name="T24" fmla="*/ 43 w 177"/>
                              <a:gd name="T25" fmla="*/ 155 h 166"/>
                              <a:gd name="T26" fmla="*/ 118 w 177"/>
                              <a:gd name="T27" fmla="*/ 115 h 166"/>
                              <a:gd name="T28" fmla="*/ 129 w 177"/>
                              <a:gd name="T29" fmla="*/ 83 h 166"/>
                              <a:gd name="T30" fmla="*/ 118 w 177"/>
                              <a:gd name="T31" fmla="*/ 50 h 166"/>
                              <a:gd name="T32" fmla="*/ 88 w 177"/>
                              <a:gd name="T33" fmla="*/ 38 h 166"/>
                              <a:gd name="T34" fmla="*/ 59 w 177"/>
                              <a:gd name="T35" fmla="*/ 50 h 166"/>
                              <a:gd name="T36" fmla="*/ 47 w 177"/>
                              <a:gd name="T37" fmla="*/ 83 h 166"/>
                              <a:gd name="T38" fmla="*/ 59 w 177"/>
                              <a:gd name="T39" fmla="*/ 115 h 166"/>
                              <a:gd name="T40" fmla="*/ 88 w 177"/>
                              <a:gd name="T41" fmla="*/ 127 h 166"/>
                              <a:gd name="T42" fmla="*/ 118 w 177"/>
                              <a:gd name="T43" fmla="*/ 115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77" h="166">
                                <a:moveTo>
                                  <a:pt x="43" y="155"/>
                                </a:moveTo>
                                <a:cubicBezTo>
                                  <a:pt x="29" y="148"/>
                                  <a:pt x="19" y="138"/>
                                  <a:pt x="11" y="125"/>
                                </a:cubicBezTo>
                                <a:cubicBezTo>
                                  <a:pt x="4" y="113"/>
                                  <a:pt x="0" y="99"/>
                                  <a:pt x="0" y="83"/>
                                </a:cubicBezTo>
                                <a:cubicBezTo>
                                  <a:pt x="0" y="67"/>
                                  <a:pt x="4" y="52"/>
                                  <a:pt x="11" y="40"/>
                                </a:cubicBezTo>
                                <a:cubicBezTo>
                                  <a:pt x="19" y="27"/>
                                  <a:pt x="29" y="18"/>
                                  <a:pt x="43" y="10"/>
                                </a:cubicBezTo>
                                <a:cubicBezTo>
                                  <a:pt x="56" y="3"/>
                                  <a:pt x="71" y="0"/>
                                  <a:pt x="88" y="0"/>
                                </a:cubicBezTo>
                                <a:cubicBezTo>
                                  <a:pt x="105" y="0"/>
                                  <a:pt x="120" y="3"/>
                                  <a:pt x="134" y="10"/>
                                </a:cubicBezTo>
                                <a:cubicBezTo>
                                  <a:pt x="147" y="18"/>
                                  <a:pt x="158" y="27"/>
                                  <a:pt x="165" y="40"/>
                                </a:cubicBezTo>
                                <a:cubicBezTo>
                                  <a:pt x="173" y="52"/>
                                  <a:pt x="177" y="67"/>
                                  <a:pt x="177" y="83"/>
                                </a:cubicBezTo>
                                <a:cubicBezTo>
                                  <a:pt x="177" y="99"/>
                                  <a:pt x="173" y="113"/>
                                  <a:pt x="165" y="125"/>
                                </a:cubicBezTo>
                                <a:cubicBezTo>
                                  <a:pt x="158" y="138"/>
                                  <a:pt x="147" y="148"/>
                                  <a:pt x="134" y="155"/>
                                </a:cubicBezTo>
                                <a:cubicBezTo>
                                  <a:pt x="120" y="162"/>
                                  <a:pt x="105" y="166"/>
                                  <a:pt x="88" y="166"/>
                                </a:cubicBezTo>
                                <a:cubicBezTo>
                                  <a:pt x="71" y="166"/>
                                  <a:pt x="56" y="162"/>
                                  <a:pt x="43" y="155"/>
                                </a:cubicBezTo>
                                <a:close/>
                                <a:moveTo>
                                  <a:pt x="118" y="115"/>
                                </a:moveTo>
                                <a:cubicBezTo>
                                  <a:pt x="126" y="107"/>
                                  <a:pt x="129" y="96"/>
                                  <a:pt x="129" y="83"/>
                                </a:cubicBezTo>
                                <a:cubicBezTo>
                                  <a:pt x="129" y="69"/>
                                  <a:pt x="126" y="58"/>
                                  <a:pt x="118" y="50"/>
                                </a:cubicBezTo>
                                <a:cubicBezTo>
                                  <a:pt x="110" y="42"/>
                                  <a:pt x="100" y="38"/>
                                  <a:pt x="88" y="38"/>
                                </a:cubicBezTo>
                                <a:cubicBezTo>
                                  <a:pt x="76" y="38"/>
                                  <a:pt x="67" y="42"/>
                                  <a:pt x="59" y="50"/>
                                </a:cubicBezTo>
                                <a:cubicBezTo>
                                  <a:pt x="51" y="58"/>
                                  <a:pt x="47" y="69"/>
                                  <a:pt x="47" y="83"/>
                                </a:cubicBezTo>
                                <a:cubicBezTo>
                                  <a:pt x="47" y="96"/>
                                  <a:pt x="51" y="107"/>
                                  <a:pt x="59" y="115"/>
                                </a:cubicBezTo>
                                <a:cubicBezTo>
                                  <a:pt x="67" y="123"/>
                                  <a:pt x="76" y="127"/>
                                  <a:pt x="88" y="127"/>
                                </a:cubicBezTo>
                                <a:cubicBezTo>
                                  <a:pt x="100" y="127"/>
                                  <a:pt x="110" y="123"/>
                                  <a:pt x="118" y="115"/>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85" name="Freeform 44"/>
                        <wps:cNvSpPr>
                          <a:spLocks/>
                        </wps:cNvSpPr>
                        <wps:spPr bwMode="auto">
                          <a:xfrm>
                            <a:off x="1278970" y="298336"/>
                            <a:ext cx="55562" cy="91205"/>
                          </a:xfrm>
                          <a:custGeom>
                            <a:avLst/>
                            <a:gdLst>
                              <a:gd name="T0" fmla="*/ 122 w 122"/>
                              <a:gd name="T1" fmla="*/ 188 h 199"/>
                              <a:gd name="T2" fmla="*/ 106 w 122"/>
                              <a:gd name="T3" fmla="*/ 196 h 199"/>
                              <a:gd name="T4" fmla="*/ 85 w 122"/>
                              <a:gd name="T5" fmla="*/ 199 h 199"/>
                              <a:gd name="T6" fmla="*/ 40 w 122"/>
                              <a:gd name="T7" fmla="*/ 184 h 199"/>
                              <a:gd name="T8" fmla="*/ 24 w 122"/>
                              <a:gd name="T9" fmla="*/ 141 h 199"/>
                              <a:gd name="T10" fmla="*/ 24 w 122"/>
                              <a:gd name="T11" fmla="*/ 75 h 199"/>
                              <a:gd name="T12" fmla="*/ 0 w 122"/>
                              <a:gd name="T13" fmla="*/ 75 h 199"/>
                              <a:gd name="T14" fmla="*/ 0 w 122"/>
                              <a:gd name="T15" fmla="*/ 39 h 199"/>
                              <a:gd name="T16" fmla="*/ 24 w 122"/>
                              <a:gd name="T17" fmla="*/ 39 h 199"/>
                              <a:gd name="T18" fmla="*/ 24 w 122"/>
                              <a:gd name="T19" fmla="*/ 0 h 199"/>
                              <a:gd name="T20" fmla="*/ 71 w 122"/>
                              <a:gd name="T21" fmla="*/ 0 h 199"/>
                              <a:gd name="T22" fmla="*/ 71 w 122"/>
                              <a:gd name="T23" fmla="*/ 39 h 199"/>
                              <a:gd name="T24" fmla="*/ 111 w 122"/>
                              <a:gd name="T25" fmla="*/ 39 h 199"/>
                              <a:gd name="T26" fmla="*/ 111 w 122"/>
                              <a:gd name="T27" fmla="*/ 75 h 199"/>
                              <a:gd name="T28" fmla="*/ 71 w 122"/>
                              <a:gd name="T29" fmla="*/ 75 h 199"/>
                              <a:gd name="T30" fmla="*/ 71 w 122"/>
                              <a:gd name="T31" fmla="*/ 140 h 199"/>
                              <a:gd name="T32" fmla="*/ 76 w 122"/>
                              <a:gd name="T33" fmla="*/ 156 h 199"/>
                              <a:gd name="T34" fmla="*/ 91 w 122"/>
                              <a:gd name="T35" fmla="*/ 161 h 199"/>
                              <a:gd name="T36" fmla="*/ 110 w 122"/>
                              <a:gd name="T37" fmla="*/ 155 h 199"/>
                              <a:gd name="T38" fmla="*/ 122 w 122"/>
                              <a:gd name="T39" fmla="*/ 188 h 1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22" h="199">
                                <a:moveTo>
                                  <a:pt x="122" y="188"/>
                                </a:moveTo>
                                <a:cubicBezTo>
                                  <a:pt x="118" y="192"/>
                                  <a:pt x="112" y="194"/>
                                  <a:pt x="106" y="196"/>
                                </a:cubicBezTo>
                                <a:cubicBezTo>
                                  <a:pt x="99" y="198"/>
                                  <a:pt x="92" y="199"/>
                                  <a:pt x="85" y="199"/>
                                </a:cubicBezTo>
                                <a:cubicBezTo>
                                  <a:pt x="65" y="199"/>
                                  <a:pt x="51" y="194"/>
                                  <a:pt x="40" y="184"/>
                                </a:cubicBezTo>
                                <a:cubicBezTo>
                                  <a:pt x="30" y="174"/>
                                  <a:pt x="24" y="160"/>
                                  <a:pt x="24" y="141"/>
                                </a:cubicBezTo>
                                <a:cubicBezTo>
                                  <a:pt x="24" y="75"/>
                                  <a:pt x="24" y="75"/>
                                  <a:pt x="24" y="75"/>
                                </a:cubicBezTo>
                                <a:cubicBezTo>
                                  <a:pt x="0" y="75"/>
                                  <a:pt x="0" y="75"/>
                                  <a:pt x="0" y="75"/>
                                </a:cubicBezTo>
                                <a:cubicBezTo>
                                  <a:pt x="0" y="39"/>
                                  <a:pt x="0" y="39"/>
                                  <a:pt x="0" y="39"/>
                                </a:cubicBezTo>
                                <a:cubicBezTo>
                                  <a:pt x="24" y="39"/>
                                  <a:pt x="24" y="39"/>
                                  <a:pt x="24" y="39"/>
                                </a:cubicBezTo>
                                <a:cubicBezTo>
                                  <a:pt x="24" y="0"/>
                                  <a:pt x="24" y="0"/>
                                  <a:pt x="24" y="0"/>
                                </a:cubicBezTo>
                                <a:cubicBezTo>
                                  <a:pt x="71" y="0"/>
                                  <a:pt x="71" y="0"/>
                                  <a:pt x="71" y="0"/>
                                </a:cubicBezTo>
                                <a:cubicBezTo>
                                  <a:pt x="71" y="39"/>
                                  <a:pt x="71" y="39"/>
                                  <a:pt x="71" y="39"/>
                                </a:cubicBezTo>
                                <a:cubicBezTo>
                                  <a:pt x="111" y="39"/>
                                  <a:pt x="111" y="39"/>
                                  <a:pt x="111" y="39"/>
                                </a:cubicBezTo>
                                <a:cubicBezTo>
                                  <a:pt x="111" y="75"/>
                                  <a:pt x="111" y="75"/>
                                  <a:pt x="111" y="75"/>
                                </a:cubicBezTo>
                                <a:cubicBezTo>
                                  <a:pt x="71" y="75"/>
                                  <a:pt x="71" y="75"/>
                                  <a:pt x="71" y="75"/>
                                </a:cubicBezTo>
                                <a:cubicBezTo>
                                  <a:pt x="71" y="140"/>
                                  <a:pt x="71" y="140"/>
                                  <a:pt x="71" y="140"/>
                                </a:cubicBezTo>
                                <a:cubicBezTo>
                                  <a:pt x="71" y="147"/>
                                  <a:pt x="73" y="152"/>
                                  <a:pt x="76" y="156"/>
                                </a:cubicBezTo>
                                <a:cubicBezTo>
                                  <a:pt x="80" y="160"/>
                                  <a:pt x="85" y="161"/>
                                  <a:pt x="91" y="161"/>
                                </a:cubicBezTo>
                                <a:cubicBezTo>
                                  <a:pt x="98" y="161"/>
                                  <a:pt x="105" y="159"/>
                                  <a:pt x="110" y="155"/>
                                </a:cubicBezTo>
                                <a:lnTo>
                                  <a:pt x="122" y="18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86" name="Freeform 45"/>
                        <wps:cNvSpPr>
                          <a:spLocks noEditPoints="1"/>
                        </wps:cNvSpPr>
                        <wps:spPr bwMode="auto">
                          <a:xfrm>
                            <a:off x="1348161" y="313013"/>
                            <a:ext cx="77577" cy="76528"/>
                          </a:xfrm>
                          <a:custGeom>
                            <a:avLst/>
                            <a:gdLst>
                              <a:gd name="T0" fmla="*/ 169 w 170"/>
                              <a:gd name="T1" fmla="*/ 96 h 166"/>
                              <a:gd name="T2" fmla="*/ 47 w 170"/>
                              <a:gd name="T3" fmla="*/ 96 h 166"/>
                              <a:gd name="T4" fmla="*/ 63 w 170"/>
                              <a:gd name="T5" fmla="*/ 119 h 166"/>
                              <a:gd name="T6" fmla="*/ 94 w 170"/>
                              <a:gd name="T7" fmla="*/ 128 h 166"/>
                              <a:gd name="T8" fmla="*/ 116 w 170"/>
                              <a:gd name="T9" fmla="*/ 124 h 166"/>
                              <a:gd name="T10" fmla="*/ 134 w 170"/>
                              <a:gd name="T11" fmla="*/ 113 h 166"/>
                              <a:gd name="T12" fmla="*/ 159 w 170"/>
                              <a:gd name="T13" fmla="*/ 140 h 166"/>
                              <a:gd name="T14" fmla="*/ 92 w 170"/>
                              <a:gd name="T15" fmla="*/ 166 h 166"/>
                              <a:gd name="T16" fmla="*/ 44 w 170"/>
                              <a:gd name="T17" fmla="*/ 155 h 166"/>
                              <a:gd name="T18" fmla="*/ 12 w 170"/>
                              <a:gd name="T19" fmla="*/ 125 h 166"/>
                              <a:gd name="T20" fmla="*/ 0 w 170"/>
                              <a:gd name="T21" fmla="*/ 83 h 166"/>
                              <a:gd name="T22" fmla="*/ 12 w 170"/>
                              <a:gd name="T23" fmla="*/ 40 h 166"/>
                              <a:gd name="T24" fmla="*/ 43 w 170"/>
                              <a:gd name="T25" fmla="*/ 10 h 166"/>
                              <a:gd name="T26" fmla="*/ 86 w 170"/>
                              <a:gd name="T27" fmla="*/ 0 h 166"/>
                              <a:gd name="T28" fmla="*/ 129 w 170"/>
                              <a:gd name="T29" fmla="*/ 10 h 166"/>
                              <a:gd name="T30" fmla="*/ 159 w 170"/>
                              <a:gd name="T31" fmla="*/ 39 h 166"/>
                              <a:gd name="T32" fmla="*/ 170 w 170"/>
                              <a:gd name="T33" fmla="*/ 83 h 166"/>
                              <a:gd name="T34" fmla="*/ 169 w 170"/>
                              <a:gd name="T35" fmla="*/ 96 h 166"/>
                              <a:gd name="T36" fmla="*/ 60 w 170"/>
                              <a:gd name="T37" fmla="*/ 44 h 166"/>
                              <a:gd name="T38" fmla="*/ 47 w 170"/>
                              <a:gd name="T39" fmla="*/ 69 h 166"/>
                              <a:gd name="T40" fmla="*/ 126 w 170"/>
                              <a:gd name="T41" fmla="*/ 69 h 166"/>
                              <a:gd name="T42" fmla="*/ 113 w 170"/>
                              <a:gd name="T43" fmla="*/ 44 h 166"/>
                              <a:gd name="T44" fmla="*/ 87 w 170"/>
                              <a:gd name="T45" fmla="*/ 35 h 166"/>
                              <a:gd name="T46" fmla="*/ 60 w 170"/>
                              <a:gd name="T47" fmla="*/ 44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70" h="166">
                                <a:moveTo>
                                  <a:pt x="169" y="96"/>
                                </a:moveTo>
                                <a:cubicBezTo>
                                  <a:pt x="47" y="96"/>
                                  <a:pt x="47" y="96"/>
                                  <a:pt x="47" y="96"/>
                                </a:cubicBezTo>
                                <a:cubicBezTo>
                                  <a:pt x="50" y="106"/>
                                  <a:pt x="55" y="114"/>
                                  <a:pt x="63" y="119"/>
                                </a:cubicBezTo>
                                <a:cubicBezTo>
                                  <a:pt x="71" y="125"/>
                                  <a:pt x="81" y="128"/>
                                  <a:pt x="94" y="128"/>
                                </a:cubicBezTo>
                                <a:cubicBezTo>
                                  <a:pt x="102" y="128"/>
                                  <a:pt x="109" y="127"/>
                                  <a:pt x="116" y="124"/>
                                </a:cubicBezTo>
                                <a:cubicBezTo>
                                  <a:pt x="122" y="122"/>
                                  <a:pt x="128" y="118"/>
                                  <a:pt x="134" y="113"/>
                                </a:cubicBezTo>
                                <a:cubicBezTo>
                                  <a:pt x="159" y="140"/>
                                  <a:pt x="159" y="140"/>
                                  <a:pt x="159" y="140"/>
                                </a:cubicBezTo>
                                <a:cubicBezTo>
                                  <a:pt x="144" y="157"/>
                                  <a:pt x="121" y="166"/>
                                  <a:pt x="92" y="166"/>
                                </a:cubicBezTo>
                                <a:cubicBezTo>
                                  <a:pt x="74" y="166"/>
                                  <a:pt x="58" y="162"/>
                                  <a:pt x="44" y="155"/>
                                </a:cubicBezTo>
                                <a:cubicBezTo>
                                  <a:pt x="30" y="148"/>
                                  <a:pt x="19" y="138"/>
                                  <a:pt x="12" y="125"/>
                                </a:cubicBezTo>
                                <a:cubicBezTo>
                                  <a:pt x="4" y="113"/>
                                  <a:pt x="0" y="99"/>
                                  <a:pt x="0" y="83"/>
                                </a:cubicBezTo>
                                <a:cubicBezTo>
                                  <a:pt x="0" y="67"/>
                                  <a:pt x="4" y="53"/>
                                  <a:pt x="12" y="40"/>
                                </a:cubicBezTo>
                                <a:cubicBezTo>
                                  <a:pt x="19" y="27"/>
                                  <a:pt x="29" y="18"/>
                                  <a:pt x="43" y="10"/>
                                </a:cubicBezTo>
                                <a:cubicBezTo>
                                  <a:pt x="56" y="3"/>
                                  <a:pt x="70" y="0"/>
                                  <a:pt x="86" y="0"/>
                                </a:cubicBezTo>
                                <a:cubicBezTo>
                                  <a:pt x="102" y="0"/>
                                  <a:pt x="116" y="3"/>
                                  <a:pt x="129" y="10"/>
                                </a:cubicBezTo>
                                <a:cubicBezTo>
                                  <a:pt x="142" y="17"/>
                                  <a:pt x="152" y="27"/>
                                  <a:pt x="159" y="39"/>
                                </a:cubicBezTo>
                                <a:cubicBezTo>
                                  <a:pt x="166" y="52"/>
                                  <a:pt x="170" y="67"/>
                                  <a:pt x="170" y="83"/>
                                </a:cubicBezTo>
                                <a:cubicBezTo>
                                  <a:pt x="170" y="84"/>
                                  <a:pt x="170" y="88"/>
                                  <a:pt x="169" y="96"/>
                                </a:cubicBezTo>
                                <a:close/>
                                <a:moveTo>
                                  <a:pt x="60" y="44"/>
                                </a:moveTo>
                                <a:cubicBezTo>
                                  <a:pt x="53" y="50"/>
                                  <a:pt x="48" y="58"/>
                                  <a:pt x="47" y="69"/>
                                </a:cubicBezTo>
                                <a:cubicBezTo>
                                  <a:pt x="126" y="69"/>
                                  <a:pt x="126" y="69"/>
                                  <a:pt x="126" y="69"/>
                                </a:cubicBezTo>
                                <a:cubicBezTo>
                                  <a:pt x="125" y="58"/>
                                  <a:pt x="120" y="50"/>
                                  <a:pt x="113" y="44"/>
                                </a:cubicBezTo>
                                <a:cubicBezTo>
                                  <a:pt x="106" y="38"/>
                                  <a:pt x="97" y="35"/>
                                  <a:pt x="87" y="35"/>
                                </a:cubicBezTo>
                                <a:cubicBezTo>
                                  <a:pt x="76" y="35"/>
                                  <a:pt x="67" y="38"/>
                                  <a:pt x="60" y="44"/>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87" name="Freeform 46"/>
                        <wps:cNvSpPr>
                          <a:spLocks/>
                        </wps:cNvSpPr>
                        <wps:spPr bwMode="auto">
                          <a:xfrm>
                            <a:off x="1441463" y="313013"/>
                            <a:ext cx="73384" cy="76528"/>
                          </a:xfrm>
                          <a:custGeom>
                            <a:avLst/>
                            <a:gdLst>
                              <a:gd name="T0" fmla="*/ 44 w 162"/>
                              <a:gd name="T1" fmla="*/ 155 h 166"/>
                              <a:gd name="T2" fmla="*/ 12 w 162"/>
                              <a:gd name="T3" fmla="*/ 125 h 166"/>
                              <a:gd name="T4" fmla="*/ 0 w 162"/>
                              <a:gd name="T5" fmla="*/ 83 h 166"/>
                              <a:gd name="T6" fmla="*/ 12 w 162"/>
                              <a:gd name="T7" fmla="*/ 40 h 166"/>
                              <a:gd name="T8" fmla="*/ 44 w 162"/>
                              <a:gd name="T9" fmla="*/ 10 h 166"/>
                              <a:gd name="T10" fmla="*/ 90 w 162"/>
                              <a:gd name="T11" fmla="*/ 0 h 166"/>
                              <a:gd name="T12" fmla="*/ 134 w 162"/>
                              <a:gd name="T13" fmla="*/ 10 h 166"/>
                              <a:gd name="T14" fmla="*/ 162 w 162"/>
                              <a:gd name="T15" fmla="*/ 41 h 166"/>
                              <a:gd name="T16" fmla="*/ 126 w 162"/>
                              <a:gd name="T17" fmla="*/ 60 h 166"/>
                              <a:gd name="T18" fmla="*/ 90 w 162"/>
                              <a:gd name="T19" fmla="*/ 38 h 166"/>
                              <a:gd name="T20" fmla="*/ 59 w 162"/>
                              <a:gd name="T21" fmla="*/ 50 h 166"/>
                              <a:gd name="T22" fmla="*/ 47 w 162"/>
                              <a:gd name="T23" fmla="*/ 83 h 166"/>
                              <a:gd name="T24" fmla="*/ 59 w 162"/>
                              <a:gd name="T25" fmla="*/ 115 h 166"/>
                              <a:gd name="T26" fmla="*/ 90 w 162"/>
                              <a:gd name="T27" fmla="*/ 127 h 166"/>
                              <a:gd name="T28" fmla="*/ 126 w 162"/>
                              <a:gd name="T29" fmla="*/ 105 h 166"/>
                              <a:gd name="T30" fmla="*/ 162 w 162"/>
                              <a:gd name="T31" fmla="*/ 125 h 166"/>
                              <a:gd name="T32" fmla="*/ 134 w 162"/>
                              <a:gd name="T33" fmla="*/ 155 h 166"/>
                              <a:gd name="T34" fmla="*/ 90 w 162"/>
                              <a:gd name="T35" fmla="*/ 166 h 166"/>
                              <a:gd name="T36" fmla="*/ 44 w 162"/>
                              <a:gd name="T37" fmla="*/ 155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62" h="166">
                                <a:moveTo>
                                  <a:pt x="44" y="155"/>
                                </a:moveTo>
                                <a:cubicBezTo>
                                  <a:pt x="30" y="148"/>
                                  <a:pt x="19" y="138"/>
                                  <a:pt x="12" y="125"/>
                                </a:cubicBezTo>
                                <a:cubicBezTo>
                                  <a:pt x="4" y="113"/>
                                  <a:pt x="0" y="99"/>
                                  <a:pt x="0" y="83"/>
                                </a:cubicBezTo>
                                <a:cubicBezTo>
                                  <a:pt x="0" y="67"/>
                                  <a:pt x="4" y="52"/>
                                  <a:pt x="12" y="40"/>
                                </a:cubicBezTo>
                                <a:cubicBezTo>
                                  <a:pt x="19" y="27"/>
                                  <a:pt x="30" y="18"/>
                                  <a:pt x="44" y="10"/>
                                </a:cubicBezTo>
                                <a:cubicBezTo>
                                  <a:pt x="57" y="3"/>
                                  <a:pt x="73" y="0"/>
                                  <a:pt x="90" y="0"/>
                                </a:cubicBezTo>
                                <a:cubicBezTo>
                                  <a:pt x="107" y="0"/>
                                  <a:pt x="122" y="3"/>
                                  <a:pt x="134" y="10"/>
                                </a:cubicBezTo>
                                <a:cubicBezTo>
                                  <a:pt x="147" y="18"/>
                                  <a:pt x="156" y="28"/>
                                  <a:pt x="162" y="41"/>
                                </a:cubicBezTo>
                                <a:cubicBezTo>
                                  <a:pt x="126" y="60"/>
                                  <a:pt x="126" y="60"/>
                                  <a:pt x="126" y="60"/>
                                </a:cubicBezTo>
                                <a:cubicBezTo>
                                  <a:pt x="117" y="46"/>
                                  <a:pt x="105" y="38"/>
                                  <a:pt x="90" y="38"/>
                                </a:cubicBezTo>
                                <a:cubicBezTo>
                                  <a:pt x="77" y="38"/>
                                  <a:pt x="67" y="42"/>
                                  <a:pt x="59" y="50"/>
                                </a:cubicBezTo>
                                <a:cubicBezTo>
                                  <a:pt x="51" y="58"/>
                                  <a:pt x="47" y="69"/>
                                  <a:pt x="47" y="83"/>
                                </a:cubicBezTo>
                                <a:cubicBezTo>
                                  <a:pt x="47" y="96"/>
                                  <a:pt x="51" y="107"/>
                                  <a:pt x="59" y="115"/>
                                </a:cubicBezTo>
                                <a:cubicBezTo>
                                  <a:pt x="67" y="123"/>
                                  <a:pt x="77" y="127"/>
                                  <a:pt x="90" y="127"/>
                                </a:cubicBezTo>
                                <a:cubicBezTo>
                                  <a:pt x="106" y="127"/>
                                  <a:pt x="118" y="120"/>
                                  <a:pt x="126" y="105"/>
                                </a:cubicBezTo>
                                <a:cubicBezTo>
                                  <a:pt x="162" y="125"/>
                                  <a:pt x="162" y="125"/>
                                  <a:pt x="162" y="125"/>
                                </a:cubicBezTo>
                                <a:cubicBezTo>
                                  <a:pt x="156" y="138"/>
                                  <a:pt x="147" y="148"/>
                                  <a:pt x="134" y="155"/>
                                </a:cubicBezTo>
                                <a:cubicBezTo>
                                  <a:pt x="122" y="162"/>
                                  <a:pt x="107" y="166"/>
                                  <a:pt x="90" y="166"/>
                                </a:cubicBezTo>
                                <a:cubicBezTo>
                                  <a:pt x="73" y="166"/>
                                  <a:pt x="57" y="162"/>
                                  <a:pt x="44" y="155"/>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88" name="Freeform 47"/>
                        <wps:cNvSpPr>
                          <a:spLocks/>
                        </wps:cNvSpPr>
                        <wps:spPr bwMode="auto">
                          <a:xfrm>
                            <a:off x="1525330" y="298336"/>
                            <a:ext cx="56610" cy="91205"/>
                          </a:xfrm>
                          <a:custGeom>
                            <a:avLst/>
                            <a:gdLst>
                              <a:gd name="T0" fmla="*/ 123 w 123"/>
                              <a:gd name="T1" fmla="*/ 188 h 199"/>
                              <a:gd name="T2" fmla="*/ 106 w 123"/>
                              <a:gd name="T3" fmla="*/ 196 h 199"/>
                              <a:gd name="T4" fmla="*/ 85 w 123"/>
                              <a:gd name="T5" fmla="*/ 199 h 199"/>
                              <a:gd name="T6" fmla="*/ 40 w 123"/>
                              <a:gd name="T7" fmla="*/ 184 h 199"/>
                              <a:gd name="T8" fmla="*/ 25 w 123"/>
                              <a:gd name="T9" fmla="*/ 141 h 199"/>
                              <a:gd name="T10" fmla="*/ 25 w 123"/>
                              <a:gd name="T11" fmla="*/ 75 h 199"/>
                              <a:gd name="T12" fmla="*/ 0 w 123"/>
                              <a:gd name="T13" fmla="*/ 75 h 199"/>
                              <a:gd name="T14" fmla="*/ 0 w 123"/>
                              <a:gd name="T15" fmla="*/ 39 h 199"/>
                              <a:gd name="T16" fmla="*/ 25 w 123"/>
                              <a:gd name="T17" fmla="*/ 39 h 199"/>
                              <a:gd name="T18" fmla="*/ 25 w 123"/>
                              <a:gd name="T19" fmla="*/ 0 h 199"/>
                              <a:gd name="T20" fmla="*/ 71 w 123"/>
                              <a:gd name="T21" fmla="*/ 0 h 199"/>
                              <a:gd name="T22" fmla="*/ 71 w 123"/>
                              <a:gd name="T23" fmla="*/ 39 h 199"/>
                              <a:gd name="T24" fmla="*/ 111 w 123"/>
                              <a:gd name="T25" fmla="*/ 39 h 199"/>
                              <a:gd name="T26" fmla="*/ 111 w 123"/>
                              <a:gd name="T27" fmla="*/ 75 h 199"/>
                              <a:gd name="T28" fmla="*/ 71 w 123"/>
                              <a:gd name="T29" fmla="*/ 75 h 199"/>
                              <a:gd name="T30" fmla="*/ 71 w 123"/>
                              <a:gd name="T31" fmla="*/ 140 h 199"/>
                              <a:gd name="T32" fmla="*/ 76 w 123"/>
                              <a:gd name="T33" fmla="*/ 156 h 199"/>
                              <a:gd name="T34" fmla="*/ 91 w 123"/>
                              <a:gd name="T35" fmla="*/ 161 h 199"/>
                              <a:gd name="T36" fmla="*/ 110 w 123"/>
                              <a:gd name="T37" fmla="*/ 155 h 199"/>
                              <a:gd name="T38" fmla="*/ 123 w 123"/>
                              <a:gd name="T39" fmla="*/ 188 h 1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23" h="199">
                                <a:moveTo>
                                  <a:pt x="123" y="188"/>
                                </a:moveTo>
                                <a:cubicBezTo>
                                  <a:pt x="118" y="192"/>
                                  <a:pt x="112" y="194"/>
                                  <a:pt x="106" y="196"/>
                                </a:cubicBezTo>
                                <a:cubicBezTo>
                                  <a:pt x="99" y="198"/>
                                  <a:pt x="92" y="199"/>
                                  <a:pt x="85" y="199"/>
                                </a:cubicBezTo>
                                <a:cubicBezTo>
                                  <a:pt x="66" y="199"/>
                                  <a:pt x="51" y="194"/>
                                  <a:pt x="40" y="184"/>
                                </a:cubicBezTo>
                                <a:cubicBezTo>
                                  <a:pt x="30" y="174"/>
                                  <a:pt x="25" y="160"/>
                                  <a:pt x="25" y="141"/>
                                </a:cubicBezTo>
                                <a:cubicBezTo>
                                  <a:pt x="25" y="75"/>
                                  <a:pt x="25" y="75"/>
                                  <a:pt x="25" y="75"/>
                                </a:cubicBezTo>
                                <a:cubicBezTo>
                                  <a:pt x="0" y="75"/>
                                  <a:pt x="0" y="75"/>
                                  <a:pt x="0" y="75"/>
                                </a:cubicBezTo>
                                <a:cubicBezTo>
                                  <a:pt x="0" y="39"/>
                                  <a:pt x="0" y="39"/>
                                  <a:pt x="0" y="39"/>
                                </a:cubicBezTo>
                                <a:cubicBezTo>
                                  <a:pt x="25" y="39"/>
                                  <a:pt x="25" y="39"/>
                                  <a:pt x="25" y="39"/>
                                </a:cubicBezTo>
                                <a:cubicBezTo>
                                  <a:pt x="25" y="0"/>
                                  <a:pt x="25" y="0"/>
                                  <a:pt x="25" y="0"/>
                                </a:cubicBezTo>
                                <a:cubicBezTo>
                                  <a:pt x="71" y="0"/>
                                  <a:pt x="71" y="0"/>
                                  <a:pt x="71" y="0"/>
                                </a:cubicBezTo>
                                <a:cubicBezTo>
                                  <a:pt x="71" y="39"/>
                                  <a:pt x="71" y="39"/>
                                  <a:pt x="71" y="39"/>
                                </a:cubicBezTo>
                                <a:cubicBezTo>
                                  <a:pt x="111" y="39"/>
                                  <a:pt x="111" y="39"/>
                                  <a:pt x="111" y="39"/>
                                </a:cubicBezTo>
                                <a:cubicBezTo>
                                  <a:pt x="111" y="75"/>
                                  <a:pt x="111" y="75"/>
                                  <a:pt x="111" y="75"/>
                                </a:cubicBezTo>
                                <a:cubicBezTo>
                                  <a:pt x="71" y="75"/>
                                  <a:pt x="71" y="75"/>
                                  <a:pt x="71" y="75"/>
                                </a:cubicBezTo>
                                <a:cubicBezTo>
                                  <a:pt x="71" y="140"/>
                                  <a:pt x="71" y="140"/>
                                  <a:pt x="71" y="140"/>
                                </a:cubicBezTo>
                                <a:cubicBezTo>
                                  <a:pt x="71" y="147"/>
                                  <a:pt x="73" y="152"/>
                                  <a:pt x="76" y="156"/>
                                </a:cubicBezTo>
                                <a:cubicBezTo>
                                  <a:pt x="80" y="160"/>
                                  <a:pt x="85" y="161"/>
                                  <a:pt x="91" y="161"/>
                                </a:cubicBezTo>
                                <a:cubicBezTo>
                                  <a:pt x="99" y="161"/>
                                  <a:pt x="105" y="159"/>
                                  <a:pt x="110" y="155"/>
                                </a:cubicBezTo>
                                <a:lnTo>
                                  <a:pt x="123" y="18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89" name="Freeform 48"/>
                        <wps:cNvSpPr>
                          <a:spLocks noEditPoints="1"/>
                        </wps:cNvSpPr>
                        <wps:spPr bwMode="auto">
                          <a:xfrm>
                            <a:off x="1597665" y="280515"/>
                            <a:ext cx="26209" cy="107978"/>
                          </a:xfrm>
                          <a:custGeom>
                            <a:avLst/>
                            <a:gdLst>
                              <a:gd name="T0" fmla="*/ 8 w 58"/>
                              <a:gd name="T1" fmla="*/ 44 h 235"/>
                              <a:gd name="T2" fmla="*/ 0 w 58"/>
                              <a:gd name="T3" fmla="*/ 26 h 235"/>
                              <a:gd name="T4" fmla="*/ 8 w 58"/>
                              <a:gd name="T5" fmla="*/ 7 h 235"/>
                              <a:gd name="T6" fmla="*/ 29 w 58"/>
                              <a:gd name="T7" fmla="*/ 0 h 235"/>
                              <a:gd name="T8" fmla="*/ 50 w 58"/>
                              <a:gd name="T9" fmla="*/ 7 h 235"/>
                              <a:gd name="T10" fmla="*/ 58 w 58"/>
                              <a:gd name="T11" fmla="*/ 25 h 235"/>
                              <a:gd name="T12" fmla="*/ 50 w 58"/>
                              <a:gd name="T13" fmla="*/ 44 h 235"/>
                              <a:gd name="T14" fmla="*/ 29 w 58"/>
                              <a:gd name="T15" fmla="*/ 52 h 235"/>
                              <a:gd name="T16" fmla="*/ 8 w 58"/>
                              <a:gd name="T17" fmla="*/ 44 h 235"/>
                              <a:gd name="T18" fmla="*/ 6 w 58"/>
                              <a:gd name="T19" fmla="*/ 74 h 235"/>
                              <a:gd name="T20" fmla="*/ 53 w 58"/>
                              <a:gd name="T21" fmla="*/ 74 h 235"/>
                              <a:gd name="T22" fmla="*/ 53 w 58"/>
                              <a:gd name="T23" fmla="*/ 235 h 235"/>
                              <a:gd name="T24" fmla="*/ 6 w 58"/>
                              <a:gd name="T25" fmla="*/ 235 h 235"/>
                              <a:gd name="T26" fmla="*/ 6 w 58"/>
                              <a:gd name="T27" fmla="*/ 74 h 2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8" h="235">
                                <a:moveTo>
                                  <a:pt x="8" y="44"/>
                                </a:moveTo>
                                <a:cubicBezTo>
                                  <a:pt x="3" y="39"/>
                                  <a:pt x="0" y="33"/>
                                  <a:pt x="0" y="26"/>
                                </a:cubicBezTo>
                                <a:cubicBezTo>
                                  <a:pt x="0" y="18"/>
                                  <a:pt x="3" y="12"/>
                                  <a:pt x="8" y="7"/>
                                </a:cubicBezTo>
                                <a:cubicBezTo>
                                  <a:pt x="14" y="2"/>
                                  <a:pt x="21" y="0"/>
                                  <a:pt x="29" y="0"/>
                                </a:cubicBezTo>
                                <a:cubicBezTo>
                                  <a:pt x="38" y="0"/>
                                  <a:pt x="45" y="2"/>
                                  <a:pt x="50" y="7"/>
                                </a:cubicBezTo>
                                <a:cubicBezTo>
                                  <a:pt x="56" y="12"/>
                                  <a:pt x="58" y="18"/>
                                  <a:pt x="58" y="25"/>
                                </a:cubicBezTo>
                                <a:cubicBezTo>
                                  <a:pt x="58" y="33"/>
                                  <a:pt x="56" y="39"/>
                                  <a:pt x="50" y="44"/>
                                </a:cubicBezTo>
                                <a:cubicBezTo>
                                  <a:pt x="45" y="49"/>
                                  <a:pt x="38" y="52"/>
                                  <a:pt x="29" y="52"/>
                                </a:cubicBezTo>
                                <a:cubicBezTo>
                                  <a:pt x="21" y="52"/>
                                  <a:pt x="14" y="49"/>
                                  <a:pt x="8" y="44"/>
                                </a:cubicBezTo>
                                <a:close/>
                                <a:moveTo>
                                  <a:pt x="6" y="74"/>
                                </a:moveTo>
                                <a:cubicBezTo>
                                  <a:pt x="53" y="74"/>
                                  <a:pt x="53" y="74"/>
                                  <a:pt x="53" y="74"/>
                                </a:cubicBezTo>
                                <a:cubicBezTo>
                                  <a:pt x="53" y="235"/>
                                  <a:pt x="53" y="235"/>
                                  <a:pt x="53" y="235"/>
                                </a:cubicBezTo>
                                <a:cubicBezTo>
                                  <a:pt x="6" y="235"/>
                                  <a:pt x="6" y="235"/>
                                  <a:pt x="6" y="235"/>
                                </a:cubicBezTo>
                                <a:lnTo>
                                  <a:pt x="6"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90" name="Freeform 49"/>
                        <wps:cNvSpPr>
                          <a:spLocks noEditPoints="1"/>
                        </wps:cNvSpPr>
                        <wps:spPr bwMode="auto">
                          <a:xfrm>
                            <a:off x="1642743" y="313013"/>
                            <a:ext cx="80722" cy="76528"/>
                          </a:xfrm>
                          <a:custGeom>
                            <a:avLst/>
                            <a:gdLst>
                              <a:gd name="T0" fmla="*/ 43 w 177"/>
                              <a:gd name="T1" fmla="*/ 155 h 166"/>
                              <a:gd name="T2" fmla="*/ 11 w 177"/>
                              <a:gd name="T3" fmla="*/ 125 h 166"/>
                              <a:gd name="T4" fmla="*/ 0 w 177"/>
                              <a:gd name="T5" fmla="*/ 83 h 166"/>
                              <a:gd name="T6" fmla="*/ 11 w 177"/>
                              <a:gd name="T7" fmla="*/ 40 h 166"/>
                              <a:gd name="T8" fmla="*/ 43 w 177"/>
                              <a:gd name="T9" fmla="*/ 10 h 166"/>
                              <a:gd name="T10" fmla="*/ 89 w 177"/>
                              <a:gd name="T11" fmla="*/ 0 h 166"/>
                              <a:gd name="T12" fmla="*/ 134 w 177"/>
                              <a:gd name="T13" fmla="*/ 10 h 166"/>
                              <a:gd name="T14" fmla="*/ 165 w 177"/>
                              <a:gd name="T15" fmla="*/ 40 h 166"/>
                              <a:gd name="T16" fmla="*/ 177 w 177"/>
                              <a:gd name="T17" fmla="*/ 83 h 166"/>
                              <a:gd name="T18" fmla="*/ 165 w 177"/>
                              <a:gd name="T19" fmla="*/ 125 h 166"/>
                              <a:gd name="T20" fmla="*/ 134 w 177"/>
                              <a:gd name="T21" fmla="*/ 155 h 166"/>
                              <a:gd name="T22" fmla="*/ 89 w 177"/>
                              <a:gd name="T23" fmla="*/ 166 h 166"/>
                              <a:gd name="T24" fmla="*/ 43 w 177"/>
                              <a:gd name="T25" fmla="*/ 155 h 166"/>
                              <a:gd name="T26" fmla="*/ 118 w 177"/>
                              <a:gd name="T27" fmla="*/ 115 h 166"/>
                              <a:gd name="T28" fmla="*/ 130 w 177"/>
                              <a:gd name="T29" fmla="*/ 83 h 166"/>
                              <a:gd name="T30" fmla="*/ 118 w 177"/>
                              <a:gd name="T31" fmla="*/ 50 h 166"/>
                              <a:gd name="T32" fmla="*/ 89 w 177"/>
                              <a:gd name="T33" fmla="*/ 38 h 166"/>
                              <a:gd name="T34" fmla="*/ 59 w 177"/>
                              <a:gd name="T35" fmla="*/ 50 h 166"/>
                              <a:gd name="T36" fmla="*/ 47 w 177"/>
                              <a:gd name="T37" fmla="*/ 83 h 166"/>
                              <a:gd name="T38" fmla="*/ 59 w 177"/>
                              <a:gd name="T39" fmla="*/ 115 h 166"/>
                              <a:gd name="T40" fmla="*/ 89 w 177"/>
                              <a:gd name="T41" fmla="*/ 127 h 166"/>
                              <a:gd name="T42" fmla="*/ 118 w 177"/>
                              <a:gd name="T43" fmla="*/ 115 h 1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77" h="166">
                                <a:moveTo>
                                  <a:pt x="43" y="155"/>
                                </a:moveTo>
                                <a:cubicBezTo>
                                  <a:pt x="29" y="148"/>
                                  <a:pt x="19" y="138"/>
                                  <a:pt x="11" y="125"/>
                                </a:cubicBezTo>
                                <a:cubicBezTo>
                                  <a:pt x="4" y="113"/>
                                  <a:pt x="0" y="99"/>
                                  <a:pt x="0" y="83"/>
                                </a:cubicBezTo>
                                <a:cubicBezTo>
                                  <a:pt x="0" y="67"/>
                                  <a:pt x="4" y="52"/>
                                  <a:pt x="11" y="40"/>
                                </a:cubicBezTo>
                                <a:cubicBezTo>
                                  <a:pt x="19" y="27"/>
                                  <a:pt x="29" y="18"/>
                                  <a:pt x="43" y="10"/>
                                </a:cubicBezTo>
                                <a:cubicBezTo>
                                  <a:pt x="56" y="3"/>
                                  <a:pt x="72" y="0"/>
                                  <a:pt x="89" y="0"/>
                                </a:cubicBezTo>
                                <a:cubicBezTo>
                                  <a:pt x="106" y="0"/>
                                  <a:pt x="121" y="3"/>
                                  <a:pt x="134" y="10"/>
                                </a:cubicBezTo>
                                <a:cubicBezTo>
                                  <a:pt x="147" y="18"/>
                                  <a:pt x="158" y="27"/>
                                  <a:pt x="165" y="40"/>
                                </a:cubicBezTo>
                                <a:cubicBezTo>
                                  <a:pt x="173" y="52"/>
                                  <a:pt x="177" y="67"/>
                                  <a:pt x="177" y="83"/>
                                </a:cubicBezTo>
                                <a:cubicBezTo>
                                  <a:pt x="177" y="99"/>
                                  <a:pt x="173" y="113"/>
                                  <a:pt x="165" y="125"/>
                                </a:cubicBezTo>
                                <a:cubicBezTo>
                                  <a:pt x="158" y="138"/>
                                  <a:pt x="147" y="148"/>
                                  <a:pt x="134" y="155"/>
                                </a:cubicBezTo>
                                <a:cubicBezTo>
                                  <a:pt x="121" y="162"/>
                                  <a:pt x="106" y="166"/>
                                  <a:pt x="89" y="166"/>
                                </a:cubicBezTo>
                                <a:cubicBezTo>
                                  <a:pt x="72" y="166"/>
                                  <a:pt x="56" y="162"/>
                                  <a:pt x="43" y="155"/>
                                </a:cubicBezTo>
                                <a:close/>
                                <a:moveTo>
                                  <a:pt x="118" y="115"/>
                                </a:moveTo>
                                <a:cubicBezTo>
                                  <a:pt x="126" y="107"/>
                                  <a:pt x="130" y="96"/>
                                  <a:pt x="130" y="83"/>
                                </a:cubicBezTo>
                                <a:cubicBezTo>
                                  <a:pt x="130" y="69"/>
                                  <a:pt x="126" y="58"/>
                                  <a:pt x="118" y="50"/>
                                </a:cubicBezTo>
                                <a:cubicBezTo>
                                  <a:pt x="110" y="42"/>
                                  <a:pt x="101" y="38"/>
                                  <a:pt x="89" y="38"/>
                                </a:cubicBezTo>
                                <a:cubicBezTo>
                                  <a:pt x="77" y="38"/>
                                  <a:pt x="67" y="42"/>
                                  <a:pt x="59" y="50"/>
                                </a:cubicBezTo>
                                <a:cubicBezTo>
                                  <a:pt x="51" y="58"/>
                                  <a:pt x="47" y="69"/>
                                  <a:pt x="47" y="83"/>
                                </a:cubicBezTo>
                                <a:cubicBezTo>
                                  <a:pt x="47" y="96"/>
                                  <a:pt x="51" y="107"/>
                                  <a:pt x="59" y="115"/>
                                </a:cubicBezTo>
                                <a:cubicBezTo>
                                  <a:pt x="67" y="123"/>
                                  <a:pt x="77" y="127"/>
                                  <a:pt x="89" y="127"/>
                                </a:cubicBezTo>
                                <a:cubicBezTo>
                                  <a:pt x="101" y="127"/>
                                  <a:pt x="110" y="123"/>
                                  <a:pt x="118" y="115"/>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91" name="Freeform 50"/>
                        <wps:cNvSpPr>
                          <a:spLocks/>
                        </wps:cNvSpPr>
                        <wps:spPr bwMode="auto">
                          <a:xfrm>
                            <a:off x="1745480" y="313013"/>
                            <a:ext cx="74432" cy="75480"/>
                          </a:xfrm>
                          <a:custGeom>
                            <a:avLst/>
                            <a:gdLst>
                              <a:gd name="T0" fmla="*/ 146 w 164"/>
                              <a:gd name="T1" fmla="*/ 18 h 163"/>
                              <a:gd name="T2" fmla="*/ 164 w 164"/>
                              <a:gd name="T3" fmla="*/ 71 h 163"/>
                              <a:gd name="T4" fmla="*/ 164 w 164"/>
                              <a:gd name="T5" fmla="*/ 163 h 163"/>
                              <a:gd name="T6" fmla="*/ 118 w 164"/>
                              <a:gd name="T7" fmla="*/ 163 h 163"/>
                              <a:gd name="T8" fmla="*/ 118 w 164"/>
                              <a:gd name="T9" fmla="*/ 78 h 163"/>
                              <a:gd name="T10" fmla="*/ 109 w 164"/>
                              <a:gd name="T11" fmla="*/ 50 h 163"/>
                              <a:gd name="T12" fmla="*/ 85 w 164"/>
                              <a:gd name="T13" fmla="*/ 40 h 163"/>
                              <a:gd name="T14" fmla="*/ 57 w 164"/>
                              <a:gd name="T15" fmla="*/ 51 h 163"/>
                              <a:gd name="T16" fmla="*/ 47 w 164"/>
                              <a:gd name="T17" fmla="*/ 84 h 163"/>
                              <a:gd name="T18" fmla="*/ 47 w 164"/>
                              <a:gd name="T19" fmla="*/ 163 h 163"/>
                              <a:gd name="T20" fmla="*/ 0 w 164"/>
                              <a:gd name="T21" fmla="*/ 163 h 163"/>
                              <a:gd name="T22" fmla="*/ 0 w 164"/>
                              <a:gd name="T23" fmla="*/ 2 h 163"/>
                              <a:gd name="T24" fmla="*/ 44 w 164"/>
                              <a:gd name="T25" fmla="*/ 2 h 163"/>
                              <a:gd name="T26" fmla="*/ 44 w 164"/>
                              <a:gd name="T27" fmla="*/ 21 h 163"/>
                              <a:gd name="T28" fmla="*/ 67 w 164"/>
                              <a:gd name="T29" fmla="*/ 5 h 163"/>
                              <a:gd name="T30" fmla="*/ 98 w 164"/>
                              <a:gd name="T31" fmla="*/ 0 h 163"/>
                              <a:gd name="T32" fmla="*/ 146 w 164"/>
                              <a:gd name="T33" fmla="*/ 18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64" h="163">
                                <a:moveTo>
                                  <a:pt x="146" y="18"/>
                                </a:moveTo>
                                <a:cubicBezTo>
                                  <a:pt x="158" y="30"/>
                                  <a:pt x="164" y="48"/>
                                  <a:pt x="164" y="71"/>
                                </a:cubicBezTo>
                                <a:cubicBezTo>
                                  <a:pt x="164" y="163"/>
                                  <a:pt x="164" y="163"/>
                                  <a:pt x="164" y="163"/>
                                </a:cubicBezTo>
                                <a:cubicBezTo>
                                  <a:pt x="118" y="163"/>
                                  <a:pt x="118" y="163"/>
                                  <a:pt x="118" y="163"/>
                                </a:cubicBezTo>
                                <a:cubicBezTo>
                                  <a:pt x="118" y="78"/>
                                  <a:pt x="118" y="78"/>
                                  <a:pt x="118" y="78"/>
                                </a:cubicBezTo>
                                <a:cubicBezTo>
                                  <a:pt x="118" y="65"/>
                                  <a:pt x="115" y="56"/>
                                  <a:pt x="109" y="50"/>
                                </a:cubicBezTo>
                                <a:cubicBezTo>
                                  <a:pt x="104" y="43"/>
                                  <a:pt x="96" y="40"/>
                                  <a:pt x="85" y="40"/>
                                </a:cubicBezTo>
                                <a:cubicBezTo>
                                  <a:pt x="73" y="40"/>
                                  <a:pt x="64" y="44"/>
                                  <a:pt x="57" y="51"/>
                                </a:cubicBezTo>
                                <a:cubicBezTo>
                                  <a:pt x="50" y="58"/>
                                  <a:pt x="47" y="69"/>
                                  <a:pt x="47" y="84"/>
                                </a:cubicBezTo>
                                <a:cubicBezTo>
                                  <a:pt x="47" y="163"/>
                                  <a:pt x="47" y="163"/>
                                  <a:pt x="47" y="163"/>
                                </a:cubicBezTo>
                                <a:cubicBezTo>
                                  <a:pt x="0" y="163"/>
                                  <a:pt x="0" y="163"/>
                                  <a:pt x="0" y="163"/>
                                </a:cubicBezTo>
                                <a:cubicBezTo>
                                  <a:pt x="0" y="2"/>
                                  <a:pt x="0" y="2"/>
                                  <a:pt x="0" y="2"/>
                                </a:cubicBezTo>
                                <a:cubicBezTo>
                                  <a:pt x="44" y="2"/>
                                  <a:pt x="44" y="2"/>
                                  <a:pt x="44" y="2"/>
                                </a:cubicBezTo>
                                <a:cubicBezTo>
                                  <a:pt x="44" y="21"/>
                                  <a:pt x="44" y="21"/>
                                  <a:pt x="44" y="21"/>
                                </a:cubicBezTo>
                                <a:cubicBezTo>
                                  <a:pt x="51" y="14"/>
                                  <a:pt x="58" y="9"/>
                                  <a:pt x="67" y="5"/>
                                </a:cubicBezTo>
                                <a:cubicBezTo>
                                  <a:pt x="77" y="2"/>
                                  <a:pt x="87" y="0"/>
                                  <a:pt x="98" y="0"/>
                                </a:cubicBezTo>
                                <a:cubicBezTo>
                                  <a:pt x="118" y="0"/>
                                  <a:pt x="134" y="6"/>
                                  <a:pt x="146" y="18"/>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92" name="Freeform 51"/>
                        <wps:cNvSpPr>
                          <a:spLocks noEditPoints="1"/>
                        </wps:cNvSpPr>
                        <wps:spPr bwMode="auto">
                          <a:xfrm>
                            <a:off x="12580" y="459780"/>
                            <a:ext cx="74432" cy="123704"/>
                          </a:xfrm>
                          <a:custGeom>
                            <a:avLst/>
                            <a:gdLst>
                              <a:gd name="T0" fmla="*/ 71 w 71"/>
                              <a:gd name="T1" fmla="*/ 101 h 118"/>
                              <a:gd name="T2" fmla="*/ 71 w 71"/>
                              <a:gd name="T3" fmla="*/ 118 h 118"/>
                              <a:gd name="T4" fmla="*/ 0 w 71"/>
                              <a:gd name="T5" fmla="*/ 118 h 118"/>
                              <a:gd name="T6" fmla="*/ 0 w 71"/>
                              <a:gd name="T7" fmla="*/ 27 h 118"/>
                              <a:gd name="T8" fmla="*/ 70 w 71"/>
                              <a:gd name="T9" fmla="*/ 27 h 118"/>
                              <a:gd name="T10" fmla="*/ 70 w 71"/>
                              <a:gd name="T11" fmla="*/ 44 h 118"/>
                              <a:gd name="T12" fmla="*/ 22 w 71"/>
                              <a:gd name="T13" fmla="*/ 44 h 118"/>
                              <a:gd name="T14" fmla="*/ 22 w 71"/>
                              <a:gd name="T15" fmla="*/ 63 h 118"/>
                              <a:gd name="T16" fmla="*/ 64 w 71"/>
                              <a:gd name="T17" fmla="*/ 63 h 118"/>
                              <a:gd name="T18" fmla="*/ 64 w 71"/>
                              <a:gd name="T19" fmla="*/ 80 h 118"/>
                              <a:gd name="T20" fmla="*/ 22 w 71"/>
                              <a:gd name="T21" fmla="*/ 80 h 118"/>
                              <a:gd name="T22" fmla="*/ 22 w 71"/>
                              <a:gd name="T23" fmla="*/ 101 h 118"/>
                              <a:gd name="T24" fmla="*/ 71 w 71"/>
                              <a:gd name="T25" fmla="*/ 101 h 118"/>
                              <a:gd name="T26" fmla="*/ 41 w 71"/>
                              <a:gd name="T27" fmla="*/ 0 h 118"/>
                              <a:gd name="T28" fmla="*/ 63 w 71"/>
                              <a:gd name="T29" fmla="*/ 0 h 118"/>
                              <a:gd name="T30" fmla="*/ 39 w 71"/>
                              <a:gd name="T31" fmla="*/ 19 h 118"/>
                              <a:gd name="T32" fmla="*/ 23 w 71"/>
                              <a:gd name="T33" fmla="*/ 19 h 118"/>
                              <a:gd name="T34" fmla="*/ 41 w 71"/>
                              <a:gd name="T35"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1" h="118">
                                <a:moveTo>
                                  <a:pt x="71" y="101"/>
                                </a:moveTo>
                                <a:lnTo>
                                  <a:pt x="71" y="118"/>
                                </a:lnTo>
                                <a:lnTo>
                                  <a:pt x="0" y="118"/>
                                </a:lnTo>
                                <a:lnTo>
                                  <a:pt x="0" y="27"/>
                                </a:lnTo>
                                <a:lnTo>
                                  <a:pt x="70" y="27"/>
                                </a:lnTo>
                                <a:lnTo>
                                  <a:pt x="70" y="44"/>
                                </a:lnTo>
                                <a:lnTo>
                                  <a:pt x="22" y="44"/>
                                </a:lnTo>
                                <a:lnTo>
                                  <a:pt x="22" y="63"/>
                                </a:lnTo>
                                <a:lnTo>
                                  <a:pt x="64" y="63"/>
                                </a:lnTo>
                                <a:lnTo>
                                  <a:pt x="64" y="80"/>
                                </a:lnTo>
                                <a:lnTo>
                                  <a:pt x="22" y="80"/>
                                </a:lnTo>
                                <a:lnTo>
                                  <a:pt x="22" y="101"/>
                                </a:lnTo>
                                <a:lnTo>
                                  <a:pt x="71" y="101"/>
                                </a:lnTo>
                                <a:close/>
                                <a:moveTo>
                                  <a:pt x="41" y="0"/>
                                </a:moveTo>
                                <a:lnTo>
                                  <a:pt x="63" y="0"/>
                                </a:lnTo>
                                <a:lnTo>
                                  <a:pt x="39" y="19"/>
                                </a:lnTo>
                                <a:lnTo>
                                  <a:pt x="23" y="19"/>
                                </a:lnTo>
                                <a:lnTo>
                                  <a:pt x="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93" name="Freeform 52"/>
                        <wps:cNvSpPr>
                          <a:spLocks noEditPoints="1"/>
                        </wps:cNvSpPr>
                        <wps:spPr bwMode="auto">
                          <a:xfrm>
                            <a:off x="110076" y="509052"/>
                            <a:ext cx="79674" cy="100640"/>
                          </a:xfrm>
                          <a:custGeom>
                            <a:avLst/>
                            <a:gdLst>
                              <a:gd name="T0" fmla="*/ 136 w 175"/>
                              <a:gd name="T1" fmla="*/ 10 h 221"/>
                              <a:gd name="T2" fmla="*/ 165 w 175"/>
                              <a:gd name="T3" fmla="*/ 39 h 221"/>
                              <a:gd name="T4" fmla="*/ 175 w 175"/>
                              <a:gd name="T5" fmla="*/ 83 h 221"/>
                              <a:gd name="T6" fmla="*/ 165 w 175"/>
                              <a:gd name="T7" fmla="*/ 126 h 221"/>
                              <a:gd name="T8" fmla="*/ 136 w 175"/>
                              <a:gd name="T9" fmla="*/ 155 h 221"/>
                              <a:gd name="T10" fmla="*/ 95 w 175"/>
                              <a:gd name="T11" fmla="*/ 165 h 221"/>
                              <a:gd name="T12" fmla="*/ 46 w 175"/>
                              <a:gd name="T13" fmla="*/ 146 h 221"/>
                              <a:gd name="T14" fmla="*/ 46 w 175"/>
                              <a:gd name="T15" fmla="*/ 221 h 221"/>
                              <a:gd name="T16" fmla="*/ 0 w 175"/>
                              <a:gd name="T17" fmla="*/ 221 h 221"/>
                              <a:gd name="T18" fmla="*/ 0 w 175"/>
                              <a:gd name="T19" fmla="*/ 2 h 221"/>
                              <a:gd name="T20" fmla="*/ 44 w 175"/>
                              <a:gd name="T21" fmla="*/ 2 h 221"/>
                              <a:gd name="T22" fmla="*/ 44 w 175"/>
                              <a:gd name="T23" fmla="*/ 21 h 221"/>
                              <a:gd name="T24" fmla="*/ 95 w 175"/>
                              <a:gd name="T25" fmla="*/ 0 h 221"/>
                              <a:gd name="T26" fmla="*/ 136 w 175"/>
                              <a:gd name="T27" fmla="*/ 10 h 221"/>
                              <a:gd name="T28" fmla="*/ 116 w 175"/>
                              <a:gd name="T29" fmla="*/ 115 h 221"/>
                              <a:gd name="T30" fmla="*/ 128 w 175"/>
                              <a:gd name="T31" fmla="*/ 83 h 221"/>
                              <a:gd name="T32" fmla="*/ 116 w 175"/>
                              <a:gd name="T33" fmla="*/ 50 h 221"/>
                              <a:gd name="T34" fmla="*/ 87 w 175"/>
                              <a:gd name="T35" fmla="*/ 38 h 221"/>
                              <a:gd name="T36" fmla="*/ 57 w 175"/>
                              <a:gd name="T37" fmla="*/ 50 h 221"/>
                              <a:gd name="T38" fmla="*/ 46 w 175"/>
                              <a:gd name="T39" fmla="*/ 83 h 221"/>
                              <a:gd name="T40" fmla="*/ 57 w 175"/>
                              <a:gd name="T41" fmla="*/ 115 h 221"/>
                              <a:gd name="T42" fmla="*/ 87 w 175"/>
                              <a:gd name="T43" fmla="*/ 127 h 221"/>
                              <a:gd name="T44" fmla="*/ 116 w 175"/>
                              <a:gd name="T45" fmla="*/ 115 h 2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75" h="221">
                                <a:moveTo>
                                  <a:pt x="136" y="10"/>
                                </a:moveTo>
                                <a:cubicBezTo>
                                  <a:pt x="148" y="17"/>
                                  <a:pt x="158" y="27"/>
                                  <a:pt x="165" y="39"/>
                                </a:cubicBezTo>
                                <a:cubicBezTo>
                                  <a:pt x="172" y="52"/>
                                  <a:pt x="175" y="66"/>
                                  <a:pt x="175" y="83"/>
                                </a:cubicBezTo>
                                <a:cubicBezTo>
                                  <a:pt x="175" y="99"/>
                                  <a:pt x="172" y="114"/>
                                  <a:pt x="165" y="126"/>
                                </a:cubicBezTo>
                                <a:cubicBezTo>
                                  <a:pt x="158" y="139"/>
                                  <a:pt x="148" y="148"/>
                                  <a:pt x="136" y="155"/>
                                </a:cubicBezTo>
                                <a:cubicBezTo>
                                  <a:pt x="123" y="162"/>
                                  <a:pt x="110" y="165"/>
                                  <a:pt x="95" y="165"/>
                                </a:cubicBezTo>
                                <a:cubicBezTo>
                                  <a:pt x="74" y="165"/>
                                  <a:pt x="58" y="159"/>
                                  <a:pt x="46" y="146"/>
                                </a:cubicBezTo>
                                <a:cubicBezTo>
                                  <a:pt x="46" y="221"/>
                                  <a:pt x="46" y="221"/>
                                  <a:pt x="46" y="221"/>
                                </a:cubicBezTo>
                                <a:cubicBezTo>
                                  <a:pt x="0" y="221"/>
                                  <a:pt x="0" y="221"/>
                                  <a:pt x="0" y="221"/>
                                </a:cubicBezTo>
                                <a:cubicBezTo>
                                  <a:pt x="0" y="2"/>
                                  <a:pt x="0" y="2"/>
                                  <a:pt x="0" y="2"/>
                                </a:cubicBezTo>
                                <a:cubicBezTo>
                                  <a:pt x="44" y="2"/>
                                  <a:pt x="44" y="2"/>
                                  <a:pt x="44" y="2"/>
                                </a:cubicBezTo>
                                <a:cubicBezTo>
                                  <a:pt x="44" y="21"/>
                                  <a:pt x="44" y="21"/>
                                  <a:pt x="44" y="21"/>
                                </a:cubicBezTo>
                                <a:cubicBezTo>
                                  <a:pt x="56" y="7"/>
                                  <a:pt x="73" y="0"/>
                                  <a:pt x="95" y="0"/>
                                </a:cubicBezTo>
                                <a:cubicBezTo>
                                  <a:pt x="110" y="0"/>
                                  <a:pt x="123" y="3"/>
                                  <a:pt x="136" y="10"/>
                                </a:cubicBezTo>
                                <a:close/>
                                <a:moveTo>
                                  <a:pt x="116" y="115"/>
                                </a:moveTo>
                                <a:cubicBezTo>
                                  <a:pt x="124" y="107"/>
                                  <a:pt x="128" y="96"/>
                                  <a:pt x="128" y="83"/>
                                </a:cubicBezTo>
                                <a:cubicBezTo>
                                  <a:pt x="128" y="69"/>
                                  <a:pt x="124" y="58"/>
                                  <a:pt x="116" y="50"/>
                                </a:cubicBezTo>
                                <a:cubicBezTo>
                                  <a:pt x="109" y="42"/>
                                  <a:pt x="99" y="38"/>
                                  <a:pt x="87" y="38"/>
                                </a:cubicBezTo>
                                <a:cubicBezTo>
                                  <a:pt x="75" y="38"/>
                                  <a:pt x="65" y="42"/>
                                  <a:pt x="57" y="50"/>
                                </a:cubicBezTo>
                                <a:cubicBezTo>
                                  <a:pt x="50" y="58"/>
                                  <a:pt x="46" y="69"/>
                                  <a:pt x="46" y="83"/>
                                </a:cubicBezTo>
                                <a:cubicBezTo>
                                  <a:pt x="46" y="96"/>
                                  <a:pt x="50" y="107"/>
                                  <a:pt x="57" y="115"/>
                                </a:cubicBezTo>
                                <a:cubicBezTo>
                                  <a:pt x="65" y="123"/>
                                  <a:pt x="75" y="127"/>
                                  <a:pt x="87" y="127"/>
                                </a:cubicBezTo>
                                <a:cubicBezTo>
                                  <a:pt x="99" y="127"/>
                                  <a:pt x="109" y="123"/>
                                  <a:pt x="116" y="115"/>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94" name="Freeform 53"/>
                        <wps:cNvSpPr>
                          <a:spLocks noEditPoints="1"/>
                        </wps:cNvSpPr>
                        <wps:spPr bwMode="auto">
                          <a:xfrm>
                            <a:off x="206523" y="509052"/>
                            <a:ext cx="69190" cy="75480"/>
                          </a:xfrm>
                          <a:custGeom>
                            <a:avLst/>
                            <a:gdLst>
                              <a:gd name="T0" fmla="*/ 132 w 152"/>
                              <a:gd name="T1" fmla="*/ 17 h 165"/>
                              <a:gd name="T2" fmla="*/ 152 w 152"/>
                              <a:gd name="T3" fmla="*/ 71 h 165"/>
                              <a:gd name="T4" fmla="*/ 152 w 152"/>
                              <a:gd name="T5" fmla="*/ 163 h 165"/>
                              <a:gd name="T6" fmla="*/ 109 w 152"/>
                              <a:gd name="T7" fmla="*/ 163 h 165"/>
                              <a:gd name="T8" fmla="*/ 109 w 152"/>
                              <a:gd name="T9" fmla="*/ 143 h 165"/>
                              <a:gd name="T10" fmla="*/ 60 w 152"/>
                              <a:gd name="T11" fmla="*/ 165 h 165"/>
                              <a:gd name="T12" fmla="*/ 28 w 152"/>
                              <a:gd name="T13" fmla="*/ 159 h 165"/>
                              <a:gd name="T14" fmla="*/ 7 w 152"/>
                              <a:gd name="T15" fmla="*/ 142 h 165"/>
                              <a:gd name="T16" fmla="*/ 0 w 152"/>
                              <a:gd name="T17" fmla="*/ 117 h 165"/>
                              <a:gd name="T18" fmla="*/ 17 w 152"/>
                              <a:gd name="T19" fmla="*/ 81 h 165"/>
                              <a:gd name="T20" fmla="*/ 69 w 152"/>
                              <a:gd name="T21" fmla="*/ 69 h 165"/>
                              <a:gd name="T22" fmla="*/ 106 w 152"/>
                              <a:gd name="T23" fmla="*/ 69 h 165"/>
                              <a:gd name="T24" fmla="*/ 97 w 152"/>
                              <a:gd name="T25" fmla="*/ 45 h 165"/>
                              <a:gd name="T26" fmla="*/ 69 w 152"/>
                              <a:gd name="T27" fmla="*/ 37 h 165"/>
                              <a:gd name="T28" fmla="*/ 43 w 152"/>
                              <a:gd name="T29" fmla="*/ 41 h 165"/>
                              <a:gd name="T30" fmla="*/ 22 w 152"/>
                              <a:gd name="T31" fmla="*/ 52 h 165"/>
                              <a:gd name="T32" fmla="*/ 6 w 152"/>
                              <a:gd name="T33" fmla="*/ 19 h 165"/>
                              <a:gd name="T34" fmla="*/ 37 w 152"/>
                              <a:gd name="T35" fmla="*/ 5 h 165"/>
                              <a:gd name="T36" fmla="*/ 75 w 152"/>
                              <a:gd name="T37" fmla="*/ 0 h 165"/>
                              <a:gd name="T38" fmla="*/ 132 w 152"/>
                              <a:gd name="T39" fmla="*/ 17 h 165"/>
                              <a:gd name="T40" fmla="*/ 93 w 152"/>
                              <a:gd name="T41" fmla="*/ 128 h 165"/>
                              <a:gd name="T42" fmla="*/ 106 w 152"/>
                              <a:gd name="T43" fmla="*/ 112 h 165"/>
                              <a:gd name="T44" fmla="*/ 106 w 152"/>
                              <a:gd name="T45" fmla="*/ 96 h 165"/>
                              <a:gd name="T46" fmla="*/ 74 w 152"/>
                              <a:gd name="T47" fmla="*/ 96 h 165"/>
                              <a:gd name="T48" fmla="*/ 45 w 152"/>
                              <a:gd name="T49" fmla="*/ 115 h 165"/>
                              <a:gd name="T50" fmla="*/ 52 w 152"/>
                              <a:gd name="T51" fmla="*/ 129 h 165"/>
                              <a:gd name="T52" fmla="*/ 71 w 152"/>
                              <a:gd name="T53" fmla="*/ 134 h 165"/>
                              <a:gd name="T54" fmla="*/ 93 w 152"/>
                              <a:gd name="T55" fmla="*/ 128 h 1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52" h="165">
                                <a:moveTo>
                                  <a:pt x="132" y="17"/>
                                </a:moveTo>
                                <a:cubicBezTo>
                                  <a:pt x="146" y="29"/>
                                  <a:pt x="152" y="47"/>
                                  <a:pt x="152" y="71"/>
                                </a:cubicBezTo>
                                <a:cubicBezTo>
                                  <a:pt x="152" y="163"/>
                                  <a:pt x="152" y="163"/>
                                  <a:pt x="152" y="163"/>
                                </a:cubicBezTo>
                                <a:cubicBezTo>
                                  <a:pt x="109" y="163"/>
                                  <a:pt x="109" y="163"/>
                                  <a:pt x="109" y="163"/>
                                </a:cubicBezTo>
                                <a:cubicBezTo>
                                  <a:pt x="109" y="143"/>
                                  <a:pt x="109" y="143"/>
                                  <a:pt x="109" y="143"/>
                                </a:cubicBezTo>
                                <a:cubicBezTo>
                                  <a:pt x="100" y="158"/>
                                  <a:pt x="84" y="165"/>
                                  <a:pt x="60" y="165"/>
                                </a:cubicBezTo>
                                <a:cubicBezTo>
                                  <a:pt x="47" y="165"/>
                                  <a:pt x="37" y="163"/>
                                  <a:pt x="28" y="159"/>
                                </a:cubicBezTo>
                                <a:cubicBezTo>
                                  <a:pt x="19" y="155"/>
                                  <a:pt x="12" y="149"/>
                                  <a:pt x="7" y="142"/>
                                </a:cubicBezTo>
                                <a:cubicBezTo>
                                  <a:pt x="2" y="134"/>
                                  <a:pt x="0" y="126"/>
                                  <a:pt x="0" y="117"/>
                                </a:cubicBezTo>
                                <a:cubicBezTo>
                                  <a:pt x="0" y="102"/>
                                  <a:pt x="5" y="90"/>
                                  <a:pt x="17" y="81"/>
                                </a:cubicBezTo>
                                <a:cubicBezTo>
                                  <a:pt x="28" y="73"/>
                                  <a:pt x="45" y="69"/>
                                  <a:pt x="69" y="69"/>
                                </a:cubicBezTo>
                                <a:cubicBezTo>
                                  <a:pt x="106" y="69"/>
                                  <a:pt x="106" y="69"/>
                                  <a:pt x="106" y="69"/>
                                </a:cubicBezTo>
                                <a:cubicBezTo>
                                  <a:pt x="106" y="58"/>
                                  <a:pt x="103" y="51"/>
                                  <a:pt x="97" y="45"/>
                                </a:cubicBezTo>
                                <a:cubicBezTo>
                                  <a:pt x="90" y="40"/>
                                  <a:pt x="81" y="37"/>
                                  <a:pt x="69" y="37"/>
                                </a:cubicBezTo>
                                <a:cubicBezTo>
                                  <a:pt x="60" y="37"/>
                                  <a:pt x="52" y="38"/>
                                  <a:pt x="43" y="41"/>
                                </a:cubicBezTo>
                                <a:cubicBezTo>
                                  <a:pt x="35" y="44"/>
                                  <a:pt x="28" y="47"/>
                                  <a:pt x="22" y="52"/>
                                </a:cubicBezTo>
                                <a:cubicBezTo>
                                  <a:pt x="6" y="19"/>
                                  <a:pt x="6" y="19"/>
                                  <a:pt x="6" y="19"/>
                                </a:cubicBezTo>
                                <a:cubicBezTo>
                                  <a:pt x="14" y="13"/>
                                  <a:pt x="25" y="8"/>
                                  <a:pt x="37" y="5"/>
                                </a:cubicBezTo>
                                <a:cubicBezTo>
                                  <a:pt x="49" y="1"/>
                                  <a:pt x="62" y="0"/>
                                  <a:pt x="75" y="0"/>
                                </a:cubicBezTo>
                                <a:cubicBezTo>
                                  <a:pt x="100" y="0"/>
                                  <a:pt x="119" y="6"/>
                                  <a:pt x="132" y="17"/>
                                </a:cubicBezTo>
                                <a:close/>
                                <a:moveTo>
                                  <a:pt x="93" y="128"/>
                                </a:moveTo>
                                <a:cubicBezTo>
                                  <a:pt x="99" y="125"/>
                                  <a:pt x="103" y="119"/>
                                  <a:pt x="106" y="112"/>
                                </a:cubicBezTo>
                                <a:cubicBezTo>
                                  <a:pt x="106" y="96"/>
                                  <a:pt x="106" y="96"/>
                                  <a:pt x="106" y="96"/>
                                </a:cubicBezTo>
                                <a:cubicBezTo>
                                  <a:pt x="74" y="96"/>
                                  <a:pt x="74" y="96"/>
                                  <a:pt x="74" y="96"/>
                                </a:cubicBezTo>
                                <a:cubicBezTo>
                                  <a:pt x="55" y="96"/>
                                  <a:pt x="45" y="102"/>
                                  <a:pt x="45" y="115"/>
                                </a:cubicBezTo>
                                <a:cubicBezTo>
                                  <a:pt x="45" y="121"/>
                                  <a:pt x="47" y="125"/>
                                  <a:pt x="52" y="129"/>
                                </a:cubicBezTo>
                                <a:cubicBezTo>
                                  <a:pt x="57" y="132"/>
                                  <a:pt x="63" y="134"/>
                                  <a:pt x="71" y="134"/>
                                </a:cubicBezTo>
                                <a:cubicBezTo>
                                  <a:pt x="79" y="134"/>
                                  <a:pt x="86" y="132"/>
                                  <a:pt x="93" y="128"/>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95" name="Freeform 54"/>
                        <wps:cNvSpPr>
                          <a:spLocks/>
                        </wps:cNvSpPr>
                        <wps:spPr bwMode="auto">
                          <a:xfrm>
                            <a:off x="302970" y="509052"/>
                            <a:ext cx="45079" cy="74432"/>
                          </a:xfrm>
                          <a:custGeom>
                            <a:avLst/>
                            <a:gdLst>
                              <a:gd name="T0" fmla="*/ 67 w 100"/>
                              <a:gd name="T1" fmla="*/ 6 h 163"/>
                              <a:gd name="T2" fmla="*/ 100 w 100"/>
                              <a:gd name="T3" fmla="*/ 0 h 163"/>
                              <a:gd name="T4" fmla="*/ 100 w 100"/>
                              <a:gd name="T5" fmla="*/ 43 h 163"/>
                              <a:gd name="T6" fmla="*/ 89 w 100"/>
                              <a:gd name="T7" fmla="*/ 42 h 163"/>
                              <a:gd name="T8" fmla="*/ 58 w 100"/>
                              <a:gd name="T9" fmla="*/ 53 h 163"/>
                              <a:gd name="T10" fmla="*/ 46 w 100"/>
                              <a:gd name="T11" fmla="*/ 87 h 163"/>
                              <a:gd name="T12" fmla="*/ 46 w 100"/>
                              <a:gd name="T13" fmla="*/ 163 h 163"/>
                              <a:gd name="T14" fmla="*/ 0 w 100"/>
                              <a:gd name="T15" fmla="*/ 163 h 163"/>
                              <a:gd name="T16" fmla="*/ 0 w 100"/>
                              <a:gd name="T17" fmla="*/ 2 h 163"/>
                              <a:gd name="T18" fmla="*/ 44 w 100"/>
                              <a:gd name="T19" fmla="*/ 2 h 163"/>
                              <a:gd name="T20" fmla="*/ 44 w 100"/>
                              <a:gd name="T21" fmla="*/ 23 h 163"/>
                              <a:gd name="T22" fmla="*/ 67 w 100"/>
                              <a:gd name="T23" fmla="*/ 6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0" h="163">
                                <a:moveTo>
                                  <a:pt x="67" y="6"/>
                                </a:moveTo>
                                <a:cubicBezTo>
                                  <a:pt x="76" y="2"/>
                                  <a:pt x="87" y="0"/>
                                  <a:pt x="100" y="0"/>
                                </a:cubicBezTo>
                                <a:cubicBezTo>
                                  <a:pt x="100" y="43"/>
                                  <a:pt x="100" y="43"/>
                                  <a:pt x="100" y="43"/>
                                </a:cubicBezTo>
                                <a:cubicBezTo>
                                  <a:pt x="94" y="42"/>
                                  <a:pt x="91" y="42"/>
                                  <a:pt x="89" y="42"/>
                                </a:cubicBezTo>
                                <a:cubicBezTo>
                                  <a:pt x="76" y="42"/>
                                  <a:pt x="65" y="46"/>
                                  <a:pt x="58" y="53"/>
                                </a:cubicBezTo>
                                <a:cubicBezTo>
                                  <a:pt x="50" y="61"/>
                                  <a:pt x="46" y="72"/>
                                  <a:pt x="46" y="87"/>
                                </a:cubicBezTo>
                                <a:cubicBezTo>
                                  <a:pt x="46" y="163"/>
                                  <a:pt x="46" y="163"/>
                                  <a:pt x="46" y="163"/>
                                </a:cubicBezTo>
                                <a:cubicBezTo>
                                  <a:pt x="0" y="163"/>
                                  <a:pt x="0" y="163"/>
                                  <a:pt x="0" y="163"/>
                                </a:cubicBezTo>
                                <a:cubicBezTo>
                                  <a:pt x="0" y="2"/>
                                  <a:pt x="0" y="2"/>
                                  <a:pt x="0" y="2"/>
                                </a:cubicBezTo>
                                <a:cubicBezTo>
                                  <a:pt x="44" y="2"/>
                                  <a:pt x="44" y="2"/>
                                  <a:pt x="44" y="2"/>
                                </a:cubicBezTo>
                                <a:cubicBezTo>
                                  <a:pt x="44" y="23"/>
                                  <a:pt x="44" y="23"/>
                                  <a:pt x="44" y="23"/>
                                </a:cubicBezTo>
                                <a:cubicBezTo>
                                  <a:pt x="50" y="16"/>
                                  <a:pt x="57" y="10"/>
                                  <a:pt x="67" y="6"/>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96" name="Freeform 55"/>
                        <wps:cNvSpPr>
                          <a:spLocks noEditPoints="1"/>
                        </wps:cNvSpPr>
                        <wps:spPr bwMode="auto">
                          <a:xfrm>
                            <a:off x="362724" y="509052"/>
                            <a:ext cx="80722" cy="101688"/>
                          </a:xfrm>
                          <a:custGeom>
                            <a:avLst/>
                            <a:gdLst>
                              <a:gd name="T0" fmla="*/ 177 w 177"/>
                              <a:gd name="T1" fmla="*/ 2 h 223"/>
                              <a:gd name="T2" fmla="*/ 177 w 177"/>
                              <a:gd name="T3" fmla="*/ 136 h 223"/>
                              <a:gd name="T4" fmla="*/ 154 w 177"/>
                              <a:gd name="T5" fmla="*/ 202 h 223"/>
                              <a:gd name="T6" fmla="*/ 87 w 177"/>
                              <a:gd name="T7" fmla="*/ 223 h 223"/>
                              <a:gd name="T8" fmla="*/ 43 w 177"/>
                              <a:gd name="T9" fmla="*/ 218 h 223"/>
                              <a:gd name="T10" fmla="*/ 8 w 177"/>
                              <a:gd name="T11" fmla="*/ 201 h 223"/>
                              <a:gd name="T12" fmla="*/ 27 w 177"/>
                              <a:gd name="T13" fmla="*/ 168 h 223"/>
                              <a:gd name="T14" fmla="*/ 52 w 177"/>
                              <a:gd name="T15" fmla="*/ 181 h 223"/>
                              <a:gd name="T16" fmla="*/ 84 w 177"/>
                              <a:gd name="T17" fmla="*/ 186 h 223"/>
                              <a:gd name="T18" fmla="*/ 119 w 177"/>
                              <a:gd name="T19" fmla="*/ 175 h 223"/>
                              <a:gd name="T20" fmla="*/ 131 w 177"/>
                              <a:gd name="T21" fmla="*/ 142 h 223"/>
                              <a:gd name="T22" fmla="*/ 131 w 177"/>
                              <a:gd name="T23" fmla="*/ 135 h 223"/>
                              <a:gd name="T24" fmla="*/ 80 w 177"/>
                              <a:gd name="T25" fmla="*/ 155 h 223"/>
                              <a:gd name="T26" fmla="*/ 39 w 177"/>
                              <a:gd name="T27" fmla="*/ 146 h 223"/>
                              <a:gd name="T28" fmla="*/ 10 w 177"/>
                              <a:gd name="T29" fmla="*/ 118 h 223"/>
                              <a:gd name="T30" fmla="*/ 0 w 177"/>
                              <a:gd name="T31" fmla="*/ 77 h 223"/>
                              <a:gd name="T32" fmla="*/ 10 w 177"/>
                              <a:gd name="T33" fmla="*/ 37 h 223"/>
                              <a:gd name="T34" fmla="*/ 39 w 177"/>
                              <a:gd name="T35" fmla="*/ 9 h 223"/>
                              <a:gd name="T36" fmla="*/ 80 w 177"/>
                              <a:gd name="T37" fmla="*/ 0 h 223"/>
                              <a:gd name="T38" fmla="*/ 133 w 177"/>
                              <a:gd name="T39" fmla="*/ 23 h 223"/>
                              <a:gd name="T40" fmla="*/ 133 w 177"/>
                              <a:gd name="T41" fmla="*/ 2 h 223"/>
                              <a:gd name="T42" fmla="*/ 177 w 177"/>
                              <a:gd name="T43" fmla="*/ 2 h 223"/>
                              <a:gd name="T44" fmla="*/ 120 w 177"/>
                              <a:gd name="T45" fmla="*/ 106 h 223"/>
                              <a:gd name="T46" fmla="*/ 131 w 177"/>
                              <a:gd name="T47" fmla="*/ 77 h 223"/>
                              <a:gd name="T48" fmla="*/ 120 w 177"/>
                              <a:gd name="T49" fmla="*/ 49 h 223"/>
                              <a:gd name="T50" fmla="*/ 89 w 177"/>
                              <a:gd name="T51" fmla="*/ 38 h 223"/>
                              <a:gd name="T52" fmla="*/ 59 w 177"/>
                              <a:gd name="T53" fmla="*/ 49 h 223"/>
                              <a:gd name="T54" fmla="*/ 47 w 177"/>
                              <a:gd name="T55" fmla="*/ 77 h 223"/>
                              <a:gd name="T56" fmla="*/ 59 w 177"/>
                              <a:gd name="T57" fmla="*/ 106 h 223"/>
                              <a:gd name="T58" fmla="*/ 89 w 177"/>
                              <a:gd name="T59" fmla="*/ 117 h 223"/>
                              <a:gd name="T60" fmla="*/ 120 w 177"/>
                              <a:gd name="T61" fmla="*/ 106 h 22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177" h="223">
                                <a:moveTo>
                                  <a:pt x="177" y="2"/>
                                </a:moveTo>
                                <a:cubicBezTo>
                                  <a:pt x="177" y="136"/>
                                  <a:pt x="177" y="136"/>
                                  <a:pt x="177" y="136"/>
                                </a:cubicBezTo>
                                <a:cubicBezTo>
                                  <a:pt x="177" y="166"/>
                                  <a:pt x="170" y="188"/>
                                  <a:pt x="154" y="202"/>
                                </a:cubicBezTo>
                                <a:cubicBezTo>
                                  <a:pt x="139" y="216"/>
                                  <a:pt x="117" y="223"/>
                                  <a:pt x="87" y="223"/>
                                </a:cubicBezTo>
                                <a:cubicBezTo>
                                  <a:pt x="72" y="223"/>
                                  <a:pt x="57" y="222"/>
                                  <a:pt x="43" y="218"/>
                                </a:cubicBezTo>
                                <a:cubicBezTo>
                                  <a:pt x="29" y="214"/>
                                  <a:pt x="17" y="208"/>
                                  <a:pt x="8" y="201"/>
                                </a:cubicBezTo>
                                <a:cubicBezTo>
                                  <a:pt x="27" y="168"/>
                                  <a:pt x="27" y="168"/>
                                  <a:pt x="27" y="168"/>
                                </a:cubicBezTo>
                                <a:cubicBezTo>
                                  <a:pt x="34" y="173"/>
                                  <a:pt x="42" y="178"/>
                                  <a:pt x="52" y="181"/>
                                </a:cubicBezTo>
                                <a:cubicBezTo>
                                  <a:pt x="63" y="184"/>
                                  <a:pt x="73" y="186"/>
                                  <a:pt x="84" y="186"/>
                                </a:cubicBezTo>
                                <a:cubicBezTo>
                                  <a:pt x="100" y="186"/>
                                  <a:pt x="112" y="182"/>
                                  <a:pt x="119" y="175"/>
                                </a:cubicBezTo>
                                <a:cubicBezTo>
                                  <a:pt x="127" y="168"/>
                                  <a:pt x="131" y="157"/>
                                  <a:pt x="131" y="142"/>
                                </a:cubicBezTo>
                                <a:cubicBezTo>
                                  <a:pt x="131" y="135"/>
                                  <a:pt x="131" y="135"/>
                                  <a:pt x="131" y="135"/>
                                </a:cubicBezTo>
                                <a:cubicBezTo>
                                  <a:pt x="119" y="149"/>
                                  <a:pt x="102" y="155"/>
                                  <a:pt x="80" y="155"/>
                                </a:cubicBezTo>
                                <a:cubicBezTo>
                                  <a:pt x="65" y="155"/>
                                  <a:pt x="52" y="152"/>
                                  <a:pt x="39" y="146"/>
                                </a:cubicBezTo>
                                <a:cubicBezTo>
                                  <a:pt x="27" y="139"/>
                                  <a:pt x="17" y="130"/>
                                  <a:pt x="10" y="118"/>
                                </a:cubicBezTo>
                                <a:cubicBezTo>
                                  <a:pt x="3" y="106"/>
                                  <a:pt x="0" y="93"/>
                                  <a:pt x="0" y="77"/>
                                </a:cubicBezTo>
                                <a:cubicBezTo>
                                  <a:pt x="0" y="62"/>
                                  <a:pt x="3" y="49"/>
                                  <a:pt x="10" y="37"/>
                                </a:cubicBezTo>
                                <a:cubicBezTo>
                                  <a:pt x="17" y="25"/>
                                  <a:pt x="27" y="16"/>
                                  <a:pt x="39" y="9"/>
                                </a:cubicBezTo>
                                <a:cubicBezTo>
                                  <a:pt x="52" y="3"/>
                                  <a:pt x="65" y="0"/>
                                  <a:pt x="80" y="0"/>
                                </a:cubicBezTo>
                                <a:cubicBezTo>
                                  <a:pt x="103" y="0"/>
                                  <a:pt x="121" y="7"/>
                                  <a:pt x="133" y="23"/>
                                </a:cubicBezTo>
                                <a:cubicBezTo>
                                  <a:pt x="133" y="2"/>
                                  <a:pt x="133" y="2"/>
                                  <a:pt x="133" y="2"/>
                                </a:cubicBezTo>
                                <a:lnTo>
                                  <a:pt x="177" y="2"/>
                                </a:lnTo>
                                <a:close/>
                                <a:moveTo>
                                  <a:pt x="120" y="106"/>
                                </a:moveTo>
                                <a:cubicBezTo>
                                  <a:pt x="127" y="99"/>
                                  <a:pt x="131" y="89"/>
                                  <a:pt x="131" y="77"/>
                                </a:cubicBezTo>
                                <a:cubicBezTo>
                                  <a:pt x="131" y="66"/>
                                  <a:pt x="127" y="56"/>
                                  <a:pt x="120" y="49"/>
                                </a:cubicBezTo>
                                <a:cubicBezTo>
                                  <a:pt x="112" y="42"/>
                                  <a:pt x="102" y="38"/>
                                  <a:pt x="89" y="38"/>
                                </a:cubicBezTo>
                                <a:cubicBezTo>
                                  <a:pt x="77" y="38"/>
                                  <a:pt x="67" y="42"/>
                                  <a:pt x="59" y="49"/>
                                </a:cubicBezTo>
                                <a:cubicBezTo>
                                  <a:pt x="51" y="56"/>
                                  <a:pt x="47" y="66"/>
                                  <a:pt x="47" y="77"/>
                                </a:cubicBezTo>
                                <a:cubicBezTo>
                                  <a:pt x="47" y="89"/>
                                  <a:pt x="51" y="99"/>
                                  <a:pt x="59" y="106"/>
                                </a:cubicBezTo>
                                <a:cubicBezTo>
                                  <a:pt x="67" y="113"/>
                                  <a:pt x="77" y="117"/>
                                  <a:pt x="89" y="117"/>
                                </a:cubicBezTo>
                                <a:cubicBezTo>
                                  <a:pt x="102" y="117"/>
                                  <a:pt x="112" y="113"/>
                                  <a:pt x="120" y="106"/>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97" name="Freeform 56"/>
                        <wps:cNvSpPr>
                          <a:spLocks/>
                        </wps:cNvSpPr>
                        <wps:spPr bwMode="auto">
                          <a:xfrm>
                            <a:off x="470703" y="509052"/>
                            <a:ext cx="74432" cy="74432"/>
                          </a:xfrm>
                          <a:custGeom>
                            <a:avLst/>
                            <a:gdLst>
                              <a:gd name="T0" fmla="*/ 146 w 164"/>
                              <a:gd name="T1" fmla="*/ 18 h 163"/>
                              <a:gd name="T2" fmla="*/ 164 w 164"/>
                              <a:gd name="T3" fmla="*/ 71 h 163"/>
                              <a:gd name="T4" fmla="*/ 164 w 164"/>
                              <a:gd name="T5" fmla="*/ 163 h 163"/>
                              <a:gd name="T6" fmla="*/ 117 w 164"/>
                              <a:gd name="T7" fmla="*/ 163 h 163"/>
                              <a:gd name="T8" fmla="*/ 117 w 164"/>
                              <a:gd name="T9" fmla="*/ 78 h 163"/>
                              <a:gd name="T10" fmla="*/ 109 w 164"/>
                              <a:gd name="T11" fmla="*/ 50 h 163"/>
                              <a:gd name="T12" fmla="*/ 85 w 164"/>
                              <a:gd name="T13" fmla="*/ 40 h 163"/>
                              <a:gd name="T14" fmla="*/ 57 w 164"/>
                              <a:gd name="T15" fmla="*/ 51 h 163"/>
                              <a:gd name="T16" fmla="*/ 46 w 164"/>
                              <a:gd name="T17" fmla="*/ 83 h 163"/>
                              <a:gd name="T18" fmla="*/ 46 w 164"/>
                              <a:gd name="T19" fmla="*/ 163 h 163"/>
                              <a:gd name="T20" fmla="*/ 0 w 164"/>
                              <a:gd name="T21" fmla="*/ 163 h 163"/>
                              <a:gd name="T22" fmla="*/ 0 w 164"/>
                              <a:gd name="T23" fmla="*/ 2 h 163"/>
                              <a:gd name="T24" fmla="*/ 44 w 164"/>
                              <a:gd name="T25" fmla="*/ 2 h 163"/>
                              <a:gd name="T26" fmla="*/ 44 w 164"/>
                              <a:gd name="T27" fmla="*/ 21 h 163"/>
                              <a:gd name="T28" fmla="*/ 67 w 164"/>
                              <a:gd name="T29" fmla="*/ 5 h 163"/>
                              <a:gd name="T30" fmla="*/ 97 w 164"/>
                              <a:gd name="T31" fmla="*/ 0 h 163"/>
                              <a:gd name="T32" fmla="*/ 146 w 164"/>
                              <a:gd name="T33" fmla="*/ 18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64" h="163">
                                <a:moveTo>
                                  <a:pt x="146" y="18"/>
                                </a:moveTo>
                                <a:cubicBezTo>
                                  <a:pt x="158" y="30"/>
                                  <a:pt x="164" y="47"/>
                                  <a:pt x="164" y="71"/>
                                </a:cubicBezTo>
                                <a:cubicBezTo>
                                  <a:pt x="164" y="163"/>
                                  <a:pt x="164" y="163"/>
                                  <a:pt x="164" y="163"/>
                                </a:cubicBezTo>
                                <a:cubicBezTo>
                                  <a:pt x="117" y="163"/>
                                  <a:pt x="117" y="163"/>
                                  <a:pt x="117" y="163"/>
                                </a:cubicBezTo>
                                <a:cubicBezTo>
                                  <a:pt x="117" y="78"/>
                                  <a:pt x="117" y="78"/>
                                  <a:pt x="117" y="78"/>
                                </a:cubicBezTo>
                                <a:cubicBezTo>
                                  <a:pt x="117" y="65"/>
                                  <a:pt x="115" y="56"/>
                                  <a:pt x="109" y="50"/>
                                </a:cubicBezTo>
                                <a:cubicBezTo>
                                  <a:pt x="103" y="43"/>
                                  <a:pt x="95" y="40"/>
                                  <a:pt x="85" y="40"/>
                                </a:cubicBezTo>
                                <a:cubicBezTo>
                                  <a:pt x="73" y="40"/>
                                  <a:pt x="64" y="44"/>
                                  <a:pt x="57" y="51"/>
                                </a:cubicBezTo>
                                <a:cubicBezTo>
                                  <a:pt x="50" y="58"/>
                                  <a:pt x="46" y="69"/>
                                  <a:pt x="46" y="83"/>
                                </a:cubicBezTo>
                                <a:cubicBezTo>
                                  <a:pt x="46" y="163"/>
                                  <a:pt x="46" y="163"/>
                                  <a:pt x="46" y="163"/>
                                </a:cubicBezTo>
                                <a:cubicBezTo>
                                  <a:pt x="0" y="163"/>
                                  <a:pt x="0" y="163"/>
                                  <a:pt x="0" y="163"/>
                                </a:cubicBezTo>
                                <a:cubicBezTo>
                                  <a:pt x="0" y="2"/>
                                  <a:pt x="0" y="2"/>
                                  <a:pt x="0" y="2"/>
                                </a:cubicBezTo>
                                <a:cubicBezTo>
                                  <a:pt x="44" y="2"/>
                                  <a:pt x="44" y="2"/>
                                  <a:pt x="44" y="2"/>
                                </a:cubicBezTo>
                                <a:cubicBezTo>
                                  <a:pt x="44" y="21"/>
                                  <a:pt x="44" y="21"/>
                                  <a:pt x="44" y="21"/>
                                </a:cubicBezTo>
                                <a:cubicBezTo>
                                  <a:pt x="50" y="14"/>
                                  <a:pt x="58" y="9"/>
                                  <a:pt x="67" y="5"/>
                                </a:cubicBezTo>
                                <a:cubicBezTo>
                                  <a:pt x="76" y="2"/>
                                  <a:pt x="86" y="0"/>
                                  <a:pt x="97" y="0"/>
                                </a:cubicBezTo>
                                <a:cubicBezTo>
                                  <a:pt x="117" y="0"/>
                                  <a:pt x="133" y="6"/>
                                  <a:pt x="146" y="18"/>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98" name="Freeform 57"/>
                        <wps:cNvSpPr>
                          <a:spLocks noEditPoints="1"/>
                        </wps:cNvSpPr>
                        <wps:spPr bwMode="auto">
                          <a:xfrm>
                            <a:off x="566102" y="509052"/>
                            <a:ext cx="77577" cy="75480"/>
                          </a:xfrm>
                          <a:custGeom>
                            <a:avLst/>
                            <a:gdLst>
                              <a:gd name="T0" fmla="*/ 169 w 170"/>
                              <a:gd name="T1" fmla="*/ 96 h 165"/>
                              <a:gd name="T2" fmla="*/ 47 w 170"/>
                              <a:gd name="T3" fmla="*/ 96 h 165"/>
                              <a:gd name="T4" fmla="*/ 63 w 170"/>
                              <a:gd name="T5" fmla="*/ 119 h 165"/>
                              <a:gd name="T6" fmla="*/ 93 w 170"/>
                              <a:gd name="T7" fmla="*/ 128 h 165"/>
                              <a:gd name="T8" fmla="*/ 116 w 170"/>
                              <a:gd name="T9" fmla="*/ 124 h 165"/>
                              <a:gd name="T10" fmla="*/ 134 w 170"/>
                              <a:gd name="T11" fmla="*/ 112 h 165"/>
                              <a:gd name="T12" fmla="*/ 158 w 170"/>
                              <a:gd name="T13" fmla="*/ 139 h 165"/>
                              <a:gd name="T14" fmla="*/ 92 w 170"/>
                              <a:gd name="T15" fmla="*/ 165 h 165"/>
                              <a:gd name="T16" fmla="*/ 44 w 170"/>
                              <a:gd name="T17" fmla="*/ 155 h 165"/>
                              <a:gd name="T18" fmla="*/ 12 w 170"/>
                              <a:gd name="T19" fmla="*/ 125 h 165"/>
                              <a:gd name="T20" fmla="*/ 0 w 170"/>
                              <a:gd name="T21" fmla="*/ 83 h 165"/>
                              <a:gd name="T22" fmla="*/ 11 w 170"/>
                              <a:gd name="T23" fmla="*/ 40 h 165"/>
                              <a:gd name="T24" fmla="*/ 42 w 170"/>
                              <a:gd name="T25" fmla="*/ 10 h 165"/>
                              <a:gd name="T26" fmla="*/ 86 w 170"/>
                              <a:gd name="T27" fmla="*/ 0 h 165"/>
                              <a:gd name="T28" fmla="*/ 129 w 170"/>
                              <a:gd name="T29" fmla="*/ 10 h 165"/>
                              <a:gd name="T30" fmla="*/ 159 w 170"/>
                              <a:gd name="T31" fmla="*/ 39 h 165"/>
                              <a:gd name="T32" fmla="*/ 170 w 170"/>
                              <a:gd name="T33" fmla="*/ 83 h 165"/>
                              <a:gd name="T34" fmla="*/ 169 w 170"/>
                              <a:gd name="T35" fmla="*/ 96 h 165"/>
                              <a:gd name="T36" fmla="*/ 60 w 170"/>
                              <a:gd name="T37" fmla="*/ 44 h 165"/>
                              <a:gd name="T38" fmla="*/ 47 w 170"/>
                              <a:gd name="T39" fmla="*/ 69 h 165"/>
                              <a:gd name="T40" fmla="*/ 126 w 170"/>
                              <a:gd name="T41" fmla="*/ 69 h 165"/>
                              <a:gd name="T42" fmla="*/ 113 w 170"/>
                              <a:gd name="T43" fmla="*/ 44 h 165"/>
                              <a:gd name="T44" fmla="*/ 86 w 170"/>
                              <a:gd name="T45" fmla="*/ 35 h 165"/>
                              <a:gd name="T46" fmla="*/ 60 w 170"/>
                              <a:gd name="T47" fmla="*/ 44 h 1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70" h="165">
                                <a:moveTo>
                                  <a:pt x="169" y="96"/>
                                </a:moveTo>
                                <a:cubicBezTo>
                                  <a:pt x="47" y="96"/>
                                  <a:pt x="47" y="96"/>
                                  <a:pt x="47" y="96"/>
                                </a:cubicBezTo>
                                <a:cubicBezTo>
                                  <a:pt x="49" y="106"/>
                                  <a:pt x="55" y="114"/>
                                  <a:pt x="63" y="119"/>
                                </a:cubicBezTo>
                                <a:cubicBezTo>
                                  <a:pt x="71" y="125"/>
                                  <a:pt x="81" y="128"/>
                                  <a:pt x="93" y="128"/>
                                </a:cubicBezTo>
                                <a:cubicBezTo>
                                  <a:pt x="102" y="128"/>
                                  <a:pt x="109" y="127"/>
                                  <a:pt x="116" y="124"/>
                                </a:cubicBezTo>
                                <a:cubicBezTo>
                                  <a:pt x="122" y="122"/>
                                  <a:pt x="128" y="118"/>
                                  <a:pt x="134" y="112"/>
                                </a:cubicBezTo>
                                <a:cubicBezTo>
                                  <a:pt x="158" y="139"/>
                                  <a:pt x="158" y="139"/>
                                  <a:pt x="158" y="139"/>
                                </a:cubicBezTo>
                                <a:cubicBezTo>
                                  <a:pt x="143" y="157"/>
                                  <a:pt x="121" y="165"/>
                                  <a:pt x="92" y="165"/>
                                </a:cubicBezTo>
                                <a:cubicBezTo>
                                  <a:pt x="74" y="165"/>
                                  <a:pt x="58" y="162"/>
                                  <a:pt x="44" y="155"/>
                                </a:cubicBezTo>
                                <a:cubicBezTo>
                                  <a:pt x="30" y="148"/>
                                  <a:pt x="19" y="138"/>
                                  <a:pt x="12" y="125"/>
                                </a:cubicBezTo>
                                <a:cubicBezTo>
                                  <a:pt x="4" y="113"/>
                                  <a:pt x="0" y="99"/>
                                  <a:pt x="0" y="83"/>
                                </a:cubicBezTo>
                                <a:cubicBezTo>
                                  <a:pt x="0" y="67"/>
                                  <a:pt x="4" y="53"/>
                                  <a:pt x="11" y="40"/>
                                </a:cubicBezTo>
                                <a:cubicBezTo>
                                  <a:pt x="19" y="27"/>
                                  <a:pt x="29" y="17"/>
                                  <a:pt x="42" y="10"/>
                                </a:cubicBezTo>
                                <a:cubicBezTo>
                                  <a:pt x="55" y="3"/>
                                  <a:pt x="70" y="0"/>
                                  <a:pt x="86" y="0"/>
                                </a:cubicBezTo>
                                <a:cubicBezTo>
                                  <a:pt x="102" y="0"/>
                                  <a:pt x="116" y="3"/>
                                  <a:pt x="129" y="10"/>
                                </a:cubicBezTo>
                                <a:cubicBezTo>
                                  <a:pt x="142" y="17"/>
                                  <a:pt x="152" y="26"/>
                                  <a:pt x="159" y="39"/>
                                </a:cubicBezTo>
                                <a:cubicBezTo>
                                  <a:pt x="166" y="52"/>
                                  <a:pt x="170" y="66"/>
                                  <a:pt x="170" y="83"/>
                                </a:cubicBezTo>
                                <a:cubicBezTo>
                                  <a:pt x="170" y="84"/>
                                  <a:pt x="170" y="88"/>
                                  <a:pt x="169" y="96"/>
                                </a:cubicBezTo>
                                <a:close/>
                                <a:moveTo>
                                  <a:pt x="60" y="44"/>
                                </a:moveTo>
                                <a:cubicBezTo>
                                  <a:pt x="53" y="50"/>
                                  <a:pt x="48" y="58"/>
                                  <a:pt x="47" y="69"/>
                                </a:cubicBezTo>
                                <a:cubicBezTo>
                                  <a:pt x="126" y="69"/>
                                  <a:pt x="126" y="69"/>
                                  <a:pt x="126" y="69"/>
                                </a:cubicBezTo>
                                <a:cubicBezTo>
                                  <a:pt x="124" y="58"/>
                                  <a:pt x="120" y="50"/>
                                  <a:pt x="113" y="44"/>
                                </a:cubicBezTo>
                                <a:cubicBezTo>
                                  <a:pt x="106" y="38"/>
                                  <a:pt x="97" y="35"/>
                                  <a:pt x="86" y="35"/>
                                </a:cubicBezTo>
                                <a:cubicBezTo>
                                  <a:pt x="76" y="35"/>
                                  <a:pt x="67" y="38"/>
                                  <a:pt x="60" y="44"/>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399" name="Freeform 58"/>
                        <wps:cNvSpPr>
                          <a:spLocks noEditPoints="1"/>
                        </wps:cNvSpPr>
                        <wps:spPr bwMode="auto">
                          <a:xfrm>
                            <a:off x="705531" y="485989"/>
                            <a:ext cx="91206" cy="99592"/>
                          </a:xfrm>
                          <a:custGeom>
                            <a:avLst/>
                            <a:gdLst>
                              <a:gd name="T0" fmla="*/ 175 w 200"/>
                              <a:gd name="T1" fmla="*/ 216 h 216"/>
                              <a:gd name="T2" fmla="*/ 150 w 200"/>
                              <a:gd name="T3" fmla="*/ 192 h 216"/>
                              <a:gd name="T4" fmla="*/ 80 w 200"/>
                              <a:gd name="T5" fmla="*/ 216 h 216"/>
                              <a:gd name="T6" fmla="*/ 39 w 200"/>
                              <a:gd name="T7" fmla="*/ 208 h 216"/>
                              <a:gd name="T8" fmla="*/ 10 w 200"/>
                              <a:gd name="T9" fmla="*/ 188 h 216"/>
                              <a:gd name="T10" fmla="*/ 0 w 200"/>
                              <a:gd name="T11" fmla="*/ 158 h 216"/>
                              <a:gd name="T12" fmla="*/ 11 w 200"/>
                              <a:gd name="T13" fmla="*/ 124 h 216"/>
                              <a:gd name="T14" fmla="*/ 46 w 200"/>
                              <a:gd name="T15" fmla="*/ 96 h 216"/>
                              <a:gd name="T16" fmla="*/ 29 w 200"/>
                              <a:gd name="T17" fmla="*/ 73 h 216"/>
                              <a:gd name="T18" fmla="*/ 24 w 200"/>
                              <a:gd name="T19" fmla="*/ 51 h 216"/>
                              <a:gd name="T20" fmla="*/ 32 w 200"/>
                              <a:gd name="T21" fmla="*/ 24 h 216"/>
                              <a:gd name="T22" fmla="*/ 55 w 200"/>
                              <a:gd name="T23" fmla="*/ 6 h 216"/>
                              <a:gd name="T24" fmla="*/ 89 w 200"/>
                              <a:gd name="T25" fmla="*/ 0 h 216"/>
                              <a:gd name="T26" fmla="*/ 133 w 200"/>
                              <a:gd name="T27" fmla="*/ 13 h 216"/>
                              <a:gd name="T28" fmla="*/ 150 w 200"/>
                              <a:gd name="T29" fmla="*/ 48 h 216"/>
                              <a:gd name="T30" fmla="*/ 140 w 200"/>
                              <a:gd name="T31" fmla="*/ 77 h 216"/>
                              <a:gd name="T32" fmla="*/ 109 w 200"/>
                              <a:gd name="T33" fmla="*/ 101 h 216"/>
                              <a:gd name="T34" fmla="*/ 147 w 200"/>
                              <a:gd name="T35" fmla="*/ 137 h 216"/>
                              <a:gd name="T36" fmla="*/ 157 w 200"/>
                              <a:gd name="T37" fmla="*/ 104 h 216"/>
                              <a:gd name="T38" fmla="*/ 195 w 200"/>
                              <a:gd name="T39" fmla="*/ 116 h 216"/>
                              <a:gd name="T40" fmla="*/ 176 w 200"/>
                              <a:gd name="T41" fmla="*/ 163 h 216"/>
                              <a:gd name="T42" fmla="*/ 200 w 200"/>
                              <a:gd name="T43" fmla="*/ 186 h 216"/>
                              <a:gd name="T44" fmla="*/ 175 w 200"/>
                              <a:gd name="T45" fmla="*/ 216 h 216"/>
                              <a:gd name="T46" fmla="*/ 122 w 200"/>
                              <a:gd name="T47" fmla="*/ 167 h 216"/>
                              <a:gd name="T48" fmla="*/ 72 w 200"/>
                              <a:gd name="T49" fmla="*/ 120 h 216"/>
                              <a:gd name="T50" fmla="*/ 51 w 200"/>
                              <a:gd name="T51" fmla="*/ 135 h 216"/>
                              <a:gd name="T52" fmla="*/ 45 w 200"/>
                              <a:gd name="T53" fmla="*/ 153 h 216"/>
                              <a:gd name="T54" fmla="*/ 56 w 200"/>
                              <a:gd name="T55" fmla="*/ 172 h 216"/>
                              <a:gd name="T56" fmla="*/ 83 w 200"/>
                              <a:gd name="T57" fmla="*/ 179 h 216"/>
                              <a:gd name="T58" fmla="*/ 122 w 200"/>
                              <a:gd name="T59" fmla="*/ 167 h 216"/>
                              <a:gd name="T60" fmla="*/ 73 w 200"/>
                              <a:gd name="T61" fmla="*/ 37 h 216"/>
                              <a:gd name="T62" fmla="*/ 67 w 200"/>
                              <a:gd name="T63" fmla="*/ 51 h 216"/>
                              <a:gd name="T64" fmla="*/ 70 w 200"/>
                              <a:gd name="T65" fmla="*/ 63 h 216"/>
                              <a:gd name="T66" fmla="*/ 83 w 200"/>
                              <a:gd name="T67" fmla="*/ 77 h 216"/>
                              <a:gd name="T68" fmla="*/ 104 w 200"/>
                              <a:gd name="T69" fmla="*/ 63 h 216"/>
                              <a:gd name="T70" fmla="*/ 110 w 200"/>
                              <a:gd name="T71" fmla="*/ 49 h 216"/>
                              <a:gd name="T72" fmla="*/ 105 w 200"/>
                              <a:gd name="T73" fmla="*/ 36 h 216"/>
                              <a:gd name="T74" fmla="*/ 89 w 200"/>
                              <a:gd name="T75" fmla="*/ 32 h 216"/>
                              <a:gd name="T76" fmla="*/ 73 w 200"/>
                              <a:gd name="T77" fmla="*/ 37 h 2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200" h="216">
                                <a:moveTo>
                                  <a:pt x="175" y="216"/>
                                </a:moveTo>
                                <a:cubicBezTo>
                                  <a:pt x="150" y="192"/>
                                  <a:pt x="150" y="192"/>
                                  <a:pt x="150" y="192"/>
                                </a:cubicBezTo>
                                <a:cubicBezTo>
                                  <a:pt x="130" y="208"/>
                                  <a:pt x="106" y="216"/>
                                  <a:pt x="80" y="216"/>
                                </a:cubicBezTo>
                                <a:cubicBezTo>
                                  <a:pt x="64" y="216"/>
                                  <a:pt x="51" y="213"/>
                                  <a:pt x="39" y="208"/>
                                </a:cubicBezTo>
                                <a:cubicBezTo>
                                  <a:pt x="26" y="203"/>
                                  <a:pt x="17" y="197"/>
                                  <a:pt x="10" y="188"/>
                                </a:cubicBezTo>
                                <a:cubicBezTo>
                                  <a:pt x="3" y="179"/>
                                  <a:pt x="0" y="169"/>
                                  <a:pt x="0" y="158"/>
                                </a:cubicBezTo>
                                <a:cubicBezTo>
                                  <a:pt x="0" y="145"/>
                                  <a:pt x="3" y="134"/>
                                  <a:pt x="11" y="124"/>
                                </a:cubicBezTo>
                                <a:cubicBezTo>
                                  <a:pt x="18" y="114"/>
                                  <a:pt x="30" y="105"/>
                                  <a:pt x="46" y="96"/>
                                </a:cubicBezTo>
                                <a:cubicBezTo>
                                  <a:pt x="38" y="88"/>
                                  <a:pt x="33" y="80"/>
                                  <a:pt x="29" y="73"/>
                                </a:cubicBezTo>
                                <a:cubicBezTo>
                                  <a:pt x="26" y="66"/>
                                  <a:pt x="24" y="59"/>
                                  <a:pt x="24" y="51"/>
                                </a:cubicBezTo>
                                <a:cubicBezTo>
                                  <a:pt x="24" y="41"/>
                                  <a:pt x="27" y="32"/>
                                  <a:pt x="32" y="24"/>
                                </a:cubicBezTo>
                                <a:cubicBezTo>
                                  <a:pt x="38" y="17"/>
                                  <a:pt x="45" y="11"/>
                                  <a:pt x="55" y="6"/>
                                </a:cubicBezTo>
                                <a:cubicBezTo>
                                  <a:pt x="65" y="2"/>
                                  <a:pt x="77" y="0"/>
                                  <a:pt x="89" y="0"/>
                                </a:cubicBezTo>
                                <a:cubicBezTo>
                                  <a:pt x="108" y="0"/>
                                  <a:pt x="122" y="4"/>
                                  <a:pt x="133" y="13"/>
                                </a:cubicBezTo>
                                <a:cubicBezTo>
                                  <a:pt x="144" y="22"/>
                                  <a:pt x="150" y="33"/>
                                  <a:pt x="150" y="48"/>
                                </a:cubicBezTo>
                                <a:cubicBezTo>
                                  <a:pt x="150" y="59"/>
                                  <a:pt x="146" y="68"/>
                                  <a:pt x="140" y="77"/>
                                </a:cubicBezTo>
                                <a:cubicBezTo>
                                  <a:pt x="133" y="85"/>
                                  <a:pt x="123" y="93"/>
                                  <a:pt x="109" y="101"/>
                                </a:cubicBezTo>
                                <a:cubicBezTo>
                                  <a:pt x="147" y="137"/>
                                  <a:pt x="147" y="137"/>
                                  <a:pt x="147" y="137"/>
                                </a:cubicBezTo>
                                <a:cubicBezTo>
                                  <a:pt x="151" y="127"/>
                                  <a:pt x="155" y="116"/>
                                  <a:pt x="157" y="104"/>
                                </a:cubicBezTo>
                                <a:cubicBezTo>
                                  <a:pt x="195" y="116"/>
                                  <a:pt x="195" y="116"/>
                                  <a:pt x="195" y="116"/>
                                </a:cubicBezTo>
                                <a:cubicBezTo>
                                  <a:pt x="191" y="134"/>
                                  <a:pt x="184" y="150"/>
                                  <a:pt x="176" y="163"/>
                                </a:cubicBezTo>
                                <a:cubicBezTo>
                                  <a:pt x="200" y="186"/>
                                  <a:pt x="200" y="186"/>
                                  <a:pt x="200" y="186"/>
                                </a:cubicBezTo>
                                <a:lnTo>
                                  <a:pt x="175" y="216"/>
                                </a:lnTo>
                                <a:close/>
                                <a:moveTo>
                                  <a:pt x="122" y="167"/>
                                </a:moveTo>
                                <a:cubicBezTo>
                                  <a:pt x="72" y="120"/>
                                  <a:pt x="72" y="120"/>
                                  <a:pt x="72" y="120"/>
                                </a:cubicBezTo>
                                <a:cubicBezTo>
                                  <a:pt x="62" y="125"/>
                                  <a:pt x="55" y="130"/>
                                  <a:pt x="51" y="135"/>
                                </a:cubicBezTo>
                                <a:cubicBezTo>
                                  <a:pt x="47" y="141"/>
                                  <a:pt x="45" y="147"/>
                                  <a:pt x="45" y="153"/>
                                </a:cubicBezTo>
                                <a:cubicBezTo>
                                  <a:pt x="45" y="161"/>
                                  <a:pt x="49" y="167"/>
                                  <a:pt x="56" y="172"/>
                                </a:cubicBezTo>
                                <a:cubicBezTo>
                                  <a:pt x="62" y="177"/>
                                  <a:pt x="72" y="179"/>
                                  <a:pt x="83" y="179"/>
                                </a:cubicBezTo>
                                <a:cubicBezTo>
                                  <a:pt x="97" y="179"/>
                                  <a:pt x="111" y="175"/>
                                  <a:pt x="122" y="167"/>
                                </a:cubicBezTo>
                                <a:close/>
                                <a:moveTo>
                                  <a:pt x="73" y="37"/>
                                </a:moveTo>
                                <a:cubicBezTo>
                                  <a:pt x="69" y="41"/>
                                  <a:pt x="67" y="45"/>
                                  <a:pt x="67" y="51"/>
                                </a:cubicBezTo>
                                <a:cubicBezTo>
                                  <a:pt x="67" y="55"/>
                                  <a:pt x="68" y="59"/>
                                  <a:pt x="70" y="63"/>
                                </a:cubicBezTo>
                                <a:cubicBezTo>
                                  <a:pt x="72" y="66"/>
                                  <a:pt x="77" y="71"/>
                                  <a:pt x="83" y="77"/>
                                </a:cubicBezTo>
                                <a:cubicBezTo>
                                  <a:pt x="93" y="72"/>
                                  <a:pt x="100" y="67"/>
                                  <a:pt x="104" y="63"/>
                                </a:cubicBezTo>
                                <a:cubicBezTo>
                                  <a:pt x="108" y="59"/>
                                  <a:pt x="110" y="54"/>
                                  <a:pt x="110" y="49"/>
                                </a:cubicBezTo>
                                <a:cubicBezTo>
                                  <a:pt x="110" y="44"/>
                                  <a:pt x="108" y="40"/>
                                  <a:pt x="105" y="36"/>
                                </a:cubicBezTo>
                                <a:cubicBezTo>
                                  <a:pt x="101" y="33"/>
                                  <a:pt x="96" y="32"/>
                                  <a:pt x="89" y="32"/>
                                </a:cubicBezTo>
                                <a:cubicBezTo>
                                  <a:pt x="82" y="32"/>
                                  <a:pt x="77" y="33"/>
                                  <a:pt x="73" y="37"/>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00" name="Freeform 59"/>
                        <wps:cNvSpPr>
                          <a:spLocks noEditPoints="1"/>
                        </wps:cNvSpPr>
                        <wps:spPr bwMode="auto">
                          <a:xfrm>
                            <a:off x="863829" y="488086"/>
                            <a:ext cx="84916" cy="95398"/>
                          </a:xfrm>
                          <a:custGeom>
                            <a:avLst/>
                            <a:gdLst>
                              <a:gd name="T0" fmla="*/ 134 w 186"/>
                              <a:gd name="T1" fmla="*/ 209 h 209"/>
                              <a:gd name="T2" fmla="*/ 93 w 186"/>
                              <a:gd name="T3" fmla="*/ 151 h 209"/>
                              <a:gd name="T4" fmla="*/ 91 w 186"/>
                              <a:gd name="T5" fmla="*/ 151 h 209"/>
                              <a:gd name="T6" fmla="*/ 49 w 186"/>
                              <a:gd name="T7" fmla="*/ 151 h 209"/>
                              <a:gd name="T8" fmla="*/ 49 w 186"/>
                              <a:gd name="T9" fmla="*/ 209 h 209"/>
                              <a:gd name="T10" fmla="*/ 0 w 186"/>
                              <a:gd name="T11" fmla="*/ 209 h 209"/>
                              <a:gd name="T12" fmla="*/ 0 w 186"/>
                              <a:gd name="T13" fmla="*/ 0 h 209"/>
                              <a:gd name="T14" fmla="*/ 91 w 186"/>
                              <a:gd name="T15" fmla="*/ 0 h 209"/>
                              <a:gd name="T16" fmla="*/ 139 w 186"/>
                              <a:gd name="T17" fmla="*/ 9 h 209"/>
                              <a:gd name="T18" fmla="*/ 171 w 186"/>
                              <a:gd name="T19" fmla="*/ 35 h 209"/>
                              <a:gd name="T20" fmla="*/ 182 w 186"/>
                              <a:gd name="T21" fmla="*/ 76 h 209"/>
                              <a:gd name="T22" fmla="*/ 170 w 186"/>
                              <a:gd name="T23" fmla="*/ 116 h 209"/>
                              <a:gd name="T24" fmla="*/ 139 w 186"/>
                              <a:gd name="T25" fmla="*/ 142 h 209"/>
                              <a:gd name="T26" fmla="*/ 186 w 186"/>
                              <a:gd name="T27" fmla="*/ 209 h 209"/>
                              <a:gd name="T28" fmla="*/ 134 w 186"/>
                              <a:gd name="T29" fmla="*/ 209 h 209"/>
                              <a:gd name="T30" fmla="*/ 121 w 186"/>
                              <a:gd name="T31" fmla="*/ 49 h 209"/>
                              <a:gd name="T32" fmla="*/ 88 w 186"/>
                              <a:gd name="T33" fmla="*/ 39 h 209"/>
                              <a:gd name="T34" fmla="*/ 49 w 186"/>
                              <a:gd name="T35" fmla="*/ 39 h 209"/>
                              <a:gd name="T36" fmla="*/ 49 w 186"/>
                              <a:gd name="T37" fmla="*/ 112 h 209"/>
                              <a:gd name="T38" fmla="*/ 88 w 186"/>
                              <a:gd name="T39" fmla="*/ 112 h 209"/>
                              <a:gd name="T40" fmla="*/ 121 w 186"/>
                              <a:gd name="T41" fmla="*/ 103 h 209"/>
                              <a:gd name="T42" fmla="*/ 133 w 186"/>
                              <a:gd name="T43" fmla="*/ 76 h 209"/>
                              <a:gd name="T44" fmla="*/ 121 w 186"/>
                              <a:gd name="T45" fmla="*/ 49 h 2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186" h="209">
                                <a:moveTo>
                                  <a:pt x="134" y="209"/>
                                </a:moveTo>
                                <a:cubicBezTo>
                                  <a:pt x="93" y="151"/>
                                  <a:pt x="93" y="151"/>
                                  <a:pt x="93" y="151"/>
                                </a:cubicBezTo>
                                <a:cubicBezTo>
                                  <a:pt x="91" y="151"/>
                                  <a:pt x="91" y="151"/>
                                  <a:pt x="91" y="151"/>
                                </a:cubicBezTo>
                                <a:cubicBezTo>
                                  <a:pt x="49" y="151"/>
                                  <a:pt x="49" y="151"/>
                                  <a:pt x="49" y="151"/>
                                </a:cubicBezTo>
                                <a:cubicBezTo>
                                  <a:pt x="49" y="209"/>
                                  <a:pt x="49" y="209"/>
                                  <a:pt x="49" y="209"/>
                                </a:cubicBezTo>
                                <a:cubicBezTo>
                                  <a:pt x="0" y="209"/>
                                  <a:pt x="0" y="209"/>
                                  <a:pt x="0" y="209"/>
                                </a:cubicBezTo>
                                <a:cubicBezTo>
                                  <a:pt x="0" y="0"/>
                                  <a:pt x="0" y="0"/>
                                  <a:pt x="0" y="0"/>
                                </a:cubicBezTo>
                                <a:cubicBezTo>
                                  <a:pt x="91" y="0"/>
                                  <a:pt x="91" y="0"/>
                                  <a:pt x="91" y="0"/>
                                </a:cubicBezTo>
                                <a:cubicBezTo>
                                  <a:pt x="109" y="0"/>
                                  <a:pt x="125" y="3"/>
                                  <a:pt x="139" y="9"/>
                                </a:cubicBezTo>
                                <a:cubicBezTo>
                                  <a:pt x="153" y="15"/>
                                  <a:pt x="163" y="24"/>
                                  <a:pt x="171" y="35"/>
                                </a:cubicBezTo>
                                <a:cubicBezTo>
                                  <a:pt x="178" y="47"/>
                                  <a:pt x="182" y="60"/>
                                  <a:pt x="182" y="76"/>
                                </a:cubicBezTo>
                                <a:cubicBezTo>
                                  <a:pt x="182" y="91"/>
                                  <a:pt x="178" y="105"/>
                                  <a:pt x="170" y="116"/>
                                </a:cubicBezTo>
                                <a:cubicBezTo>
                                  <a:pt x="163" y="127"/>
                                  <a:pt x="152" y="136"/>
                                  <a:pt x="139" y="142"/>
                                </a:cubicBezTo>
                                <a:cubicBezTo>
                                  <a:pt x="186" y="209"/>
                                  <a:pt x="186" y="209"/>
                                  <a:pt x="186" y="209"/>
                                </a:cubicBezTo>
                                <a:lnTo>
                                  <a:pt x="134" y="209"/>
                                </a:lnTo>
                                <a:close/>
                                <a:moveTo>
                                  <a:pt x="121" y="49"/>
                                </a:moveTo>
                                <a:cubicBezTo>
                                  <a:pt x="114" y="42"/>
                                  <a:pt x="103" y="39"/>
                                  <a:pt x="88" y="39"/>
                                </a:cubicBezTo>
                                <a:cubicBezTo>
                                  <a:pt x="49" y="39"/>
                                  <a:pt x="49" y="39"/>
                                  <a:pt x="49" y="39"/>
                                </a:cubicBezTo>
                                <a:cubicBezTo>
                                  <a:pt x="49" y="112"/>
                                  <a:pt x="49" y="112"/>
                                  <a:pt x="49" y="112"/>
                                </a:cubicBezTo>
                                <a:cubicBezTo>
                                  <a:pt x="88" y="112"/>
                                  <a:pt x="88" y="112"/>
                                  <a:pt x="88" y="112"/>
                                </a:cubicBezTo>
                                <a:cubicBezTo>
                                  <a:pt x="103" y="112"/>
                                  <a:pt x="114" y="109"/>
                                  <a:pt x="121" y="103"/>
                                </a:cubicBezTo>
                                <a:cubicBezTo>
                                  <a:pt x="129" y="96"/>
                                  <a:pt x="133" y="87"/>
                                  <a:pt x="133" y="76"/>
                                </a:cubicBezTo>
                                <a:cubicBezTo>
                                  <a:pt x="133" y="64"/>
                                  <a:pt x="129" y="55"/>
                                  <a:pt x="121" y="49"/>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01" name="Freeform 60"/>
                        <wps:cNvSpPr>
                          <a:spLocks noEditPoints="1"/>
                        </wps:cNvSpPr>
                        <wps:spPr bwMode="auto">
                          <a:xfrm>
                            <a:off x="964469" y="509052"/>
                            <a:ext cx="76529" cy="75480"/>
                          </a:xfrm>
                          <a:custGeom>
                            <a:avLst/>
                            <a:gdLst>
                              <a:gd name="T0" fmla="*/ 168 w 169"/>
                              <a:gd name="T1" fmla="*/ 96 h 165"/>
                              <a:gd name="T2" fmla="*/ 47 w 169"/>
                              <a:gd name="T3" fmla="*/ 96 h 165"/>
                              <a:gd name="T4" fmla="*/ 62 w 169"/>
                              <a:gd name="T5" fmla="*/ 119 h 165"/>
                              <a:gd name="T6" fmla="*/ 93 w 169"/>
                              <a:gd name="T7" fmla="*/ 128 h 165"/>
                              <a:gd name="T8" fmla="*/ 115 w 169"/>
                              <a:gd name="T9" fmla="*/ 124 h 165"/>
                              <a:gd name="T10" fmla="*/ 133 w 169"/>
                              <a:gd name="T11" fmla="*/ 112 h 165"/>
                              <a:gd name="T12" fmla="*/ 158 w 169"/>
                              <a:gd name="T13" fmla="*/ 139 h 165"/>
                              <a:gd name="T14" fmla="*/ 91 w 169"/>
                              <a:gd name="T15" fmla="*/ 165 h 165"/>
                              <a:gd name="T16" fmla="*/ 43 w 169"/>
                              <a:gd name="T17" fmla="*/ 155 h 165"/>
                              <a:gd name="T18" fmla="*/ 11 w 169"/>
                              <a:gd name="T19" fmla="*/ 125 h 165"/>
                              <a:gd name="T20" fmla="*/ 0 w 169"/>
                              <a:gd name="T21" fmla="*/ 83 h 165"/>
                              <a:gd name="T22" fmla="*/ 11 w 169"/>
                              <a:gd name="T23" fmla="*/ 40 h 165"/>
                              <a:gd name="T24" fmla="*/ 42 w 169"/>
                              <a:gd name="T25" fmla="*/ 10 h 165"/>
                              <a:gd name="T26" fmla="*/ 86 w 169"/>
                              <a:gd name="T27" fmla="*/ 0 h 165"/>
                              <a:gd name="T28" fmla="*/ 128 w 169"/>
                              <a:gd name="T29" fmla="*/ 10 h 165"/>
                              <a:gd name="T30" fmla="*/ 158 w 169"/>
                              <a:gd name="T31" fmla="*/ 39 h 165"/>
                              <a:gd name="T32" fmla="*/ 169 w 169"/>
                              <a:gd name="T33" fmla="*/ 83 h 165"/>
                              <a:gd name="T34" fmla="*/ 168 w 169"/>
                              <a:gd name="T35" fmla="*/ 96 h 165"/>
                              <a:gd name="T36" fmla="*/ 59 w 169"/>
                              <a:gd name="T37" fmla="*/ 44 h 165"/>
                              <a:gd name="T38" fmla="*/ 46 w 169"/>
                              <a:gd name="T39" fmla="*/ 69 h 165"/>
                              <a:gd name="T40" fmla="*/ 125 w 169"/>
                              <a:gd name="T41" fmla="*/ 69 h 165"/>
                              <a:gd name="T42" fmla="*/ 112 w 169"/>
                              <a:gd name="T43" fmla="*/ 44 h 165"/>
                              <a:gd name="T44" fmla="*/ 86 w 169"/>
                              <a:gd name="T45" fmla="*/ 35 h 165"/>
                              <a:gd name="T46" fmla="*/ 59 w 169"/>
                              <a:gd name="T47" fmla="*/ 44 h 1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69" h="165">
                                <a:moveTo>
                                  <a:pt x="168" y="96"/>
                                </a:moveTo>
                                <a:cubicBezTo>
                                  <a:pt x="47" y="96"/>
                                  <a:pt x="47" y="96"/>
                                  <a:pt x="47" y="96"/>
                                </a:cubicBezTo>
                                <a:cubicBezTo>
                                  <a:pt x="49" y="106"/>
                                  <a:pt x="54" y="114"/>
                                  <a:pt x="62" y="119"/>
                                </a:cubicBezTo>
                                <a:cubicBezTo>
                                  <a:pt x="70" y="125"/>
                                  <a:pt x="81" y="128"/>
                                  <a:pt x="93" y="128"/>
                                </a:cubicBezTo>
                                <a:cubicBezTo>
                                  <a:pt x="101" y="128"/>
                                  <a:pt x="108" y="127"/>
                                  <a:pt x="115" y="124"/>
                                </a:cubicBezTo>
                                <a:cubicBezTo>
                                  <a:pt x="121" y="122"/>
                                  <a:pt x="127" y="118"/>
                                  <a:pt x="133" y="112"/>
                                </a:cubicBezTo>
                                <a:cubicBezTo>
                                  <a:pt x="158" y="139"/>
                                  <a:pt x="158" y="139"/>
                                  <a:pt x="158" y="139"/>
                                </a:cubicBezTo>
                                <a:cubicBezTo>
                                  <a:pt x="143" y="157"/>
                                  <a:pt x="121" y="165"/>
                                  <a:pt x="91" y="165"/>
                                </a:cubicBezTo>
                                <a:cubicBezTo>
                                  <a:pt x="73" y="165"/>
                                  <a:pt x="57" y="162"/>
                                  <a:pt x="43" y="155"/>
                                </a:cubicBezTo>
                                <a:cubicBezTo>
                                  <a:pt x="29" y="148"/>
                                  <a:pt x="19" y="138"/>
                                  <a:pt x="11" y="125"/>
                                </a:cubicBezTo>
                                <a:cubicBezTo>
                                  <a:pt x="3" y="113"/>
                                  <a:pt x="0" y="99"/>
                                  <a:pt x="0" y="83"/>
                                </a:cubicBezTo>
                                <a:cubicBezTo>
                                  <a:pt x="0" y="67"/>
                                  <a:pt x="3" y="53"/>
                                  <a:pt x="11" y="40"/>
                                </a:cubicBezTo>
                                <a:cubicBezTo>
                                  <a:pt x="18" y="27"/>
                                  <a:pt x="29" y="17"/>
                                  <a:pt x="42" y="10"/>
                                </a:cubicBezTo>
                                <a:cubicBezTo>
                                  <a:pt x="55" y="3"/>
                                  <a:pt x="69" y="0"/>
                                  <a:pt x="86" y="0"/>
                                </a:cubicBezTo>
                                <a:cubicBezTo>
                                  <a:pt x="101" y="0"/>
                                  <a:pt x="116" y="3"/>
                                  <a:pt x="128" y="10"/>
                                </a:cubicBezTo>
                                <a:cubicBezTo>
                                  <a:pt x="141" y="17"/>
                                  <a:pt x="151" y="26"/>
                                  <a:pt x="158" y="39"/>
                                </a:cubicBezTo>
                                <a:cubicBezTo>
                                  <a:pt x="166" y="52"/>
                                  <a:pt x="169" y="66"/>
                                  <a:pt x="169" y="83"/>
                                </a:cubicBezTo>
                                <a:cubicBezTo>
                                  <a:pt x="169" y="84"/>
                                  <a:pt x="169" y="88"/>
                                  <a:pt x="168" y="96"/>
                                </a:cubicBezTo>
                                <a:close/>
                                <a:moveTo>
                                  <a:pt x="59" y="44"/>
                                </a:moveTo>
                                <a:cubicBezTo>
                                  <a:pt x="52" y="50"/>
                                  <a:pt x="48" y="58"/>
                                  <a:pt x="46" y="69"/>
                                </a:cubicBezTo>
                                <a:cubicBezTo>
                                  <a:pt x="125" y="69"/>
                                  <a:pt x="125" y="69"/>
                                  <a:pt x="125" y="69"/>
                                </a:cubicBezTo>
                                <a:cubicBezTo>
                                  <a:pt x="124" y="58"/>
                                  <a:pt x="119" y="50"/>
                                  <a:pt x="112" y="44"/>
                                </a:cubicBezTo>
                                <a:cubicBezTo>
                                  <a:pt x="105" y="38"/>
                                  <a:pt x="96" y="35"/>
                                  <a:pt x="86" y="35"/>
                                </a:cubicBezTo>
                                <a:cubicBezTo>
                                  <a:pt x="75" y="35"/>
                                  <a:pt x="66" y="38"/>
                                  <a:pt x="59" y="44"/>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02" name="Freeform 61"/>
                        <wps:cNvSpPr>
                          <a:spLocks/>
                        </wps:cNvSpPr>
                        <wps:spPr bwMode="auto">
                          <a:xfrm>
                            <a:off x="1053578" y="493327"/>
                            <a:ext cx="56610" cy="91205"/>
                          </a:xfrm>
                          <a:custGeom>
                            <a:avLst/>
                            <a:gdLst>
                              <a:gd name="T0" fmla="*/ 123 w 123"/>
                              <a:gd name="T1" fmla="*/ 188 h 198"/>
                              <a:gd name="T2" fmla="*/ 106 w 123"/>
                              <a:gd name="T3" fmla="*/ 196 h 198"/>
                              <a:gd name="T4" fmla="*/ 85 w 123"/>
                              <a:gd name="T5" fmla="*/ 198 h 198"/>
                              <a:gd name="T6" fmla="*/ 40 w 123"/>
                              <a:gd name="T7" fmla="*/ 184 h 198"/>
                              <a:gd name="T8" fmla="*/ 25 w 123"/>
                              <a:gd name="T9" fmla="*/ 141 h 198"/>
                              <a:gd name="T10" fmla="*/ 25 w 123"/>
                              <a:gd name="T11" fmla="*/ 75 h 198"/>
                              <a:gd name="T12" fmla="*/ 0 w 123"/>
                              <a:gd name="T13" fmla="*/ 75 h 198"/>
                              <a:gd name="T14" fmla="*/ 0 w 123"/>
                              <a:gd name="T15" fmla="*/ 39 h 198"/>
                              <a:gd name="T16" fmla="*/ 25 w 123"/>
                              <a:gd name="T17" fmla="*/ 39 h 198"/>
                              <a:gd name="T18" fmla="*/ 25 w 123"/>
                              <a:gd name="T19" fmla="*/ 0 h 198"/>
                              <a:gd name="T20" fmla="*/ 71 w 123"/>
                              <a:gd name="T21" fmla="*/ 0 h 198"/>
                              <a:gd name="T22" fmla="*/ 71 w 123"/>
                              <a:gd name="T23" fmla="*/ 39 h 198"/>
                              <a:gd name="T24" fmla="*/ 111 w 123"/>
                              <a:gd name="T25" fmla="*/ 39 h 198"/>
                              <a:gd name="T26" fmla="*/ 111 w 123"/>
                              <a:gd name="T27" fmla="*/ 75 h 198"/>
                              <a:gd name="T28" fmla="*/ 71 w 123"/>
                              <a:gd name="T29" fmla="*/ 75 h 198"/>
                              <a:gd name="T30" fmla="*/ 71 w 123"/>
                              <a:gd name="T31" fmla="*/ 140 h 198"/>
                              <a:gd name="T32" fmla="*/ 77 w 123"/>
                              <a:gd name="T33" fmla="*/ 156 h 198"/>
                              <a:gd name="T34" fmla="*/ 91 w 123"/>
                              <a:gd name="T35" fmla="*/ 161 h 198"/>
                              <a:gd name="T36" fmla="*/ 110 w 123"/>
                              <a:gd name="T37" fmla="*/ 155 h 198"/>
                              <a:gd name="T38" fmla="*/ 123 w 123"/>
                              <a:gd name="T39" fmla="*/ 188 h 1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23" h="198">
                                <a:moveTo>
                                  <a:pt x="123" y="188"/>
                                </a:moveTo>
                                <a:cubicBezTo>
                                  <a:pt x="118" y="192"/>
                                  <a:pt x="113" y="194"/>
                                  <a:pt x="106" y="196"/>
                                </a:cubicBezTo>
                                <a:cubicBezTo>
                                  <a:pt x="99" y="198"/>
                                  <a:pt x="92" y="198"/>
                                  <a:pt x="85" y="198"/>
                                </a:cubicBezTo>
                                <a:cubicBezTo>
                                  <a:pt x="66" y="198"/>
                                  <a:pt x="51" y="194"/>
                                  <a:pt x="40" y="184"/>
                                </a:cubicBezTo>
                                <a:cubicBezTo>
                                  <a:pt x="30" y="174"/>
                                  <a:pt x="25" y="160"/>
                                  <a:pt x="25" y="141"/>
                                </a:cubicBezTo>
                                <a:cubicBezTo>
                                  <a:pt x="25" y="75"/>
                                  <a:pt x="25" y="75"/>
                                  <a:pt x="25" y="75"/>
                                </a:cubicBezTo>
                                <a:cubicBezTo>
                                  <a:pt x="0" y="75"/>
                                  <a:pt x="0" y="75"/>
                                  <a:pt x="0" y="75"/>
                                </a:cubicBezTo>
                                <a:cubicBezTo>
                                  <a:pt x="0" y="39"/>
                                  <a:pt x="0" y="39"/>
                                  <a:pt x="0" y="39"/>
                                </a:cubicBezTo>
                                <a:cubicBezTo>
                                  <a:pt x="25" y="39"/>
                                  <a:pt x="25" y="39"/>
                                  <a:pt x="25" y="39"/>
                                </a:cubicBezTo>
                                <a:cubicBezTo>
                                  <a:pt x="25" y="0"/>
                                  <a:pt x="25" y="0"/>
                                  <a:pt x="25" y="0"/>
                                </a:cubicBezTo>
                                <a:cubicBezTo>
                                  <a:pt x="71" y="0"/>
                                  <a:pt x="71" y="0"/>
                                  <a:pt x="71" y="0"/>
                                </a:cubicBezTo>
                                <a:cubicBezTo>
                                  <a:pt x="71" y="39"/>
                                  <a:pt x="71" y="39"/>
                                  <a:pt x="71" y="39"/>
                                </a:cubicBezTo>
                                <a:cubicBezTo>
                                  <a:pt x="111" y="39"/>
                                  <a:pt x="111" y="39"/>
                                  <a:pt x="111" y="39"/>
                                </a:cubicBezTo>
                                <a:cubicBezTo>
                                  <a:pt x="111" y="75"/>
                                  <a:pt x="111" y="75"/>
                                  <a:pt x="111" y="75"/>
                                </a:cubicBezTo>
                                <a:cubicBezTo>
                                  <a:pt x="71" y="75"/>
                                  <a:pt x="71" y="75"/>
                                  <a:pt x="71" y="75"/>
                                </a:cubicBezTo>
                                <a:cubicBezTo>
                                  <a:pt x="71" y="140"/>
                                  <a:pt x="71" y="140"/>
                                  <a:pt x="71" y="140"/>
                                </a:cubicBezTo>
                                <a:cubicBezTo>
                                  <a:pt x="71" y="147"/>
                                  <a:pt x="73" y="152"/>
                                  <a:pt x="77" y="156"/>
                                </a:cubicBezTo>
                                <a:cubicBezTo>
                                  <a:pt x="80" y="159"/>
                                  <a:pt x="85" y="161"/>
                                  <a:pt x="91" y="161"/>
                                </a:cubicBezTo>
                                <a:cubicBezTo>
                                  <a:pt x="99" y="161"/>
                                  <a:pt x="105" y="159"/>
                                  <a:pt x="110" y="155"/>
                                </a:cubicBezTo>
                                <a:lnTo>
                                  <a:pt x="123" y="18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03" name="Freeform 62"/>
                        <wps:cNvSpPr>
                          <a:spLocks/>
                        </wps:cNvSpPr>
                        <wps:spPr bwMode="auto">
                          <a:xfrm>
                            <a:off x="1129059" y="509052"/>
                            <a:ext cx="45079" cy="74432"/>
                          </a:xfrm>
                          <a:custGeom>
                            <a:avLst/>
                            <a:gdLst>
                              <a:gd name="T0" fmla="*/ 67 w 100"/>
                              <a:gd name="T1" fmla="*/ 6 h 163"/>
                              <a:gd name="T2" fmla="*/ 100 w 100"/>
                              <a:gd name="T3" fmla="*/ 0 h 163"/>
                              <a:gd name="T4" fmla="*/ 100 w 100"/>
                              <a:gd name="T5" fmla="*/ 43 h 163"/>
                              <a:gd name="T6" fmla="*/ 90 w 100"/>
                              <a:gd name="T7" fmla="*/ 42 h 163"/>
                              <a:gd name="T8" fmla="*/ 58 w 100"/>
                              <a:gd name="T9" fmla="*/ 53 h 163"/>
                              <a:gd name="T10" fmla="*/ 47 w 100"/>
                              <a:gd name="T11" fmla="*/ 87 h 163"/>
                              <a:gd name="T12" fmla="*/ 47 w 100"/>
                              <a:gd name="T13" fmla="*/ 163 h 163"/>
                              <a:gd name="T14" fmla="*/ 0 w 100"/>
                              <a:gd name="T15" fmla="*/ 163 h 163"/>
                              <a:gd name="T16" fmla="*/ 0 w 100"/>
                              <a:gd name="T17" fmla="*/ 2 h 163"/>
                              <a:gd name="T18" fmla="*/ 45 w 100"/>
                              <a:gd name="T19" fmla="*/ 2 h 163"/>
                              <a:gd name="T20" fmla="*/ 45 w 100"/>
                              <a:gd name="T21" fmla="*/ 23 h 163"/>
                              <a:gd name="T22" fmla="*/ 67 w 100"/>
                              <a:gd name="T23" fmla="*/ 6 h 1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00" h="163">
                                <a:moveTo>
                                  <a:pt x="67" y="6"/>
                                </a:moveTo>
                                <a:cubicBezTo>
                                  <a:pt x="77" y="2"/>
                                  <a:pt x="88" y="0"/>
                                  <a:pt x="100" y="0"/>
                                </a:cubicBezTo>
                                <a:cubicBezTo>
                                  <a:pt x="100" y="43"/>
                                  <a:pt x="100" y="43"/>
                                  <a:pt x="100" y="43"/>
                                </a:cubicBezTo>
                                <a:cubicBezTo>
                                  <a:pt x="95" y="42"/>
                                  <a:pt x="91" y="42"/>
                                  <a:pt x="90" y="42"/>
                                </a:cubicBezTo>
                                <a:cubicBezTo>
                                  <a:pt x="76" y="42"/>
                                  <a:pt x="66" y="46"/>
                                  <a:pt x="58" y="53"/>
                                </a:cubicBezTo>
                                <a:cubicBezTo>
                                  <a:pt x="51" y="61"/>
                                  <a:pt x="47" y="72"/>
                                  <a:pt x="47" y="87"/>
                                </a:cubicBezTo>
                                <a:cubicBezTo>
                                  <a:pt x="47" y="163"/>
                                  <a:pt x="47" y="163"/>
                                  <a:pt x="47" y="163"/>
                                </a:cubicBezTo>
                                <a:cubicBezTo>
                                  <a:pt x="0" y="163"/>
                                  <a:pt x="0" y="163"/>
                                  <a:pt x="0" y="163"/>
                                </a:cubicBezTo>
                                <a:cubicBezTo>
                                  <a:pt x="0" y="2"/>
                                  <a:pt x="0" y="2"/>
                                  <a:pt x="0" y="2"/>
                                </a:cubicBezTo>
                                <a:cubicBezTo>
                                  <a:pt x="45" y="2"/>
                                  <a:pt x="45" y="2"/>
                                  <a:pt x="45" y="2"/>
                                </a:cubicBezTo>
                                <a:cubicBezTo>
                                  <a:pt x="45" y="23"/>
                                  <a:pt x="45" y="23"/>
                                  <a:pt x="45" y="23"/>
                                </a:cubicBezTo>
                                <a:cubicBezTo>
                                  <a:pt x="50" y="16"/>
                                  <a:pt x="58" y="10"/>
                                  <a:pt x="67" y="6"/>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04" name="Freeform 63"/>
                        <wps:cNvSpPr>
                          <a:spLocks noEditPoints="1"/>
                        </wps:cNvSpPr>
                        <wps:spPr bwMode="auto">
                          <a:xfrm>
                            <a:off x="1189862" y="509052"/>
                            <a:ext cx="69190" cy="75480"/>
                          </a:xfrm>
                          <a:custGeom>
                            <a:avLst/>
                            <a:gdLst>
                              <a:gd name="T0" fmla="*/ 132 w 152"/>
                              <a:gd name="T1" fmla="*/ 17 h 165"/>
                              <a:gd name="T2" fmla="*/ 152 w 152"/>
                              <a:gd name="T3" fmla="*/ 71 h 165"/>
                              <a:gd name="T4" fmla="*/ 152 w 152"/>
                              <a:gd name="T5" fmla="*/ 163 h 165"/>
                              <a:gd name="T6" fmla="*/ 109 w 152"/>
                              <a:gd name="T7" fmla="*/ 163 h 165"/>
                              <a:gd name="T8" fmla="*/ 109 w 152"/>
                              <a:gd name="T9" fmla="*/ 143 h 165"/>
                              <a:gd name="T10" fmla="*/ 60 w 152"/>
                              <a:gd name="T11" fmla="*/ 165 h 165"/>
                              <a:gd name="T12" fmla="*/ 27 w 152"/>
                              <a:gd name="T13" fmla="*/ 159 h 165"/>
                              <a:gd name="T14" fmla="*/ 7 w 152"/>
                              <a:gd name="T15" fmla="*/ 142 h 165"/>
                              <a:gd name="T16" fmla="*/ 0 w 152"/>
                              <a:gd name="T17" fmla="*/ 117 h 165"/>
                              <a:gd name="T18" fmla="*/ 16 w 152"/>
                              <a:gd name="T19" fmla="*/ 81 h 165"/>
                              <a:gd name="T20" fmla="*/ 69 w 152"/>
                              <a:gd name="T21" fmla="*/ 69 h 165"/>
                              <a:gd name="T22" fmla="*/ 106 w 152"/>
                              <a:gd name="T23" fmla="*/ 69 h 165"/>
                              <a:gd name="T24" fmla="*/ 96 w 152"/>
                              <a:gd name="T25" fmla="*/ 45 h 165"/>
                              <a:gd name="T26" fmla="*/ 69 w 152"/>
                              <a:gd name="T27" fmla="*/ 37 h 165"/>
                              <a:gd name="T28" fmla="*/ 43 w 152"/>
                              <a:gd name="T29" fmla="*/ 41 h 165"/>
                              <a:gd name="T30" fmla="*/ 22 w 152"/>
                              <a:gd name="T31" fmla="*/ 52 h 165"/>
                              <a:gd name="T32" fmla="*/ 6 w 152"/>
                              <a:gd name="T33" fmla="*/ 19 h 165"/>
                              <a:gd name="T34" fmla="*/ 37 w 152"/>
                              <a:gd name="T35" fmla="*/ 5 h 165"/>
                              <a:gd name="T36" fmla="*/ 75 w 152"/>
                              <a:gd name="T37" fmla="*/ 0 h 165"/>
                              <a:gd name="T38" fmla="*/ 132 w 152"/>
                              <a:gd name="T39" fmla="*/ 17 h 165"/>
                              <a:gd name="T40" fmla="*/ 93 w 152"/>
                              <a:gd name="T41" fmla="*/ 128 h 165"/>
                              <a:gd name="T42" fmla="*/ 106 w 152"/>
                              <a:gd name="T43" fmla="*/ 112 h 165"/>
                              <a:gd name="T44" fmla="*/ 106 w 152"/>
                              <a:gd name="T45" fmla="*/ 96 h 165"/>
                              <a:gd name="T46" fmla="*/ 74 w 152"/>
                              <a:gd name="T47" fmla="*/ 96 h 165"/>
                              <a:gd name="T48" fmla="*/ 45 w 152"/>
                              <a:gd name="T49" fmla="*/ 115 h 165"/>
                              <a:gd name="T50" fmla="*/ 52 w 152"/>
                              <a:gd name="T51" fmla="*/ 129 h 165"/>
                              <a:gd name="T52" fmla="*/ 71 w 152"/>
                              <a:gd name="T53" fmla="*/ 134 h 165"/>
                              <a:gd name="T54" fmla="*/ 93 w 152"/>
                              <a:gd name="T55" fmla="*/ 128 h 1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52" h="165">
                                <a:moveTo>
                                  <a:pt x="132" y="17"/>
                                </a:moveTo>
                                <a:cubicBezTo>
                                  <a:pt x="146" y="29"/>
                                  <a:pt x="152" y="47"/>
                                  <a:pt x="152" y="71"/>
                                </a:cubicBezTo>
                                <a:cubicBezTo>
                                  <a:pt x="152" y="163"/>
                                  <a:pt x="152" y="163"/>
                                  <a:pt x="152" y="163"/>
                                </a:cubicBezTo>
                                <a:cubicBezTo>
                                  <a:pt x="109" y="163"/>
                                  <a:pt x="109" y="163"/>
                                  <a:pt x="109" y="163"/>
                                </a:cubicBezTo>
                                <a:cubicBezTo>
                                  <a:pt x="109" y="143"/>
                                  <a:pt x="109" y="143"/>
                                  <a:pt x="109" y="143"/>
                                </a:cubicBezTo>
                                <a:cubicBezTo>
                                  <a:pt x="100" y="158"/>
                                  <a:pt x="84" y="165"/>
                                  <a:pt x="60" y="165"/>
                                </a:cubicBezTo>
                                <a:cubicBezTo>
                                  <a:pt x="47" y="165"/>
                                  <a:pt x="37" y="163"/>
                                  <a:pt x="27" y="159"/>
                                </a:cubicBezTo>
                                <a:cubicBezTo>
                                  <a:pt x="18" y="155"/>
                                  <a:pt x="11" y="149"/>
                                  <a:pt x="7" y="142"/>
                                </a:cubicBezTo>
                                <a:cubicBezTo>
                                  <a:pt x="2" y="134"/>
                                  <a:pt x="0" y="126"/>
                                  <a:pt x="0" y="117"/>
                                </a:cubicBezTo>
                                <a:cubicBezTo>
                                  <a:pt x="0" y="102"/>
                                  <a:pt x="5" y="90"/>
                                  <a:pt x="16" y="81"/>
                                </a:cubicBezTo>
                                <a:cubicBezTo>
                                  <a:pt x="28" y="73"/>
                                  <a:pt x="45" y="69"/>
                                  <a:pt x="69" y="69"/>
                                </a:cubicBezTo>
                                <a:cubicBezTo>
                                  <a:pt x="106" y="69"/>
                                  <a:pt x="106" y="69"/>
                                  <a:pt x="106" y="69"/>
                                </a:cubicBezTo>
                                <a:cubicBezTo>
                                  <a:pt x="106" y="58"/>
                                  <a:pt x="103" y="51"/>
                                  <a:pt x="96" y="45"/>
                                </a:cubicBezTo>
                                <a:cubicBezTo>
                                  <a:pt x="90" y="40"/>
                                  <a:pt x="81" y="37"/>
                                  <a:pt x="69" y="37"/>
                                </a:cubicBezTo>
                                <a:cubicBezTo>
                                  <a:pt x="60" y="37"/>
                                  <a:pt x="52" y="38"/>
                                  <a:pt x="43" y="41"/>
                                </a:cubicBezTo>
                                <a:cubicBezTo>
                                  <a:pt x="35" y="44"/>
                                  <a:pt x="28" y="47"/>
                                  <a:pt x="22" y="52"/>
                                </a:cubicBezTo>
                                <a:cubicBezTo>
                                  <a:pt x="6" y="19"/>
                                  <a:pt x="6" y="19"/>
                                  <a:pt x="6" y="19"/>
                                </a:cubicBezTo>
                                <a:cubicBezTo>
                                  <a:pt x="14" y="13"/>
                                  <a:pt x="25" y="8"/>
                                  <a:pt x="37" y="5"/>
                                </a:cubicBezTo>
                                <a:cubicBezTo>
                                  <a:pt x="49" y="1"/>
                                  <a:pt x="62" y="0"/>
                                  <a:pt x="75" y="0"/>
                                </a:cubicBezTo>
                                <a:cubicBezTo>
                                  <a:pt x="100" y="0"/>
                                  <a:pt x="119" y="6"/>
                                  <a:pt x="132" y="17"/>
                                </a:cubicBezTo>
                                <a:close/>
                                <a:moveTo>
                                  <a:pt x="93" y="128"/>
                                </a:moveTo>
                                <a:cubicBezTo>
                                  <a:pt x="99" y="125"/>
                                  <a:pt x="103" y="119"/>
                                  <a:pt x="106" y="112"/>
                                </a:cubicBezTo>
                                <a:cubicBezTo>
                                  <a:pt x="106" y="96"/>
                                  <a:pt x="106" y="96"/>
                                  <a:pt x="106" y="96"/>
                                </a:cubicBezTo>
                                <a:cubicBezTo>
                                  <a:pt x="74" y="96"/>
                                  <a:pt x="74" y="96"/>
                                  <a:pt x="74" y="96"/>
                                </a:cubicBezTo>
                                <a:cubicBezTo>
                                  <a:pt x="55" y="96"/>
                                  <a:pt x="45" y="102"/>
                                  <a:pt x="45" y="115"/>
                                </a:cubicBezTo>
                                <a:cubicBezTo>
                                  <a:pt x="45" y="121"/>
                                  <a:pt x="47" y="125"/>
                                  <a:pt x="52" y="129"/>
                                </a:cubicBezTo>
                                <a:cubicBezTo>
                                  <a:pt x="57" y="132"/>
                                  <a:pt x="63" y="134"/>
                                  <a:pt x="71" y="134"/>
                                </a:cubicBezTo>
                                <a:cubicBezTo>
                                  <a:pt x="79" y="134"/>
                                  <a:pt x="86" y="132"/>
                                  <a:pt x="93" y="128"/>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05" name="Freeform 64"/>
                        <wps:cNvSpPr>
                          <a:spLocks noEditPoints="1"/>
                        </wps:cNvSpPr>
                        <wps:spPr bwMode="auto">
                          <a:xfrm>
                            <a:off x="1283164" y="475506"/>
                            <a:ext cx="26209" cy="107978"/>
                          </a:xfrm>
                          <a:custGeom>
                            <a:avLst/>
                            <a:gdLst>
                              <a:gd name="T0" fmla="*/ 8 w 58"/>
                              <a:gd name="T1" fmla="*/ 44 h 235"/>
                              <a:gd name="T2" fmla="*/ 0 w 58"/>
                              <a:gd name="T3" fmla="*/ 26 h 235"/>
                              <a:gd name="T4" fmla="*/ 8 w 58"/>
                              <a:gd name="T5" fmla="*/ 7 h 235"/>
                              <a:gd name="T6" fmla="*/ 29 w 58"/>
                              <a:gd name="T7" fmla="*/ 0 h 235"/>
                              <a:gd name="T8" fmla="*/ 50 w 58"/>
                              <a:gd name="T9" fmla="*/ 7 h 235"/>
                              <a:gd name="T10" fmla="*/ 58 w 58"/>
                              <a:gd name="T11" fmla="*/ 25 h 235"/>
                              <a:gd name="T12" fmla="*/ 50 w 58"/>
                              <a:gd name="T13" fmla="*/ 44 h 235"/>
                              <a:gd name="T14" fmla="*/ 29 w 58"/>
                              <a:gd name="T15" fmla="*/ 52 h 235"/>
                              <a:gd name="T16" fmla="*/ 8 w 58"/>
                              <a:gd name="T17" fmla="*/ 44 h 235"/>
                              <a:gd name="T18" fmla="*/ 6 w 58"/>
                              <a:gd name="T19" fmla="*/ 74 h 235"/>
                              <a:gd name="T20" fmla="*/ 52 w 58"/>
                              <a:gd name="T21" fmla="*/ 74 h 235"/>
                              <a:gd name="T22" fmla="*/ 52 w 58"/>
                              <a:gd name="T23" fmla="*/ 235 h 235"/>
                              <a:gd name="T24" fmla="*/ 6 w 58"/>
                              <a:gd name="T25" fmla="*/ 235 h 235"/>
                              <a:gd name="T26" fmla="*/ 6 w 58"/>
                              <a:gd name="T27" fmla="*/ 74 h 2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8" h="235">
                                <a:moveTo>
                                  <a:pt x="8" y="44"/>
                                </a:moveTo>
                                <a:cubicBezTo>
                                  <a:pt x="3" y="39"/>
                                  <a:pt x="0" y="33"/>
                                  <a:pt x="0" y="26"/>
                                </a:cubicBezTo>
                                <a:cubicBezTo>
                                  <a:pt x="0" y="18"/>
                                  <a:pt x="3" y="12"/>
                                  <a:pt x="8" y="7"/>
                                </a:cubicBezTo>
                                <a:cubicBezTo>
                                  <a:pt x="13" y="2"/>
                                  <a:pt x="20" y="0"/>
                                  <a:pt x="29" y="0"/>
                                </a:cubicBezTo>
                                <a:cubicBezTo>
                                  <a:pt x="37" y="0"/>
                                  <a:pt x="44" y="2"/>
                                  <a:pt x="50" y="7"/>
                                </a:cubicBezTo>
                                <a:cubicBezTo>
                                  <a:pt x="55" y="12"/>
                                  <a:pt x="58" y="18"/>
                                  <a:pt x="58" y="25"/>
                                </a:cubicBezTo>
                                <a:cubicBezTo>
                                  <a:pt x="58" y="33"/>
                                  <a:pt x="55" y="39"/>
                                  <a:pt x="50" y="44"/>
                                </a:cubicBezTo>
                                <a:cubicBezTo>
                                  <a:pt x="44" y="49"/>
                                  <a:pt x="37" y="52"/>
                                  <a:pt x="29" y="52"/>
                                </a:cubicBezTo>
                                <a:cubicBezTo>
                                  <a:pt x="20" y="52"/>
                                  <a:pt x="13" y="49"/>
                                  <a:pt x="8" y="44"/>
                                </a:cubicBezTo>
                                <a:close/>
                                <a:moveTo>
                                  <a:pt x="6" y="74"/>
                                </a:moveTo>
                                <a:cubicBezTo>
                                  <a:pt x="52" y="74"/>
                                  <a:pt x="52" y="74"/>
                                  <a:pt x="52" y="74"/>
                                </a:cubicBezTo>
                                <a:cubicBezTo>
                                  <a:pt x="52" y="235"/>
                                  <a:pt x="52" y="235"/>
                                  <a:pt x="52" y="235"/>
                                </a:cubicBezTo>
                                <a:cubicBezTo>
                                  <a:pt x="6" y="235"/>
                                  <a:pt x="6" y="235"/>
                                  <a:pt x="6" y="235"/>
                                </a:cubicBezTo>
                                <a:lnTo>
                                  <a:pt x="6"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06" name="Freeform 65"/>
                        <wps:cNvSpPr>
                          <a:spLocks/>
                        </wps:cNvSpPr>
                        <wps:spPr bwMode="auto">
                          <a:xfrm>
                            <a:off x="1325097" y="493327"/>
                            <a:ext cx="55562" cy="91205"/>
                          </a:xfrm>
                          <a:custGeom>
                            <a:avLst/>
                            <a:gdLst>
                              <a:gd name="T0" fmla="*/ 123 w 123"/>
                              <a:gd name="T1" fmla="*/ 188 h 198"/>
                              <a:gd name="T2" fmla="*/ 106 w 123"/>
                              <a:gd name="T3" fmla="*/ 196 h 198"/>
                              <a:gd name="T4" fmla="*/ 85 w 123"/>
                              <a:gd name="T5" fmla="*/ 198 h 198"/>
                              <a:gd name="T6" fmla="*/ 41 w 123"/>
                              <a:gd name="T7" fmla="*/ 184 h 198"/>
                              <a:gd name="T8" fmla="*/ 25 w 123"/>
                              <a:gd name="T9" fmla="*/ 141 h 198"/>
                              <a:gd name="T10" fmla="*/ 25 w 123"/>
                              <a:gd name="T11" fmla="*/ 75 h 198"/>
                              <a:gd name="T12" fmla="*/ 0 w 123"/>
                              <a:gd name="T13" fmla="*/ 75 h 198"/>
                              <a:gd name="T14" fmla="*/ 0 w 123"/>
                              <a:gd name="T15" fmla="*/ 39 h 198"/>
                              <a:gd name="T16" fmla="*/ 25 w 123"/>
                              <a:gd name="T17" fmla="*/ 39 h 198"/>
                              <a:gd name="T18" fmla="*/ 25 w 123"/>
                              <a:gd name="T19" fmla="*/ 0 h 198"/>
                              <a:gd name="T20" fmla="*/ 72 w 123"/>
                              <a:gd name="T21" fmla="*/ 0 h 198"/>
                              <a:gd name="T22" fmla="*/ 72 w 123"/>
                              <a:gd name="T23" fmla="*/ 39 h 198"/>
                              <a:gd name="T24" fmla="*/ 112 w 123"/>
                              <a:gd name="T25" fmla="*/ 39 h 198"/>
                              <a:gd name="T26" fmla="*/ 112 w 123"/>
                              <a:gd name="T27" fmla="*/ 75 h 198"/>
                              <a:gd name="T28" fmla="*/ 72 w 123"/>
                              <a:gd name="T29" fmla="*/ 75 h 198"/>
                              <a:gd name="T30" fmla="*/ 72 w 123"/>
                              <a:gd name="T31" fmla="*/ 140 h 198"/>
                              <a:gd name="T32" fmla="*/ 77 w 123"/>
                              <a:gd name="T33" fmla="*/ 156 h 198"/>
                              <a:gd name="T34" fmla="*/ 92 w 123"/>
                              <a:gd name="T35" fmla="*/ 161 h 198"/>
                              <a:gd name="T36" fmla="*/ 111 w 123"/>
                              <a:gd name="T37" fmla="*/ 155 h 198"/>
                              <a:gd name="T38" fmla="*/ 123 w 123"/>
                              <a:gd name="T39" fmla="*/ 188 h 1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23" h="198">
                                <a:moveTo>
                                  <a:pt x="123" y="188"/>
                                </a:moveTo>
                                <a:cubicBezTo>
                                  <a:pt x="119" y="192"/>
                                  <a:pt x="113" y="194"/>
                                  <a:pt x="106" y="196"/>
                                </a:cubicBezTo>
                                <a:cubicBezTo>
                                  <a:pt x="100" y="198"/>
                                  <a:pt x="93" y="198"/>
                                  <a:pt x="85" y="198"/>
                                </a:cubicBezTo>
                                <a:cubicBezTo>
                                  <a:pt x="66" y="198"/>
                                  <a:pt x="51" y="194"/>
                                  <a:pt x="41" y="184"/>
                                </a:cubicBezTo>
                                <a:cubicBezTo>
                                  <a:pt x="30" y="174"/>
                                  <a:pt x="25" y="160"/>
                                  <a:pt x="25" y="141"/>
                                </a:cubicBezTo>
                                <a:cubicBezTo>
                                  <a:pt x="25" y="75"/>
                                  <a:pt x="25" y="75"/>
                                  <a:pt x="25" y="75"/>
                                </a:cubicBezTo>
                                <a:cubicBezTo>
                                  <a:pt x="0" y="75"/>
                                  <a:pt x="0" y="75"/>
                                  <a:pt x="0" y="75"/>
                                </a:cubicBezTo>
                                <a:cubicBezTo>
                                  <a:pt x="0" y="39"/>
                                  <a:pt x="0" y="39"/>
                                  <a:pt x="0" y="39"/>
                                </a:cubicBezTo>
                                <a:cubicBezTo>
                                  <a:pt x="25" y="39"/>
                                  <a:pt x="25" y="39"/>
                                  <a:pt x="25" y="39"/>
                                </a:cubicBezTo>
                                <a:cubicBezTo>
                                  <a:pt x="25" y="0"/>
                                  <a:pt x="25" y="0"/>
                                  <a:pt x="25" y="0"/>
                                </a:cubicBezTo>
                                <a:cubicBezTo>
                                  <a:pt x="72" y="0"/>
                                  <a:pt x="72" y="0"/>
                                  <a:pt x="72" y="0"/>
                                </a:cubicBezTo>
                                <a:cubicBezTo>
                                  <a:pt x="72" y="39"/>
                                  <a:pt x="72" y="39"/>
                                  <a:pt x="72" y="39"/>
                                </a:cubicBezTo>
                                <a:cubicBezTo>
                                  <a:pt x="112" y="39"/>
                                  <a:pt x="112" y="39"/>
                                  <a:pt x="112" y="39"/>
                                </a:cubicBezTo>
                                <a:cubicBezTo>
                                  <a:pt x="112" y="75"/>
                                  <a:pt x="112" y="75"/>
                                  <a:pt x="112" y="75"/>
                                </a:cubicBezTo>
                                <a:cubicBezTo>
                                  <a:pt x="72" y="75"/>
                                  <a:pt x="72" y="75"/>
                                  <a:pt x="72" y="75"/>
                                </a:cubicBezTo>
                                <a:cubicBezTo>
                                  <a:pt x="72" y="140"/>
                                  <a:pt x="72" y="140"/>
                                  <a:pt x="72" y="140"/>
                                </a:cubicBezTo>
                                <a:cubicBezTo>
                                  <a:pt x="72" y="147"/>
                                  <a:pt x="74" y="152"/>
                                  <a:pt x="77" y="156"/>
                                </a:cubicBezTo>
                                <a:cubicBezTo>
                                  <a:pt x="81" y="159"/>
                                  <a:pt x="86" y="161"/>
                                  <a:pt x="92" y="161"/>
                                </a:cubicBezTo>
                                <a:cubicBezTo>
                                  <a:pt x="99" y="161"/>
                                  <a:pt x="106" y="159"/>
                                  <a:pt x="111" y="155"/>
                                </a:cubicBezTo>
                                <a:lnTo>
                                  <a:pt x="123" y="18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407" name="Freeform 66"/>
                        <wps:cNvSpPr>
                          <a:spLocks noEditPoints="1"/>
                        </wps:cNvSpPr>
                        <wps:spPr bwMode="auto">
                          <a:xfrm>
                            <a:off x="1394287" y="509052"/>
                            <a:ext cx="77577" cy="75480"/>
                          </a:xfrm>
                          <a:custGeom>
                            <a:avLst/>
                            <a:gdLst>
                              <a:gd name="T0" fmla="*/ 168 w 169"/>
                              <a:gd name="T1" fmla="*/ 96 h 165"/>
                              <a:gd name="T2" fmla="*/ 47 w 169"/>
                              <a:gd name="T3" fmla="*/ 96 h 165"/>
                              <a:gd name="T4" fmla="*/ 62 w 169"/>
                              <a:gd name="T5" fmla="*/ 119 h 165"/>
                              <a:gd name="T6" fmla="*/ 93 w 169"/>
                              <a:gd name="T7" fmla="*/ 128 h 165"/>
                              <a:gd name="T8" fmla="*/ 115 w 169"/>
                              <a:gd name="T9" fmla="*/ 124 h 165"/>
                              <a:gd name="T10" fmla="*/ 133 w 169"/>
                              <a:gd name="T11" fmla="*/ 112 h 165"/>
                              <a:gd name="T12" fmla="*/ 158 w 169"/>
                              <a:gd name="T13" fmla="*/ 139 h 165"/>
                              <a:gd name="T14" fmla="*/ 91 w 169"/>
                              <a:gd name="T15" fmla="*/ 165 h 165"/>
                              <a:gd name="T16" fmla="*/ 43 w 169"/>
                              <a:gd name="T17" fmla="*/ 155 h 165"/>
                              <a:gd name="T18" fmla="*/ 11 w 169"/>
                              <a:gd name="T19" fmla="*/ 125 h 165"/>
                              <a:gd name="T20" fmla="*/ 0 w 169"/>
                              <a:gd name="T21" fmla="*/ 83 h 165"/>
                              <a:gd name="T22" fmla="*/ 11 w 169"/>
                              <a:gd name="T23" fmla="*/ 40 h 165"/>
                              <a:gd name="T24" fmla="*/ 42 w 169"/>
                              <a:gd name="T25" fmla="*/ 10 h 165"/>
                              <a:gd name="T26" fmla="*/ 85 w 169"/>
                              <a:gd name="T27" fmla="*/ 0 h 165"/>
                              <a:gd name="T28" fmla="*/ 128 w 169"/>
                              <a:gd name="T29" fmla="*/ 10 h 165"/>
                              <a:gd name="T30" fmla="*/ 158 w 169"/>
                              <a:gd name="T31" fmla="*/ 39 h 165"/>
                              <a:gd name="T32" fmla="*/ 169 w 169"/>
                              <a:gd name="T33" fmla="*/ 83 h 165"/>
                              <a:gd name="T34" fmla="*/ 168 w 169"/>
                              <a:gd name="T35" fmla="*/ 96 h 165"/>
                              <a:gd name="T36" fmla="*/ 59 w 169"/>
                              <a:gd name="T37" fmla="*/ 44 h 165"/>
                              <a:gd name="T38" fmla="*/ 46 w 169"/>
                              <a:gd name="T39" fmla="*/ 69 h 165"/>
                              <a:gd name="T40" fmla="*/ 125 w 169"/>
                              <a:gd name="T41" fmla="*/ 69 h 165"/>
                              <a:gd name="T42" fmla="*/ 112 w 169"/>
                              <a:gd name="T43" fmla="*/ 44 h 165"/>
                              <a:gd name="T44" fmla="*/ 86 w 169"/>
                              <a:gd name="T45" fmla="*/ 35 h 165"/>
                              <a:gd name="T46" fmla="*/ 59 w 169"/>
                              <a:gd name="T47" fmla="*/ 44 h 1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169" h="165">
                                <a:moveTo>
                                  <a:pt x="168" y="96"/>
                                </a:moveTo>
                                <a:cubicBezTo>
                                  <a:pt x="47" y="96"/>
                                  <a:pt x="47" y="96"/>
                                  <a:pt x="47" y="96"/>
                                </a:cubicBezTo>
                                <a:cubicBezTo>
                                  <a:pt x="49" y="106"/>
                                  <a:pt x="54" y="114"/>
                                  <a:pt x="62" y="119"/>
                                </a:cubicBezTo>
                                <a:cubicBezTo>
                                  <a:pt x="70" y="125"/>
                                  <a:pt x="80" y="128"/>
                                  <a:pt x="93" y="128"/>
                                </a:cubicBezTo>
                                <a:cubicBezTo>
                                  <a:pt x="101" y="128"/>
                                  <a:pt x="108" y="127"/>
                                  <a:pt x="115" y="124"/>
                                </a:cubicBezTo>
                                <a:cubicBezTo>
                                  <a:pt x="121" y="122"/>
                                  <a:pt x="127" y="118"/>
                                  <a:pt x="133" y="112"/>
                                </a:cubicBezTo>
                                <a:cubicBezTo>
                                  <a:pt x="158" y="139"/>
                                  <a:pt x="158" y="139"/>
                                  <a:pt x="158" y="139"/>
                                </a:cubicBezTo>
                                <a:cubicBezTo>
                                  <a:pt x="143" y="157"/>
                                  <a:pt x="121" y="165"/>
                                  <a:pt x="91" y="165"/>
                                </a:cubicBezTo>
                                <a:cubicBezTo>
                                  <a:pt x="73" y="165"/>
                                  <a:pt x="57" y="162"/>
                                  <a:pt x="43" y="155"/>
                                </a:cubicBezTo>
                                <a:cubicBezTo>
                                  <a:pt x="29" y="148"/>
                                  <a:pt x="19" y="138"/>
                                  <a:pt x="11" y="125"/>
                                </a:cubicBezTo>
                                <a:cubicBezTo>
                                  <a:pt x="3" y="113"/>
                                  <a:pt x="0" y="99"/>
                                  <a:pt x="0" y="83"/>
                                </a:cubicBezTo>
                                <a:cubicBezTo>
                                  <a:pt x="0" y="67"/>
                                  <a:pt x="3" y="53"/>
                                  <a:pt x="11" y="40"/>
                                </a:cubicBezTo>
                                <a:cubicBezTo>
                                  <a:pt x="18" y="27"/>
                                  <a:pt x="29" y="17"/>
                                  <a:pt x="42" y="10"/>
                                </a:cubicBezTo>
                                <a:cubicBezTo>
                                  <a:pt x="55" y="3"/>
                                  <a:pt x="69" y="0"/>
                                  <a:pt x="85" y="0"/>
                                </a:cubicBezTo>
                                <a:cubicBezTo>
                                  <a:pt x="101" y="0"/>
                                  <a:pt x="115" y="3"/>
                                  <a:pt x="128" y="10"/>
                                </a:cubicBezTo>
                                <a:cubicBezTo>
                                  <a:pt x="141" y="17"/>
                                  <a:pt x="151" y="26"/>
                                  <a:pt x="158" y="39"/>
                                </a:cubicBezTo>
                                <a:cubicBezTo>
                                  <a:pt x="166" y="52"/>
                                  <a:pt x="169" y="66"/>
                                  <a:pt x="169" y="83"/>
                                </a:cubicBezTo>
                                <a:cubicBezTo>
                                  <a:pt x="169" y="84"/>
                                  <a:pt x="169" y="88"/>
                                  <a:pt x="168" y="96"/>
                                </a:cubicBezTo>
                                <a:close/>
                                <a:moveTo>
                                  <a:pt x="59" y="44"/>
                                </a:moveTo>
                                <a:cubicBezTo>
                                  <a:pt x="52" y="50"/>
                                  <a:pt x="48" y="58"/>
                                  <a:pt x="46" y="69"/>
                                </a:cubicBezTo>
                                <a:cubicBezTo>
                                  <a:pt x="125" y="69"/>
                                  <a:pt x="125" y="69"/>
                                  <a:pt x="125" y="69"/>
                                </a:cubicBezTo>
                                <a:cubicBezTo>
                                  <a:pt x="124" y="58"/>
                                  <a:pt x="119" y="50"/>
                                  <a:pt x="112" y="44"/>
                                </a:cubicBezTo>
                                <a:cubicBezTo>
                                  <a:pt x="105" y="38"/>
                                  <a:pt x="96" y="35"/>
                                  <a:pt x="86" y="35"/>
                                </a:cubicBezTo>
                                <a:cubicBezTo>
                                  <a:pt x="75" y="35"/>
                                  <a:pt x="66" y="38"/>
                                  <a:pt x="59" y="44"/>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wgp>
                </a:graphicData>
              </a:graphic>
              <wp14:sizeRelH relativeFrom="margin">
                <wp14:pctWidth>0</wp14:pctWidth>
              </wp14:sizeRelH>
              <wp14:sizeRelV relativeFrom="margin">
                <wp14:pctHeight>0</wp14:pctHeight>
              </wp14:sizeRelV>
            </wp:anchor>
          </w:drawing>
        </mc:Choice>
        <mc:Fallback>
          <w:pict>
            <v:group w14:anchorId="3D29C001" id="Groupe 95" o:spid="_x0000_s1026" style="position:absolute;margin-left:0;margin-top:19.85pt;width:498.25pt;height:44.6pt;z-index:251655168;mso-position-horizontal:center;mso-position-horizontal-relative:margin;mso-position-vertical-relative:top-margin-area;mso-width-relative:margin;mso-height-relative:margin" coordsize="61316,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">
              <v:group id="Groupe 2268" o:spid="_x0000_s1027" style="position:absolute;left:48167;width:13149;height:4634" coordorigin="48167" coordsize="24526,8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">
                <o:lock v:ext="edit" aspectratio="t"/>
                <v:shape id="Freeform 5" o:spid="_x0000_s1028" style="position:absolute;left:66287;width:6407;height:4312;visibility:visible;mso-wrap-style:square;v-text-anchor:top" coordsize="1877,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" path="m1862,460v-41,-63,-41,-63,-41,-63c1839,331,1829,266,1791,205v-35,-57,-90,-92,-160,-102c1575,27,1575,27,1575,27,1559,5,1528,,1506,16v-22,16,-27,47,-11,69c1511,106,1511,106,1511,106v-56,11,-112,32,-163,60c929,59,268,145,70,291,26,324,3,360,2,400,,446,22,489,67,528,204,645,575,718,923,733v-73,184,-103,355,-76,446c861,1229,891,1249,913,1256v12,4,26,6,40,6c1113,1262,1409,1022,1629,626v,-1,1,-2,1,-3c1687,589,1736,546,1770,500v9,13,9,13,9,13c1788,528,1804,536,1820,536v10,,19,-3,27,-8c1870,513,1877,482,1862,460e" fillcolor="black [3213]" stroked="f">
                  <v:path arrowok="t" o:connecttype="custom" o:connectlocs="635584,157192;621589,135664;611348,70053;556733,35197;537618,9226;514065,5468;510310,29046;515772,36223;460133,56726;23894,99441;683,136689;22870,180429;315061,250482;289119,402890;311648,429203;325301,431253;556051,213918;556392,212893;604180,170861;607252,175303;621247,183163;630464,180429;635584,157192" o:connectangles="0,0,0,0,0,0,0,0,0,0,0,0,0,0,0,0,0,0,0,0,0,0,0"/>
                </v:shape>
                <v:shape id="Freeform 6" o:spid="_x0000_s1029" style="position:absolute;left:69467;top:2372;width:1817;height:1595;visibility:visible;mso-wrap-style:square;v-text-anchor:top" coordsize="532,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" path="m19,463v4,4,69,-3,177,-87c285,308,396,209,532,v,,-93,24,-199,33c195,44,104,41,104,41,6,275,,441,19,463e" stroked="f">
                  <v:path arrowok="t" o:connecttype="custom" o:connectlocs="6488,158167;66928,128446;181662,0;113709,11273;35513,14006;6488,158167" o:connectangles="0,0,0,0,0,0"/>
                </v:shape>
                <v:shape id="Freeform 7" o:spid="_x0000_s1030" style="position:absolute;left:66647;top:761;width:3829;height:1390;visibility:visible;mso-wrap-style:square;v-text-anchor:top" coordsize="112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" path="m806,c482,,155,68,35,147,9,165,1,178,1,181v-1,15,15,32,28,43c145,323,517,395,862,406,916,294,984,181,1065,82v16,-19,35,-38,56,-57c1022,8,914,,806,e" stroked="f">
                  <v:path arrowok="t" o:connecttype="custom" o:connectlocs="275290,0;11954,50309;342,61945;9905,76661;294417,138948;363752,28063;382879,8556;275290,0" o:connectangles="0,0,0,0,0,0,0,0"/>
                </v:shape>
                <v:shape id="Freeform 8" o:spid="_x0000_s1031" style="position:absolute;left:70466;top:946;width:1106;height:1127;visibility:visible;mso-wrap-style:square;v-text-anchor:top" coordsize="32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" path="m132,c73,51,73,51,73,51,56,66,41,81,28,97,19,108,9,120,,133v40,31,110,97,143,197c143,330,199,320,235,308v45,-15,84,-34,84,-34c324,237,314,174,265,100,231,50,167,15,132,e" fillcolor="#ffc000" stroked="f">
                  <v:path arrowok="t" o:connecttype="custom" o:connectlocs="45077,0;24929,17418;9562,33128;0,45422;48834,112702;80251,105189;108937,93577;90496,34152;45077,0" o:connectangles="0,0,0,0,0,0,0,0,0"/>
                </v:shape>
                <v:shape id="Freeform 9" o:spid="_x0000_s1032" style="position:absolute;left:48270;top:7369;width:1359;height:1261;visibility:visible;mso-wrap-style:square;v-text-anchor:top" coordsize="264,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" path="m193,188r-122,l47,245,,245,110,r44,l264,245r-47,l193,188xm178,152l132,46,86,152r92,xe" fillcolor="black [3213]" stroked="f">
                  <v:path arrowok="t" o:connecttype="custom" o:connectlocs="99322,96749;36538,96749;24187,126083;0,126083;56608,0;79252,0;135860,126083;111673,126083;99322,96749;91603,78223;67930,23673;44257,78223;91603,78223" o:connectangles="0,0,0,0,0,0,0,0,0,0,0,0,0"/>
                  <o:lock v:ext="edit" verticies="t"/>
                </v:shape>
                <v:shape id="Freeform 10" o:spid="_x0000_s1033" style="position:absolute;left:50406;top:7348;width:1003;height:1297;visibility:visible;mso-wrap-style:square;v-text-anchor:top" coordsize="29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" path="m63,367c36,359,15,349,,335,24,282,24,282,24,282v15,12,33,22,55,29c101,319,123,322,145,322v27,,48,-4,61,-13c220,301,227,289,227,275v,-11,-4,-20,-12,-26c208,242,198,236,187,233v-12,-4,-28,-9,-48,-14c111,213,88,206,71,199,54,193,39,182,26,168,14,154,8,135,8,110,8,90,13,72,24,55,35,38,52,25,74,15,97,5,124,,156,v23,,45,3,66,9c244,15,263,23,279,33,257,86,257,86,257,86,241,77,224,70,207,65,189,60,172,57,156,57v-27,,-47,5,-61,14c82,80,76,92,76,107v,11,3,19,11,26c94,140,104,145,116,149v11,4,27,8,47,13c190,168,213,175,230,182v18,7,33,17,45,31c288,227,294,246,294,270v,20,-5,39,-16,55c266,342,250,355,227,365v-22,10,-50,14,-82,14c117,379,89,375,63,367e" fillcolor="black [3213]" stroked="f">
                  <v:path arrowok="t" o:connecttype="custom" o:connectlocs="21504,125579;0,114629;8192,96494;26965,106417;49493,110181;70314,105733;77482,94099;73386,85202;63829,79727;47445,74937;24234,68093;8875,57486;2731,37639;8192,18820;25258,5133;53247,0;75775,3080;95231,11292;87722,29427;70655,22241;53247,19504;32426,24295;25941,36613;29696,45510;39594,50984;55637,55433;78506,62276;93866,72884;100351,92388;94890,111207;77482,124895;49493,129685;21504,125579" o:connectangles="0,0,0,0,0,0,0,0,0,0,0,0,0,0,0,0,0,0,0,0,0,0,0,0,0,0,0,0,0,0,0,0,0"/>
                </v:shape>
                <v:shape id="Freeform 11" o:spid="_x0000_s1034" style="position:absolute;left:52253;top:7348;width:1004;height:1297;visibility:visible;mso-wrap-style:square;v-text-anchor:top" coordsize="29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" path="m63,367c37,359,16,349,,335,24,282,24,282,24,282v15,12,34,22,56,29c102,319,124,322,146,322v27,,47,-4,61,-13c220,301,227,289,227,275v,-11,-4,-20,-11,-26c208,242,199,236,187,233v-11,-4,-27,-9,-47,-14c112,213,89,206,72,199,54,193,39,182,27,168,14,154,8,135,8,110,8,90,14,72,25,55,36,38,52,25,75,15,97,5,124,,157,v22,,44,3,66,9c245,15,263,23,279,33,258,86,258,86,258,86,242,77,225,70,207,65,190,60,173,57,156,57v-27,,-47,5,-60,14c83,80,76,92,76,107v,11,4,19,11,26c95,140,105,145,116,149v12,4,27,8,48,13c191,168,213,175,231,182v17,7,32,17,45,31c288,227,294,246,294,270v,20,-5,39,-16,55c267,342,250,355,228,365v-23,10,-50,14,-82,14c117,379,90,375,63,367e" fillcolor="black [3213]" stroked="f">
                  <v:path arrowok="t" o:connecttype="custom" o:connectlocs="21504,125579;0,114629;8192,96494;27306,106417;49834,110181;70655,105733;77482,94099;73727,85202;63829,79727;47786,74937;24576,68093;9216,57486;2731,37639;8533,18820;25600,5133;53589,0;76117,3080;95231,11292;88063,29427;70655,22241;53247,19504;32768,24295;25941,36613;29696,45510;39594,50984;55978,55433;78847,62276;94207,72884;100351,92388;94890,111207;77823,124895;49834,129685;21504,125579" o:connectangles="0,0,0,0,0,0,0,0,0,0,0,0,0,0,0,0,0,0,0,0,0,0,0,0,0,0,0,0,0,0,0,0,0"/>
                </v:shape>
                <v:shape id="Freeform 12" o:spid="_x0000_s1035" style="position:absolute;left:54199;top:7369;width:1096;height:1276;visibility:visible;mso-wrap-style:square;v-text-anchor:top" coordsize="322,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" path="m42,330c14,302,,261,,208,,,,,,,68,,68,,68,v,205,,205,,205c68,277,99,313,162,313v62,,93,-36,93,-108c255,,255,,255,v67,,67,,67,c322,208,322,208,322,208v,53,-14,94,-42,122c252,359,212,373,161,373,110,373,71,359,42,330e" fillcolor="black [3213]" stroked="f">
                  <v:path arrowok="t" o:connecttype="custom" o:connectlocs="14298,112913;0,71169;0,0;23149,0;23149,70143;55148,107096;86807,70143;86807,0;109615,0;109615,71169;95317,112913;54808,127626;14298,112913" o:connectangles="0,0,0,0,0,0,0,0,0,0,0,0,0"/>
                </v:shape>
                <v:shape id="Freeform 13" o:spid="_x0000_s1036" style="position:absolute;left:56345;top:7369;width:1070;height:1261;visibility:visible;mso-wrap-style:square;v-text-anchor:top" coordsize="314,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" path="m241,368c165,260,165,260,165,260v-3,1,-7,1,-14,1c68,261,68,261,68,261v,107,,107,,107c,368,,368,,368,,,,,,,151,,151,,151,v32,,60,5,84,15c258,26,276,41,289,61v13,19,19,43,19,70c308,158,301,182,288,202v-14,20,-33,35,-58,45c314,368,314,368,314,368r-73,xm216,77c201,64,178,58,148,58v-80,,-80,,-80,c68,204,68,204,68,204v80,,80,,80,c178,204,201,198,216,185v15,-13,23,-31,23,-54c239,107,231,89,216,77e" fillcolor="black [3213]" stroked="f">
                  <v:path arrowok="t" o:connecttype="custom" o:connectlocs="82156,126083;56248,89080;51475,89423;23181,89423;23181,126083;0,126083;0,0;51475,0;80110,5139;98519,20900;104996,44883;98178,69209;78406,84626;107041,126083;82156,126083;73633,26381;50452,19872;23181,19872;23181,69894;50452,69894;73633,63384;81474,44883;73633,26381" o:connectangles="0,0,0,0,0,0,0,0,0,0,0,0,0,0,0,0,0,0,0,0,0,0,0"/>
                  <o:lock v:ext="edit" verticies="t"/>
                </v:shape>
                <v:shape id="Freeform 14" o:spid="_x0000_s1037" style="position:absolute;left:58197;top:7369;width:1364;height:1261;visibility:visible;mso-wrap-style:square;v-text-anchor:top" coordsize="26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" path="m193,188r-123,l47,245,,245,110,r45,l265,245r-48,l193,188xm178,152l132,46,86,152r92,xe" fillcolor="black [3213]" stroked="f">
                  <v:path arrowok="t" o:connecttype="custom" o:connectlocs="99322,96749;36024,96749;24187,126083;0,126083;56608,0;79767,0;136375,126083;111673,126083;99322,96749;91603,78223;67930,23673;44258,78223;91603,78223" o:connectangles="0,0,0,0,0,0,0,0,0,0,0,0,0"/>
                  <o:lock v:ext="edit" verticies="t"/>
                </v:shape>
                <v:shape id="Freeform 15" o:spid="_x0000_s1038" style="position:absolute;left:60436;top:7369;width:1122;height:1261;visibility:visible;mso-wrap-style:square;v-text-anchor:top" coordsize="218,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" path="m218,r,245l180,245,45,79r,166l,245,,,38,,173,166,173,r45,xe" fillcolor="black [3213]" stroked="f">
                  <v:path arrowok="t" o:connecttype="custom" o:connectlocs="112188,0;112188,126083;92632,126083;23158,40655;23158,126083;0,126083;0,0;19556,0;89030,85428;89030,0;112188,0" o:connectangles="0,0,0,0,0,0,0,0,0,0,0"/>
                </v:shape>
                <v:shape id="Freeform 16" o:spid="_x0000_s1039" style="position:absolute;left:62525;top:7348;width:1168;height:1297;visibility:visible;mso-wrap-style:square;v-text-anchor:top" coordsize="343,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" path="m96,355c66,339,42,316,25,287,8,258,,226,,190,,154,8,121,26,92,43,64,66,41,96,25,126,9,160,,197,v30,,58,6,83,16c305,27,326,42,343,62v-44,42,-44,42,-44,42c272,75,239,60,200,60v-25,,-47,6,-68,17c112,88,97,103,86,123,74,143,69,165,69,190v,25,5,47,17,67c97,276,112,292,132,303v21,11,43,16,68,16c239,319,272,305,299,276v44,42,44,42,44,42c326,338,305,353,280,364v-26,10,-53,15,-83,15c159,379,126,371,96,355e" fillcolor="black [3213]" stroked="f">
                  <v:path arrowok="t" o:connecttype="custom" o:connectlocs="32696,121473;8515,98205;0,65014;8855,31480;32696,8554;67094,0;95362,5475;116819,21215;101833,35586;68116,20531;44957,26348;29290,42088;23500,65014;29290,87939;44957,103680;68116,109154;101833,94441;116819,108812;95362,124552;67094,129685;32696,121473" o:connectangles="0,0,0,0,0,0,0,0,0,0,0,0,0,0,0,0,0,0,0,0,0"/>
                </v:shape>
                <v:shape id="Freeform 17" o:spid="_x0000_s1040" style="position:absolute;left:64635;top:7369;width:947;height:1261;visibility:visible;mso-wrap-style:square;v-text-anchor:top" coordsize="184,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" path="m184,207r,38l,245,,,179,r,38l46,38r,64l164,102r,37l46,139r,68l184,207xe" fillcolor="black [3213]" stroked="f">
                  <v:path arrowok="t" o:connecttype="custom" o:connectlocs="94690,106527;94690,126083;0,126083;0,0;92117,0;92117,19556;23672,19556;23672,52492;84398,52492;84398,71533;23672,71533;23672,106527;94690,106527" o:connectangles="0,0,0,0,0,0,0,0,0,0,0,0,0"/>
                </v:shape>
                <v:shape id="Freeform 18" o:spid="_x0000_s1041" style="position:absolute;left:66452;top:7348;width:1003;height:1297;visibility:visible;mso-wrap-style:square;v-text-anchor:top" coordsize="294,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" path="m63,367c37,359,16,348,,335,24,282,24,282,24,282v15,12,34,22,55,29c101,319,123,322,145,322v28,,48,-4,62,-13c220,301,227,289,227,275v,-11,-4,-20,-11,-26c208,242,199,236,187,233v-11,-4,-27,-9,-47,-14c112,213,89,206,72,199,54,193,39,182,27,168,14,154,8,135,8,110,8,90,14,72,25,55,36,38,52,25,75,15,97,5,124,,157,v22,,44,3,66,9c245,15,263,23,279,33,258,86,258,86,258,86,241,77,225,70,207,65,190,60,173,57,156,57v-27,,-47,5,-60,14c83,80,76,92,76,107v,11,4,19,11,26c95,140,104,145,116,149v12,4,27,8,47,13c191,168,213,175,231,182v17,7,32,17,45,31c288,227,294,246,294,270v,20,-5,39,-16,55c267,342,250,355,228,365v-23,9,-50,14,-83,14c117,379,90,375,63,367e" fillcolor="black [3213]" stroked="f">
                  <v:path arrowok="t" o:connecttype="custom" o:connectlocs="21504,125579;0,114629;8192,96494;26965,106417;49493,110181;70655,105733;77482,94099;73727,85202;63829,79727;47786,74937;24576,68093;9216,57486;2731,37639;8533,18820;25600,5133;53589,0;76117,3080;95231,11292;88063,29427;70655,22241;53247,19504;32768,24295;25941,36613;29696,45510;39594,50984;55637,55433;78847,62276;94207,72884;100351,92388;94890,111207;77823,124895;49493,129685;21504,125579" o:connectangles="0,0,0,0,0,0,0,0,0,0,0,0,0,0,0,0,0,0,0,0,0,0,0,0,0,0,0,0,0,0,0,0,0"/>
                </v:shape>
                <v:shape id="Freeform 19" o:spid="_x0000_s1042" style="position:absolute;left:48167;top:3221;width:3608;height:3283;visibility:visible;mso-wrap-style:square;v-text-anchor:top" coordsize="1057,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" path="m781,961v274,,274,,274,c1055,961,1057,585,1054,460,1049,204,833,,574,,481,,481,,481,,215,,,215,,481,,746,215,961,480,961v121,,228,-53,301,-138l781,961xm527,735c387,735,273,621,273,480,273,340,387,226,527,226v141,,255,114,255,254c782,621,668,735,527,735e" fillcolor="black [3213]" stroked="f">
                  <v:path arrowok="t" o:connecttype="custom" o:connectlocs="266552,328329;360067,328329;359726,157161;195904,0;164163,0;0,164335;163822,328329;266552,281181;266552,328329;179863,251115;93174,163994;179863,77214;266894,163994;179863,251115" o:connectangles="0,0,0,0,0,0,0,0,0,0,0,0,0,0"/>
                  <o:lock v:ext="edit" verticies="t"/>
                </v:shape>
                <v:shape id="Freeform 20" o:spid="_x0000_s1043" style="position:absolute;left:52145;top:2207;width:3608;height:4297;visibility:visible;mso-wrap-style:square;v-text-anchor:top" coordsize="1057,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" path="m276,c2,,2,,2,,2,,,673,3,798v6,256,222,460,480,460c576,1258,576,1258,576,1258v266,,481,-215,481,-480c1057,512,842,297,577,297v-121,,-228,53,-301,138l276,xm530,523v140,,254,114,254,255c784,918,670,1032,530,1032,389,1032,275,918,275,778,275,637,389,523,530,523e" fillcolor="black [3213]" stroked="f">
                  <v:path arrowok="t" o:connecttype="custom" o:connectlocs="94198,0;683,0;1024,272582;164846,429709;196587,429709;360750,265750;196928,101450;94198,148588;94198,0;180887,178647;267576,265750;180887,352512;93856,265750;180887,178647" o:connectangles="0,0,0,0,0,0,0,0,0,0,0,0,0,0"/>
                  <o:lock v:ext="edit" verticies="t"/>
                </v:shape>
                <v:shape id="Freeform 21" o:spid="_x0000_s1044" style="position:absolute;left:56118;top:3180;width:3407;height:3268;visibility:visible;mso-wrap-style:square;v-text-anchor:top" coordsize="99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" path="m298,545v696,,696,,696,c998,376,956,243,871,145,785,48,660,,495,,347,,228,43,137,131,46,219,,331,,467,,619,49,738,146,825v92,82,217,132,391,132c687,957,687,957,687,957,825,753,825,753,825,753v-245,,-245,,-245,c403,753,298,628,298,545m364,238v36,-32,83,-49,139,-49c559,189,604,205,640,236v35,31,57,74,64,129c291,365,291,365,291,365v11,-52,36,-95,73,-127e" fillcolor="black [3213]" stroked="f">
                  <v:path arrowok="t" o:connecttype="custom" o:connectlocs="101726,186100;339315,186100;297327,49513;168975,0;46767,44732;0,159466;49839,281711;183312,326785;234516,326785;281624,257126;197990,257126;101726,186100;124256,81269;171705,64537;218472,80586;240319,124636;99337,124636;124256,81269" o:connectangles="0,0,0,0,0,0,0,0,0,0,0,0,0,0,0,0,0,0"/>
                  <o:lock v:ext="edit" verticies="t"/>
                </v:shape>
                <v:rect id="Rectangle 2286" o:spid="_x0000_s1045" style="position:absolute;left:59947;top:3303;width:937;height:3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" fillcolor="black [3213]" stroked="f"/>
                <v:oval id="Oval 23" o:spid="_x0000_s1046" style="position:absolute;left:59926;top:2166;width:978;height: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" fillcolor="black [3213]" stroked="f"/>
                <v:rect id="Rectangle 2288" o:spid="_x0000_s1047" style="position:absolute;left:61614;top:2207;width:937;height:4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" fillcolor="black [3213]" stroked="f"/>
                <v:rect id="Rectangle 2289" o:spid="_x0000_s1048" style="position:absolute;left:63282;top:2207;width:936;height:4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" fillcolor="black [3213]" stroked="f"/>
                <v:shape id="Freeform 26" o:spid="_x0000_s1049" style="position:absolute;left:64615;top:3180;width:3406;height:3268;visibility:visible;mso-wrap-style:square;v-text-anchor:top" coordsize="997,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" path="m297,545v696,,696,,696,c997,376,956,243,870,145,785,48,659,,494,,346,,227,43,136,131,45,219,,331,,467,,619,48,738,146,825v91,82,216,132,390,132c686,957,686,957,686,957,825,753,825,753,825,753v-246,,-246,,-246,c402,753,297,628,297,545m363,238v37,-32,83,-49,140,-49c558,189,603,205,639,236v36,31,57,74,64,129c290,365,290,365,290,365v12,-52,36,-95,73,-127e" fillcolor="black [3213]" stroked="f">
                  <v:path arrowok="t" o:connecttype="custom" o:connectlocs="101486,186100;339313,186100;297283,49513;168802,0;46472,44732;0,159466;49889,281711;183154,326785;234410,326785;281907,257126;197847,257126;101486,186100;124039,81269;171878,64537;218350,80586;240219,124636;99094,124636;124039,81269" o:connectangles="0,0,0,0,0,0,0,0,0,0,0,0,0,0,0,0,0,0"/>
                  <o:lock v:ext="edit" verticies="t"/>
                </v:shape>
              </v:group>
              <v:group id="Groupe 2291" o:spid="_x0000_s1050" style="position:absolute;top:2805;width:10995;height:1995" coordorigin=",2805" coordsize="18199,3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">
                <v:shape id="Freeform 31" o:spid="_x0000_s1051" style="position:absolute;top:2920;width:1079;height:964;visibility:visible;mso-wrap-style:square;v-text-anchor:top" coordsize="10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" path="m72,72r-42,l22,92,,92,41,,62,r41,92l81,92,72,72xm66,56l51,21,37,56r29,xe" fillcolor="black" stroked="f">
                  <v:path arrowok="t" o:connecttype="custom" o:connectlocs="75480,75480;31450,75480;23063,96447;0,96447;42982,0;64997,0;107979,96447;84916,96447;75480,75480;69190,58707;53465,22015;38789,58707;69190,58707" o:connectangles="0,0,0,0,0,0,0,0,0,0,0,0,0"/>
                  <o:lock v:ext="edit" verticies="t"/>
                </v:shape>
                <v:shape id="Freeform 32" o:spid="_x0000_s1052" style="position:absolute;left:1163;top:3130;width:661;height:765;visibility:visible;mso-wrap-style:square;v-text-anchor:top" coordsize="145,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" path="m30,161c17,157,7,153,,148,15,115,15,115,15,115v7,4,16,8,26,11c51,129,61,130,71,130v20,,30,-5,30,-14c101,111,98,108,93,106v-6,-2,-14,-4,-25,-5c55,99,44,96,35,94,27,91,19,87,13,80,7,73,3,64,3,52,3,42,6,33,12,25,18,17,27,11,38,6,49,2,63,,78,v11,,23,1,34,4c123,6,133,10,140,14,124,47,124,47,124,47,110,39,95,35,78,35v-10,,-17,2,-22,4c51,42,48,46,48,50v,5,3,9,8,11c62,63,70,64,82,66v13,2,24,5,32,7c123,76,130,80,136,87v6,6,9,16,9,27c145,124,142,133,136,141v-6,8,-14,14,-26,18c99,163,85,166,69,166v-13,,-26,-2,-39,-5xe" fillcolor="black" stroked="f">
                  <v:path arrowok="t" o:connecttype="custom" o:connectlocs="13665,74223;0,68230;6832,53016;18675,58088;32340,59932;46004,53477;42361,48867;30973,46562;15942,43335;5921,36881;1366,23973;5466,11525;17309,2766;35528,0;51015,1844;63769,6454;56481,21668;35528,16135;25507,17979;21864,23051;25507,28122;37350,30427;51926,33654;61947,40108;66046,52555;61947,65003;50104,73301;31429,76528;13665,74223" o:connectangles="0,0,0,0,0,0,0,0,0,0,0,0,0,0,0,0,0,0,0,0,0,0,0,0,0,0,0,0,0"/>
                </v:shape>
                <v:shape id="Freeform 33" o:spid="_x0000_s1053" style="position:absolute;left:1949;top:3130;width:671;height:765;visibility:visible;mso-wrap-style:square;v-text-anchor:top" coordsize="14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" path="m31,161c18,157,8,153,,148,16,115,16,115,16,115v7,4,16,8,26,11c52,129,62,130,72,130v20,,29,-5,29,-14c101,111,99,108,93,106v-5,-2,-13,-4,-24,-5c55,99,45,96,36,94,27,91,20,87,14,80,7,73,4,64,4,52,4,42,7,33,13,25,19,17,28,11,39,6,50,2,63,,79,v11,,22,1,34,4c124,6,133,10,141,14,125,47,125,47,125,47,111,39,96,35,79,35v-10,,-18,2,-23,4c51,42,49,46,49,50v,5,3,9,8,11c62,63,71,64,83,66v13,2,24,5,32,7c123,76,131,80,137,87v6,6,9,16,9,27c146,124,143,133,137,141v-6,8,-15,14,-26,18c99,163,86,166,70,166v-13,,-26,-2,-39,-5xe" fillcolor="black" stroked="f">
                  <v:path arrowok="t" o:connecttype="custom" o:connectlocs="14246,74223;0,68230;7353,53016;19301,58088;33087,59932;46414,53477;42738,48867;31709,46562;16544,43335;6434,36881;1838,23973;5974,11525;17922,2766;36304,0;51929,1844;64796,6454;57443,21668;36304,16135;25735,17979;22518,23051;26194,28122;38142,30427;52848,33654;62958,40108;67094,52555;62958,65003;51010,73301;32168,76528;14246,74223" o:connectangles="0,0,0,0,0,0,0,0,0,0,0,0,0,0,0,0,0,0,0,0,0,0,0,0,0,0,0,0,0"/>
                </v:shape>
                <v:shape id="Freeform 34" o:spid="_x0000_s1054" style="position:absolute;left:2820;top:3140;width:744;height:755;visibility:visible;mso-wrap-style:square;v-text-anchor:top" coordsize="163,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" path="m163,v,161,,161,,161c119,161,119,161,119,161v,-19,,-19,,-19c112,149,105,154,96,158v-8,4,-17,6,-27,6c47,164,31,157,18,145,6,133,,115,,91,,,,,,,46,,46,,46,v,84,,84,,84c46,110,57,123,79,123v11,,20,-3,27,-11c113,105,116,94,116,80,116,,116,,116,r47,xe" fillcolor="black" stroked="f">
                  <v:path arrowok="t" o:connecttype="custom" o:connectlocs="74432,0;74432,74099;54340,74099;54340,65355;43837,72719;31508,75480;8219,66735;0,41882;0,0;21005,0;21005,38660;36074,56610;48404,51547;52970,36820;52970,0;74432,0" o:connectangles="0,0,0,0,0,0,0,0,0,0,0,0,0,0,0,0"/>
                </v:shape>
                <v:shape id="Freeform 35" o:spid="_x0000_s1055" style="position:absolute;left:3826;top:3130;width:451;height:754;visibility:visible;mso-wrap-style:square;v-text-anchor:top" coordsize="100,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" path="m67,6c77,2,87,,100,v,43,,43,,43c95,43,91,42,89,42,76,42,65,46,58,54,50,61,47,72,47,87v,76,,76,,76c,163,,163,,163,,2,,2,,2v44,,44,,44,c44,23,44,23,44,23,50,16,58,10,67,6xe" fillcolor="black" stroked="f">
                  <v:path arrowok="t" o:connecttype="custom" o:connectlocs="30203,2778;45079,0;45079,19912;40120,19449;26146,25006;21187,40287;21187,75480;0,75480;0,926;19835,926;19835,10651;30203,2778" o:connectangles="0,0,0,0,0,0,0,0,0,0,0,0"/>
                </v:shape>
                <v:shape id="Freeform 36" o:spid="_x0000_s1056" style="position:absolute;left:4434;top:3130;width:702;height:765;visibility:visible;mso-wrap-style:square;v-text-anchor:top" coordsize="15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" path="m133,18v13,12,20,29,20,53c153,163,153,163,153,163v-44,,-44,,-44,c109,143,109,143,109,143v-8,15,-25,23,-49,23c48,166,37,163,28,159,19,155,12,149,7,142,3,135,,126,,117,,102,6,90,17,82,28,73,46,69,69,69v37,,37,,37,c106,58,103,51,97,45,91,40,82,37,69,37v-8,,-17,1,-25,4c36,44,29,47,23,52,6,19,6,19,6,19,15,13,26,8,38,5,50,2,63,,76,v25,,44,6,57,18xm93,129v7,-4,11,-10,13,-17c106,96,106,96,106,96v-32,,-32,,-32,c55,96,46,102,46,115v,6,2,10,7,14c57,132,64,134,72,134v8,,15,-2,21,-5xe" fillcolor="black" stroked="f">
                  <v:path arrowok="t" o:connecttype="custom" o:connectlocs="61057,8298;70239,32732;70239,75145;50040,75145;50040,65925;27545,76528;12854,73301;3214,65464;0,53938;7804,37803;31676,31810;48662,31810;44531,20746;31676,17057;20199,18901;10559,23973;2754,8759;17445,2305;34890,0;61057,8298;42694,59471;48662,51633;48662,44257;33972,44257;21118,53016;24331,59471;33054,61776;42694,59471" o:connectangles="0,0,0,0,0,0,0,0,0,0,0,0,0,0,0,0,0,0,0,0,0,0,0,0,0,0,0,0"/>
                  <o:lock v:ext="edit" verticies="t"/>
                </v:shape>
                <v:shape id="Freeform 37" o:spid="_x0000_s1057" style="position:absolute;left:5388;top:3130;width:755;height:754;visibility:visible;mso-wrap-style:square;v-text-anchor:top" coordsize="165,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" path="m146,18v13,12,19,30,19,53c165,163,165,163,165,163v-47,,-47,,-47,c118,78,118,78,118,78v,-13,-3,-22,-8,-28c104,43,96,40,86,40,74,40,64,44,57,51,50,58,47,69,47,84v,79,,79,,79c,163,,163,,163,,2,,2,,2v45,,45,,45,c45,21,45,21,45,21,51,14,59,9,68,5,77,2,87,,98,v20,,36,6,48,18xe" fillcolor="black" stroked="f">
                  <v:path arrowok="t" o:connecttype="custom" o:connectlocs="66788,8335;75480,32878;75480,75480;53980,75480;53980,36119;50320,23153;39341,18523;26075,23616;21500,38898;21500,75480;0,75480;0,926;20585,926;20585,9724;31107,2315;44831,0;66788,8335" o:connectangles="0,0,0,0,0,0,0,0,0,0,0,0,0,0,0,0,0"/>
                </v:shape>
                <v:shape id="Freeform 38" o:spid="_x0000_s1058" style="position:absolute;left:6352;top:3130;width:734;height:765;visibility:visible;mso-wrap-style:square;v-text-anchor:top" coordsize="162,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" path="m43,155c30,148,19,138,11,125,4,113,,99,,83,,67,4,52,11,40,19,27,30,18,43,10,57,3,73,,90,v17,,31,3,44,10c147,18,156,28,162,41,126,60,126,60,126,60,117,46,105,38,89,38,77,38,67,42,59,50,51,58,47,69,47,83v,13,4,24,12,32c67,123,77,127,89,127v16,,28,-7,37,-22c162,125,162,125,162,125v-6,13,-15,23,-28,30c121,162,107,166,90,166v-17,,-33,-4,-47,-11xe" fillcolor="black" stroked="f">
                  <v:path arrowok="t" o:connecttype="custom" o:connectlocs="19478,71457;4983,57627;0,38264;4983,18440;19478,4610;40769,0;60700,4610;73384,18901;57076,27661;40316,17518;26726,23051;21290,38264;26726,53016;40316,58549;57076,48406;73384,57627;60700,71457;40769,76528;19478,71457" o:connectangles="0,0,0,0,0,0,0,0,0,0,0,0,0,0,0,0,0,0,0"/>
                </v:shape>
                <v:shape id="Freeform 39" o:spid="_x0000_s1059" style="position:absolute;left:7233;top:3130;width:765;height:765;visibility:visible;mso-wrap-style:square;v-text-anchor:top" coordsize="169,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" path="m168,96c47,96,47,96,47,96v2,10,7,18,15,23c70,125,81,128,93,128v8,,16,-1,22,-4c122,122,128,118,133,113v25,27,25,27,25,27c143,157,121,166,92,166v-19,,-35,-4,-49,-11c29,148,19,138,11,125,4,113,,99,,83,,67,3,53,11,40,18,27,29,18,42,10,55,3,69,,86,v15,,30,3,42,10c141,17,151,27,158,39v8,13,11,28,11,44c169,84,169,88,168,96xm59,44c52,50,48,58,46,69v79,,79,,79,c124,58,119,50,112,44,105,38,96,35,86,35v-11,,-20,3,-27,9xe" fillcolor="black" stroked="f">
                  <v:path arrowok="t" o:connecttype="custom" o:connectlocs="76076,44257;21283,44257;28076,54860;42114,59010;52076,57165;60227,52094;71548,64542;41661,76528;19472,71457;4981,57627;0,38264;4981,18440;19019,4610;38944,0;57963,4610;71548,17979;76529,38264;76076,44257;26717,20285;20830,31810;56604,31810;50717,20285;38944,16135;26717,20285" o:connectangles="0,0,0,0,0,0,0,0,0,0,0,0,0,0,0,0,0,0,0,0,0,0,0,0"/>
                  <o:lock v:ext="edit" verticies="t"/>
                </v:shape>
                <v:shape id="Freeform 40" o:spid="_x0000_s1060" style="position:absolute;left:8617;top:2909;width:912;height:986;visibility:visible;mso-wrap-style:square;v-text-anchor:top" coordsize="200,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" path="m175,216c150,192,150,192,150,192v-20,16,-44,24,-70,24c65,216,51,213,39,208,27,204,17,197,10,188,3,179,,169,,158,,145,4,134,11,124,18,114,30,105,46,96,38,88,33,81,30,74,26,66,24,59,24,52v,-11,3,-20,9,-27c38,17,46,11,55,7,65,2,77,,90,v18,,32,4,43,13c144,22,150,33,150,48v,11,-3,21,-10,29c134,85,123,93,109,101v38,36,38,36,38,36c152,127,155,116,158,104v37,12,37,12,37,12c191,134,185,150,176,163v24,23,24,23,24,23l175,216xm122,167c72,120,72,120,72,120v-10,5,-16,10,-20,16c48,141,46,147,46,153v,8,3,14,10,19c63,177,72,179,83,179v15,,28,-4,39,-12xm73,37v-4,4,-6,8,-6,14c67,55,68,59,70,63v2,3,7,8,13,15c93,72,100,67,104,63v4,-4,6,-9,6,-14c110,44,108,40,105,37,101,33,96,32,90,32v-7,,-13,2,-17,5xe" fillcolor="black" stroked="f">
                  <v:path arrowok="t" o:connecttype="custom" o:connectlocs="79805,98544;68405,87595;36482,98544;17785,94894;4560,85770;0,72083;5016,56572;20977,43797;13681,33760;10945,23724;15049,11406;25082,3194;41043,0;60652,5931;68405,21899;63844,35129;49707,46078;67036,62502;72053,47447;88926,52922;80261,74364;91206,84857;79805,98544;55636,76189;32834,54747;23714,62046;20977,69802;25538,78470;37850,81664;55636,76189;33290,16880;30554,23267;31922,28742;37850,35585;47427,28742;50163,22355;47883,16880;41043,14599;33290,16880" o:connectangles="0,0,0,0,0,0,0,0,0,0,0,0,0,0,0,0,0,0,0,0,0,0,0,0,0,0,0,0,0,0,0,0,0,0,0,0,0,0,0"/>
                  <o:lock v:ext="edit" verticies="t"/>
                </v:shape>
                <v:shape id="Freeform 41" o:spid="_x0000_s1061" style="position:absolute;left:10200;top:2920;width:828;height:964;visibility:visible;mso-wrap-style:square;v-text-anchor:top" coordsize="182,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" path="m139,9v14,6,24,15,32,26c178,47,182,60,182,76v,15,-4,29,-11,40c163,127,153,136,139,142v-13,6,-30,9,-48,9c49,151,49,151,49,151v,58,,58,,58c,209,,209,,209,,,,,,,91,,91,,91,v18,,35,3,48,9xm121,103v8,-7,12,-16,12,-27c133,64,129,55,121,49,114,42,103,39,88,39v-39,,-39,,-39,c49,112,49,112,49,112v39,,39,,39,c103,112,114,109,121,103xe" fillcolor="black" stroked="f">
                  <v:path arrowok="t" o:connecttype="custom" o:connectlocs="63252,4153;77813,16151;82819,35072;77813,53530;63252,65529;41410,69682;22297,69682;22297,96447;0,96447;0,0;41410,0;63252,4153;55061,47531;60522,35072;55061,22612;40044,17997;22297,17997;22297,51685;40044,51685;55061,47531" o:connectangles="0,0,0,0,0,0,0,0,0,0,0,0,0,0,0,0,0,0,0,0"/>
                  <o:lock v:ext="edit" verticies="t"/>
                </v:shape>
                <v:shape id="Freeform 42" o:spid="_x0000_s1062" style="position:absolute;left:11259;top:3130;width:450;height:754;visibility:visible;mso-wrap-style:square;v-text-anchor:top" coordsize="100,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" path="m67,6c77,2,87,,100,v,43,,43,,43c95,43,91,42,89,42,76,42,66,46,58,54,50,61,47,72,47,87v,76,,76,,76c,163,,163,,163,,2,,2,,2v45,,45,,45,c45,23,45,23,45,23,50,16,58,10,67,6xe" fillcolor="black" stroked="f">
                  <v:path arrowok="t" o:connecttype="custom" o:connectlocs="30203,2778;45079,0;45079,19912;40120,19449;26146,25006;21187,40287;21187,75480;0,75480;0,926;20286,926;20286,10651;30203,2778" o:connectangles="0,0,0,0,0,0,0,0,0,0,0,0"/>
                </v:shape>
                <v:shape id="Freeform 43" o:spid="_x0000_s1063" style="position:absolute;left:11856;top:3130;width:807;height:765;visibility:visible;mso-wrap-style:square;v-text-anchor:top" coordsize="177,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" path="m43,155c29,148,19,138,11,125,4,113,,99,,83,,67,4,52,11,40,19,27,29,18,43,10,56,3,71,,88,v17,,32,3,46,10c147,18,158,27,165,40v8,12,12,27,12,43c177,99,173,113,165,125v-7,13,-18,23,-31,30c120,162,105,166,88,166v-17,,-32,-4,-45,-11xm118,115v8,-8,11,-19,11,-32c129,69,126,58,118,50,110,42,100,38,88,38,76,38,67,42,59,50,51,58,47,69,47,83v,13,4,24,12,32c67,123,76,127,88,127v12,,22,-4,30,-12xe" fillcolor="black" stroked="f">
                  <v:path arrowok="t" o:connecttype="custom" o:connectlocs="19610,71457;5017,57627;0,38264;5017,18440;19610,4610;40133,0;61112,4610;75249,18440;80722,38264;75249,57627;61112,71457;40133,76528;19610,71457;53815,53016;58831,38264;53815,23051;40133,17518;26907,23051;21435,38264;26907,53016;40133,58549;53815,53016" o:connectangles="0,0,0,0,0,0,0,0,0,0,0,0,0,0,0,0,0,0,0,0,0,0"/>
                  <o:lock v:ext="edit" verticies="t"/>
                </v:shape>
                <v:shape id="Freeform 44" o:spid="_x0000_s1064" style="position:absolute;left:12789;top:2983;width:556;height:912;visibility:visible;mso-wrap-style:square;v-text-anchor:top" coordsize="122,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" path="m122,188v-4,4,-10,6,-16,8c99,198,92,199,85,199v-20,,-34,-5,-45,-15c30,174,24,160,24,141v,-66,,-66,,-66c,75,,75,,75,,39,,39,,39v24,,24,,24,c24,,24,,24,,71,,71,,71,v,39,,39,,39c111,39,111,39,111,39v,36,,36,,36c71,75,71,75,71,75v,65,,65,,65c71,147,73,152,76,156v4,4,9,5,15,5c98,161,105,159,110,155r12,33xe" fillcolor="black" stroked="f">
                  <v:path arrowok="t" o:connecttype="custom" o:connectlocs="55562,86164;48275,89830;38711,91205;18217,84330;10930,64623;10930,34374;0,34374;0,17874;10930,17874;10930,0;32335,0;32335,17874;50552,17874;50552,34374;32335,34374;32335,64164;34612,71497;41444,73789;50097,71039;55562,86164" o:connectangles="0,0,0,0,0,0,0,0,0,0,0,0,0,0,0,0,0,0,0,0"/>
                </v:shape>
                <v:shape id="Freeform 45" o:spid="_x0000_s1065" style="position:absolute;left:13481;top:3130;width:776;height:765;visibility:visible;mso-wrap-style:square;v-text-anchor:top" coordsize="170,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" path="m169,96c47,96,47,96,47,96v3,10,8,18,16,23c71,125,81,128,94,128v8,,15,-1,22,-4c122,122,128,118,134,113v25,27,25,27,25,27c144,157,121,166,92,166v-18,,-34,-4,-48,-11c30,148,19,138,12,125,4,113,,99,,83,,67,4,53,12,40,19,27,29,18,43,10,56,3,70,,86,v16,,30,3,43,10c142,17,152,27,159,39v7,13,11,28,11,44c170,84,170,88,169,96xm60,44c53,50,48,58,47,69v79,,79,,79,c125,58,120,50,113,44,106,38,97,35,87,35v-11,,-20,3,-27,9xe" fillcolor="black" stroked="f">
                  <v:path arrowok="t" o:connecttype="custom" o:connectlocs="77121,44257;21448,44257;28749,54860;42896,59010;52935,57165;61149,52094;72557,64542;41983,76528;20079,71457;5476,57627;0,38264;5476,18440;19622,4610;39245,0;58867,4610;72557,17979;77577,38264;77121,44257;27380,20285;21448,31810;57498,31810;51566,20285;39701,16135;27380,20285" o:connectangles="0,0,0,0,0,0,0,0,0,0,0,0,0,0,0,0,0,0,0,0,0,0,0,0"/>
                  <o:lock v:ext="edit" verticies="t"/>
                </v:shape>
                <v:shape id="Freeform 46" o:spid="_x0000_s1066" style="position:absolute;left:14414;top:3130;width:734;height:765;visibility:visible;mso-wrap-style:square;v-text-anchor:top" coordsize="162,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" path="m44,155c30,148,19,138,12,125,4,113,,99,,83,,67,4,52,12,40,19,27,30,18,44,10,57,3,73,,90,v17,,32,3,44,10c147,18,156,28,162,41,126,60,126,60,126,60,117,46,105,38,90,38,77,38,67,42,59,50,51,58,47,69,47,83v,13,4,24,12,32c67,123,77,127,90,127v16,,28,-7,36,-22c162,125,162,125,162,125v-6,13,-15,23,-28,30c122,162,107,166,90,166v-17,,-33,-4,-46,-11xe" fillcolor="black" stroked="f">
                  <v:path arrowok="t" o:connecttype="custom" o:connectlocs="19931,71457;5436,57627;0,38264;5436,18440;19931,4610;40769,0;60700,4610;73384,18901;57076,27661;40769,17518;26726,23051;21290,38264;26726,53016;40769,58549;57076,48406;73384,57627;60700,71457;40769,76528;19931,71457" o:connectangles="0,0,0,0,0,0,0,0,0,0,0,0,0,0,0,0,0,0,0"/>
                </v:shape>
                <v:shape id="Freeform 47" o:spid="_x0000_s1067" style="position:absolute;left:15253;top:2983;width:566;height:912;visibility:visible;mso-wrap-style:square;v-text-anchor:top" coordsize="123,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" path="m123,188v-5,4,-11,6,-17,8c99,198,92,199,85,199v-19,,-34,-5,-45,-15c30,174,25,160,25,141v,-66,,-66,,-66c,75,,75,,75,,39,,39,,39v25,,25,,25,c25,,25,,25,,71,,71,,71,v,39,,39,,39c111,39,111,39,111,39v,36,,36,,36c71,75,71,75,71,75v,65,,65,,65c71,147,73,152,76,156v4,4,9,5,15,5c99,161,105,159,110,155r13,33xe" fillcolor="black" stroked="f">
                  <v:path arrowok="t" o:connecttype="custom" o:connectlocs="56610,86164;48786,89830;39121,91205;18410,84330;11506,64623;11506,34374;0,34374;0,17874;11506,17874;11506,0;32677,0;32677,17874;51087,17874;51087,34374;32677,34374;32677,64164;34979,71497;41882,73789;50627,71039;56610,86164" o:connectangles="0,0,0,0,0,0,0,0,0,0,0,0,0,0,0,0,0,0,0,0"/>
                </v:shape>
                <v:shape id="Freeform 48" o:spid="_x0000_s1068" style="position:absolute;left:15976;top:2805;width:262;height:1079;visibility:visible;mso-wrap-style:square;v-text-anchor:top" coordsize="5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" path="m8,44c3,39,,33,,26,,18,3,12,8,7,14,2,21,,29,v9,,16,2,21,7c56,12,58,18,58,25v,8,-2,14,-8,19c45,49,38,52,29,52,21,52,14,49,8,44xm6,74v47,,47,,47,c53,235,53,235,53,235v-47,,-47,,-47,l6,74xe" fillcolor="black" stroked="f">
                  <v:path arrowok="t" o:connecttype="custom" o:connectlocs="3615,20217;0,11947;3615,3216;13105,0;22594,3216;26209,11487;22594,20217;13105,23893;3615,20217;2711,34002;23950,34002;23950,107978;2711,107978;2711,34002" o:connectangles="0,0,0,0,0,0,0,0,0,0,0,0,0,0"/>
                  <o:lock v:ext="edit" verticies="t"/>
                </v:shape>
                <v:shape id="Freeform 49" o:spid="_x0000_s1069" style="position:absolute;left:16427;top:3130;width:807;height:765;visibility:visible;mso-wrap-style:square;v-text-anchor:top" coordsize="177,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" path="m43,155c29,148,19,138,11,125,4,113,,99,,83,,67,4,52,11,40,19,27,29,18,43,10,56,3,72,,89,v17,,32,3,45,10c147,18,158,27,165,40v8,12,12,27,12,43c177,99,173,113,165,125v-7,13,-18,23,-31,30c121,162,106,166,89,166v-17,,-33,-4,-46,-11xm118,115v8,-8,12,-19,12,-32c130,69,126,58,118,50,110,42,101,38,89,38,77,38,67,42,59,50,51,58,47,69,47,83v,13,4,24,12,32c67,123,77,127,89,127v12,,21,-4,29,-12xe" fillcolor="black" stroked="f">
                  <v:path arrowok="t" o:connecttype="custom" o:connectlocs="19610,71457;5017,57627;0,38264;5017,18440;19610,4610;40589,0;61112,4610;75249,18440;80722,38264;75249,57627;61112,71457;40589,76528;19610,71457;53815,53016;59287,38264;53815,23051;40589,17518;26907,23051;21435,38264;26907,53016;40589,58549;53815,53016" o:connectangles="0,0,0,0,0,0,0,0,0,0,0,0,0,0,0,0,0,0,0,0,0,0"/>
                  <o:lock v:ext="edit" verticies="t"/>
                </v:shape>
                <v:shape id="Freeform 50" o:spid="_x0000_s1070" style="position:absolute;left:17454;top:3130;width:745;height:754;visibility:visible;mso-wrap-style:square;v-text-anchor:top" coordsize="164,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" path="m146,18v12,12,18,30,18,53c164,163,164,163,164,163v-46,,-46,,-46,c118,78,118,78,118,78v,-13,-3,-22,-9,-28c104,43,96,40,85,40,73,40,64,44,57,51,50,58,47,69,47,84v,79,,79,,79c,163,,163,,163,,2,,2,,2v44,,44,,44,c44,21,44,21,44,21,51,14,58,9,67,5,77,2,87,,98,v20,,36,6,48,18xe" fillcolor="black" stroked="f">
                  <v:path arrowok="t" o:connecttype="custom" o:connectlocs="66263,8335;74432,32878;74432,75480;53555,75480;53555,36119;49470,23153;38578,18523;25870,23616;21331,38898;21331,75480;0,75480;0,926;19970,926;19970,9724;30408,2315;44478,0;66263,8335" o:connectangles="0,0,0,0,0,0,0,0,0,0,0,0,0,0,0,0,0"/>
                </v:shape>
                <v:shape id="Freeform 51" o:spid="_x0000_s1071" style="position:absolute;left:125;top:4597;width:745;height:1237;visibility:visible;mso-wrap-style:square;v-text-anchor:top" coordsize="71,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" path="m71,101r,17l,118,,27r70,l70,44r-48,l22,63r42,l64,80r-42,l22,101r49,xm41,l63,,39,19r-16,l41,xe" fillcolor="black" stroked="f">
                  <v:path arrowok="t" o:connecttype="custom" o:connectlocs="74432,105882;74432,123704;0,123704;0,28305;73384,28305;73384,46127;23063,46127;23063,66045;67094,66045;67094,83867;23063,83867;23063,105882;74432,105882;42982,0;66045,0;40885,19918;24112,19918;42982,0" o:connectangles="0,0,0,0,0,0,0,0,0,0,0,0,0,0,0,0,0,0"/>
                  <o:lock v:ext="edit" verticies="t"/>
                </v:shape>
                <v:shape id="Freeform 52" o:spid="_x0000_s1072" style="position:absolute;left:1100;top:5090;width:797;height:1006;visibility:visible;mso-wrap-style:square;v-text-anchor:top" coordsize="175,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" path="m136,10v12,7,22,17,29,29c172,52,175,66,175,83v,16,-3,31,-10,43c158,139,148,148,136,155v-13,7,-26,10,-41,10c74,165,58,159,46,146v,75,,75,,75c,221,,221,,221,,2,,2,,2v44,,44,,44,c44,21,44,21,44,21,56,7,73,,95,v15,,28,3,41,10xm116,115v8,-8,12,-19,12,-32c128,69,124,58,116,50,109,42,99,38,87,38,75,38,65,42,57,50,50,58,46,69,46,83v,13,4,24,11,32c65,123,75,127,87,127v12,,22,-4,29,-12xe" fillcolor="black" stroked="f">
                  <v:path arrowok="t" o:connecttype="custom" o:connectlocs="61918,4554;75121,17760;79674,37797;75121,57378;61918,70585;43252,75138;20943,66486;20943,100640;0,100640;0,911;20032,911;20032,9563;43252,0;61918,4554;52812,52369;58276,37797;52812,22769;39609,17305;25951,22769;20943,37797;25951,52369;39609,57834;52812,52369" o:connectangles="0,0,0,0,0,0,0,0,0,0,0,0,0,0,0,0,0,0,0,0,0,0,0"/>
                  <o:lock v:ext="edit" verticies="t"/>
                </v:shape>
                <v:shape id="Freeform 53" o:spid="_x0000_s1073" style="position:absolute;left:2065;top:5090;width:692;height:755;visibility:visible;mso-wrap-style:square;v-text-anchor:top" coordsize="15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" path="m132,17v14,12,20,30,20,54c152,163,152,163,152,163v-43,,-43,,-43,c109,143,109,143,109,143v-9,15,-25,22,-49,22c47,165,37,163,28,159,19,155,12,149,7,142,2,134,,126,,117,,102,5,90,17,81,28,73,45,69,69,69v37,,37,,37,c106,58,103,51,97,45,90,40,81,37,69,37v-9,,-17,1,-26,4c35,44,28,47,22,52,6,19,6,19,6,19,14,13,25,8,37,5,49,1,62,,75,v25,,44,6,57,17xm93,128v6,-3,10,-9,13,-16c106,96,106,96,106,96v-32,,-32,,-32,c55,96,45,102,45,115v,6,2,10,7,14c57,132,63,134,71,134v8,,15,-2,22,-6xe" fillcolor="black" stroked="f">
                  <v:path arrowok="t" o:connecttype="custom" o:connectlocs="60086,7777;69190,32479;69190,74565;49617,74565;49617,65416;27312,75480;12746,72735;3186,64959;0,53522;7738,37054;31409,31564;48251,31564;44154,20585;31409,16926;19573,18756;10014,23788;2731,8692;16842,2287;34140,0;60086,7777;42333,58554;48251,51235;48251,43916;33685,43916;20484,52607;23670,59012;32319,61299;42333,58554" o:connectangles="0,0,0,0,0,0,0,0,0,0,0,0,0,0,0,0,0,0,0,0,0,0,0,0,0,0,0,0"/>
                  <o:lock v:ext="edit" verticies="t"/>
                </v:shape>
                <v:shape id="Freeform 54" o:spid="_x0000_s1074" style="position:absolute;left:3029;top:5090;width:451;height:744;visibility:visible;mso-wrap-style:square;v-text-anchor:top" coordsize="100,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" path="m67,6c76,2,87,,100,v,43,,43,,43c94,42,91,42,89,42,76,42,65,46,58,53,50,61,46,72,46,87v,76,,76,,76c,163,,163,,163,,2,,2,,2v44,,44,,44,c44,23,44,23,44,23,50,16,57,10,67,6xe" fillcolor="black" stroked="f">
                  <v:path arrowok="t" o:connecttype="custom" o:connectlocs="30203,2740;45079,0;45079,19635;40120,19179;26146,24202;20736,39728;20736,74432;0,74432;0,913;19835,913;19835,10503;30203,2740" o:connectangles="0,0,0,0,0,0,0,0,0,0,0,0"/>
                </v:shape>
                <v:shape id="Freeform 55" o:spid="_x0000_s1075" style="position:absolute;left:3627;top:5090;width:807;height:1017;visibility:visible;mso-wrap-style:square;v-text-anchor:top" coordsize="177,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" path="m177,2v,134,,134,,134c177,166,170,188,154,202v-15,14,-37,21,-67,21c72,223,57,222,43,218,29,214,17,208,8,201,27,168,27,168,27,168v7,5,15,10,25,13c63,184,73,186,84,186v16,,28,-4,35,-11c127,168,131,157,131,142v,-7,,-7,,-7c119,149,102,155,80,155v-15,,-28,-3,-41,-9c27,139,17,130,10,118,3,106,,93,,77,,62,3,49,10,37,17,25,27,16,39,9,52,3,65,,80,v23,,41,7,53,23c133,2,133,2,133,2r44,xm120,106v7,-7,11,-17,11,-29c131,66,127,56,120,49,112,42,102,38,89,38,77,38,67,42,59,49,51,56,47,66,47,77v,12,4,22,12,29c67,113,77,117,89,117v13,,23,-4,31,-11xe" fillcolor="black" stroked="f">
                  <v:path arrowok="t" o:connecttype="custom" o:connectlocs="80722,912;80722,62016;70233,92112;39677,101688;19610,99408;3648,91656;12314,76608;23715,82536;38309,84816;54271,79800;59743,64752;59743,61560;36485,70680;17786,66576;4561,53808;0,35112;4561,16872;17786,4104;36485,0;60656,10488;60656,912;80722,912;54727,48336;59743,35112;54727,22344;40589,17328;26907,22344;21435,35112;26907,48336;40589,53352;54727,48336" o:connectangles="0,0,0,0,0,0,0,0,0,0,0,0,0,0,0,0,0,0,0,0,0,0,0,0,0,0,0,0,0,0,0"/>
                  <o:lock v:ext="edit" verticies="t"/>
                </v:shape>
                <v:shape id="Freeform 56" o:spid="_x0000_s1076" style="position:absolute;left:4707;top:5090;width:744;height:744;visibility:visible;mso-wrap-style:square;v-text-anchor:top" coordsize="164,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" path="m146,18v12,12,18,29,18,53c164,163,164,163,164,163v-47,,-47,,-47,c117,78,117,78,117,78v,-13,-2,-22,-8,-28c103,43,95,40,85,40,73,40,64,44,57,51,50,58,46,69,46,83v,80,,80,,80c,163,,163,,163,,2,,2,,2v44,,44,,44,c44,21,44,21,44,21,50,14,58,9,67,5,76,2,86,,97,v20,,36,6,49,18xe" fillcolor="black" stroked="f">
                  <v:path arrowok="t" o:connecttype="custom" o:connectlocs="66263,8219;74432,32421;74432,74432;53101,74432;53101,35618;49470,22832;38578,18266;25870,23289;20877,37901;20877,74432;0,74432;0,913;19970,913;19970,9589;30408,2283;44024,0;66263,8219" o:connectangles="0,0,0,0,0,0,0,0,0,0,0,0,0,0,0,0,0"/>
                </v:shape>
                <v:shape id="Freeform 57" o:spid="_x0000_s1077" style="position:absolute;left:5661;top:5090;width:775;height:755;visibility:visible;mso-wrap-style:square;v-text-anchor:top" coordsize="17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" path="m169,96c47,96,47,96,47,96v2,10,8,18,16,23c71,125,81,128,93,128v9,,16,-1,23,-4c122,122,128,118,134,112v24,27,24,27,24,27c143,157,121,165,92,165v-18,,-34,-3,-48,-10c30,148,19,138,12,125,4,113,,99,,83,,67,4,53,11,40,19,27,29,17,42,10,55,3,70,,86,v16,,30,3,43,10c142,17,152,26,159,39v7,13,11,27,11,44c170,84,170,88,169,96xm60,44c53,50,48,58,47,69v79,,79,,79,c124,58,120,50,113,44,106,38,97,35,86,35v-10,,-19,3,-26,9xe" fillcolor="black" stroked="f">
                  <v:path arrowok="t" o:connecttype="custom" o:connectlocs="77121,43916;21448,43916;28749,54437;42439,58554;52935,56724;61149,51235;72101,63586;41983,75480;20079,70905;5476,57182;0,37969;5020,18298;19166,4575;39245,0;58867,4575;72557,17841;77577,37969;77121,43916;27380,20128;21448,31564;57498,31564;51566,20128;39245,16011;27380,20128" o:connectangles="0,0,0,0,0,0,0,0,0,0,0,0,0,0,0,0,0,0,0,0,0,0,0,0"/>
                  <o:lock v:ext="edit" verticies="t"/>
                </v:shape>
                <v:shape id="Freeform 58" o:spid="_x0000_s1078" style="position:absolute;left:7055;top:4859;width:912;height:996;visibility:visible;mso-wrap-style:square;v-text-anchor:top" coordsize="200,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" path="m175,216c150,192,150,192,150,192v-20,16,-44,24,-70,24c64,216,51,213,39,208,26,203,17,197,10,188,3,179,,169,,158,,145,3,134,11,124,18,114,30,105,46,96,38,88,33,80,29,73,26,66,24,59,24,51v,-10,3,-19,8,-27c38,17,45,11,55,6,65,2,77,,89,v19,,33,4,44,13c144,22,150,33,150,48v,11,-4,20,-10,29c133,85,123,93,109,101v38,36,38,36,38,36c151,127,155,116,157,104v38,12,38,12,38,12c191,134,184,150,176,163v24,23,24,23,24,23l175,216xm122,167c72,120,72,120,72,120v-10,5,-17,10,-21,15c47,141,45,147,45,153v,8,4,14,11,19c62,177,72,179,83,179v14,,28,-4,39,-12xm73,37v-4,4,-6,8,-6,14c67,55,68,59,70,63v2,3,7,8,13,14c93,72,100,67,104,63v4,-4,6,-9,6,-14c110,44,108,40,105,36,101,33,96,32,89,32v-7,,-12,1,-16,5xe" fillcolor="black" stroked="f">
                  <v:path arrowok="t" o:connecttype="custom" o:connectlocs="79805,99592;68405,88526;36482,99592;17785,95903;4560,86682;0,72850;5016,57173;20977,44263;13225,33658;10945,23515;14593,11066;25082,2766;40587,0;60652,5994;68405,22132;63844,35503;49707,46568;67036,63167;71597,47952;88926,53485;80261,75155;91206,85760;79805,99592;55636,76999;32834,55329;23258,62245;20521,70544;25538,79305;37850,82532;55636,76999;33290,17060;30554,23515;31922,29048;37850,35503;47427,29048;50163,22593;47883,16599;40587,14754;33290,17060" o:connectangles="0,0,0,0,0,0,0,0,0,0,0,0,0,0,0,0,0,0,0,0,0,0,0,0,0,0,0,0,0,0,0,0,0,0,0,0,0,0,0"/>
                  <o:lock v:ext="edit" verticies="t"/>
                </v:shape>
                <v:shape id="Freeform 59" o:spid="_x0000_s1079" style="position:absolute;left:8638;top:4880;width:849;height:954;visibility:visible;mso-wrap-style:square;v-text-anchor:top" coordsize="186,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" path="m134,209c93,151,93,151,93,151v-2,,-2,,-2,c49,151,49,151,49,151v,58,,58,,58c,209,,209,,209,,,,,,,91,,91,,91,v18,,34,3,48,9c153,15,163,24,171,35v7,12,11,25,11,41c182,91,178,105,170,116v-7,11,-18,20,-31,26c186,209,186,209,186,209r-52,xm121,49c114,42,103,39,88,39v-39,,-39,,-39,c49,112,49,112,49,112v39,,39,,39,c103,112,114,109,121,103v8,-7,12,-16,12,-27c133,64,129,55,121,49xe" fillcolor="black" stroked="f">
                  <v:path arrowok="t" o:connecttype="custom" o:connectlocs="61176,95398;42458,68924;41545,68924;22370,68924;22370,95398;0,95398;0,0;41545,0;63459,4108;78068,15976;83090,34690;77611,52948;63459,64816;84916,95398;61176,95398;55241,22366;40175,17802;22370,17802;22370,51122;40175,51122;55241,47014;60720,34690;55241,22366" o:connectangles="0,0,0,0,0,0,0,0,0,0,0,0,0,0,0,0,0,0,0,0,0,0,0"/>
                  <o:lock v:ext="edit" verticies="t"/>
                </v:shape>
                <v:shape id="Freeform 60" o:spid="_x0000_s1080" style="position:absolute;left:9644;top:5090;width:765;height:755;visibility:visible;mso-wrap-style:square;v-text-anchor:top" coordsize="1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" path="m168,96c47,96,47,96,47,96v2,10,7,18,15,23c70,125,81,128,93,128v8,,15,-1,22,-4c121,122,127,118,133,112v25,27,25,27,25,27c143,157,121,165,91,165v-18,,-34,-3,-48,-10c29,148,19,138,11,125,3,113,,99,,83,,67,3,53,11,40,18,27,29,17,42,10,55,3,69,,86,v15,,30,3,42,10c141,17,151,26,158,39v8,13,11,27,11,44c169,84,169,88,168,96xm59,44c52,50,48,58,46,69v79,,79,,79,c124,58,119,50,112,44,105,38,96,35,86,35v-11,,-20,3,-27,9xe" fillcolor="black" stroked="f">
                  <v:path arrowok="t" o:connecttype="custom" o:connectlocs="76076,43916;21283,43916;28076,54437;42114,58554;52076,56724;60227,51235;71548,63586;41208,75480;19472,70905;4981,57182;0,37969;4981,18298;19019,4575;38944,0;57963,4575;71548,17841;76529,37969;76076,43916;26717,20128;20830,31564;56604,31564;50717,20128;38944,16011;26717,20128" o:connectangles="0,0,0,0,0,0,0,0,0,0,0,0,0,0,0,0,0,0,0,0,0,0,0,0"/>
                  <o:lock v:ext="edit" verticies="t"/>
                </v:shape>
                <v:shape id="Freeform 61" o:spid="_x0000_s1081" style="position:absolute;left:10535;top:4933;width:566;height:912;visibility:visible;mso-wrap-style:square;v-text-anchor:top" coordsize="12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" path="m123,188v-5,4,-10,6,-17,8c99,198,92,198,85,198v-19,,-34,-4,-45,-14c30,174,25,160,25,141v,-66,,-66,,-66c,75,,75,,75,,39,,39,,39v25,,25,,25,c25,,25,,25,,71,,71,,71,v,39,,39,,39c111,39,111,39,111,39v,36,,36,,36c71,75,71,75,71,75v,65,,65,,65c71,147,73,152,77,156v3,3,8,5,14,5c99,161,105,159,110,155r13,33xe" fillcolor="black" stroked="f">
                  <v:path arrowok="t" o:connecttype="custom" o:connectlocs="56610,86599;48786,90284;39121,91205;18410,84756;11506,64949;11506,34547;0,34547;0,17965;11506,17965;11506,0;32677,0;32677,17965;51087,17965;51087,34547;32677,34547;32677,64488;35439,71858;41882,74162;50627,71398;56610,86599" o:connectangles="0,0,0,0,0,0,0,0,0,0,0,0,0,0,0,0,0,0,0,0"/>
                </v:shape>
                <v:shape id="Freeform 62" o:spid="_x0000_s1082" style="position:absolute;left:11290;top:5090;width:451;height:744;visibility:visible;mso-wrap-style:square;v-text-anchor:top" coordsize="100,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" path="m67,6c77,2,88,,100,v,43,,43,,43c95,42,91,42,90,42,76,42,66,46,58,53,51,61,47,72,47,87v,76,,76,,76c,163,,163,,163,,2,,2,,2v45,,45,,45,c45,23,45,23,45,23,50,16,58,10,67,6xe" fillcolor="black" stroked="f">
                  <v:path arrowok="t" o:connecttype="custom" o:connectlocs="30203,2740;45079,0;45079,19635;40571,19179;26146,24202;21187,39728;21187,74432;0,74432;0,913;20286,913;20286,10503;30203,2740" o:connectangles="0,0,0,0,0,0,0,0,0,0,0,0"/>
                </v:shape>
                <v:shape id="Freeform 63" o:spid="_x0000_s1083" style="position:absolute;left:11898;top:5090;width:692;height:755;visibility:visible;mso-wrap-style:square;v-text-anchor:top" coordsize="15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" path="m132,17v14,12,20,30,20,54c152,163,152,163,152,163v-43,,-43,,-43,c109,143,109,143,109,143v-9,15,-25,22,-49,22c47,165,37,163,27,159,18,155,11,149,7,142,2,134,,126,,117,,102,5,90,16,81,28,73,45,69,69,69v37,,37,,37,c106,58,103,51,96,45,90,40,81,37,69,37v-9,,-17,1,-26,4c35,44,28,47,22,52,6,19,6,19,6,19,14,13,25,8,37,5,49,1,62,,75,v25,,44,6,57,17xm93,128v6,-3,10,-9,13,-16c106,96,106,96,106,96v-32,,-32,,-32,c55,96,45,102,45,115v,6,2,10,7,14c57,132,63,134,71,134v8,,15,-2,22,-6xe" fillcolor="black" stroked="f">
                  <v:path arrowok="t" o:connecttype="custom" o:connectlocs="60086,7777;69190,32479;69190,74565;49617,74565;49617,65416;27312,75480;12290,72735;3186,64959;0,53522;7283,37054;31409,31564;48251,31564;43699,20585;31409,16926;19573,18756;10014,23788;2731,8692;16842,2287;34140,0;60086,7777;42333,58554;48251,51235;48251,43916;33685,43916;20484,52607;23670,59012;32319,61299;42333,58554" o:connectangles="0,0,0,0,0,0,0,0,0,0,0,0,0,0,0,0,0,0,0,0,0,0,0,0,0,0,0,0"/>
                  <o:lock v:ext="edit" verticies="t"/>
                </v:shape>
                <v:shape id="Freeform 64" o:spid="_x0000_s1084" style="position:absolute;left:12831;top:4755;width:262;height:1079;visibility:visible;mso-wrap-style:square;v-text-anchor:top" coordsize="5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" path="m8,44c3,39,,33,,26,,18,3,12,8,7,13,2,20,,29,v8,,15,2,21,7c55,12,58,18,58,25v,8,-3,14,-8,19c44,49,37,52,29,52,20,52,13,49,8,44xm6,74v46,,46,,46,c52,235,52,235,52,235v-46,,-46,,-46,l6,74xe" fillcolor="black" stroked="f">
                  <v:path arrowok="t" o:connecttype="custom" o:connectlocs="3615,20217;0,11947;3615,3216;13105,0;22594,3216;26209,11487;22594,20217;13105,23893;3615,20217;2711,34002;23498,34002;23498,107978;2711,107978;2711,34002" o:connectangles="0,0,0,0,0,0,0,0,0,0,0,0,0,0"/>
                  <o:lock v:ext="edit" verticies="t"/>
                </v:shape>
                <v:shape id="Freeform 65" o:spid="_x0000_s1085" style="position:absolute;left:13250;top:4933;width:556;height:912;visibility:visible;mso-wrap-style:square;v-text-anchor:top" coordsize="12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" path="m123,188v-4,4,-10,6,-17,8c100,198,93,198,85,198v-19,,-34,-4,-44,-14c30,174,25,160,25,141v,-66,,-66,,-66c,75,,75,,75,,39,,39,,39v25,,25,,25,c25,,25,,25,,72,,72,,72,v,39,,39,,39c112,39,112,39,112,39v,36,,36,,36c72,75,72,75,72,75v,65,,65,,65c72,147,74,152,77,156v4,3,9,5,15,5c99,161,106,159,111,155r12,33xe" fillcolor="black" stroked="f">
                  <v:path arrowok="t" o:connecttype="custom" o:connectlocs="55562,86599;47883,90284;38397,91205;18521,84756;11293,64949;11293,34547;0,34547;0,17965;11293,17965;11293,0;32524,0;32524,17965;50593,17965;50593,34547;32524,34547;32524,64488;34783,71858;41559,74162;50141,71398;55562,86599" o:connectangles="0,0,0,0,0,0,0,0,0,0,0,0,0,0,0,0,0,0,0,0"/>
                </v:shape>
                <v:shape id="Freeform 66" o:spid="_x0000_s1086" style="position:absolute;left:13942;top:5090;width:776;height:755;visibility:visible;mso-wrap-style:square;v-text-anchor:top" coordsize="16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" path="m168,96c47,96,47,96,47,96v2,10,7,18,15,23c70,125,80,128,93,128v8,,15,-1,22,-4c121,122,127,118,133,112v25,27,25,27,25,27c143,157,121,165,91,165v-18,,-34,-3,-48,-10c29,148,19,138,11,125,3,113,,99,,83,,67,3,53,11,40,18,27,29,17,42,10,55,3,69,,85,v16,,30,3,43,10c141,17,151,26,158,39v8,13,11,27,11,44c169,84,169,88,168,96xm59,44c52,50,48,58,46,69v79,,79,,79,c124,58,119,50,112,44,105,38,96,35,86,35v-11,,-20,3,-27,9xe" fillcolor="black" stroked="f">
                  <v:path arrowok="t" o:connecttype="custom" o:connectlocs="77118,43916;21575,43916;28460,54437;42690,58554;52789,56724;61052,51235;72528,63586;41772,75480;19739,70905;5049,57182;0,37969;5049,18298;19279,4575;39018,0;58757,4575;72528,17841;77577,37969;77118,43916;27083,20128;21116,31564;57379,31564;51412,20128;39477,16011;27083,20128" o:connectangles="0,0,0,0,0,0,0,0,0,0,0,0,0,0,0,0,0,0,0,0,0,0,0,0"/>
                  <o:lock v:ext="edit" verticies="t"/>
                </v:shape>
              </v:group>
              <w10:wrap anchorx="margin" anchory="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25pt;height:45.75pt;visibility:visible" o:bullet="t">
        <v:imagedata r:id="rId1" o:title=""/>
      </v:shape>
    </w:pict>
  </w:numPicBullet>
  <w:numPicBullet w:numPicBulletId="1">
    <w:pict>
      <v:shape id="_x0000_i1026" type="#_x0000_t75" style="width:37.5pt;height:55.5pt;visibility:visible" o:bullet="t">
        <v:imagedata r:id="rId2" o:title=""/>
      </v:shape>
    </w:pict>
  </w:numPicBullet>
  <w:numPicBullet w:numPicBulletId="2">
    <w:pict>
      <v:shape id="_x0000_i1027" type="#_x0000_t75" style="width:71.3pt;height:95.3pt" o:bullet="t">
        <v:imagedata r:id="rId3" o:title="Puce_rouge"/>
      </v:shape>
    </w:pict>
  </w:numPicBullet>
  <w:abstractNum w:abstractNumId="0" w15:restartNumberingAfterBreak="0">
    <w:nsid w:val="01041C8D"/>
    <w:multiLevelType w:val="hybridMultilevel"/>
    <w:tmpl w:val="01BE3D54"/>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3D62A8"/>
    <w:multiLevelType w:val="hybridMultilevel"/>
    <w:tmpl w:val="07D6EE3E"/>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37E206E"/>
    <w:multiLevelType w:val="hybridMultilevel"/>
    <w:tmpl w:val="D8247A40"/>
    <w:lvl w:ilvl="0" w:tplc="6488150E">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D152C7"/>
    <w:multiLevelType w:val="hybridMultilevel"/>
    <w:tmpl w:val="E3C82CE0"/>
    <w:lvl w:ilvl="0" w:tplc="FFFFFFFF">
      <w:start w:val="1"/>
      <w:numFmt w:val="bullet"/>
      <w:lvlText w:val=""/>
      <w:lvlJc w:val="left"/>
      <w:pPr>
        <w:ind w:left="720" w:hanging="360"/>
      </w:pPr>
      <w:rPr>
        <w:rFonts w:ascii="Symbol" w:hAnsi="Symbol" w:hint="default"/>
        <w:color w:val="auto"/>
        <w:sz w:val="28"/>
        <w:szCs w:val="28"/>
      </w:rPr>
    </w:lvl>
    <w:lvl w:ilvl="1" w:tplc="F8BCE254">
      <w:start w:val="1"/>
      <w:numFmt w:val="bullet"/>
      <w:lvlText w:val=""/>
      <w:lvlPicBulletId w:val="0"/>
      <w:lvlJc w:val="left"/>
      <w:pPr>
        <w:ind w:left="1440" w:hanging="360"/>
      </w:pPr>
      <w:rPr>
        <w:rFonts w:ascii="Symbol" w:hAnsi="Symbol" w:hint="default"/>
        <w:color w:val="auto"/>
        <w:sz w:val="16"/>
        <w:szCs w:val="18"/>
        <w:lang w:val="fr-FR"/>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ource Sans Pro" w:eastAsiaTheme="minorHAnsi" w:hAnsi="Source Sans Pro" w:cs="Source Sans Pro" w:hint="default"/>
      </w:rPr>
    </w:lvl>
    <w:lvl w:ilvl="4" w:tplc="FFFFFFFF">
      <w:start w:val="1"/>
      <w:numFmt w:val="bullet"/>
      <w:lvlText w:val=""/>
      <w:lvlJc w:val="left"/>
      <w:pPr>
        <w:ind w:left="3600" w:hanging="360"/>
      </w:pPr>
      <w:rPr>
        <w:rFonts w:ascii="Wingdings" w:eastAsiaTheme="minorHAnsi" w:hAnsi="Wingdings" w:cstheme="minorHAnsi"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5EB3D81"/>
    <w:multiLevelType w:val="multilevel"/>
    <w:tmpl w:val="60949784"/>
    <w:lvl w:ilvl="0">
      <w:start w:val="3"/>
      <w:numFmt w:val="decimal"/>
      <w:lvlText w:val="%1."/>
      <w:lvlJc w:val="left"/>
      <w:pPr>
        <w:ind w:left="540" w:hanging="540"/>
      </w:pPr>
      <w:rPr>
        <w:rFonts w:hint="default"/>
      </w:rPr>
    </w:lvl>
    <w:lvl w:ilvl="1">
      <w:start w:val="2"/>
      <w:numFmt w:val="decimal"/>
      <w:lvlText w:val="%1.%2."/>
      <w:lvlJc w:val="left"/>
      <w:pPr>
        <w:ind w:left="1146" w:hanging="720"/>
      </w:pPr>
      <w:rPr>
        <w:rFonts w:hint="default"/>
      </w:rPr>
    </w:lvl>
    <w:lvl w:ilvl="2">
      <w:start w:val="1"/>
      <w:numFmt w:val="decimal"/>
      <w:lvlText w:val="%1.%2.%3."/>
      <w:lvlJc w:val="left"/>
      <w:pPr>
        <w:ind w:left="1932" w:hanging="108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3144" w:hanging="1440"/>
      </w:pPr>
      <w:rPr>
        <w:rFonts w:hint="default"/>
      </w:rPr>
    </w:lvl>
    <w:lvl w:ilvl="5">
      <w:start w:val="1"/>
      <w:numFmt w:val="decimal"/>
      <w:lvlText w:val="%1.%2.%3.%4.%5.%6."/>
      <w:lvlJc w:val="left"/>
      <w:pPr>
        <w:ind w:left="3930" w:hanging="1800"/>
      </w:pPr>
      <w:rPr>
        <w:rFonts w:hint="default"/>
      </w:rPr>
    </w:lvl>
    <w:lvl w:ilvl="6">
      <w:start w:val="1"/>
      <w:numFmt w:val="decimal"/>
      <w:lvlText w:val="%1.%2.%3.%4.%5.%6.%7."/>
      <w:lvlJc w:val="left"/>
      <w:pPr>
        <w:ind w:left="4716" w:hanging="2160"/>
      </w:pPr>
      <w:rPr>
        <w:rFonts w:hint="default"/>
      </w:rPr>
    </w:lvl>
    <w:lvl w:ilvl="7">
      <w:start w:val="1"/>
      <w:numFmt w:val="decimal"/>
      <w:lvlText w:val="%1.%2.%3.%4.%5.%6.%7.%8."/>
      <w:lvlJc w:val="left"/>
      <w:pPr>
        <w:ind w:left="5142" w:hanging="2160"/>
      </w:pPr>
      <w:rPr>
        <w:rFonts w:hint="default"/>
      </w:rPr>
    </w:lvl>
    <w:lvl w:ilvl="8">
      <w:start w:val="1"/>
      <w:numFmt w:val="decimal"/>
      <w:lvlText w:val="%1.%2.%3.%4.%5.%6.%7.%8.%9."/>
      <w:lvlJc w:val="left"/>
      <w:pPr>
        <w:ind w:left="5928" w:hanging="2520"/>
      </w:pPr>
      <w:rPr>
        <w:rFonts w:hint="default"/>
      </w:rPr>
    </w:lvl>
  </w:abstractNum>
  <w:abstractNum w:abstractNumId="5" w15:restartNumberingAfterBreak="0">
    <w:nsid w:val="07D765B8"/>
    <w:multiLevelType w:val="multilevel"/>
    <w:tmpl w:val="0B24E208"/>
    <w:lvl w:ilvl="0">
      <w:start w:val="1"/>
      <w:numFmt w:val="decimal"/>
      <w:lvlText w:val="%1."/>
      <w:lvlJc w:val="left"/>
      <w:pPr>
        <w:ind w:left="644" w:hanging="360"/>
      </w:pPr>
      <w:rPr>
        <w:rFonts w:ascii="Source Sans Pro" w:hAnsi="Source Sans Pro" w:hint="default"/>
        <w:sz w:val="36"/>
      </w:rPr>
    </w:lvl>
    <w:lvl w:ilvl="1">
      <w:start w:val="1"/>
      <w:numFmt w:val="decimal"/>
      <w:isLgl/>
      <w:lvlText w:val="%1.%2"/>
      <w:lvlJc w:val="left"/>
      <w:pPr>
        <w:ind w:left="730" w:hanging="37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098B4655"/>
    <w:multiLevelType w:val="hybridMultilevel"/>
    <w:tmpl w:val="EA405D9A"/>
    <w:lvl w:ilvl="0" w:tplc="F8BCE254">
      <w:start w:val="1"/>
      <w:numFmt w:val="bullet"/>
      <w:lvlText w:val=""/>
      <w:lvlPicBulletId w:val="0"/>
      <w:lvlJc w:val="left"/>
      <w:pPr>
        <w:tabs>
          <w:tab w:val="num" w:pos="720"/>
        </w:tabs>
        <w:ind w:left="720" w:hanging="360"/>
      </w:pPr>
      <w:rPr>
        <w:rFonts w:ascii="Symbol" w:hAnsi="Symbol" w:hint="default"/>
        <w:color w:val="auto"/>
        <w:sz w:val="16"/>
        <w:szCs w:val="18"/>
        <w:lang w:val="fr-FR"/>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AB8603F"/>
    <w:multiLevelType w:val="hybridMultilevel"/>
    <w:tmpl w:val="BE380014"/>
    <w:lvl w:ilvl="0" w:tplc="FFFFFFFF">
      <w:start w:val="1"/>
      <w:numFmt w:val="bullet"/>
      <w:lvlText w:val=""/>
      <w:lvlJc w:val="left"/>
      <w:pPr>
        <w:tabs>
          <w:tab w:val="num" w:pos="720"/>
        </w:tabs>
        <w:ind w:left="720" w:hanging="360"/>
      </w:pPr>
      <w:rPr>
        <w:rFonts w:ascii="Symbol" w:hAnsi="Symbol" w:hint="default"/>
      </w:rPr>
    </w:lvl>
    <w:lvl w:ilvl="1" w:tplc="F8BCE254">
      <w:start w:val="1"/>
      <w:numFmt w:val="bullet"/>
      <w:lvlText w:val=""/>
      <w:lvlPicBulletId w:val="0"/>
      <w:lvlJc w:val="left"/>
      <w:pPr>
        <w:ind w:left="720" w:hanging="360"/>
      </w:pPr>
      <w:rPr>
        <w:rFonts w:ascii="Symbol" w:hAnsi="Symbol" w:hint="default"/>
        <w:color w:val="auto"/>
        <w:sz w:val="16"/>
        <w:szCs w:val="18"/>
        <w:lang w:val="fr-FR"/>
      </w:rPr>
    </w:lvl>
    <w:lvl w:ilvl="2" w:tplc="FFFFFFFF" w:tentative="1">
      <w:start w:val="1"/>
      <w:numFmt w:val="bullet"/>
      <w:lvlText w:val=""/>
      <w:lvlJc w:val="left"/>
      <w:pPr>
        <w:tabs>
          <w:tab w:val="num" w:pos="2160"/>
        </w:tabs>
        <w:ind w:left="21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
      <w:lvlJc w:val="left"/>
      <w:pPr>
        <w:tabs>
          <w:tab w:val="num" w:pos="3600"/>
        </w:tabs>
        <w:ind w:left="3600" w:hanging="360"/>
      </w:pPr>
      <w:rPr>
        <w:rFonts w:ascii="Symbol" w:hAnsi="Symbol" w:hint="default"/>
      </w:rPr>
    </w:lvl>
    <w:lvl w:ilvl="5" w:tplc="FFFFFFFF" w:tentative="1">
      <w:start w:val="1"/>
      <w:numFmt w:val="bullet"/>
      <w:lvlText w:val=""/>
      <w:lvlJc w:val="left"/>
      <w:pPr>
        <w:tabs>
          <w:tab w:val="num" w:pos="4320"/>
        </w:tabs>
        <w:ind w:left="4320" w:hanging="360"/>
      </w:pPr>
      <w:rPr>
        <w:rFonts w:ascii="Symbol" w:hAnsi="Symbol"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
      <w:lvlJc w:val="left"/>
      <w:pPr>
        <w:tabs>
          <w:tab w:val="num" w:pos="5760"/>
        </w:tabs>
        <w:ind w:left="5760" w:hanging="360"/>
      </w:pPr>
      <w:rPr>
        <w:rFonts w:ascii="Symbol" w:hAnsi="Symbol" w:hint="default"/>
      </w:rPr>
    </w:lvl>
    <w:lvl w:ilvl="8" w:tplc="FFFFFFFF"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0BE50922"/>
    <w:multiLevelType w:val="multilevel"/>
    <w:tmpl w:val="165E8EF0"/>
    <w:lvl w:ilvl="0">
      <w:start w:val="1"/>
      <w:numFmt w:val="decimal"/>
      <w:pStyle w:val="StyleYO"/>
      <w:lvlText w:val="%1."/>
      <w:lvlJc w:val="left"/>
      <w:pPr>
        <w:ind w:left="720" w:hanging="360"/>
      </w:pPr>
      <w:rPr>
        <w:rFonts w:ascii="Source Sans Pro" w:hAnsi="Source Sans Pro" w:hint="default"/>
        <w:sz w:val="36"/>
      </w:rPr>
    </w:lvl>
    <w:lvl w:ilvl="1">
      <w:start w:val="1"/>
      <w:numFmt w:val="decimal"/>
      <w:isLgl/>
      <w:lvlText w:val="%1.%2"/>
      <w:lvlJc w:val="left"/>
      <w:pPr>
        <w:ind w:left="730" w:hanging="37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0CEF6BEC"/>
    <w:multiLevelType w:val="hybridMultilevel"/>
    <w:tmpl w:val="FAC27CDE"/>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start w:val="1"/>
      <w:numFmt w:val="bullet"/>
      <w:lvlText w:val="o"/>
      <w:lvlJc w:val="left"/>
      <w:pPr>
        <w:ind w:left="1440" w:hanging="360"/>
      </w:pPr>
      <w:rPr>
        <w:rFonts w:ascii="Courier New" w:hAnsi="Courier New" w:cs="Courier New" w:hint="default"/>
      </w:rPr>
    </w:lvl>
    <w:lvl w:ilvl="2" w:tplc="F8BCE254">
      <w:start w:val="1"/>
      <w:numFmt w:val="bullet"/>
      <w:lvlText w:val=""/>
      <w:lvlPicBulletId w:val="0"/>
      <w:lvlJc w:val="left"/>
      <w:pPr>
        <w:ind w:left="720" w:hanging="360"/>
      </w:pPr>
      <w:rPr>
        <w:rFonts w:ascii="Symbol" w:hAnsi="Symbol" w:hint="default"/>
        <w:color w:val="auto"/>
        <w:sz w:val="16"/>
        <w:szCs w:val="18"/>
        <w:lang w:val="fr-FR"/>
      </w:rPr>
    </w:lvl>
    <w:lvl w:ilvl="3" w:tplc="FFFFFFFF">
      <w:start w:val="1"/>
      <w:numFmt w:val="bullet"/>
      <w:lvlText w:val=""/>
      <w:lvlJc w:val="left"/>
      <w:pPr>
        <w:ind w:left="2880" w:hanging="360"/>
      </w:pPr>
      <w:rPr>
        <w:rFonts w:ascii="Symbol" w:hAnsi="Symbol" w:hint="default"/>
      </w:rPr>
    </w:lvl>
    <w:lvl w:ilvl="4" w:tplc="FFFFFFFF">
      <w:start w:val="8"/>
      <w:numFmt w:val="bullet"/>
      <w:lvlText w:val=""/>
      <w:lvlJc w:val="left"/>
      <w:pPr>
        <w:ind w:left="3600" w:hanging="360"/>
      </w:pPr>
      <w:rPr>
        <w:rFonts w:ascii="Wingdings" w:eastAsiaTheme="minorHAnsi" w:hAnsi="Wingdings" w:cstheme="minorBidi" w:hint="default"/>
      </w:rPr>
    </w:lvl>
    <w:lvl w:ilvl="5" w:tplc="BD0E6CBA">
      <w:numFmt w:val="bullet"/>
      <w:lvlText w:val="•"/>
      <w:lvlJc w:val="left"/>
      <w:pPr>
        <w:ind w:left="4320" w:hanging="360"/>
      </w:pPr>
      <w:rPr>
        <w:rFonts w:ascii="Source Sans Pro" w:eastAsia="Times New Roman" w:hAnsi="Source Sans Pro" w:cs="Open San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0E96339"/>
    <w:multiLevelType w:val="hybridMultilevel"/>
    <w:tmpl w:val="1F58E414"/>
    <w:lvl w:ilvl="0" w:tplc="E4A89FB0">
      <w:start w:val="1"/>
      <w:numFmt w:val="bullet"/>
      <w:lvlText w:val=""/>
      <w:lvlPicBulletId w:val="2"/>
      <w:lvlJc w:val="left"/>
      <w:pPr>
        <w:ind w:left="720" w:hanging="360"/>
      </w:pPr>
      <w:rPr>
        <w:rFonts w:ascii="Symbol" w:hAnsi="Symbol"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148334D"/>
    <w:multiLevelType w:val="hybridMultilevel"/>
    <w:tmpl w:val="F3F48154"/>
    <w:lvl w:ilvl="0" w:tplc="E4A89FB0">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1896232"/>
    <w:multiLevelType w:val="hybridMultilevel"/>
    <w:tmpl w:val="E13E86EE"/>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2032293"/>
    <w:multiLevelType w:val="multilevel"/>
    <w:tmpl w:val="90385674"/>
    <w:lvl w:ilvl="0">
      <w:start w:val="1"/>
      <w:numFmt w:val="decimal"/>
      <w:lvlText w:val="%1."/>
      <w:lvlJc w:val="left"/>
      <w:pPr>
        <w:ind w:left="1080" w:hanging="360"/>
      </w:pPr>
      <w:rPr>
        <w:rFonts w:ascii="Source Sans Pro" w:hAnsi="Source Sans Pro" w:hint="default"/>
        <w:sz w:val="36"/>
      </w:rPr>
    </w:lvl>
    <w:lvl w:ilvl="1">
      <w:start w:val="2"/>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520" w:hanging="180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880" w:hanging="2160"/>
      </w:pPr>
      <w:rPr>
        <w:rFonts w:hint="default"/>
      </w:rPr>
    </w:lvl>
    <w:lvl w:ilvl="8">
      <w:start w:val="1"/>
      <w:numFmt w:val="decimal"/>
      <w:isLgl/>
      <w:lvlText w:val="%1.%2.%3.%4.%5.%6.%7.%8.%9"/>
      <w:lvlJc w:val="left"/>
      <w:pPr>
        <w:ind w:left="3240" w:hanging="2520"/>
      </w:pPr>
      <w:rPr>
        <w:rFonts w:hint="default"/>
      </w:rPr>
    </w:lvl>
  </w:abstractNum>
  <w:abstractNum w:abstractNumId="14" w15:restartNumberingAfterBreak="0">
    <w:nsid w:val="132229CC"/>
    <w:multiLevelType w:val="multilevel"/>
    <w:tmpl w:val="7ED40C44"/>
    <w:lvl w:ilvl="0">
      <w:start w:val="1"/>
      <w:numFmt w:val="bullet"/>
      <w:lvlText w:val=""/>
      <w:lvlPicBulletId w:val="0"/>
      <w:lvlJc w:val="left"/>
      <w:pPr>
        <w:tabs>
          <w:tab w:val="num" w:pos="720"/>
        </w:tabs>
        <w:ind w:left="720" w:hanging="360"/>
      </w:pPr>
      <w:rPr>
        <w:rFonts w:ascii="Symbol" w:hAnsi="Symbol" w:hint="default"/>
        <w:color w:val="auto"/>
        <w:sz w:val="16"/>
        <w:szCs w:val="18"/>
        <w:lang w:val="fr-FR"/>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3640D42"/>
    <w:multiLevelType w:val="hybridMultilevel"/>
    <w:tmpl w:val="9BA803E6"/>
    <w:lvl w:ilvl="0" w:tplc="8F1E0CB4">
      <w:start w:val="1"/>
      <w:numFmt w:val="bullet"/>
      <w:lvlText w:val=""/>
      <w:lvlPicBulletId w:val="1"/>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3F37DF4"/>
    <w:multiLevelType w:val="hybridMultilevel"/>
    <w:tmpl w:val="17A6C2FC"/>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16212CC7"/>
    <w:multiLevelType w:val="multilevel"/>
    <w:tmpl w:val="E680408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1728079E"/>
    <w:multiLevelType w:val="multilevel"/>
    <w:tmpl w:val="D7660362"/>
    <w:lvl w:ilvl="0">
      <w:start w:val="3"/>
      <w:numFmt w:val="decimal"/>
      <w:lvlText w:val="%1."/>
      <w:lvlJc w:val="left"/>
      <w:pPr>
        <w:ind w:left="540" w:hanging="540"/>
      </w:pPr>
      <w:rPr>
        <w:rFonts w:hint="default"/>
      </w:rPr>
    </w:lvl>
    <w:lvl w:ilvl="1">
      <w:start w:val="1"/>
      <w:numFmt w:val="decimal"/>
      <w:lvlText w:val="%1.%2."/>
      <w:lvlJc w:val="left"/>
      <w:pPr>
        <w:ind w:left="1450" w:hanging="720"/>
      </w:pPr>
      <w:rPr>
        <w:rFonts w:hint="default"/>
      </w:rPr>
    </w:lvl>
    <w:lvl w:ilvl="2">
      <w:start w:val="1"/>
      <w:numFmt w:val="decimal"/>
      <w:lvlText w:val="%1.%2.%3."/>
      <w:lvlJc w:val="left"/>
      <w:pPr>
        <w:ind w:left="2540" w:hanging="1080"/>
      </w:pPr>
      <w:rPr>
        <w:rFonts w:hint="default"/>
      </w:rPr>
    </w:lvl>
    <w:lvl w:ilvl="3">
      <w:start w:val="1"/>
      <w:numFmt w:val="decimal"/>
      <w:lvlText w:val="%1.%2.%3.%4."/>
      <w:lvlJc w:val="left"/>
      <w:pPr>
        <w:ind w:left="3270" w:hanging="1080"/>
      </w:pPr>
      <w:rPr>
        <w:rFonts w:hint="default"/>
      </w:rPr>
    </w:lvl>
    <w:lvl w:ilvl="4">
      <w:start w:val="1"/>
      <w:numFmt w:val="decimal"/>
      <w:lvlText w:val="%1.%2.%3.%4.%5."/>
      <w:lvlJc w:val="left"/>
      <w:pPr>
        <w:ind w:left="4360" w:hanging="1440"/>
      </w:pPr>
      <w:rPr>
        <w:rFonts w:hint="default"/>
      </w:rPr>
    </w:lvl>
    <w:lvl w:ilvl="5">
      <w:start w:val="1"/>
      <w:numFmt w:val="decimal"/>
      <w:lvlText w:val="%1.%2.%3.%4.%5.%6."/>
      <w:lvlJc w:val="left"/>
      <w:pPr>
        <w:ind w:left="5450" w:hanging="1800"/>
      </w:pPr>
      <w:rPr>
        <w:rFonts w:hint="default"/>
      </w:rPr>
    </w:lvl>
    <w:lvl w:ilvl="6">
      <w:start w:val="1"/>
      <w:numFmt w:val="decimal"/>
      <w:lvlText w:val="%1.%2.%3.%4.%5.%6.%7."/>
      <w:lvlJc w:val="left"/>
      <w:pPr>
        <w:ind w:left="6540" w:hanging="2160"/>
      </w:pPr>
      <w:rPr>
        <w:rFonts w:hint="default"/>
      </w:rPr>
    </w:lvl>
    <w:lvl w:ilvl="7">
      <w:start w:val="1"/>
      <w:numFmt w:val="decimal"/>
      <w:lvlText w:val="%1.%2.%3.%4.%5.%6.%7.%8."/>
      <w:lvlJc w:val="left"/>
      <w:pPr>
        <w:ind w:left="7270" w:hanging="2160"/>
      </w:pPr>
      <w:rPr>
        <w:rFonts w:hint="default"/>
      </w:rPr>
    </w:lvl>
    <w:lvl w:ilvl="8">
      <w:start w:val="1"/>
      <w:numFmt w:val="decimal"/>
      <w:lvlText w:val="%1.%2.%3.%4.%5.%6.%7.%8.%9."/>
      <w:lvlJc w:val="left"/>
      <w:pPr>
        <w:ind w:left="8360" w:hanging="2520"/>
      </w:pPr>
      <w:rPr>
        <w:rFonts w:hint="default"/>
      </w:rPr>
    </w:lvl>
  </w:abstractNum>
  <w:abstractNum w:abstractNumId="19" w15:restartNumberingAfterBreak="0">
    <w:nsid w:val="18D427A8"/>
    <w:multiLevelType w:val="multilevel"/>
    <w:tmpl w:val="B8AC1FD4"/>
    <w:lvl w:ilvl="0">
      <w:start w:val="1"/>
      <w:numFmt w:val="bullet"/>
      <w:lvlText w:val=""/>
      <w:lvlPicBulletId w:val="2"/>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97C7164"/>
    <w:multiLevelType w:val="hybridMultilevel"/>
    <w:tmpl w:val="A9E06956"/>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A7663D8"/>
    <w:multiLevelType w:val="hybridMultilevel"/>
    <w:tmpl w:val="7C5A090A"/>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1C174217"/>
    <w:multiLevelType w:val="hybridMultilevel"/>
    <w:tmpl w:val="39FE2AC0"/>
    <w:lvl w:ilvl="0" w:tplc="C17069C2">
      <w:start w:val="1"/>
      <w:numFmt w:val="bullet"/>
      <w:pStyle w:val="Texteencadr"/>
      <w:lvlText w:val=""/>
      <w:lvlJc w:val="left"/>
      <w:pPr>
        <w:ind w:left="720" w:hanging="360"/>
      </w:pPr>
      <w:rPr>
        <w:rFonts w:ascii="Symbol" w:hAnsi="Symbol" w:hint="default"/>
        <w:color w:val="auto"/>
        <w:sz w:val="28"/>
        <w:szCs w:val="28"/>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8F5408CC">
      <w:start w:val="1"/>
      <w:numFmt w:val="bullet"/>
      <w:lvlText w:val="-"/>
      <w:lvlJc w:val="left"/>
      <w:pPr>
        <w:ind w:left="2880" w:hanging="360"/>
      </w:pPr>
      <w:rPr>
        <w:rFonts w:ascii="Source Sans Pro" w:eastAsiaTheme="minorHAnsi" w:hAnsi="Source Sans Pro" w:cs="Source Sans Pro" w:hint="default"/>
      </w:rPr>
    </w:lvl>
    <w:lvl w:ilvl="4" w:tplc="6D862EF2">
      <w:start w:val="1"/>
      <w:numFmt w:val="bullet"/>
      <w:lvlText w:val=""/>
      <w:lvlJc w:val="left"/>
      <w:pPr>
        <w:ind w:left="3600" w:hanging="360"/>
      </w:pPr>
      <w:rPr>
        <w:rFonts w:ascii="Wingdings" w:eastAsiaTheme="minorHAnsi" w:hAnsi="Wingdings" w:cstheme="minorHAnsi"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1E402F96"/>
    <w:multiLevelType w:val="hybridMultilevel"/>
    <w:tmpl w:val="C298DAC6"/>
    <w:lvl w:ilvl="0" w:tplc="E4A89FB0">
      <w:start w:val="1"/>
      <w:numFmt w:val="bullet"/>
      <w:lvlText w:val=""/>
      <w:lvlPicBulletId w:val="2"/>
      <w:lvlJc w:val="left"/>
      <w:pPr>
        <w:ind w:left="720" w:hanging="360"/>
      </w:pPr>
      <w:rPr>
        <w:rFonts w:ascii="Symbol" w:hAnsi="Symbol"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1FEC47FE"/>
    <w:multiLevelType w:val="multilevel"/>
    <w:tmpl w:val="782A52BA"/>
    <w:lvl w:ilvl="0">
      <w:start w:val="1"/>
      <w:numFmt w:val="decimal"/>
      <w:lvlText w:val="%1."/>
      <w:lvlJc w:val="left"/>
      <w:pPr>
        <w:ind w:left="720" w:hanging="360"/>
      </w:pPr>
      <w:rPr>
        <w:rFonts w:ascii="Source Sans Pro" w:hAnsi="Source Sans Pro" w:hint="default"/>
        <w:sz w:val="36"/>
      </w:rPr>
    </w:lvl>
    <w:lvl w:ilvl="1">
      <w:start w:val="1"/>
      <w:numFmt w:val="decimal"/>
      <w:isLgl/>
      <w:lvlText w:val="%1.%2"/>
      <w:lvlJc w:val="left"/>
      <w:pPr>
        <w:ind w:left="730" w:hanging="37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24EC1824"/>
    <w:multiLevelType w:val="hybridMultilevel"/>
    <w:tmpl w:val="AFDC2A50"/>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24F803F8"/>
    <w:multiLevelType w:val="multilevel"/>
    <w:tmpl w:val="C712BB68"/>
    <w:lvl w:ilvl="0">
      <w:start w:val="1"/>
      <w:numFmt w:val="decimal"/>
      <w:lvlText w:val="%1."/>
      <w:lvlJc w:val="left"/>
      <w:pPr>
        <w:ind w:left="730" w:hanging="370"/>
      </w:pPr>
      <w:rPr>
        <w:rFonts w:ascii="Source Sans Pro" w:hAnsi="Source Sans Pro" w:hint="default"/>
        <w:sz w:val="36"/>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7" w15:restartNumberingAfterBreak="0">
    <w:nsid w:val="258E6CAC"/>
    <w:multiLevelType w:val="hybridMultilevel"/>
    <w:tmpl w:val="C7C2D07C"/>
    <w:lvl w:ilvl="0" w:tplc="8F1E0CB4">
      <w:start w:val="1"/>
      <w:numFmt w:val="bullet"/>
      <w:lvlText w:val=""/>
      <w:lvlPicBulletId w:val="1"/>
      <w:lvlJc w:val="left"/>
      <w:pPr>
        <w:ind w:left="720" w:hanging="360"/>
      </w:pPr>
      <w:rPr>
        <w:rFonts w:ascii="Symbol" w:hAnsi="Symbol" w:hint="default"/>
        <w:color w:val="auto"/>
        <w:sz w:val="1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65D7A8E"/>
    <w:multiLevelType w:val="hybridMultilevel"/>
    <w:tmpl w:val="C0F40166"/>
    <w:lvl w:ilvl="0" w:tplc="8F1E0CB4">
      <w:start w:val="1"/>
      <w:numFmt w:val="bullet"/>
      <w:lvlText w:val=""/>
      <w:lvlPicBulletId w:val="1"/>
      <w:lvlJc w:val="left"/>
      <w:pPr>
        <w:ind w:left="720" w:hanging="360"/>
      </w:pPr>
      <w:rPr>
        <w:rFonts w:ascii="Symbol" w:hAnsi="Symbol" w:hint="default"/>
        <w:color w:val="auto"/>
        <w:sz w:val="16"/>
        <w:szCs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26D3379C"/>
    <w:multiLevelType w:val="hybridMultilevel"/>
    <w:tmpl w:val="D7FA1B38"/>
    <w:lvl w:ilvl="0" w:tplc="040C0015">
      <w:start w:val="2"/>
      <w:numFmt w:val="upperLetter"/>
      <w:lvlText w:val="%1."/>
      <w:lvlJc w:val="left"/>
      <w:pPr>
        <w:ind w:left="720" w:hanging="360"/>
      </w:pPr>
      <w:rPr>
        <w:rFonts w:hint="default"/>
      </w:rPr>
    </w:lvl>
    <w:lvl w:ilvl="1" w:tplc="927C187E">
      <w:start w:val="1"/>
      <w:numFmt w:val="decimal"/>
      <w:pStyle w:val="Style5"/>
      <w:lvlText w:val="%2."/>
      <w:lvlJc w:val="left"/>
      <w:pPr>
        <w:ind w:left="1440" w:hanging="36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26FF47D6"/>
    <w:multiLevelType w:val="hybridMultilevel"/>
    <w:tmpl w:val="1A661C30"/>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27605102"/>
    <w:multiLevelType w:val="hybridMultilevel"/>
    <w:tmpl w:val="E4DEBA58"/>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2786769F"/>
    <w:multiLevelType w:val="hybridMultilevel"/>
    <w:tmpl w:val="FEEC4198"/>
    <w:lvl w:ilvl="0" w:tplc="25884C3E">
      <w:start w:val="1"/>
      <w:numFmt w:val="bullet"/>
      <w:lvlText w:val=""/>
      <w:lvlJc w:val="left"/>
      <w:pPr>
        <w:ind w:left="720" w:hanging="360"/>
      </w:pPr>
      <w:rPr>
        <w:rFonts w:ascii="Symbol" w:hAnsi="Symbol" w:hint="default"/>
        <w:color w:val="000000" w:themeColor="text1"/>
        <w:u w:color="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7EC3C58"/>
    <w:multiLevelType w:val="hybridMultilevel"/>
    <w:tmpl w:val="2AD0BAFC"/>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2B3D0F3B"/>
    <w:multiLevelType w:val="hybridMultilevel"/>
    <w:tmpl w:val="BB261D90"/>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2B4C49DF"/>
    <w:multiLevelType w:val="hybridMultilevel"/>
    <w:tmpl w:val="8E3281A2"/>
    <w:lvl w:ilvl="0" w:tplc="F8BCE254">
      <w:start w:val="1"/>
      <w:numFmt w:val="bullet"/>
      <w:lvlText w:val=""/>
      <w:lvlPicBulletId w:val="0"/>
      <w:lvlJc w:val="left"/>
      <w:pPr>
        <w:ind w:left="1080" w:hanging="360"/>
      </w:pPr>
      <w:rPr>
        <w:rFonts w:ascii="Symbol" w:hAnsi="Symbol" w:hint="default"/>
        <w:color w:val="auto"/>
        <w:sz w:val="16"/>
        <w:szCs w:val="18"/>
        <w:lang w:val="fr-FR"/>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6" w15:restartNumberingAfterBreak="0">
    <w:nsid w:val="2B78639C"/>
    <w:multiLevelType w:val="hybridMultilevel"/>
    <w:tmpl w:val="7ED2D942"/>
    <w:lvl w:ilvl="0" w:tplc="F8BCE254">
      <w:start w:val="1"/>
      <w:numFmt w:val="bullet"/>
      <w:lvlText w:val=""/>
      <w:lvlPicBulletId w:val="0"/>
      <w:lvlJc w:val="left"/>
      <w:pPr>
        <w:ind w:left="1713" w:hanging="360"/>
      </w:pPr>
      <w:rPr>
        <w:rFonts w:ascii="Symbol" w:hAnsi="Symbol" w:hint="default"/>
        <w:color w:val="auto"/>
        <w:sz w:val="16"/>
        <w:szCs w:val="18"/>
      </w:rPr>
    </w:lvl>
    <w:lvl w:ilvl="1" w:tplc="FFFFFFFF">
      <w:start w:val="1"/>
      <w:numFmt w:val="bullet"/>
      <w:lvlText w:val="o"/>
      <w:lvlJc w:val="left"/>
      <w:pPr>
        <w:ind w:left="2433" w:hanging="360"/>
      </w:pPr>
      <w:rPr>
        <w:rFonts w:ascii="Courier New" w:hAnsi="Courier New" w:cs="Courier New" w:hint="default"/>
      </w:rPr>
    </w:lvl>
    <w:lvl w:ilvl="2" w:tplc="FFFFFFFF">
      <w:start w:val="1"/>
      <w:numFmt w:val="bullet"/>
      <w:lvlText w:val=""/>
      <w:lvlJc w:val="left"/>
      <w:pPr>
        <w:ind w:left="3153" w:hanging="360"/>
      </w:pPr>
      <w:rPr>
        <w:rFonts w:ascii="Wingdings" w:hAnsi="Wingdings" w:hint="default"/>
      </w:rPr>
    </w:lvl>
    <w:lvl w:ilvl="3" w:tplc="FFFFFFFF">
      <w:start w:val="1"/>
      <w:numFmt w:val="bullet"/>
      <w:lvlText w:val=""/>
      <w:lvlJc w:val="left"/>
      <w:pPr>
        <w:ind w:left="3873" w:hanging="360"/>
      </w:pPr>
      <w:rPr>
        <w:rFonts w:ascii="Symbol" w:hAnsi="Symbol" w:hint="default"/>
      </w:rPr>
    </w:lvl>
    <w:lvl w:ilvl="4" w:tplc="FFFFFFFF" w:tentative="1">
      <w:start w:val="1"/>
      <w:numFmt w:val="bullet"/>
      <w:lvlText w:val="o"/>
      <w:lvlJc w:val="left"/>
      <w:pPr>
        <w:ind w:left="4593" w:hanging="360"/>
      </w:pPr>
      <w:rPr>
        <w:rFonts w:ascii="Courier New" w:hAnsi="Courier New" w:cs="Courier New" w:hint="default"/>
      </w:rPr>
    </w:lvl>
    <w:lvl w:ilvl="5" w:tplc="FFFFFFFF" w:tentative="1">
      <w:start w:val="1"/>
      <w:numFmt w:val="bullet"/>
      <w:lvlText w:val=""/>
      <w:lvlJc w:val="left"/>
      <w:pPr>
        <w:ind w:left="5313" w:hanging="360"/>
      </w:pPr>
      <w:rPr>
        <w:rFonts w:ascii="Wingdings" w:hAnsi="Wingdings" w:hint="default"/>
      </w:rPr>
    </w:lvl>
    <w:lvl w:ilvl="6" w:tplc="FFFFFFFF" w:tentative="1">
      <w:start w:val="1"/>
      <w:numFmt w:val="bullet"/>
      <w:lvlText w:val=""/>
      <w:lvlJc w:val="left"/>
      <w:pPr>
        <w:ind w:left="6033" w:hanging="360"/>
      </w:pPr>
      <w:rPr>
        <w:rFonts w:ascii="Symbol" w:hAnsi="Symbol" w:hint="default"/>
      </w:rPr>
    </w:lvl>
    <w:lvl w:ilvl="7" w:tplc="FFFFFFFF" w:tentative="1">
      <w:start w:val="1"/>
      <w:numFmt w:val="bullet"/>
      <w:lvlText w:val="o"/>
      <w:lvlJc w:val="left"/>
      <w:pPr>
        <w:ind w:left="6753" w:hanging="360"/>
      </w:pPr>
      <w:rPr>
        <w:rFonts w:ascii="Courier New" w:hAnsi="Courier New" w:cs="Courier New" w:hint="default"/>
      </w:rPr>
    </w:lvl>
    <w:lvl w:ilvl="8" w:tplc="FFFFFFFF" w:tentative="1">
      <w:start w:val="1"/>
      <w:numFmt w:val="bullet"/>
      <w:lvlText w:val=""/>
      <w:lvlJc w:val="left"/>
      <w:pPr>
        <w:ind w:left="7473" w:hanging="360"/>
      </w:pPr>
      <w:rPr>
        <w:rFonts w:ascii="Wingdings" w:hAnsi="Wingdings" w:hint="default"/>
      </w:rPr>
    </w:lvl>
  </w:abstractNum>
  <w:abstractNum w:abstractNumId="37" w15:restartNumberingAfterBreak="0">
    <w:nsid w:val="2CE92922"/>
    <w:multiLevelType w:val="hybridMultilevel"/>
    <w:tmpl w:val="7EF61990"/>
    <w:lvl w:ilvl="0" w:tplc="0F64AC90">
      <w:start w:val="1"/>
      <w:numFmt w:val="lowerRoman"/>
      <w:pStyle w:val="Style1"/>
      <w:lvlText w:val="%1."/>
      <w:lvlJc w:val="right"/>
      <w:pPr>
        <w:ind w:left="6314" w:hanging="360"/>
      </w:pPr>
      <w:rPr>
        <w:rFonts w:hint="default"/>
        <w:b w:val="0"/>
        <w:bCs/>
        <w:color w:val="auto"/>
      </w:rPr>
    </w:lvl>
    <w:lvl w:ilvl="1" w:tplc="040C0003">
      <w:start w:val="1"/>
      <w:numFmt w:val="bullet"/>
      <w:lvlText w:val="o"/>
      <w:lvlJc w:val="left"/>
      <w:pPr>
        <w:ind w:left="10706" w:hanging="360"/>
      </w:pPr>
      <w:rPr>
        <w:rFonts w:ascii="Courier New" w:hAnsi="Courier New" w:cs="Courier New" w:hint="default"/>
      </w:rPr>
    </w:lvl>
    <w:lvl w:ilvl="2" w:tplc="040C0005">
      <w:start w:val="1"/>
      <w:numFmt w:val="bullet"/>
      <w:lvlText w:val=""/>
      <w:lvlJc w:val="left"/>
      <w:pPr>
        <w:ind w:left="9386" w:hanging="360"/>
      </w:pPr>
      <w:rPr>
        <w:rFonts w:ascii="Wingdings" w:hAnsi="Wingdings" w:hint="default"/>
      </w:rPr>
    </w:lvl>
    <w:lvl w:ilvl="3" w:tplc="ED986166">
      <w:start w:val="2022"/>
      <w:numFmt w:val="bullet"/>
      <w:lvlText w:val=""/>
      <w:lvlJc w:val="left"/>
      <w:pPr>
        <w:ind w:left="10106" w:hanging="360"/>
      </w:pPr>
      <w:rPr>
        <w:rFonts w:ascii="Wingdings" w:eastAsiaTheme="minorHAnsi" w:hAnsi="Wingdings" w:cstheme="minorHAnsi" w:hint="default"/>
      </w:rPr>
    </w:lvl>
    <w:lvl w:ilvl="4" w:tplc="040C0003" w:tentative="1">
      <w:start w:val="1"/>
      <w:numFmt w:val="bullet"/>
      <w:lvlText w:val="o"/>
      <w:lvlJc w:val="left"/>
      <w:pPr>
        <w:ind w:left="10826" w:hanging="360"/>
      </w:pPr>
      <w:rPr>
        <w:rFonts w:ascii="Courier New" w:hAnsi="Courier New" w:cs="Courier New" w:hint="default"/>
      </w:rPr>
    </w:lvl>
    <w:lvl w:ilvl="5" w:tplc="040C0005" w:tentative="1">
      <w:start w:val="1"/>
      <w:numFmt w:val="bullet"/>
      <w:lvlText w:val=""/>
      <w:lvlJc w:val="left"/>
      <w:pPr>
        <w:ind w:left="11546" w:hanging="360"/>
      </w:pPr>
      <w:rPr>
        <w:rFonts w:ascii="Wingdings" w:hAnsi="Wingdings" w:hint="default"/>
      </w:rPr>
    </w:lvl>
    <w:lvl w:ilvl="6" w:tplc="040C0001" w:tentative="1">
      <w:start w:val="1"/>
      <w:numFmt w:val="bullet"/>
      <w:lvlText w:val=""/>
      <w:lvlJc w:val="left"/>
      <w:pPr>
        <w:ind w:left="12266" w:hanging="360"/>
      </w:pPr>
      <w:rPr>
        <w:rFonts w:ascii="Symbol" w:hAnsi="Symbol" w:hint="default"/>
      </w:rPr>
    </w:lvl>
    <w:lvl w:ilvl="7" w:tplc="040C0003" w:tentative="1">
      <w:start w:val="1"/>
      <w:numFmt w:val="bullet"/>
      <w:lvlText w:val="o"/>
      <w:lvlJc w:val="left"/>
      <w:pPr>
        <w:ind w:left="12986" w:hanging="360"/>
      </w:pPr>
      <w:rPr>
        <w:rFonts w:ascii="Courier New" w:hAnsi="Courier New" w:cs="Courier New" w:hint="default"/>
      </w:rPr>
    </w:lvl>
    <w:lvl w:ilvl="8" w:tplc="040C0005" w:tentative="1">
      <w:start w:val="1"/>
      <w:numFmt w:val="bullet"/>
      <w:lvlText w:val=""/>
      <w:lvlJc w:val="left"/>
      <w:pPr>
        <w:ind w:left="13706" w:hanging="360"/>
      </w:pPr>
      <w:rPr>
        <w:rFonts w:ascii="Wingdings" w:hAnsi="Wingdings" w:hint="default"/>
      </w:rPr>
    </w:lvl>
  </w:abstractNum>
  <w:abstractNum w:abstractNumId="38" w15:restartNumberingAfterBreak="0">
    <w:nsid w:val="2CF90E8F"/>
    <w:multiLevelType w:val="hybridMultilevel"/>
    <w:tmpl w:val="8228AD0A"/>
    <w:lvl w:ilvl="0" w:tplc="F8BCE254">
      <w:start w:val="1"/>
      <w:numFmt w:val="bullet"/>
      <w:lvlText w:val=""/>
      <w:lvlPicBulletId w:val="0"/>
      <w:lvlJc w:val="left"/>
      <w:pPr>
        <w:ind w:left="862" w:hanging="360"/>
      </w:pPr>
      <w:rPr>
        <w:rFonts w:ascii="Symbol" w:hAnsi="Symbol" w:hint="default"/>
        <w:color w:val="auto"/>
        <w:sz w:val="16"/>
        <w:szCs w:val="18"/>
        <w:lang w:val="fr-FR"/>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39" w15:restartNumberingAfterBreak="0">
    <w:nsid w:val="2DD878C5"/>
    <w:multiLevelType w:val="hybridMultilevel"/>
    <w:tmpl w:val="BF06E5C2"/>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307C54E1"/>
    <w:multiLevelType w:val="hybridMultilevel"/>
    <w:tmpl w:val="14B029A4"/>
    <w:lvl w:ilvl="0" w:tplc="8F1E0CB4">
      <w:start w:val="1"/>
      <w:numFmt w:val="bullet"/>
      <w:lvlText w:val=""/>
      <w:lvlPicBulletId w:val="1"/>
      <w:lvlJc w:val="left"/>
      <w:pPr>
        <w:ind w:left="720" w:hanging="360"/>
      </w:pPr>
      <w:rPr>
        <w:rFonts w:ascii="Symbol" w:hAnsi="Symbol" w:hint="default"/>
        <w:color w:val="auto"/>
        <w:sz w:val="16"/>
        <w:szCs w:val="1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310667A5"/>
    <w:multiLevelType w:val="hybridMultilevel"/>
    <w:tmpl w:val="FA0094F2"/>
    <w:lvl w:ilvl="0" w:tplc="25884C3E">
      <w:start w:val="1"/>
      <w:numFmt w:val="bullet"/>
      <w:lvlText w:val=""/>
      <w:lvlJc w:val="left"/>
      <w:pPr>
        <w:ind w:left="720" w:hanging="360"/>
      </w:pPr>
      <w:rPr>
        <w:rFonts w:ascii="Symbol" w:hAnsi="Symbol" w:hint="default"/>
        <w:color w:val="000000" w:themeColor="text1"/>
        <w:sz w:val="16"/>
        <w:szCs w:val="18"/>
        <w:u w:color="000000" w:themeColor="text1"/>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3198505D"/>
    <w:multiLevelType w:val="hybridMultilevel"/>
    <w:tmpl w:val="119E51F8"/>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31A71263"/>
    <w:multiLevelType w:val="hybridMultilevel"/>
    <w:tmpl w:val="055E6A7A"/>
    <w:lvl w:ilvl="0" w:tplc="8F1E0CB4">
      <w:start w:val="1"/>
      <w:numFmt w:val="bullet"/>
      <w:lvlText w:val=""/>
      <w:lvlPicBulletId w:val="1"/>
      <w:lvlJc w:val="left"/>
      <w:pPr>
        <w:ind w:left="786" w:hanging="360"/>
      </w:pPr>
      <w:rPr>
        <w:rFonts w:ascii="Symbol" w:hAnsi="Symbol" w:hint="default"/>
        <w:color w:val="auto"/>
        <w:sz w:val="16"/>
        <w:szCs w:val="18"/>
        <w:u w:color="000000" w:themeColor="text1"/>
      </w:rPr>
    </w:lvl>
    <w:lvl w:ilvl="1" w:tplc="FFFFFFFF" w:tentative="1">
      <w:start w:val="1"/>
      <w:numFmt w:val="bullet"/>
      <w:lvlText w:val="o"/>
      <w:lvlJc w:val="left"/>
      <w:pPr>
        <w:ind w:left="1506" w:hanging="360"/>
      </w:pPr>
      <w:rPr>
        <w:rFonts w:ascii="Courier New" w:hAnsi="Courier New" w:cs="Courier New" w:hint="default"/>
      </w:rPr>
    </w:lvl>
    <w:lvl w:ilvl="2" w:tplc="FFFFFFFF" w:tentative="1">
      <w:start w:val="1"/>
      <w:numFmt w:val="bullet"/>
      <w:lvlText w:val=""/>
      <w:lvlJc w:val="left"/>
      <w:pPr>
        <w:ind w:left="2226" w:hanging="360"/>
      </w:pPr>
      <w:rPr>
        <w:rFonts w:ascii="Wingdings" w:hAnsi="Wingdings" w:hint="default"/>
      </w:rPr>
    </w:lvl>
    <w:lvl w:ilvl="3" w:tplc="FFFFFFFF" w:tentative="1">
      <w:start w:val="1"/>
      <w:numFmt w:val="bullet"/>
      <w:lvlText w:val=""/>
      <w:lvlJc w:val="left"/>
      <w:pPr>
        <w:ind w:left="2946" w:hanging="360"/>
      </w:pPr>
      <w:rPr>
        <w:rFonts w:ascii="Symbol" w:hAnsi="Symbol" w:hint="default"/>
      </w:rPr>
    </w:lvl>
    <w:lvl w:ilvl="4" w:tplc="FFFFFFFF" w:tentative="1">
      <w:start w:val="1"/>
      <w:numFmt w:val="bullet"/>
      <w:lvlText w:val="o"/>
      <w:lvlJc w:val="left"/>
      <w:pPr>
        <w:ind w:left="3666" w:hanging="360"/>
      </w:pPr>
      <w:rPr>
        <w:rFonts w:ascii="Courier New" w:hAnsi="Courier New" w:cs="Courier New" w:hint="default"/>
      </w:rPr>
    </w:lvl>
    <w:lvl w:ilvl="5" w:tplc="FFFFFFFF" w:tentative="1">
      <w:start w:val="1"/>
      <w:numFmt w:val="bullet"/>
      <w:lvlText w:val=""/>
      <w:lvlJc w:val="left"/>
      <w:pPr>
        <w:ind w:left="4386" w:hanging="360"/>
      </w:pPr>
      <w:rPr>
        <w:rFonts w:ascii="Wingdings" w:hAnsi="Wingdings" w:hint="default"/>
      </w:rPr>
    </w:lvl>
    <w:lvl w:ilvl="6" w:tplc="FFFFFFFF" w:tentative="1">
      <w:start w:val="1"/>
      <w:numFmt w:val="bullet"/>
      <w:lvlText w:val=""/>
      <w:lvlJc w:val="left"/>
      <w:pPr>
        <w:ind w:left="5106" w:hanging="360"/>
      </w:pPr>
      <w:rPr>
        <w:rFonts w:ascii="Symbol" w:hAnsi="Symbol" w:hint="default"/>
      </w:rPr>
    </w:lvl>
    <w:lvl w:ilvl="7" w:tplc="FFFFFFFF" w:tentative="1">
      <w:start w:val="1"/>
      <w:numFmt w:val="bullet"/>
      <w:lvlText w:val="o"/>
      <w:lvlJc w:val="left"/>
      <w:pPr>
        <w:ind w:left="5826" w:hanging="360"/>
      </w:pPr>
      <w:rPr>
        <w:rFonts w:ascii="Courier New" w:hAnsi="Courier New" w:cs="Courier New" w:hint="default"/>
      </w:rPr>
    </w:lvl>
    <w:lvl w:ilvl="8" w:tplc="FFFFFFFF" w:tentative="1">
      <w:start w:val="1"/>
      <w:numFmt w:val="bullet"/>
      <w:lvlText w:val=""/>
      <w:lvlJc w:val="left"/>
      <w:pPr>
        <w:ind w:left="6546" w:hanging="360"/>
      </w:pPr>
      <w:rPr>
        <w:rFonts w:ascii="Wingdings" w:hAnsi="Wingdings" w:hint="default"/>
      </w:rPr>
    </w:lvl>
  </w:abstractNum>
  <w:abstractNum w:abstractNumId="44" w15:restartNumberingAfterBreak="0">
    <w:nsid w:val="32BE6CA8"/>
    <w:multiLevelType w:val="hybridMultilevel"/>
    <w:tmpl w:val="54C0D988"/>
    <w:lvl w:ilvl="0" w:tplc="51EEA0F6">
      <w:start w:val="3"/>
      <w:numFmt w:val="decimal"/>
      <w:lvlText w:val="%1."/>
      <w:lvlJc w:val="left"/>
      <w:pPr>
        <w:ind w:left="720" w:hanging="360"/>
      </w:pPr>
      <w:rPr>
        <w:rFonts w:hint="default"/>
        <w:b/>
      </w:rPr>
    </w:lvl>
    <w:lvl w:ilvl="1" w:tplc="F8BCE254">
      <w:start w:val="1"/>
      <w:numFmt w:val="bullet"/>
      <w:lvlText w:val=""/>
      <w:lvlPicBulletId w:val="0"/>
      <w:lvlJc w:val="left"/>
      <w:pPr>
        <w:ind w:left="720" w:hanging="360"/>
      </w:pPr>
      <w:rPr>
        <w:rFonts w:ascii="Symbol" w:hAnsi="Symbol" w:hint="default"/>
        <w:color w:val="auto"/>
        <w:sz w:val="16"/>
        <w:szCs w:val="18"/>
        <w:lang w:val="fr-FR"/>
      </w:rPr>
    </w:lvl>
    <w:lvl w:ilvl="2" w:tplc="FFFFFFFF">
      <w:start w:val="1"/>
      <w:numFmt w:val="lowerRoman"/>
      <w:lvlText w:val="%3."/>
      <w:lvlJc w:val="right"/>
      <w:pPr>
        <w:ind w:left="2160" w:hanging="180"/>
      </w:pPr>
    </w:lvl>
    <w:lvl w:ilvl="3" w:tplc="B8BE095C">
      <w:start w:val="2"/>
      <w:numFmt w:val="bullet"/>
      <w:lvlText w:val="-"/>
      <w:lvlJc w:val="left"/>
      <w:pPr>
        <w:ind w:left="2880" w:hanging="360"/>
      </w:pPr>
      <w:rPr>
        <w:rFonts w:ascii="Source Sans Pro" w:eastAsiaTheme="minorHAnsi" w:hAnsi="Source Sans Pro" w:cstheme="minorBidi" w:hint="default"/>
      </w:r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33626244"/>
    <w:multiLevelType w:val="hybridMultilevel"/>
    <w:tmpl w:val="01C2EAEE"/>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33B72121"/>
    <w:multiLevelType w:val="hybridMultilevel"/>
    <w:tmpl w:val="70C6C5F4"/>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344621F2"/>
    <w:multiLevelType w:val="multilevel"/>
    <w:tmpl w:val="8EF4B2AE"/>
    <w:lvl w:ilvl="0">
      <w:start w:val="1"/>
      <w:numFmt w:val="decimal"/>
      <w:pStyle w:val="TITRE1"/>
      <w:lvlText w:val="%1"/>
      <w:lvlJc w:val="left"/>
      <w:pPr>
        <w:ind w:left="432" w:hanging="432"/>
      </w:pPr>
      <w:rPr>
        <w:rFonts w:hint="default"/>
      </w:rPr>
    </w:lvl>
    <w:lvl w:ilvl="1">
      <w:start w:val="1"/>
      <w:numFmt w:val="decimal"/>
      <w:pStyle w:val="TITRE2"/>
      <w:lvlText w:val="%1.%2"/>
      <w:lvlJc w:val="left"/>
      <w:pPr>
        <w:ind w:left="576" w:hanging="576"/>
      </w:pPr>
    </w:lvl>
    <w:lvl w:ilvl="2">
      <w:start w:val="1"/>
      <w:numFmt w:val="decimal"/>
      <w:pStyle w:val="TITRE3"/>
      <w:lvlText w:val="%1.%2.%3"/>
      <w:lvlJc w:val="left"/>
      <w:pPr>
        <w:ind w:left="720" w:hanging="720"/>
      </w:pPr>
      <w:rPr>
        <w:b/>
      </w:rPr>
    </w:lvl>
    <w:lvl w:ilvl="3">
      <w:start w:val="1"/>
      <w:numFmt w:val="decimal"/>
      <w:pStyle w:val="TITRE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8" w15:restartNumberingAfterBreak="0">
    <w:nsid w:val="34960BBF"/>
    <w:multiLevelType w:val="multilevel"/>
    <w:tmpl w:val="80407A4E"/>
    <w:lvl w:ilvl="0">
      <w:start w:val="1"/>
      <w:numFmt w:val="upperLetter"/>
      <w:lvlText w:val="%1."/>
      <w:lvlJc w:val="left"/>
      <w:pPr>
        <w:ind w:left="360" w:hanging="360"/>
      </w:pPr>
      <w:rPr>
        <w:rFonts w:hint="default"/>
        <w:b/>
        <w:bCs/>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15:restartNumberingAfterBreak="0">
    <w:nsid w:val="356F3294"/>
    <w:multiLevelType w:val="hybridMultilevel"/>
    <w:tmpl w:val="A5A8CFD8"/>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35FC30AB"/>
    <w:multiLevelType w:val="hybridMultilevel"/>
    <w:tmpl w:val="AAC61642"/>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6343A19"/>
    <w:multiLevelType w:val="hybridMultilevel"/>
    <w:tmpl w:val="22B8554C"/>
    <w:lvl w:ilvl="0" w:tplc="F8BCE254">
      <w:start w:val="1"/>
      <w:numFmt w:val="bullet"/>
      <w:lvlText w:val=""/>
      <w:lvlPicBulletId w:val="0"/>
      <w:lvlJc w:val="left"/>
      <w:pPr>
        <w:ind w:left="1713" w:hanging="360"/>
      </w:pPr>
      <w:rPr>
        <w:rFonts w:ascii="Symbol" w:hAnsi="Symbol" w:hint="default"/>
        <w:color w:val="auto"/>
        <w:sz w:val="16"/>
        <w:szCs w:val="18"/>
        <w:lang w:val="fr-FR"/>
      </w:rPr>
    </w:lvl>
    <w:lvl w:ilvl="1" w:tplc="FFFFFFFF">
      <w:start w:val="1"/>
      <w:numFmt w:val="bullet"/>
      <w:lvlText w:val="o"/>
      <w:lvlJc w:val="left"/>
      <w:pPr>
        <w:ind w:left="2433" w:hanging="360"/>
      </w:pPr>
      <w:rPr>
        <w:rFonts w:ascii="Courier New" w:hAnsi="Courier New" w:cs="Courier New" w:hint="default"/>
      </w:rPr>
    </w:lvl>
    <w:lvl w:ilvl="2" w:tplc="FFFFFFFF">
      <w:start w:val="1"/>
      <w:numFmt w:val="bullet"/>
      <w:lvlText w:val=""/>
      <w:lvlJc w:val="left"/>
      <w:pPr>
        <w:ind w:left="3153" w:hanging="360"/>
      </w:pPr>
      <w:rPr>
        <w:rFonts w:ascii="Wingdings" w:hAnsi="Wingdings" w:hint="default"/>
      </w:rPr>
    </w:lvl>
    <w:lvl w:ilvl="3" w:tplc="FFFFFFFF">
      <w:start w:val="1"/>
      <w:numFmt w:val="bullet"/>
      <w:lvlText w:val=""/>
      <w:lvlJc w:val="left"/>
      <w:pPr>
        <w:ind w:left="3873" w:hanging="360"/>
      </w:pPr>
      <w:rPr>
        <w:rFonts w:ascii="Symbol" w:hAnsi="Symbol" w:hint="default"/>
      </w:rPr>
    </w:lvl>
    <w:lvl w:ilvl="4" w:tplc="FFFFFFFF" w:tentative="1">
      <w:start w:val="1"/>
      <w:numFmt w:val="bullet"/>
      <w:lvlText w:val="o"/>
      <w:lvlJc w:val="left"/>
      <w:pPr>
        <w:ind w:left="4593" w:hanging="360"/>
      </w:pPr>
      <w:rPr>
        <w:rFonts w:ascii="Courier New" w:hAnsi="Courier New" w:cs="Courier New" w:hint="default"/>
      </w:rPr>
    </w:lvl>
    <w:lvl w:ilvl="5" w:tplc="FFFFFFFF" w:tentative="1">
      <w:start w:val="1"/>
      <w:numFmt w:val="bullet"/>
      <w:lvlText w:val=""/>
      <w:lvlJc w:val="left"/>
      <w:pPr>
        <w:ind w:left="5313" w:hanging="360"/>
      </w:pPr>
      <w:rPr>
        <w:rFonts w:ascii="Wingdings" w:hAnsi="Wingdings" w:hint="default"/>
      </w:rPr>
    </w:lvl>
    <w:lvl w:ilvl="6" w:tplc="FFFFFFFF" w:tentative="1">
      <w:start w:val="1"/>
      <w:numFmt w:val="bullet"/>
      <w:lvlText w:val=""/>
      <w:lvlJc w:val="left"/>
      <w:pPr>
        <w:ind w:left="6033" w:hanging="360"/>
      </w:pPr>
      <w:rPr>
        <w:rFonts w:ascii="Symbol" w:hAnsi="Symbol" w:hint="default"/>
      </w:rPr>
    </w:lvl>
    <w:lvl w:ilvl="7" w:tplc="FFFFFFFF" w:tentative="1">
      <w:start w:val="1"/>
      <w:numFmt w:val="bullet"/>
      <w:lvlText w:val="o"/>
      <w:lvlJc w:val="left"/>
      <w:pPr>
        <w:ind w:left="6753" w:hanging="360"/>
      </w:pPr>
      <w:rPr>
        <w:rFonts w:ascii="Courier New" w:hAnsi="Courier New" w:cs="Courier New" w:hint="default"/>
      </w:rPr>
    </w:lvl>
    <w:lvl w:ilvl="8" w:tplc="FFFFFFFF" w:tentative="1">
      <w:start w:val="1"/>
      <w:numFmt w:val="bullet"/>
      <w:lvlText w:val=""/>
      <w:lvlJc w:val="left"/>
      <w:pPr>
        <w:ind w:left="7473" w:hanging="360"/>
      </w:pPr>
      <w:rPr>
        <w:rFonts w:ascii="Wingdings" w:hAnsi="Wingdings" w:hint="default"/>
      </w:rPr>
    </w:lvl>
  </w:abstractNum>
  <w:abstractNum w:abstractNumId="52" w15:restartNumberingAfterBreak="0">
    <w:nsid w:val="375B5F74"/>
    <w:multiLevelType w:val="hybridMultilevel"/>
    <w:tmpl w:val="61F2E0B8"/>
    <w:lvl w:ilvl="0" w:tplc="E4A89FB0">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394B4205"/>
    <w:multiLevelType w:val="hybridMultilevel"/>
    <w:tmpl w:val="321CE2CE"/>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3A173770"/>
    <w:multiLevelType w:val="hybridMultilevel"/>
    <w:tmpl w:val="E2B4D5A8"/>
    <w:lvl w:ilvl="0" w:tplc="FFFFFFFF">
      <w:start w:val="1"/>
      <w:numFmt w:val="bullet"/>
      <w:lvlText w:val=""/>
      <w:lvlJc w:val="left"/>
      <w:pPr>
        <w:ind w:left="1495"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55" w15:restartNumberingAfterBreak="0">
    <w:nsid w:val="3B7E0CD8"/>
    <w:multiLevelType w:val="hybridMultilevel"/>
    <w:tmpl w:val="98C2F8FC"/>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3C4A2A63"/>
    <w:multiLevelType w:val="hybridMultilevel"/>
    <w:tmpl w:val="F286A98C"/>
    <w:lvl w:ilvl="0" w:tplc="E4A89FB0">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 w15:restartNumberingAfterBreak="0">
    <w:nsid w:val="3C6000EB"/>
    <w:multiLevelType w:val="hybridMultilevel"/>
    <w:tmpl w:val="ED86E390"/>
    <w:lvl w:ilvl="0" w:tplc="F8BCE254">
      <w:start w:val="1"/>
      <w:numFmt w:val="bullet"/>
      <w:lvlText w:val=""/>
      <w:lvlPicBulletId w:val="0"/>
      <w:lvlJc w:val="left"/>
      <w:pPr>
        <w:ind w:left="578" w:hanging="360"/>
      </w:pPr>
      <w:rPr>
        <w:rFonts w:ascii="Symbol" w:hAnsi="Symbol" w:hint="default"/>
        <w:color w:val="auto"/>
        <w:sz w:val="16"/>
        <w:szCs w:val="18"/>
        <w:lang w:val="fr-FR"/>
      </w:rPr>
    </w:lvl>
    <w:lvl w:ilvl="1" w:tplc="04090003" w:tentative="1">
      <w:start w:val="1"/>
      <w:numFmt w:val="bullet"/>
      <w:lvlText w:val="o"/>
      <w:lvlJc w:val="left"/>
      <w:pPr>
        <w:ind w:left="1298" w:hanging="360"/>
      </w:pPr>
      <w:rPr>
        <w:rFonts w:ascii="Courier New" w:hAnsi="Courier New" w:cs="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cs="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cs="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58" w15:restartNumberingAfterBreak="0">
    <w:nsid w:val="3E6444A0"/>
    <w:multiLevelType w:val="hybridMultilevel"/>
    <w:tmpl w:val="85548A38"/>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3F752A1E"/>
    <w:multiLevelType w:val="hybridMultilevel"/>
    <w:tmpl w:val="F2369E7C"/>
    <w:lvl w:ilvl="0" w:tplc="FFFFFFFF">
      <w:start w:val="1"/>
      <w:numFmt w:val="bullet"/>
      <w:lvlText w:val=""/>
      <w:lvlJc w:val="left"/>
      <w:pPr>
        <w:ind w:left="1713"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F863620"/>
    <w:multiLevelType w:val="hybridMultilevel"/>
    <w:tmpl w:val="C1AEC5A0"/>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 w15:restartNumberingAfterBreak="0">
    <w:nsid w:val="400D7A47"/>
    <w:multiLevelType w:val="hybridMultilevel"/>
    <w:tmpl w:val="4E52F938"/>
    <w:lvl w:ilvl="0" w:tplc="FFFFFFFF">
      <w:start w:val="1"/>
      <w:numFmt w:val="bullet"/>
      <w:lvlText w:val=""/>
      <w:lvlPicBulletId w:val="0"/>
      <w:lvlJc w:val="left"/>
      <w:pPr>
        <w:ind w:left="720" w:hanging="360"/>
      </w:pPr>
      <w:rPr>
        <w:rFonts w:ascii="Symbol" w:hAnsi="Symbol" w:hint="default"/>
        <w:color w:val="auto"/>
        <w:sz w:val="16"/>
        <w:szCs w:val="18"/>
        <w:lang w:val="fr-FR"/>
      </w:rPr>
    </w:lvl>
    <w:lvl w:ilvl="1" w:tplc="E4A89FB0">
      <w:start w:val="1"/>
      <w:numFmt w:val="bullet"/>
      <w:lvlText w:val=""/>
      <w:lvlPicBulletId w:val="2"/>
      <w:lvlJc w:val="left"/>
      <w:pPr>
        <w:ind w:left="720" w:hanging="360"/>
      </w:pPr>
      <w:rPr>
        <w:rFonts w:ascii="Symbol" w:hAnsi="Symbol" w:hint="default"/>
        <w:color w:val="auto"/>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403272DE"/>
    <w:multiLevelType w:val="hybridMultilevel"/>
    <w:tmpl w:val="59A0BCAC"/>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 w15:restartNumberingAfterBreak="0">
    <w:nsid w:val="406E0CCC"/>
    <w:multiLevelType w:val="multilevel"/>
    <w:tmpl w:val="35B23638"/>
    <w:lvl w:ilvl="0">
      <w:start w:val="1"/>
      <w:numFmt w:val="decimal"/>
      <w:lvlText w:val="%1."/>
      <w:lvlJc w:val="left"/>
      <w:pPr>
        <w:ind w:left="720" w:hanging="360"/>
      </w:pPr>
      <w:rPr>
        <w:rFonts w:ascii="Source Sans Pro" w:hAnsi="Source Sans Pro" w:hint="default"/>
        <w:sz w:val="36"/>
      </w:rPr>
    </w:lvl>
    <w:lvl w:ilvl="1">
      <w:start w:val="1"/>
      <w:numFmt w:val="decimal"/>
      <w:isLgl/>
      <w:lvlText w:val="%1.%2"/>
      <w:lvlJc w:val="left"/>
      <w:pPr>
        <w:ind w:left="730" w:hanging="37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4" w15:restartNumberingAfterBreak="0">
    <w:nsid w:val="41423219"/>
    <w:multiLevelType w:val="multilevel"/>
    <w:tmpl w:val="DA0EEC32"/>
    <w:lvl w:ilvl="0">
      <w:start w:val="1"/>
      <w:numFmt w:val="decimal"/>
      <w:lvlText w:val="%1."/>
      <w:lvlJc w:val="left"/>
      <w:pPr>
        <w:ind w:left="720" w:hanging="360"/>
      </w:pPr>
      <w:rPr>
        <w:rFonts w:ascii="Source Sans Pro" w:hAnsi="Source Sans Pro" w:hint="default"/>
        <w:sz w:val="36"/>
      </w:rPr>
    </w:lvl>
    <w:lvl w:ilvl="1">
      <w:start w:val="1"/>
      <w:numFmt w:val="decimal"/>
      <w:isLgl/>
      <w:lvlText w:val="%1.%2"/>
      <w:lvlJc w:val="left"/>
      <w:pPr>
        <w:ind w:left="730" w:hanging="37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5" w15:restartNumberingAfterBreak="0">
    <w:nsid w:val="41B44526"/>
    <w:multiLevelType w:val="multilevel"/>
    <w:tmpl w:val="1544174A"/>
    <w:lvl w:ilvl="0">
      <w:start w:val="1"/>
      <w:numFmt w:val="decimal"/>
      <w:lvlText w:val="%1."/>
      <w:lvlJc w:val="left"/>
      <w:pPr>
        <w:ind w:left="460" w:hanging="4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6" w15:restartNumberingAfterBreak="0">
    <w:nsid w:val="41BE69CC"/>
    <w:multiLevelType w:val="hybridMultilevel"/>
    <w:tmpl w:val="1E0050CA"/>
    <w:lvl w:ilvl="0" w:tplc="8F1E0CB4">
      <w:start w:val="1"/>
      <w:numFmt w:val="bullet"/>
      <w:lvlText w:val=""/>
      <w:lvlPicBulletId w:val="1"/>
      <w:lvlJc w:val="left"/>
      <w:pPr>
        <w:ind w:left="720" w:hanging="360"/>
      </w:pPr>
      <w:rPr>
        <w:rFonts w:ascii="Symbol" w:hAnsi="Symbol" w:hint="default"/>
        <w:color w:val="auto"/>
        <w:sz w:val="16"/>
        <w:szCs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438C188E"/>
    <w:multiLevelType w:val="multilevel"/>
    <w:tmpl w:val="3470064E"/>
    <w:lvl w:ilvl="0">
      <w:start w:val="1"/>
      <w:numFmt w:val="upperRoman"/>
      <w:lvlText w:val="%1."/>
      <w:lvlJc w:val="left"/>
      <w:pPr>
        <w:ind w:left="1080" w:hanging="720"/>
      </w:pPr>
      <w:rPr>
        <w:rFonts w:hint="default"/>
        <w:color w:val="auto"/>
      </w:rPr>
    </w:lvl>
    <w:lvl w:ilvl="1">
      <w:start w:val="1"/>
      <w:numFmt w:val="decimal"/>
      <w:isLgl/>
      <w:lvlText w:val="%1.%2."/>
      <w:lvlJc w:val="left"/>
      <w:pPr>
        <w:ind w:left="730" w:hanging="37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8" w15:restartNumberingAfterBreak="0">
    <w:nsid w:val="44AE0B50"/>
    <w:multiLevelType w:val="hybridMultilevel"/>
    <w:tmpl w:val="6FAC868A"/>
    <w:lvl w:ilvl="0" w:tplc="8F1E0CB4">
      <w:start w:val="1"/>
      <w:numFmt w:val="bullet"/>
      <w:lvlText w:val=""/>
      <w:lvlPicBulletId w:val="1"/>
      <w:lvlJc w:val="left"/>
      <w:pPr>
        <w:ind w:left="720" w:hanging="360"/>
      </w:pPr>
      <w:rPr>
        <w:rFonts w:ascii="Symbol" w:hAnsi="Symbol" w:hint="default"/>
        <w:color w:val="auto"/>
        <w:sz w:val="16"/>
        <w:szCs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45C97EBC"/>
    <w:multiLevelType w:val="hybridMultilevel"/>
    <w:tmpl w:val="F042996E"/>
    <w:lvl w:ilvl="0" w:tplc="FFFFFFFF">
      <w:start w:val="1"/>
      <w:numFmt w:val="bullet"/>
      <w:lvlText w:val=""/>
      <w:lvlJc w:val="left"/>
      <w:pPr>
        <w:ind w:left="1713" w:hanging="360"/>
      </w:pPr>
      <w:rPr>
        <w:rFonts w:ascii="Symbol" w:hAnsi="Symbol" w:hint="default"/>
      </w:rPr>
    </w:lvl>
    <w:lvl w:ilvl="1" w:tplc="FFFFFFFF">
      <w:start w:val="1"/>
      <w:numFmt w:val="bullet"/>
      <w:lvlText w:val=""/>
      <w:lvlPicBulletId w:val="1"/>
      <w:lvlJc w:val="left"/>
      <w:pPr>
        <w:ind w:left="720" w:hanging="360"/>
      </w:pPr>
      <w:rPr>
        <w:rFonts w:ascii="Symbol" w:hAnsi="Symbol" w:hint="default"/>
        <w:color w:val="auto"/>
      </w:rPr>
    </w:lvl>
    <w:lvl w:ilvl="2" w:tplc="FFFFFFFF">
      <w:start w:val="1"/>
      <w:numFmt w:val="bullet"/>
      <w:lvlText w:val=""/>
      <w:lvlJc w:val="left"/>
      <w:pPr>
        <w:ind w:left="3153" w:hanging="360"/>
      </w:pPr>
      <w:rPr>
        <w:rFonts w:ascii="Wingdings" w:hAnsi="Wingdings" w:hint="default"/>
      </w:rPr>
    </w:lvl>
    <w:lvl w:ilvl="3" w:tplc="FFFFFFFF">
      <w:start w:val="1"/>
      <w:numFmt w:val="bullet"/>
      <w:lvlText w:val=""/>
      <w:lvlJc w:val="left"/>
      <w:pPr>
        <w:ind w:left="3873" w:hanging="360"/>
      </w:pPr>
      <w:rPr>
        <w:rFonts w:ascii="Symbol" w:hAnsi="Symbol" w:hint="default"/>
      </w:rPr>
    </w:lvl>
    <w:lvl w:ilvl="4" w:tplc="F8BCE254">
      <w:start w:val="1"/>
      <w:numFmt w:val="bullet"/>
      <w:lvlText w:val=""/>
      <w:lvlPicBulletId w:val="0"/>
      <w:lvlJc w:val="left"/>
      <w:pPr>
        <w:ind w:left="720" w:hanging="360"/>
      </w:pPr>
      <w:rPr>
        <w:rFonts w:ascii="Symbol" w:hAnsi="Symbol" w:hint="default"/>
        <w:color w:val="auto"/>
        <w:sz w:val="16"/>
        <w:szCs w:val="18"/>
        <w:lang w:val="fr-FR"/>
      </w:rPr>
    </w:lvl>
    <w:lvl w:ilvl="5" w:tplc="FFFFFFFF">
      <w:start w:val="1"/>
      <w:numFmt w:val="bullet"/>
      <w:lvlText w:val=""/>
      <w:lvlJc w:val="left"/>
      <w:pPr>
        <w:ind w:left="5313" w:hanging="360"/>
      </w:pPr>
      <w:rPr>
        <w:rFonts w:ascii="Wingdings" w:hAnsi="Wingdings" w:hint="default"/>
      </w:rPr>
    </w:lvl>
    <w:lvl w:ilvl="6" w:tplc="FFFFFFFF" w:tentative="1">
      <w:start w:val="1"/>
      <w:numFmt w:val="bullet"/>
      <w:lvlText w:val=""/>
      <w:lvlJc w:val="left"/>
      <w:pPr>
        <w:ind w:left="6033" w:hanging="360"/>
      </w:pPr>
      <w:rPr>
        <w:rFonts w:ascii="Symbol" w:hAnsi="Symbol" w:hint="default"/>
      </w:rPr>
    </w:lvl>
    <w:lvl w:ilvl="7" w:tplc="FFFFFFFF" w:tentative="1">
      <w:start w:val="1"/>
      <w:numFmt w:val="bullet"/>
      <w:lvlText w:val="o"/>
      <w:lvlJc w:val="left"/>
      <w:pPr>
        <w:ind w:left="6753" w:hanging="360"/>
      </w:pPr>
      <w:rPr>
        <w:rFonts w:ascii="Courier New" w:hAnsi="Courier New" w:cs="Courier New" w:hint="default"/>
      </w:rPr>
    </w:lvl>
    <w:lvl w:ilvl="8" w:tplc="FFFFFFFF" w:tentative="1">
      <w:start w:val="1"/>
      <w:numFmt w:val="bullet"/>
      <w:lvlText w:val=""/>
      <w:lvlJc w:val="left"/>
      <w:pPr>
        <w:ind w:left="7473" w:hanging="360"/>
      </w:pPr>
      <w:rPr>
        <w:rFonts w:ascii="Wingdings" w:hAnsi="Wingdings" w:hint="default"/>
      </w:rPr>
    </w:lvl>
  </w:abstractNum>
  <w:abstractNum w:abstractNumId="70" w15:restartNumberingAfterBreak="0">
    <w:nsid w:val="46212064"/>
    <w:multiLevelType w:val="hybridMultilevel"/>
    <w:tmpl w:val="EC1EEAE0"/>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1" w15:restartNumberingAfterBreak="0">
    <w:nsid w:val="471E7E96"/>
    <w:multiLevelType w:val="hybridMultilevel"/>
    <w:tmpl w:val="586C79DC"/>
    <w:lvl w:ilvl="0" w:tplc="FFFFFFFF">
      <w:start w:val="1"/>
      <w:numFmt w:val="bullet"/>
      <w:lvlText w:val=""/>
      <w:lvlPicBulletId w:val="0"/>
      <w:lvlJc w:val="left"/>
      <w:pPr>
        <w:ind w:left="720" w:hanging="360"/>
      </w:pPr>
      <w:rPr>
        <w:rFonts w:ascii="Symbol" w:hAnsi="Symbol" w:hint="default"/>
        <w:color w:val="auto"/>
        <w:sz w:val="16"/>
        <w:szCs w:val="18"/>
        <w:lang w:val="fr-FR"/>
      </w:rPr>
    </w:lvl>
    <w:lvl w:ilvl="1" w:tplc="E4A89FB0">
      <w:start w:val="1"/>
      <w:numFmt w:val="bullet"/>
      <w:lvlText w:val=""/>
      <w:lvlPicBulletId w:val="2"/>
      <w:lvlJc w:val="left"/>
      <w:pPr>
        <w:ind w:left="1440" w:hanging="360"/>
      </w:pPr>
      <w:rPr>
        <w:rFonts w:ascii="Symbol" w:hAnsi="Symbol" w:hint="default"/>
        <w:color w:val="auto"/>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47432B73"/>
    <w:multiLevelType w:val="hybridMultilevel"/>
    <w:tmpl w:val="2D3E06C4"/>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 w15:restartNumberingAfterBreak="0">
    <w:nsid w:val="479E3EC8"/>
    <w:multiLevelType w:val="multilevel"/>
    <w:tmpl w:val="9FA62CCC"/>
    <w:lvl w:ilvl="0">
      <w:start w:val="1"/>
      <w:numFmt w:val="decimal"/>
      <w:lvlText w:val="%1."/>
      <w:lvlJc w:val="left"/>
      <w:pPr>
        <w:ind w:left="600" w:hanging="600"/>
      </w:pPr>
      <w:rPr>
        <w:rFonts w:hint="default"/>
        <w:sz w:val="28"/>
      </w:rPr>
    </w:lvl>
    <w:lvl w:ilvl="1">
      <w:start w:val="1"/>
      <w:numFmt w:val="decimal"/>
      <w:lvlText w:val="%1.%2."/>
      <w:lvlJc w:val="left"/>
      <w:pPr>
        <w:ind w:left="600" w:hanging="600"/>
      </w:pPr>
      <w:rPr>
        <w:rFonts w:hint="default"/>
        <w:sz w:val="28"/>
      </w:rPr>
    </w:lvl>
    <w:lvl w:ilvl="2">
      <w:start w:val="1"/>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abstractNum w:abstractNumId="74" w15:restartNumberingAfterBreak="0">
    <w:nsid w:val="48B74A6C"/>
    <w:multiLevelType w:val="hybridMultilevel"/>
    <w:tmpl w:val="7316A9C0"/>
    <w:lvl w:ilvl="0" w:tplc="F8BCE254">
      <w:start w:val="1"/>
      <w:numFmt w:val="bullet"/>
      <w:lvlText w:val=""/>
      <w:lvlPicBulletId w:val="0"/>
      <w:lvlJc w:val="left"/>
      <w:pPr>
        <w:ind w:left="360" w:hanging="360"/>
      </w:pPr>
      <w:rPr>
        <w:rFonts w:ascii="Symbol" w:hAnsi="Symbol" w:hint="default"/>
        <w:color w:val="auto"/>
        <w:sz w:val="16"/>
        <w:szCs w:val="18"/>
        <w:lang w:val="fr-FR"/>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5" w15:restartNumberingAfterBreak="0">
    <w:nsid w:val="4B901098"/>
    <w:multiLevelType w:val="hybridMultilevel"/>
    <w:tmpl w:val="DE108788"/>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15:restartNumberingAfterBreak="0">
    <w:nsid w:val="4CBF778E"/>
    <w:multiLevelType w:val="hybridMultilevel"/>
    <w:tmpl w:val="ED86EEB4"/>
    <w:lvl w:ilvl="0" w:tplc="F8BCE254">
      <w:start w:val="1"/>
      <w:numFmt w:val="bullet"/>
      <w:lvlText w:val=""/>
      <w:lvlPicBulletId w:val="0"/>
      <w:lvlJc w:val="left"/>
      <w:pPr>
        <w:ind w:left="502" w:hanging="360"/>
      </w:pPr>
      <w:rPr>
        <w:rFonts w:ascii="Symbol" w:hAnsi="Symbol" w:hint="default"/>
        <w:color w:val="auto"/>
        <w:sz w:val="16"/>
        <w:szCs w:val="18"/>
        <w:lang w:val="fr-FR"/>
      </w:rPr>
    </w:lvl>
    <w:lvl w:ilvl="1" w:tplc="FFFFFFFF" w:tentative="1">
      <w:start w:val="1"/>
      <w:numFmt w:val="bullet"/>
      <w:lvlText w:val="o"/>
      <w:lvlJc w:val="left"/>
      <w:pPr>
        <w:ind w:left="1222" w:hanging="360"/>
      </w:pPr>
      <w:rPr>
        <w:rFonts w:ascii="Courier New" w:hAnsi="Courier New" w:cs="Courier New" w:hint="default"/>
      </w:rPr>
    </w:lvl>
    <w:lvl w:ilvl="2" w:tplc="FFFFFFFF" w:tentative="1">
      <w:start w:val="1"/>
      <w:numFmt w:val="bullet"/>
      <w:lvlText w:val=""/>
      <w:lvlJc w:val="left"/>
      <w:pPr>
        <w:ind w:left="1942" w:hanging="360"/>
      </w:pPr>
      <w:rPr>
        <w:rFonts w:ascii="Wingdings" w:hAnsi="Wingdings" w:hint="default"/>
      </w:rPr>
    </w:lvl>
    <w:lvl w:ilvl="3" w:tplc="FFFFFFFF" w:tentative="1">
      <w:start w:val="1"/>
      <w:numFmt w:val="bullet"/>
      <w:lvlText w:val=""/>
      <w:lvlJc w:val="left"/>
      <w:pPr>
        <w:ind w:left="2662" w:hanging="360"/>
      </w:pPr>
      <w:rPr>
        <w:rFonts w:ascii="Symbol" w:hAnsi="Symbol" w:hint="default"/>
      </w:rPr>
    </w:lvl>
    <w:lvl w:ilvl="4" w:tplc="FFFFFFFF" w:tentative="1">
      <w:start w:val="1"/>
      <w:numFmt w:val="bullet"/>
      <w:lvlText w:val="o"/>
      <w:lvlJc w:val="left"/>
      <w:pPr>
        <w:ind w:left="3382" w:hanging="360"/>
      </w:pPr>
      <w:rPr>
        <w:rFonts w:ascii="Courier New" w:hAnsi="Courier New" w:cs="Courier New" w:hint="default"/>
      </w:rPr>
    </w:lvl>
    <w:lvl w:ilvl="5" w:tplc="FFFFFFFF" w:tentative="1">
      <w:start w:val="1"/>
      <w:numFmt w:val="bullet"/>
      <w:lvlText w:val=""/>
      <w:lvlJc w:val="left"/>
      <w:pPr>
        <w:ind w:left="4102" w:hanging="360"/>
      </w:pPr>
      <w:rPr>
        <w:rFonts w:ascii="Wingdings" w:hAnsi="Wingdings" w:hint="default"/>
      </w:rPr>
    </w:lvl>
    <w:lvl w:ilvl="6" w:tplc="FFFFFFFF" w:tentative="1">
      <w:start w:val="1"/>
      <w:numFmt w:val="bullet"/>
      <w:lvlText w:val=""/>
      <w:lvlJc w:val="left"/>
      <w:pPr>
        <w:ind w:left="4822" w:hanging="360"/>
      </w:pPr>
      <w:rPr>
        <w:rFonts w:ascii="Symbol" w:hAnsi="Symbol" w:hint="default"/>
      </w:rPr>
    </w:lvl>
    <w:lvl w:ilvl="7" w:tplc="FFFFFFFF" w:tentative="1">
      <w:start w:val="1"/>
      <w:numFmt w:val="bullet"/>
      <w:lvlText w:val="o"/>
      <w:lvlJc w:val="left"/>
      <w:pPr>
        <w:ind w:left="5542" w:hanging="360"/>
      </w:pPr>
      <w:rPr>
        <w:rFonts w:ascii="Courier New" w:hAnsi="Courier New" w:cs="Courier New" w:hint="default"/>
      </w:rPr>
    </w:lvl>
    <w:lvl w:ilvl="8" w:tplc="FFFFFFFF" w:tentative="1">
      <w:start w:val="1"/>
      <w:numFmt w:val="bullet"/>
      <w:lvlText w:val=""/>
      <w:lvlJc w:val="left"/>
      <w:pPr>
        <w:ind w:left="6262" w:hanging="360"/>
      </w:pPr>
      <w:rPr>
        <w:rFonts w:ascii="Wingdings" w:hAnsi="Wingdings" w:hint="default"/>
      </w:rPr>
    </w:lvl>
  </w:abstractNum>
  <w:abstractNum w:abstractNumId="77" w15:restartNumberingAfterBreak="0">
    <w:nsid w:val="4EAE21F4"/>
    <w:multiLevelType w:val="hybridMultilevel"/>
    <w:tmpl w:val="CAE40040"/>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4EBD7798"/>
    <w:multiLevelType w:val="hybridMultilevel"/>
    <w:tmpl w:val="D1BCB10A"/>
    <w:lvl w:ilvl="0" w:tplc="F8BCE254">
      <w:start w:val="1"/>
      <w:numFmt w:val="bullet"/>
      <w:lvlText w:val=""/>
      <w:lvlJc w:val="left"/>
      <w:pPr>
        <w:ind w:left="720" w:hanging="360"/>
      </w:pPr>
      <w:rPr>
        <w:rFonts w:ascii="Symbol" w:hAnsi="Symbol" w:hint="default"/>
        <w:color w:val="auto"/>
        <w:sz w:val="16"/>
        <w:szCs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 w15:restartNumberingAfterBreak="0">
    <w:nsid w:val="4F16415C"/>
    <w:multiLevelType w:val="hybridMultilevel"/>
    <w:tmpl w:val="CF64A7A6"/>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 w15:restartNumberingAfterBreak="0">
    <w:nsid w:val="50EF1DA1"/>
    <w:multiLevelType w:val="hybridMultilevel"/>
    <w:tmpl w:val="2D3A6D7C"/>
    <w:lvl w:ilvl="0" w:tplc="FFFFFFFF">
      <w:start w:val="1"/>
      <w:numFmt w:val="bullet"/>
      <w:lvlText w:val=""/>
      <w:lvlJc w:val="left"/>
      <w:pPr>
        <w:ind w:left="5160" w:hanging="360"/>
      </w:pPr>
      <w:rPr>
        <w:rFonts w:ascii="Symbol" w:hAnsi="Symbol"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81" w15:restartNumberingAfterBreak="0">
    <w:nsid w:val="515328CE"/>
    <w:multiLevelType w:val="hybridMultilevel"/>
    <w:tmpl w:val="235288EE"/>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1B8375C"/>
    <w:multiLevelType w:val="hybridMultilevel"/>
    <w:tmpl w:val="FC98D510"/>
    <w:lvl w:ilvl="0" w:tplc="8F1E0CB4">
      <w:start w:val="1"/>
      <w:numFmt w:val="bullet"/>
      <w:lvlText w:val=""/>
      <w:lvlPicBulletId w:val="1"/>
      <w:lvlJc w:val="left"/>
      <w:pPr>
        <w:ind w:left="720" w:hanging="360"/>
      </w:pPr>
      <w:rPr>
        <w:rFonts w:ascii="Symbol" w:hAnsi="Symbol" w:hint="default"/>
        <w:color w:val="auto"/>
        <w:sz w:val="16"/>
        <w:szCs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5245777C"/>
    <w:multiLevelType w:val="multilevel"/>
    <w:tmpl w:val="76ECC8F2"/>
    <w:styleLink w:val="PUCES"/>
    <w:lvl w:ilvl="0">
      <w:start w:val="1"/>
      <w:numFmt w:val="bullet"/>
      <w:lvlText w:val=""/>
      <w:lvlJc w:val="left"/>
      <w:pPr>
        <w:tabs>
          <w:tab w:val="num" w:pos="227"/>
        </w:tabs>
        <w:ind w:left="227" w:hanging="227"/>
      </w:pPr>
      <w:rPr>
        <w:rFonts w:ascii="Symbol" w:hAnsi="Symbol" w:hint="default"/>
        <w:b w:val="0"/>
        <w:i w:val="0"/>
        <w:color w:val="auto"/>
        <w:sz w:val="20"/>
      </w:rPr>
    </w:lvl>
    <w:lvl w:ilvl="1">
      <w:start w:val="1"/>
      <w:numFmt w:val="bullet"/>
      <w:lvlText w:val=""/>
      <w:lvlJc w:val="left"/>
      <w:pPr>
        <w:tabs>
          <w:tab w:val="num" w:pos="425"/>
        </w:tabs>
        <w:ind w:left="425" w:hanging="198"/>
      </w:pPr>
      <w:rPr>
        <w:rFonts w:ascii="Symbol" w:hAnsi="Symbol" w:hint="default"/>
        <w:b w:val="0"/>
        <w:i w:val="0"/>
        <w:color w:val="auto"/>
        <w:sz w:val="20"/>
      </w:rPr>
    </w:lvl>
    <w:lvl w:ilvl="2">
      <w:start w:val="1"/>
      <w:numFmt w:val="bullet"/>
      <w:lvlText w:val="̶"/>
      <w:lvlJc w:val="left"/>
      <w:pPr>
        <w:tabs>
          <w:tab w:val="num" w:pos="595"/>
        </w:tabs>
        <w:ind w:left="595" w:hanging="141"/>
      </w:pPr>
      <w:rPr>
        <w:rFonts w:ascii="Calibri" w:hAnsi="Calibri" w:hint="default"/>
        <w:color w:val="7F7F7F" w:themeColor="text1" w:themeTint="80"/>
        <w:sz w:val="12"/>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4" w15:restartNumberingAfterBreak="0">
    <w:nsid w:val="52C16AB5"/>
    <w:multiLevelType w:val="hybridMultilevel"/>
    <w:tmpl w:val="44F6EE6A"/>
    <w:lvl w:ilvl="0" w:tplc="F8BCE254">
      <w:start w:val="1"/>
      <w:numFmt w:val="bullet"/>
      <w:lvlText w:val=""/>
      <w:lvlPicBulletId w:val="0"/>
      <w:lvlJc w:val="left"/>
      <w:pPr>
        <w:ind w:left="218" w:hanging="360"/>
      </w:pPr>
      <w:rPr>
        <w:rFonts w:ascii="Symbol" w:hAnsi="Symbol" w:hint="default"/>
        <w:color w:val="auto"/>
        <w:sz w:val="16"/>
        <w:szCs w:val="18"/>
        <w:lang w:val="fr-FR"/>
      </w:rPr>
    </w:lvl>
    <w:lvl w:ilvl="1" w:tplc="FFFFFFFF" w:tentative="1">
      <w:start w:val="1"/>
      <w:numFmt w:val="bullet"/>
      <w:lvlText w:val="o"/>
      <w:lvlJc w:val="left"/>
      <w:pPr>
        <w:ind w:left="938" w:hanging="360"/>
      </w:pPr>
      <w:rPr>
        <w:rFonts w:ascii="Courier New" w:hAnsi="Courier New" w:cs="Courier New" w:hint="default"/>
      </w:rPr>
    </w:lvl>
    <w:lvl w:ilvl="2" w:tplc="FFFFFFFF" w:tentative="1">
      <w:start w:val="1"/>
      <w:numFmt w:val="bullet"/>
      <w:lvlText w:val=""/>
      <w:lvlJc w:val="left"/>
      <w:pPr>
        <w:ind w:left="1658" w:hanging="360"/>
      </w:pPr>
      <w:rPr>
        <w:rFonts w:ascii="Wingdings" w:hAnsi="Wingdings" w:hint="default"/>
      </w:rPr>
    </w:lvl>
    <w:lvl w:ilvl="3" w:tplc="FFFFFFFF" w:tentative="1">
      <w:start w:val="1"/>
      <w:numFmt w:val="bullet"/>
      <w:lvlText w:val=""/>
      <w:lvlJc w:val="left"/>
      <w:pPr>
        <w:ind w:left="2378" w:hanging="360"/>
      </w:pPr>
      <w:rPr>
        <w:rFonts w:ascii="Symbol" w:hAnsi="Symbol" w:hint="default"/>
      </w:rPr>
    </w:lvl>
    <w:lvl w:ilvl="4" w:tplc="FFFFFFFF" w:tentative="1">
      <w:start w:val="1"/>
      <w:numFmt w:val="bullet"/>
      <w:lvlText w:val="o"/>
      <w:lvlJc w:val="left"/>
      <w:pPr>
        <w:ind w:left="3098" w:hanging="360"/>
      </w:pPr>
      <w:rPr>
        <w:rFonts w:ascii="Courier New" w:hAnsi="Courier New" w:cs="Courier New" w:hint="default"/>
      </w:rPr>
    </w:lvl>
    <w:lvl w:ilvl="5" w:tplc="FFFFFFFF" w:tentative="1">
      <w:start w:val="1"/>
      <w:numFmt w:val="bullet"/>
      <w:lvlText w:val=""/>
      <w:lvlJc w:val="left"/>
      <w:pPr>
        <w:ind w:left="3818" w:hanging="360"/>
      </w:pPr>
      <w:rPr>
        <w:rFonts w:ascii="Wingdings" w:hAnsi="Wingdings" w:hint="default"/>
      </w:rPr>
    </w:lvl>
    <w:lvl w:ilvl="6" w:tplc="FFFFFFFF" w:tentative="1">
      <w:start w:val="1"/>
      <w:numFmt w:val="bullet"/>
      <w:lvlText w:val=""/>
      <w:lvlJc w:val="left"/>
      <w:pPr>
        <w:ind w:left="4538" w:hanging="360"/>
      </w:pPr>
      <w:rPr>
        <w:rFonts w:ascii="Symbol" w:hAnsi="Symbol" w:hint="default"/>
      </w:rPr>
    </w:lvl>
    <w:lvl w:ilvl="7" w:tplc="FFFFFFFF" w:tentative="1">
      <w:start w:val="1"/>
      <w:numFmt w:val="bullet"/>
      <w:lvlText w:val="o"/>
      <w:lvlJc w:val="left"/>
      <w:pPr>
        <w:ind w:left="5258" w:hanging="360"/>
      </w:pPr>
      <w:rPr>
        <w:rFonts w:ascii="Courier New" w:hAnsi="Courier New" w:cs="Courier New" w:hint="default"/>
      </w:rPr>
    </w:lvl>
    <w:lvl w:ilvl="8" w:tplc="FFFFFFFF" w:tentative="1">
      <w:start w:val="1"/>
      <w:numFmt w:val="bullet"/>
      <w:lvlText w:val=""/>
      <w:lvlJc w:val="left"/>
      <w:pPr>
        <w:ind w:left="5978" w:hanging="360"/>
      </w:pPr>
      <w:rPr>
        <w:rFonts w:ascii="Wingdings" w:hAnsi="Wingdings" w:hint="default"/>
      </w:rPr>
    </w:lvl>
  </w:abstractNum>
  <w:abstractNum w:abstractNumId="85" w15:restartNumberingAfterBreak="0">
    <w:nsid w:val="53260DC0"/>
    <w:multiLevelType w:val="multilevel"/>
    <w:tmpl w:val="B65C79F4"/>
    <w:lvl w:ilvl="0">
      <w:start w:val="1"/>
      <w:numFmt w:val="bullet"/>
      <w:lvlText w:val=""/>
      <w:lvlPicBulletId w:val="0"/>
      <w:lvlJc w:val="left"/>
      <w:pPr>
        <w:tabs>
          <w:tab w:val="num" w:pos="720"/>
        </w:tabs>
        <w:ind w:left="720" w:hanging="360"/>
      </w:pPr>
      <w:rPr>
        <w:rFonts w:ascii="Symbol" w:hAnsi="Symbol" w:hint="default"/>
        <w:color w:val="auto"/>
        <w:sz w:val="16"/>
        <w:szCs w:val="18"/>
        <w:lang w:val="fr-FR"/>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3897586"/>
    <w:multiLevelType w:val="hybridMultilevel"/>
    <w:tmpl w:val="25B4BF9C"/>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15:restartNumberingAfterBreak="0">
    <w:nsid w:val="550F64AB"/>
    <w:multiLevelType w:val="hybridMultilevel"/>
    <w:tmpl w:val="0F522E4A"/>
    <w:lvl w:ilvl="0" w:tplc="F8BCE254">
      <w:start w:val="1"/>
      <w:numFmt w:val="bullet"/>
      <w:lvlText w:val=""/>
      <w:lvlPicBulletId w:val="0"/>
      <w:lvlJc w:val="left"/>
      <w:pPr>
        <w:ind w:left="502" w:hanging="360"/>
      </w:pPr>
      <w:rPr>
        <w:rFonts w:ascii="Symbol" w:hAnsi="Symbol" w:hint="default"/>
        <w:color w:val="auto"/>
        <w:sz w:val="16"/>
        <w:szCs w:val="18"/>
        <w:lang w:val="fr-FR"/>
      </w:rPr>
    </w:lvl>
    <w:lvl w:ilvl="1" w:tplc="FFFFFFFF" w:tentative="1">
      <w:start w:val="1"/>
      <w:numFmt w:val="bullet"/>
      <w:lvlText w:val="o"/>
      <w:lvlJc w:val="left"/>
      <w:pPr>
        <w:ind w:left="1222" w:hanging="360"/>
      </w:pPr>
      <w:rPr>
        <w:rFonts w:ascii="Courier New" w:hAnsi="Courier New" w:cs="Courier New" w:hint="default"/>
      </w:rPr>
    </w:lvl>
    <w:lvl w:ilvl="2" w:tplc="FFFFFFFF" w:tentative="1">
      <w:start w:val="1"/>
      <w:numFmt w:val="bullet"/>
      <w:lvlText w:val=""/>
      <w:lvlJc w:val="left"/>
      <w:pPr>
        <w:ind w:left="1942" w:hanging="360"/>
      </w:pPr>
      <w:rPr>
        <w:rFonts w:ascii="Wingdings" w:hAnsi="Wingdings" w:hint="default"/>
      </w:rPr>
    </w:lvl>
    <w:lvl w:ilvl="3" w:tplc="FFFFFFFF" w:tentative="1">
      <w:start w:val="1"/>
      <w:numFmt w:val="bullet"/>
      <w:lvlText w:val=""/>
      <w:lvlJc w:val="left"/>
      <w:pPr>
        <w:ind w:left="2662" w:hanging="360"/>
      </w:pPr>
      <w:rPr>
        <w:rFonts w:ascii="Symbol" w:hAnsi="Symbol" w:hint="default"/>
      </w:rPr>
    </w:lvl>
    <w:lvl w:ilvl="4" w:tplc="FFFFFFFF" w:tentative="1">
      <w:start w:val="1"/>
      <w:numFmt w:val="bullet"/>
      <w:lvlText w:val="o"/>
      <w:lvlJc w:val="left"/>
      <w:pPr>
        <w:ind w:left="3382" w:hanging="360"/>
      </w:pPr>
      <w:rPr>
        <w:rFonts w:ascii="Courier New" w:hAnsi="Courier New" w:cs="Courier New" w:hint="default"/>
      </w:rPr>
    </w:lvl>
    <w:lvl w:ilvl="5" w:tplc="FFFFFFFF" w:tentative="1">
      <w:start w:val="1"/>
      <w:numFmt w:val="bullet"/>
      <w:lvlText w:val=""/>
      <w:lvlJc w:val="left"/>
      <w:pPr>
        <w:ind w:left="4102" w:hanging="360"/>
      </w:pPr>
      <w:rPr>
        <w:rFonts w:ascii="Wingdings" w:hAnsi="Wingdings" w:hint="default"/>
      </w:rPr>
    </w:lvl>
    <w:lvl w:ilvl="6" w:tplc="FFFFFFFF" w:tentative="1">
      <w:start w:val="1"/>
      <w:numFmt w:val="bullet"/>
      <w:lvlText w:val=""/>
      <w:lvlJc w:val="left"/>
      <w:pPr>
        <w:ind w:left="4822" w:hanging="360"/>
      </w:pPr>
      <w:rPr>
        <w:rFonts w:ascii="Symbol" w:hAnsi="Symbol" w:hint="default"/>
      </w:rPr>
    </w:lvl>
    <w:lvl w:ilvl="7" w:tplc="FFFFFFFF" w:tentative="1">
      <w:start w:val="1"/>
      <w:numFmt w:val="bullet"/>
      <w:lvlText w:val="o"/>
      <w:lvlJc w:val="left"/>
      <w:pPr>
        <w:ind w:left="5542" w:hanging="360"/>
      </w:pPr>
      <w:rPr>
        <w:rFonts w:ascii="Courier New" w:hAnsi="Courier New" w:cs="Courier New" w:hint="default"/>
      </w:rPr>
    </w:lvl>
    <w:lvl w:ilvl="8" w:tplc="FFFFFFFF" w:tentative="1">
      <w:start w:val="1"/>
      <w:numFmt w:val="bullet"/>
      <w:lvlText w:val=""/>
      <w:lvlJc w:val="left"/>
      <w:pPr>
        <w:ind w:left="6262" w:hanging="360"/>
      </w:pPr>
      <w:rPr>
        <w:rFonts w:ascii="Wingdings" w:hAnsi="Wingdings" w:hint="default"/>
      </w:rPr>
    </w:lvl>
  </w:abstractNum>
  <w:abstractNum w:abstractNumId="88" w15:restartNumberingAfterBreak="0">
    <w:nsid w:val="557F24DF"/>
    <w:multiLevelType w:val="hybridMultilevel"/>
    <w:tmpl w:val="7DF6E1D0"/>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A72CC07C">
      <w:numFmt w:val="bullet"/>
      <w:lvlText w:val="•"/>
      <w:lvlJc w:val="left"/>
      <w:pPr>
        <w:ind w:left="1440" w:hanging="360"/>
      </w:pPr>
      <w:rPr>
        <w:rFonts w:ascii="Source Sans Pro" w:eastAsiaTheme="minorHAnsi" w:hAnsi="Source Sans Pro"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6084823"/>
    <w:multiLevelType w:val="hybridMultilevel"/>
    <w:tmpl w:val="97F626CC"/>
    <w:lvl w:ilvl="0" w:tplc="FFFFFFFF">
      <w:start w:val="1"/>
      <w:numFmt w:val="bullet"/>
      <w:lvlText w:val=""/>
      <w:lvlJc w:val="left"/>
      <w:pPr>
        <w:ind w:left="1713" w:hanging="360"/>
      </w:pPr>
      <w:rPr>
        <w:rFonts w:ascii="Symbol" w:hAnsi="Symbol" w:hint="default"/>
      </w:rPr>
    </w:lvl>
    <w:lvl w:ilvl="1" w:tplc="8F1E0CB4">
      <w:start w:val="1"/>
      <w:numFmt w:val="bullet"/>
      <w:lvlText w:val=""/>
      <w:lvlPicBulletId w:val="1"/>
      <w:lvlJc w:val="left"/>
      <w:pPr>
        <w:ind w:left="720" w:hanging="360"/>
      </w:pPr>
      <w:rPr>
        <w:rFonts w:ascii="Symbol" w:hAnsi="Symbol" w:hint="default"/>
        <w:color w:val="auto"/>
      </w:rPr>
    </w:lvl>
    <w:lvl w:ilvl="2" w:tplc="FFFFFFFF">
      <w:start w:val="1"/>
      <w:numFmt w:val="bullet"/>
      <w:lvlText w:val=""/>
      <w:lvlJc w:val="left"/>
      <w:pPr>
        <w:ind w:left="3153" w:hanging="360"/>
      </w:pPr>
      <w:rPr>
        <w:rFonts w:ascii="Wingdings" w:hAnsi="Wingdings" w:hint="default"/>
      </w:rPr>
    </w:lvl>
    <w:lvl w:ilvl="3" w:tplc="FFFFFFFF">
      <w:start w:val="1"/>
      <w:numFmt w:val="bullet"/>
      <w:lvlText w:val=""/>
      <w:lvlJc w:val="left"/>
      <w:pPr>
        <w:ind w:left="3873" w:hanging="360"/>
      </w:pPr>
      <w:rPr>
        <w:rFonts w:ascii="Symbol" w:hAnsi="Symbol" w:hint="default"/>
      </w:rPr>
    </w:lvl>
    <w:lvl w:ilvl="4" w:tplc="0270C308">
      <w:start w:val="7"/>
      <w:numFmt w:val="bullet"/>
      <w:lvlText w:val="-"/>
      <w:lvlJc w:val="left"/>
      <w:pPr>
        <w:ind w:left="4593" w:hanging="360"/>
      </w:pPr>
      <w:rPr>
        <w:rFonts w:ascii="Source Sans Pro" w:eastAsiaTheme="minorHAnsi" w:hAnsi="Source Sans Pro" w:cstheme="minorBidi" w:hint="default"/>
      </w:rPr>
    </w:lvl>
    <w:lvl w:ilvl="5" w:tplc="FFFFFFFF">
      <w:start w:val="1"/>
      <w:numFmt w:val="bullet"/>
      <w:lvlText w:val=""/>
      <w:lvlJc w:val="left"/>
      <w:pPr>
        <w:ind w:left="5313" w:hanging="360"/>
      </w:pPr>
      <w:rPr>
        <w:rFonts w:ascii="Wingdings" w:hAnsi="Wingdings" w:hint="default"/>
      </w:rPr>
    </w:lvl>
    <w:lvl w:ilvl="6" w:tplc="FFFFFFFF" w:tentative="1">
      <w:start w:val="1"/>
      <w:numFmt w:val="bullet"/>
      <w:lvlText w:val=""/>
      <w:lvlJc w:val="left"/>
      <w:pPr>
        <w:ind w:left="6033" w:hanging="360"/>
      </w:pPr>
      <w:rPr>
        <w:rFonts w:ascii="Symbol" w:hAnsi="Symbol" w:hint="default"/>
      </w:rPr>
    </w:lvl>
    <w:lvl w:ilvl="7" w:tplc="FFFFFFFF" w:tentative="1">
      <w:start w:val="1"/>
      <w:numFmt w:val="bullet"/>
      <w:lvlText w:val="o"/>
      <w:lvlJc w:val="left"/>
      <w:pPr>
        <w:ind w:left="6753" w:hanging="360"/>
      </w:pPr>
      <w:rPr>
        <w:rFonts w:ascii="Courier New" w:hAnsi="Courier New" w:cs="Courier New" w:hint="default"/>
      </w:rPr>
    </w:lvl>
    <w:lvl w:ilvl="8" w:tplc="FFFFFFFF" w:tentative="1">
      <w:start w:val="1"/>
      <w:numFmt w:val="bullet"/>
      <w:lvlText w:val=""/>
      <w:lvlJc w:val="left"/>
      <w:pPr>
        <w:ind w:left="7473" w:hanging="360"/>
      </w:pPr>
      <w:rPr>
        <w:rFonts w:ascii="Wingdings" w:hAnsi="Wingdings" w:hint="default"/>
      </w:rPr>
    </w:lvl>
  </w:abstractNum>
  <w:abstractNum w:abstractNumId="90" w15:restartNumberingAfterBreak="0">
    <w:nsid w:val="5A262F90"/>
    <w:multiLevelType w:val="hybridMultilevel"/>
    <w:tmpl w:val="DDE416FA"/>
    <w:lvl w:ilvl="0" w:tplc="FFFFFFFF">
      <w:start w:val="1"/>
      <w:numFmt w:val="bullet"/>
      <w:lvlText w:val=""/>
      <w:lvlJc w:val="left"/>
      <w:pPr>
        <w:ind w:left="1713"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AB11315"/>
    <w:multiLevelType w:val="hybridMultilevel"/>
    <w:tmpl w:val="774E591A"/>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BE94DD1"/>
    <w:multiLevelType w:val="hybridMultilevel"/>
    <w:tmpl w:val="9FB0BF02"/>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E842D95"/>
    <w:multiLevelType w:val="hybridMultilevel"/>
    <w:tmpl w:val="AD6EC492"/>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 w15:restartNumberingAfterBreak="0">
    <w:nsid w:val="61E4234B"/>
    <w:multiLevelType w:val="hybridMultilevel"/>
    <w:tmpl w:val="6CBCDC9A"/>
    <w:lvl w:ilvl="0" w:tplc="F8BCE254">
      <w:start w:val="1"/>
      <w:numFmt w:val="bullet"/>
      <w:lvlText w:val=""/>
      <w:lvlPicBulletId w:val="0"/>
      <w:lvlJc w:val="left"/>
      <w:pPr>
        <w:ind w:left="360" w:hanging="360"/>
      </w:pPr>
      <w:rPr>
        <w:rFonts w:ascii="Symbol" w:hAnsi="Symbol" w:hint="default"/>
        <w:color w:val="auto"/>
        <w:sz w:val="16"/>
        <w:szCs w:val="18"/>
        <w:lang w:val="fr-FR"/>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5" w15:restartNumberingAfterBreak="0">
    <w:nsid w:val="61EE38B1"/>
    <w:multiLevelType w:val="hybridMultilevel"/>
    <w:tmpl w:val="3050FD0E"/>
    <w:lvl w:ilvl="0" w:tplc="FFFFFFFF">
      <w:start w:val="1"/>
      <w:numFmt w:val="bullet"/>
      <w:lvlText w:val=""/>
      <w:lvlJc w:val="left"/>
      <w:pPr>
        <w:ind w:left="1713"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2B16B31"/>
    <w:multiLevelType w:val="hybridMultilevel"/>
    <w:tmpl w:val="90044D32"/>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7" w15:restartNumberingAfterBreak="0">
    <w:nsid w:val="63521D07"/>
    <w:multiLevelType w:val="hybridMultilevel"/>
    <w:tmpl w:val="01A09318"/>
    <w:lvl w:ilvl="0" w:tplc="E4A89FB0">
      <w:start w:val="1"/>
      <w:numFmt w:val="bullet"/>
      <w:lvlText w:val=""/>
      <w:lvlPicBulletId w:val="2"/>
      <w:lvlJc w:val="left"/>
      <w:pPr>
        <w:ind w:left="720" w:hanging="360"/>
      </w:pPr>
      <w:rPr>
        <w:rFonts w:ascii="Symbol" w:hAnsi="Symbol" w:hint="default"/>
        <w:color w:val="auto"/>
        <w:sz w:val="16"/>
        <w:szCs w:val="18"/>
        <w:u w:color="000000" w:themeColor="text1"/>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 w15:restartNumberingAfterBreak="0">
    <w:nsid w:val="644F7630"/>
    <w:multiLevelType w:val="hybridMultilevel"/>
    <w:tmpl w:val="C13A5E2E"/>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4E86649"/>
    <w:multiLevelType w:val="hybridMultilevel"/>
    <w:tmpl w:val="AC98E2A0"/>
    <w:lvl w:ilvl="0" w:tplc="F8BCE254">
      <w:start w:val="1"/>
      <w:numFmt w:val="bullet"/>
      <w:lvlText w:val=""/>
      <w:lvlPicBulletId w:val="0"/>
      <w:lvlJc w:val="left"/>
      <w:pPr>
        <w:ind w:left="786" w:hanging="360"/>
      </w:pPr>
      <w:rPr>
        <w:rFonts w:ascii="Symbol" w:hAnsi="Symbol" w:hint="default"/>
        <w:color w:val="auto"/>
        <w:sz w:val="16"/>
        <w:szCs w:val="18"/>
        <w:lang w:val="fr-FR"/>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00" w15:restartNumberingAfterBreak="0">
    <w:nsid w:val="652B79C7"/>
    <w:multiLevelType w:val="hybridMultilevel"/>
    <w:tmpl w:val="4808BBCC"/>
    <w:lvl w:ilvl="0" w:tplc="AB1CDB6A">
      <w:start w:val="1"/>
      <w:numFmt w:val="lowerLetter"/>
      <w:pStyle w:val="Titre30"/>
      <w:lvlText w:val="%1."/>
      <w:lvlJc w:val="left"/>
      <w:pPr>
        <w:ind w:left="2136" w:hanging="360"/>
      </w:pPr>
      <w:rPr>
        <w:rFonts w:hint="default"/>
      </w:rPr>
    </w:lvl>
    <w:lvl w:ilvl="1" w:tplc="7512C23E">
      <w:start w:val="1"/>
      <w:numFmt w:val="decimal"/>
      <w:lvlText w:val="%2."/>
      <w:lvlJc w:val="left"/>
      <w:pPr>
        <w:ind w:left="720" w:hanging="360"/>
      </w:pPr>
      <w:rPr>
        <w:rFonts w:ascii="Source Sans Pro" w:hAnsi="Source Sans Pro" w:hint="default"/>
        <w:sz w:val="36"/>
      </w:rPr>
    </w:lvl>
    <w:lvl w:ilvl="2" w:tplc="0B4CCE04">
      <w:start w:val="1"/>
      <w:numFmt w:val="decimal"/>
      <w:lvlText w:val="%3-"/>
      <w:lvlJc w:val="left"/>
      <w:pPr>
        <w:ind w:left="3756" w:hanging="360"/>
      </w:pPr>
      <w:rPr>
        <w:rFonts w:hint="default"/>
      </w:rPr>
    </w:lvl>
    <w:lvl w:ilvl="3" w:tplc="FFFFFFFF" w:tentative="1">
      <w:start w:val="1"/>
      <w:numFmt w:val="decimal"/>
      <w:lvlText w:val="%4."/>
      <w:lvlJc w:val="left"/>
      <w:pPr>
        <w:ind w:left="4296" w:hanging="360"/>
      </w:pPr>
    </w:lvl>
    <w:lvl w:ilvl="4" w:tplc="FFFFFFFF" w:tentative="1">
      <w:start w:val="1"/>
      <w:numFmt w:val="lowerLetter"/>
      <w:lvlText w:val="%5."/>
      <w:lvlJc w:val="left"/>
      <w:pPr>
        <w:ind w:left="5016" w:hanging="360"/>
      </w:pPr>
    </w:lvl>
    <w:lvl w:ilvl="5" w:tplc="FFFFFFFF" w:tentative="1">
      <w:start w:val="1"/>
      <w:numFmt w:val="lowerRoman"/>
      <w:lvlText w:val="%6."/>
      <w:lvlJc w:val="right"/>
      <w:pPr>
        <w:ind w:left="5736" w:hanging="180"/>
      </w:pPr>
    </w:lvl>
    <w:lvl w:ilvl="6" w:tplc="FFFFFFFF" w:tentative="1">
      <w:start w:val="1"/>
      <w:numFmt w:val="decimal"/>
      <w:lvlText w:val="%7."/>
      <w:lvlJc w:val="left"/>
      <w:pPr>
        <w:ind w:left="6456" w:hanging="360"/>
      </w:pPr>
    </w:lvl>
    <w:lvl w:ilvl="7" w:tplc="FFFFFFFF" w:tentative="1">
      <w:start w:val="1"/>
      <w:numFmt w:val="lowerLetter"/>
      <w:lvlText w:val="%8."/>
      <w:lvlJc w:val="left"/>
      <w:pPr>
        <w:ind w:left="7176" w:hanging="360"/>
      </w:pPr>
    </w:lvl>
    <w:lvl w:ilvl="8" w:tplc="FFFFFFFF" w:tentative="1">
      <w:start w:val="1"/>
      <w:numFmt w:val="lowerRoman"/>
      <w:lvlText w:val="%9."/>
      <w:lvlJc w:val="right"/>
      <w:pPr>
        <w:ind w:left="7896" w:hanging="180"/>
      </w:pPr>
    </w:lvl>
  </w:abstractNum>
  <w:abstractNum w:abstractNumId="101" w15:restartNumberingAfterBreak="0">
    <w:nsid w:val="66EB2002"/>
    <w:multiLevelType w:val="hybridMultilevel"/>
    <w:tmpl w:val="DAE0578C"/>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start w:val="1"/>
      <w:numFmt w:val="bullet"/>
      <w:lvlText w:val="o"/>
      <w:lvlJc w:val="left"/>
      <w:pPr>
        <w:ind w:left="1440" w:hanging="360"/>
      </w:pPr>
      <w:rPr>
        <w:rFonts w:ascii="Courier New" w:hAnsi="Courier New" w:cs="Courier New" w:hint="default"/>
      </w:rPr>
    </w:lvl>
    <w:lvl w:ilvl="2" w:tplc="F8BCE254">
      <w:start w:val="1"/>
      <w:numFmt w:val="bullet"/>
      <w:lvlText w:val=""/>
      <w:lvlPicBulletId w:val="0"/>
      <w:lvlJc w:val="left"/>
      <w:pPr>
        <w:ind w:left="720" w:hanging="360"/>
      </w:pPr>
      <w:rPr>
        <w:rFonts w:ascii="Symbol" w:hAnsi="Symbol" w:hint="default"/>
        <w:color w:val="auto"/>
        <w:sz w:val="16"/>
        <w:szCs w:val="18"/>
        <w:lang w:val="fr-FR"/>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15:restartNumberingAfterBreak="0">
    <w:nsid w:val="692865D9"/>
    <w:multiLevelType w:val="hybridMultilevel"/>
    <w:tmpl w:val="F22877FE"/>
    <w:lvl w:ilvl="0" w:tplc="E4A89FB0">
      <w:start w:val="1"/>
      <w:numFmt w:val="bullet"/>
      <w:lvlText w:val=""/>
      <w:lvlPicBulletId w:val="2"/>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3" w15:restartNumberingAfterBreak="0">
    <w:nsid w:val="6A7130F7"/>
    <w:multiLevelType w:val="multilevel"/>
    <w:tmpl w:val="A740EBA6"/>
    <w:lvl w:ilvl="0">
      <w:start w:val="1"/>
      <w:numFmt w:val="decimal"/>
      <w:lvlText w:val="%1."/>
      <w:lvlJc w:val="left"/>
      <w:pPr>
        <w:ind w:left="720" w:hanging="360"/>
      </w:pPr>
      <w:rPr>
        <w:rFonts w:ascii="Source Sans Pro" w:hAnsi="Source Sans Pro" w:hint="default"/>
        <w:sz w:val="36"/>
      </w:rPr>
    </w:lvl>
    <w:lvl w:ilvl="1">
      <w:start w:val="1"/>
      <w:numFmt w:val="decimal"/>
      <w:isLgl/>
      <w:lvlText w:val="%1.%2"/>
      <w:lvlJc w:val="left"/>
      <w:pPr>
        <w:ind w:left="730" w:hanging="37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4" w15:restartNumberingAfterBreak="0">
    <w:nsid w:val="6AB144AC"/>
    <w:multiLevelType w:val="multilevel"/>
    <w:tmpl w:val="BBCCF37A"/>
    <w:styleLink w:val="Listeactuelle1"/>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5" w15:restartNumberingAfterBreak="0">
    <w:nsid w:val="6C72243A"/>
    <w:multiLevelType w:val="hybridMultilevel"/>
    <w:tmpl w:val="3FB2FF58"/>
    <w:lvl w:ilvl="0" w:tplc="F8BCE254">
      <w:start w:val="1"/>
      <w:numFmt w:val="bullet"/>
      <w:lvlText w:val=""/>
      <w:lvlPicBulletId w:val="0"/>
      <w:lvlJc w:val="left"/>
      <w:pPr>
        <w:ind w:left="1004" w:hanging="360"/>
      </w:pPr>
      <w:rPr>
        <w:rFonts w:ascii="Symbol" w:hAnsi="Symbol" w:hint="default"/>
        <w:color w:val="auto"/>
        <w:sz w:val="16"/>
        <w:szCs w:val="18"/>
        <w:lang w:val="fr-FR"/>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106" w15:restartNumberingAfterBreak="0">
    <w:nsid w:val="6CD56A44"/>
    <w:multiLevelType w:val="hybridMultilevel"/>
    <w:tmpl w:val="0A64E2EA"/>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7" w15:restartNumberingAfterBreak="0">
    <w:nsid w:val="6DD43EDC"/>
    <w:multiLevelType w:val="hybridMultilevel"/>
    <w:tmpl w:val="F39EB40C"/>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360" w:hanging="360"/>
      </w:pPr>
      <w:rPr>
        <w:rFonts w:ascii="Symbol" w:hAnsi="Symbol" w:hint="default"/>
        <w:color w:val="auto"/>
        <w:sz w:val="28"/>
        <w:szCs w:val="28"/>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8" w15:restartNumberingAfterBreak="0">
    <w:nsid w:val="6DDA0DEF"/>
    <w:multiLevelType w:val="hybridMultilevel"/>
    <w:tmpl w:val="D7D22CE2"/>
    <w:lvl w:ilvl="0" w:tplc="F8BCE254">
      <w:start w:val="1"/>
      <w:numFmt w:val="bullet"/>
      <w:lvlText w:val=""/>
      <w:lvlPicBulletId w:val="0"/>
      <w:lvlJc w:val="left"/>
      <w:pPr>
        <w:tabs>
          <w:tab w:val="num" w:pos="720"/>
        </w:tabs>
        <w:ind w:left="720" w:hanging="360"/>
      </w:pPr>
      <w:rPr>
        <w:rFonts w:ascii="Symbol" w:hAnsi="Symbol" w:hint="default"/>
        <w:color w:val="auto"/>
        <w:sz w:val="16"/>
        <w:szCs w:val="18"/>
        <w:lang w:val="fr-FR"/>
      </w:rPr>
    </w:lvl>
    <w:lvl w:ilvl="1" w:tplc="FFFFFFFF" w:tentative="1">
      <w:start w:val="1"/>
      <w:numFmt w:val="bullet"/>
      <w:lvlText w:val=""/>
      <w:lvlJc w:val="left"/>
      <w:pPr>
        <w:tabs>
          <w:tab w:val="num" w:pos="1440"/>
        </w:tabs>
        <w:ind w:left="1440" w:hanging="360"/>
      </w:pPr>
      <w:rPr>
        <w:rFonts w:ascii="Symbol" w:hAnsi="Symbol" w:hint="default"/>
      </w:rPr>
    </w:lvl>
    <w:lvl w:ilvl="2" w:tplc="FFFFFFFF" w:tentative="1">
      <w:start w:val="1"/>
      <w:numFmt w:val="bullet"/>
      <w:lvlText w:val=""/>
      <w:lvlJc w:val="left"/>
      <w:pPr>
        <w:tabs>
          <w:tab w:val="num" w:pos="2160"/>
        </w:tabs>
        <w:ind w:left="21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
      <w:lvlJc w:val="left"/>
      <w:pPr>
        <w:tabs>
          <w:tab w:val="num" w:pos="3600"/>
        </w:tabs>
        <w:ind w:left="3600" w:hanging="360"/>
      </w:pPr>
      <w:rPr>
        <w:rFonts w:ascii="Symbol" w:hAnsi="Symbol" w:hint="default"/>
      </w:rPr>
    </w:lvl>
    <w:lvl w:ilvl="5" w:tplc="FFFFFFFF" w:tentative="1">
      <w:start w:val="1"/>
      <w:numFmt w:val="bullet"/>
      <w:lvlText w:val=""/>
      <w:lvlJc w:val="left"/>
      <w:pPr>
        <w:tabs>
          <w:tab w:val="num" w:pos="4320"/>
        </w:tabs>
        <w:ind w:left="4320" w:hanging="360"/>
      </w:pPr>
      <w:rPr>
        <w:rFonts w:ascii="Symbol" w:hAnsi="Symbol"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
      <w:lvlJc w:val="left"/>
      <w:pPr>
        <w:tabs>
          <w:tab w:val="num" w:pos="5760"/>
        </w:tabs>
        <w:ind w:left="5760" w:hanging="360"/>
      </w:pPr>
      <w:rPr>
        <w:rFonts w:ascii="Symbol" w:hAnsi="Symbol" w:hint="default"/>
      </w:rPr>
    </w:lvl>
    <w:lvl w:ilvl="8" w:tplc="FFFFFFFF" w:tentative="1">
      <w:start w:val="1"/>
      <w:numFmt w:val="bullet"/>
      <w:lvlText w:val=""/>
      <w:lvlJc w:val="left"/>
      <w:pPr>
        <w:tabs>
          <w:tab w:val="num" w:pos="6480"/>
        </w:tabs>
        <w:ind w:left="6480" w:hanging="360"/>
      </w:pPr>
      <w:rPr>
        <w:rFonts w:ascii="Symbol" w:hAnsi="Symbol" w:hint="default"/>
      </w:rPr>
    </w:lvl>
  </w:abstractNum>
  <w:abstractNum w:abstractNumId="109" w15:restartNumberingAfterBreak="0">
    <w:nsid w:val="6FC5363A"/>
    <w:multiLevelType w:val="hybridMultilevel"/>
    <w:tmpl w:val="5464DE02"/>
    <w:lvl w:ilvl="0" w:tplc="FFFFFFFF">
      <w:start w:val="1"/>
      <w:numFmt w:val="bullet"/>
      <w:lvlText w:val=""/>
      <w:lvlPicBulletId w:val="0"/>
      <w:lvlJc w:val="left"/>
      <w:pPr>
        <w:ind w:left="720" w:hanging="360"/>
      </w:pPr>
      <w:rPr>
        <w:rFonts w:ascii="Symbol" w:hAnsi="Symbol" w:hint="default"/>
        <w:color w:val="auto"/>
        <w:sz w:val="16"/>
        <w:szCs w:val="18"/>
        <w:lang w:val="fr-FR"/>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PicBulletId w:val="0"/>
      <w:lvlJc w:val="left"/>
      <w:pPr>
        <w:ind w:left="720" w:hanging="360"/>
      </w:pPr>
      <w:rPr>
        <w:rFonts w:ascii="Symbol" w:hAnsi="Symbol" w:hint="default"/>
        <w:color w:val="auto"/>
        <w:sz w:val="16"/>
        <w:szCs w:val="18"/>
        <w:lang w:val="fr-FR"/>
      </w:rPr>
    </w:lvl>
    <w:lvl w:ilvl="3" w:tplc="FFFFFFFF">
      <w:start w:val="1"/>
      <w:numFmt w:val="bullet"/>
      <w:lvlText w:val=""/>
      <w:lvlJc w:val="left"/>
      <w:pPr>
        <w:ind w:left="2880" w:hanging="360"/>
      </w:pPr>
      <w:rPr>
        <w:rFonts w:ascii="Symbol" w:hAnsi="Symbol" w:hint="default"/>
      </w:rPr>
    </w:lvl>
    <w:lvl w:ilvl="4" w:tplc="FFFFFFFF">
      <w:start w:val="8"/>
      <w:numFmt w:val="bullet"/>
      <w:lvlText w:val=""/>
      <w:lvlJc w:val="left"/>
      <w:pPr>
        <w:ind w:left="3600" w:hanging="360"/>
      </w:pPr>
      <w:rPr>
        <w:rFonts w:ascii="Wingdings" w:eastAsiaTheme="minorHAnsi" w:hAnsi="Wingdings" w:cstheme="minorBidi" w:hint="default"/>
      </w:rPr>
    </w:lvl>
    <w:lvl w:ilvl="5" w:tplc="F8BCE254">
      <w:start w:val="1"/>
      <w:numFmt w:val="bullet"/>
      <w:lvlText w:val=""/>
      <w:lvlPicBulletId w:val="0"/>
      <w:lvlJc w:val="left"/>
      <w:pPr>
        <w:ind w:left="720" w:hanging="360"/>
      </w:pPr>
      <w:rPr>
        <w:rFonts w:ascii="Symbol" w:hAnsi="Symbol" w:hint="default"/>
        <w:color w:val="auto"/>
        <w:sz w:val="16"/>
        <w:szCs w:val="18"/>
        <w:lang w:val="fr-FR"/>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0" w15:restartNumberingAfterBreak="0">
    <w:nsid w:val="7050005A"/>
    <w:multiLevelType w:val="hybridMultilevel"/>
    <w:tmpl w:val="BD4A7064"/>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1" w15:restartNumberingAfterBreak="0">
    <w:nsid w:val="71603EDD"/>
    <w:multiLevelType w:val="hybridMultilevel"/>
    <w:tmpl w:val="249CBD52"/>
    <w:lvl w:ilvl="0" w:tplc="F8BCE254">
      <w:start w:val="1"/>
      <w:numFmt w:val="bullet"/>
      <w:lvlText w:val=""/>
      <w:lvlPicBulletId w:val="0"/>
      <w:lvlJc w:val="left"/>
      <w:pPr>
        <w:ind w:left="360" w:hanging="360"/>
      </w:pPr>
      <w:rPr>
        <w:rFonts w:ascii="Symbol" w:hAnsi="Symbol" w:hint="default"/>
        <w:color w:val="auto"/>
        <w:sz w:val="16"/>
        <w:szCs w:val="18"/>
        <w:lang w:val="fr-FR"/>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2" w15:restartNumberingAfterBreak="0">
    <w:nsid w:val="71BF0BB3"/>
    <w:multiLevelType w:val="hybridMultilevel"/>
    <w:tmpl w:val="1FCE8074"/>
    <w:lvl w:ilvl="0" w:tplc="8F1E0CB4">
      <w:start w:val="1"/>
      <w:numFmt w:val="bullet"/>
      <w:lvlText w:val=""/>
      <w:lvlPicBulletId w:val="1"/>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15:restartNumberingAfterBreak="0">
    <w:nsid w:val="71C55B67"/>
    <w:multiLevelType w:val="hybridMultilevel"/>
    <w:tmpl w:val="414688A0"/>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 w15:restartNumberingAfterBreak="0">
    <w:nsid w:val="72851D5F"/>
    <w:multiLevelType w:val="hybridMultilevel"/>
    <w:tmpl w:val="72824A72"/>
    <w:lvl w:ilvl="0" w:tplc="FFFFFFFF">
      <w:start w:val="3"/>
      <w:numFmt w:val="decimal"/>
      <w:lvlText w:val="%1."/>
      <w:lvlJc w:val="left"/>
      <w:pPr>
        <w:ind w:left="720" w:hanging="360"/>
      </w:pPr>
      <w:rPr>
        <w:rFonts w:hint="default"/>
        <w:b/>
      </w:rPr>
    </w:lvl>
    <w:lvl w:ilvl="1" w:tplc="FFFFFFFF">
      <w:start w:val="1"/>
      <w:numFmt w:val="bullet"/>
      <w:lvlText w:val=""/>
      <w:lvlPicBulletId w:val="0"/>
      <w:lvlJc w:val="left"/>
      <w:pPr>
        <w:ind w:left="720" w:hanging="360"/>
      </w:pPr>
      <w:rPr>
        <w:rFonts w:ascii="Symbol" w:hAnsi="Symbol" w:hint="default"/>
        <w:color w:val="auto"/>
        <w:sz w:val="16"/>
        <w:szCs w:val="18"/>
        <w:lang w:val="fr-FR"/>
      </w:rPr>
    </w:lvl>
    <w:lvl w:ilvl="2" w:tplc="FFFFFFFF">
      <w:start w:val="1"/>
      <w:numFmt w:val="lowerRoman"/>
      <w:lvlText w:val="%3."/>
      <w:lvlJc w:val="right"/>
      <w:pPr>
        <w:ind w:left="2160" w:hanging="180"/>
      </w:pPr>
    </w:lvl>
    <w:lvl w:ilvl="3" w:tplc="E4A89FB0">
      <w:start w:val="1"/>
      <w:numFmt w:val="bullet"/>
      <w:lvlText w:val=""/>
      <w:lvlPicBulletId w:val="2"/>
      <w:lvlJc w:val="left"/>
      <w:pPr>
        <w:ind w:left="720" w:hanging="360"/>
      </w:pPr>
      <w:rPr>
        <w:rFonts w:ascii="Symbol" w:hAnsi="Symbol" w:hint="default"/>
        <w:color w:val="auto"/>
      </w:r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76A55BAA"/>
    <w:multiLevelType w:val="hybridMultilevel"/>
    <w:tmpl w:val="C5D2A0EC"/>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6" w15:restartNumberingAfterBreak="0">
    <w:nsid w:val="77251BCD"/>
    <w:multiLevelType w:val="hybridMultilevel"/>
    <w:tmpl w:val="FC5E553E"/>
    <w:lvl w:ilvl="0" w:tplc="8F1E0CB4">
      <w:start w:val="1"/>
      <w:numFmt w:val="bullet"/>
      <w:lvlText w:val=""/>
      <w:lvlPicBulletId w:val="1"/>
      <w:lvlJc w:val="left"/>
      <w:pPr>
        <w:ind w:left="720" w:hanging="360"/>
      </w:pPr>
      <w:rPr>
        <w:rFonts w:ascii="Symbol" w:hAnsi="Symbol" w:hint="default"/>
        <w:color w:val="auto"/>
        <w:sz w:val="1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773F6C3A"/>
    <w:multiLevelType w:val="hybridMultilevel"/>
    <w:tmpl w:val="B60C7318"/>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8" w15:restartNumberingAfterBreak="0">
    <w:nsid w:val="77636987"/>
    <w:multiLevelType w:val="hybridMultilevel"/>
    <w:tmpl w:val="C5FE441E"/>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9" w15:restartNumberingAfterBreak="0">
    <w:nsid w:val="79D545C1"/>
    <w:multiLevelType w:val="hybridMultilevel"/>
    <w:tmpl w:val="DFE60708"/>
    <w:lvl w:ilvl="0" w:tplc="F8BCE254">
      <w:start w:val="1"/>
      <w:numFmt w:val="bullet"/>
      <w:lvlText w:val=""/>
      <w:lvlPicBulletId w:val="0"/>
      <w:lvlJc w:val="left"/>
      <w:pPr>
        <w:ind w:left="720" w:hanging="360"/>
      </w:pPr>
      <w:rPr>
        <w:rFonts w:ascii="Symbol" w:hAnsi="Symbol" w:hint="default"/>
        <w:color w:val="auto"/>
        <w:sz w:val="16"/>
        <w:szCs w:val="18"/>
        <w:lang w:val="fr-FR"/>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0" w15:restartNumberingAfterBreak="0">
    <w:nsid w:val="7A391F48"/>
    <w:multiLevelType w:val="hybridMultilevel"/>
    <w:tmpl w:val="0B5E5D34"/>
    <w:lvl w:ilvl="0" w:tplc="F8BCE254">
      <w:start w:val="1"/>
      <w:numFmt w:val="bullet"/>
      <w:lvlText w:val=""/>
      <w:lvlJc w:val="left"/>
      <w:pPr>
        <w:ind w:left="720" w:hanging="360"/>
      </w:pPr>
      <w:rPr>
        <w:rFonts w:ascii="Symbol" w:hAnsi="Symbol" w:hint="default"/>
        <w:color w:val="auto"/>
        <w:sz w:val="16"/>
        <w:szCs w:val="18"/>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21" w15:restartNumberingAfterBreak="0">
    <w:nsid w:val="7A4F6D94"/>
    <w:multiLevelType w:val="hybridMultilevel"/>
    <w:tmpl w:val="D6E82306"/>
    <w:lvl w:ilvl="0" w:tplc="F8BCE254">
      <w:start w:val="1"/>
      <w:numFmt w:val="bullet"/>
      <w:lvlText w:val=""/>
      <w:lvlJc w:val="left"/>
      <w:pPr>
        <w:ind w:left="1837" w:hanging="360"/>
      </w:pPr>
      <w:rPr>
        <w:rFonts w:ascii="Symbol" w:hAnsi="Symbol" w:hint="default"/>
        <w:color w:val="auto"/>
        <w:sz w:val="16"/>
        <w:szCs w:val="18"/>
      </w:rPr>
    </w:lvl>
    <w:lvl w:ilvl="1" w:tplc="FFFFFFFF">
      <w:start w:val="1"/>
      <w:numFmt w:val="bullet"/>
      <w:lvlText w:val="o"/>
      <w:lvlJc w:val="left"/>
      <w:pPr>
        <w:ind w:left="2557" w:hanging="360"/>
      </w:pPr>
      <w:rPr>
        <w:rFonts w:ascii="Courier New" w:hAnsi="Courier New" w:cs="Courier New" w:hint="default"/>
      </w:rPr>
    </w:lvl>
    <w:lvl w:ilvl="2" w:tplc="FFFFFFFF">
      <w:start w:val="1"/>
      <w:numFmt w:val="bullet"/>
      <w:lvlText w:val=""/>
      <w:lvlJc w:val="left"/>
      <w:pPr>
        <w:ind w:left="3277" w:hanging="360"/>
      </w:pPr>
      <w:rPr>
        <w:rFonts w:ascii="Wingdings" w:hAnsi="Wingdings" w:hint="default"/>
      </w:rPr>
    </w:lvl>
    <w:lvl w:ilvl="3" w:tplc="FFFFFFFF">
      <w:start w:val="1"/>
      <w:numFmt w:val="bullet"/>
      <w:lvlText w:val=""/>
      <w:lvlJc w:val="left"/>
      <w:pPr>
        <w:ind w:left="3997" w:hanging="360"/>
      </w:pPr>
      <w:rPr>
        <w:rFonts w:ascii="Symbol" w:hAnsi="Symbol" w:hint="default"/>
      </w:rPr>
    </w:lvl>
    <w:lvl w:ilvl="4" w:tplc="FFFFFFFF">
      <w:start w:val="1"/>
      <w:numFmt w:val="bullet"/>
      <w:lvlText w:val="o"/>
      <w:lvlJc w:val="left"/>
      <w:pPr>
        <w:ind w:left="4717" w:hanging="360"/>
      </w:pPr>
      <w:rPr>
        <w:rFonts w:ascii="Courier New" w:hAnsi="Courier New" w:cs="Courier New" w:hint="default"/>
      </w:rPr>
    </w:lvl>
    <w:lvl w:ilvl="5" w:tplc="FFFFFFFF">
      <w:start w:val="1"/>
      <w:numFmt w:val="bullet"/>
      <w:lvlText w:val=""/>
      <w:lvlJc w:val="left"/>
      <w:pPr>
        <w:ind w:left="5437" w:hanging="360"/>
      </w:pPr>
      <w:rPr>
        <w:rFonts w:ascii="Wingdings" w:hAnsi="Wingdings" w:hint="default"/>
      </w:rPr>
    </w:lvl>
    <w:lvl w:ilvl="6" w:tplc="FFFFFFFF">
      <w:start w:val="1"/>
      <w:numFmt w:val="bullet"/>
      <w:lvlText w:val=""/>
      <w:lvlJc w:val="left"/>
      <w:pPr>
        <w:ind w:left="6157" w:hanging="360"/>
      </w:pPr>
      <w:rPr>
        <w:rFonts w:ascii="Symbol" w:hAnsi="Symbol" w:hint="default"/>
      </w:rPr>
    </w:lvl>
    <w:lvl w:ilvl="7" w:tplc="FFFFFFFF">
      <w:start w:val="1"/>
      <w:numFmt w:val="bullet"/>
      <w:lvlText w:val="o"/>
      <w:lvlJc w:val="left"/>
      <w:pPr>
        <w:ind w:left="6877" w:hanging="360"/>
      </w:pPr>
      <w:rPr>
        <w:rFonts w:ascii="Courier New" w:hAnsi="Courier New" w:cs="Courier New" w:hint="default"/>
      </w:rPr>
    </w:lvl>
    <w:lvl w:ilvl="8" w:tplc="FFFFFFFF">
      <w:start w:val="1"/>
      <w:numFmt w:val="bullet"/>
      <w:lvlText w:val=""/>
      <w:lvlJc w:val="left"/>
      <w:pPr>
        <w:ind w:left="7597" w:hanging="360"/>
      </w:pPr>
      <w:rPr>
        <w:rFonts w:ascii="Wingdings" w:hAnsi="Wingdings" w:hint="default"/>
      </w:rPr>
    </w:lvl>
  </w:abstractNum>
  <w:abstractNum w:abstractNumId="122" w15:restartNumberingAfterBreak="0">
    <w:nsid w:val="7CE77259"/>
    <w:multiLevelType w:val="multilevel"/>
    <w:tmpl w:val="62501D88"/>
    <w:lvl w:ilvl="0">
      <w:start w:val="1"/>
      <w:numFmt w:val="bullet"/>
      <w:lvlText w:val=""/>
      <w:lvlPicBulletId w:val="2"/>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7F3E42C3"/>
    <w:multiLevelType w:val="multilevel"/>
    <w:tmpl w:val="E2767978"/>
    <w:lvl w:ilvl="0">
      <w:start w:val="4"/>
      <w:numFmt w:val="decimal"/>
      <w:lvlText w:val="%1."/>
      <w:lvlJc w:val="left"/>
      <w:pPr>
        <w:ind w:left="460" w:hanging="460"/>
      </w:pPr>
      <w:rPr>
        <w:rFonts w:hint="default"/>
      </w:rPr>
    </w:lvl>
    <w:lvl w:ilvl="1">
      <w:start w:val="1"/>
      <w:numFmt w:val="decimal"/>
      <w:lvlText w:val="%1.%2."/>
      <w:lvlJc w:val="left"/>
      <w:pPr>
        <w:ind w:left="1450" w:hanging="720"/>
      </w:pPr>
      <w:rPr>
        <w:rFonts w:hint="default"/>
      </w:rPr>
    </w:lvl>
    <w:lvl w:ilvl="2">
      <w:start w:val="1"/>
      <w:numFmt w:val="decimal"/>
      <w:lvlText w:val="%1.%2.%3."/>
      <w:lvlJc w:val="left"/>
      <w:pPr>
        <w:ind w:left="2180" w:hanging="720"/>
      </w:pPr>
      <w:rPr>
        <w:rFonts w:hint="default"/>
      </w:rPr>
    </w:lvl>
    <w:lvl w:ilvl="3">
      <w:start w:val="1"/>
      <w:numFmt w:val="decimal"/>
      <w:lvlText w:val="%1.%2.%3.%4."/>
      <w:lvlJc w:val="left"/>
      <w:pPr>
        <w:ind w:left="3270" w:hanging="1080"/>
      </w:pPr>
      <w:rPr>
        <w:rFonts w:hint="default"/>
      </w:rPr>
    </w:lvl>
    <w:lvl w:ilvl="4">
      <w:start w:val="1"/>
      <w:numFmt w:val="decimal"/>
      <w:lvlText w:val="%1.%2.%3.%4.%5."/>
      <w:lvlJc w:val="left"/>
      <w:pPr>
        <w:ind w:left="4360" w:hanging="1440"/>
      </w:pPr>
      <w:rPr>
        <w:rFonts w:hint="default"/>
      </w:rPr>
    </w:lvl>
    <w:lvl w:ilvl="5">
      <w:start w:val="1"/>
      <w:numFmt w:val="decimal"/>
      <w:lvlText w:val="%1.%2.%3.%4.%5.%6."/>
      <w:lvlJc w:val="left"/>
      <w:pPr>
        <w:ind w:left="5090" w:hanging="1440"/>
      </w:pPr>
      <w:rPr>
        <w:rFonts w:hint="default"/>
      </w:rPr>
    </w:lvl>
    <w:lvl w:ilvl="6">
      <w:start w:val="1"/>
      <w:numFmt w:val="decimal"/>
      <w:lvlText w:val="%1.%2.%3.%4.%5.%6.%7."/>
      <w:lvlJc w:val="left"/>
      <w:pPr>
        <w:ind w:left="6180" w:hanging="1800"/>
      </w:pPr>
      <w:rPr>
        <w:rFonts w:hint="default"/>
      </w:rPr>
    </w:lvl>
    <w:lvl w:ilvl="7">
      <w:start w:val="1"/>
      <w:numFmt w:val="decimal"/>
      <w:lvlText w:val="%1.%2.%3.%4.%5.%6.%7.%8."/>
      <w:lvlJc w:val="left"/>
      <w:pPr>
        <w:ind w:left="7270" w:hanging="2160"/>
      </w:pPr>
      <w:rPr>
        <w:rFonts w:hint="default"/>
      </w:rPr>
    </w:lvl>
    <w:lvl w:ilvl="8">
      <w:start w:val="1"/>
      <w:numFmt w:val="decimal"/>
      <w:lvlText w:val="%1.%2.%3.%4.%5.%6.%7.%8.%9."/>
      <w:lvlJc w:val="left"/>
      <w:pPr>
        <w:ind w:left="8000" w:hanging="2160"/>
      </w:pPr>
      <w:rPr>
        <w:rFonts w:hint="default"/>
      </w:rPr>
    </w:lvl>
  </w:abstractNum>
  <w:abstractNum w:abstractNumId="124" w15:restartNumberingAfterBreak="0">
    <w:nsid w:val="7F954294"/>
    <w:multiLevelType w:val="multilevel"/>
    <w:tmpl w:val="E1CCEE6C"/>
    <w:lvl w:ilvl="0">
      <w:start w:val="1"/>
      <w:numFmt w:val="bullet"/>
      <w:lvlText w:val=""/>
      <w:lvlPicBulletId w:val="0"/>
      <w:lvlJc w:val="left"/>
      <w:pPr>
        <w:tabs>
          <w:tab w:val="num" w:pos="720"/>
        </w:tabs>
        <w:ind w:left="720" w:hanging="360"/>
      </w:pPr>
      <w:rPr>
        <w:rFonts w:ascii="Symbol" w:hAnsi="Symbol" w:hint="default"/>
        <w:color w:val="auto"/>
        <w:sz w:val="16"/>
        <w:szCs w:val="18"/>
        <w:lang w:val="fr-FR"/>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09538917">
    <w:abstractNumId w:val="100"/>
  </w:num>
  <w:num w:numId="2" w16cid:durableId="420104661">
    <w:abstractNumId w:val="37"/>
  </w:num>
  <w:num w:numId="3" w16cid:durableId="607271140">
    <w:abstractNumId w:val="83"/>
  </w:num>
  <w:num w:numId="4" w16cid:durableId="1058674678">
    <w:abstractNumId w:val="48"/>
  </w:num>
  <w:num w:numId="5" w16cid:durableId="460075361">
    <w:abstractNumId w:val="47"/>
  </w:num>
  <w:num w:numId="6" w16cid:durableId="888879849">
    <w:abstractNumId w:val="22"/>
  </w:num>
  <w:num w:numId="7" w16cid:durableId="222716365">
    <w:abstractNumId w:val="86"/>
  </w:num>
  <w:num w:numId="8" w16cid:durableId="350882929">
    <w:abstractNumId w:val="67"/>
  </w:num>
  <w:num w:numId="9" w16cid:durableId="1845439574">
    <w:abstractNumId w:val="29"/>
  </w:num>
  <w:num w:numId="10" w16cid:durableId="462425449">
    <w:abstractNumId w:val="40"/>
  </w:num>
  <w:num w:numId="11" w16cid:durableId="1824812859">
    <w:abstractNumId w:val="111"/>
  </w:num>
  <w:num w:numId="12" w16cid:durableId="561603098">
    <w:abstractNumId w:val="77"/>
  </w:num>
  <w:num w:numId="13" w16cid:durableId="539128848">
    <w:abstractNumId w:val="121"/>
  </w:num>
  <w:num w:numId="14" w16cid:durableId="1052272600">
    <w:abstractNumId w:val="120"/>
  </w:num>
  <w:num w:numId="15" w16cid:durableId="1824273692">
    <w:abstractNumId w:val="28"/>
  </w:num>
  <w:num w:numId="16" w16cid:durableId="1597135273">
    <w:abstractNumId w:val="78"/>
  </w:num>
  <w:num w:numId="17" w16cid:durableId="1248271520">
    <w:abstractNumId w:val="16"/>
  </w:num>
  <w:num w:numId="18" w16cid:durableId="1253271493">
    <w:abstractNumId w:val="74"/>
  </w:num>
  <w:num w:numId="19" w16cid:durableId="1053429463">
    <w:abstractNumId w:val="107"/>
  </w:num>
  <w:num w:numId="20" w16cid:durableId="2124496531">
    <w:abstractNumId w:val="34"/>
  </w:num>
  <w:num w:numId="21" w16cid:durableId="1026637214">
    <w:abstractNumId w:val="89"/>
  </w:num>
  <w:num w:numId="22" w16cid:durableId="1151215160">
    <w:abstractNumId w:val="108"/>
  </w:num>
  <w:num w:numId="23" w16cid:durableId="81923739">
    <w:abstractNumId w:val="15"/>
  </w:num>
  <w:num w:numId="24" w16cid:durableId="394134383">
    <w:abstractNumId w:val="112"/>
  </w:num>
  <w:num w:numId="25" w16cid:durableId="2054842868">
    <w:abstractNumId w:val="66"/>
  </w:num>
  <w:num w:numId="26" w16cid:durableId="1955091394">
    <w:abstractNumId w:val="82"/>
  </w:num>
  <w:num w:numId="27" w16cid:durableId="1486975356">
    <w:abstractNumId w:val="75"/>
  </w:num>
  <w:num w:numId="28" w16cid:durableId="335116473">
    <w:abstractNumId w:val="51"/>
  </w:num>
  <w:num w:numId="29" w16cid:durableId="1628705498">
    <w:abstractNumId w:val="25"/>
  </w:num>
  <w:num w:numId="30" w16cid:durableId="2068799656">
    <w:abstractNumId w:val="39"/>
  </w:num>
  <w:num w:numId="31" w16cid:durableId="813066094">
    <w:abstractNumId w:val="94"/>
  </w:num>
  <w:num w:numId="32" w16cid:durableId="1292370993">
    <w:abstractNumId w:val="119"/>
  </w:num>
  <w:num w:numId="33" w16cid:durableId="942684958">
    <w:abstractNumId w:val="113"/>
  </w:num>
  <w:num w:numId="34" w16cid:durableId="578910525">
    <w:abstractNumId w:val="79"/>
  </w:num>
  <w:num w:numId="35" w16cid:durableId="823618332">
    <w:abstractNumId w:val="118"/>
  </w:num>
  <w:num w:numId="36" w16cid:durableId="668295285">
    <w:abstractNumId w:val="21"/>
  </w:num>
  <w:num w:numId="37" w16cid:durableId="1963227939">
    <w:abstractNumId w:val="58"/>
  </w:num>
  <w:num w:numId="38" w16cid:durableId="1150947257">
    <w:abstractNumId w:val="117"/>
  </w:num>
  <w:num w:numId="39" w16cid:durableId="2069452339">
    <w:abstractNumId w:val="9"/>
  </w:num>
  <w:num w:numId="40" w16cid:durableId="1514219977">
    <w:abstractNumId w:val="55"/>
  </w:num>
  <w:num w:numId="41" w16cid:durableId="542406845">
    <w:abstractNumId w:val="46"/>
  </w:num>
  <w:num w:numId="42" w16cid:durableId="1941722189">
    <w:abstractNumId w:val="96"/>
  </w:num>
  <w:num w:numId="43" w16cid:durableId="254410780">
    <w:abstractNumId w:val="7"/>
  </w:num>
  <w:num w:numId="44" w16cid:durableId="690182903">
    <w:abstractNumId w:val="101"/>
  </w:num>
  <w:num w:numId="45" w16cid:durableId="847792802">
    <w:abstractNumId w:val="104"/>
  </w:num>
  <w:num w:numId="46" w16cid:durableId="1438401286">
    <w:abstractNumId w:val="3"/>
  </w:num>
  <w:num w:numId="47" w16cid:durableId="1103186561">
    <w:abstractNumId w:val="76"/>
  </w:num>
  <w:num w:numId="48" w16cid:durableId="1183546986">
    <w:abstractNumId w:val="87"/>
  </w:num>
  <w:num w:numId="49" w16cid:durableId="937442458">
    <w:abstractNumId w:val="33"/>
  </w:num>
  <w:num w:numId="50" w16cid:durableId="432676245">
    <w:abstractNumId w:val="72"/>
  </w:num>
  <w:num w:numId="51" w16cid:durableId="1904294129">
    <w:abstractNumId w:val="54"/>
  </w:num>
  <w:num w:numId="52" w16cid:durableId="1527525447">
    <w:abstractNumId w:val="90"/>
  </w:num>
  <w:num w:numId="53" w16cid:durableId="1235047972">
    <w:abstractNumId w:val="95"/>
  </w:num>
  <w:num w:numId="54" w16cid:durableId="2076933403">
    <w:abstractNumId w:val="59"/>
  </w:num>
  <w:num w:numId="55" w16cid:durableId="1983924666">
    <w:abstractNumId w:val="62"/>
  </w:num>
  <w:num w:numId="56" w16cid:durableId="860165404">
    <w:abstractNumId w:val="12"/>
  </w:num>
  <w:num w:numId="57" w16cid:durableId="66926511">
    <w:abstractNumId w:val="106"/>
  </w:num>
  <w:num w:numId="58" w16cid:durableId="1724870769">
    <w:abstractNumId w:val="17"/>
  </w:num>
  <w:num w:numId="59" w16cid:durableId="1572734491">
    <w:abstractNumId w:val="124"/>
  </w:num>
  <w:num w:numId="60" w16cid:durableId="12270850">
    <w:abstractNumId w:val="53"/>
  </w:num>
  <w:num w:numId="61" w16cid:durableId="411925656">
    <w:abstractNumId w:val="49"/>
  </w:num>
  <w:num w:numId="62" w16cid:durableId="1378578452">
    <w:abstractNumId w:val="105"/>
  </w:num>
  <w:num w:numId="63" w16cid:durableId="1313556605">
    <w:abstractNumId w:val="45"/>
  </w:num>
  <w:num w:numId="64" w16cid:durableId="1622303400">
    <w:abstractNumId w:val="70"/>
  </w:num>
  <w:num w:numId="65" w16cid:durableId="1590113333">
    <w:abstractNumId w:val="80"/>
  </w:num>
  <w:num w:numId="66" w16cid:durableId="148863433">
    <w:abstractNumId w:val="8"/>
  </w:num>
  <w:num w:numId="67" w16cid:durableId="1879121116">
    <w:abstractNumId w:val="26"/>
  </w:num>
  <w:num w:numId="68" w16cid:durableId="375936884">
    <w:abstractNumId w:val="24"/>
  </w:num>
  <w:num w:numId="69" w16cid:durableId="765463354">
    <w:abstractNumId w:val="103"/>
  </w:num>
  <w:num w:numId="70" w16cid:durableId="1361278740">
    <w:abstractNumId w:val="13"/>
  </w:num>
  <w:num w:numId="71" w16cid:durableId="879634613">
    <w:abstractNumId w:val="64"/>
  </w:num>
  <w:num w:numId="72" w16cid:durableId="586772874">
    <w:abstractNumId w:val="5"/>
  </w:num>
  <w:num w:numId="73" w16cid:durableId="1837568904">
    <w:abstractNumId w:val="73"/>
  </w:num>
  <w:num w:numId="74" w16cid:durableId="1530408441">
    <w:abstractNumId w:val="6"/>
  </w:num>
  <w:num w:numId="75" w16cid:durableId="609242901">
    <w:abstractNumId w:val="63"/>
  </w:num>
  <w:num w:numId="76" w16cid:durableId="2078235421">
    <w:abstractNumId w:val="84"/>
  </w:num>
  <w:num w:numId="77" w16cid:durableId="565728166">
    <w:abstractNumId w:val="60"/>
  </w:num>
  <w:num w:numId="78" w16cid:durableId="1592348125">
    <w:abstractNumId w:val="115"/>
  </w:num>
  <w:num w:numId="79" w16cid:durableId="1761483847">
    <w:abstractNumId w:val="41"/>
  </w:num>
  <w:num w:numId="80" w16cid:durableId="2010474006">
    <w:abstractNumId w:val="32"/>
  </w:num>
  <w:num w:numId="81" w16cid:durableId="1376662535">
    <w:abstractNumId w:val="2"/>
  </w:num>
  <w:num w:numId="82" w16cid:durableId="726218799">
    <w:abstractNumId w:val="44"/>
  </w:num>
  <w:num w:numId="83" w16cid:durableId="542711699">
    <w:abstractNumId w:val="43"/>
  </w:num>
  <w:num w:numId="84" w16cid:durableId="857043554">
    <w:abstractNumId w:val="98"/>
  </w:num>
  <w:num w:numId="85" w16cid:durableId="1414467513">
    <w:abstractNumId w:val="81"/>
  </w:num>
  <w:num w:numId="86" w16cid:durableId="518086414">
    <w:abstractNumId w:val="99"/>
  </w:num>
  <w:num w:numId="87" w16cid:durableId="1728216903">
    <w:abstractNumId w:val="27"/>
  </w:num>
  <w:num w:numId="88" w16cid:durableId="1443260964">
    <w:abstractNumId w:val="57"/>
  </w:num>
  <w:num w:numId="89" w16cid:durableId="316956521">
    <w:abstractNumId w:val="4"/>
  </w:num>
  <w:num w:numId="90" w16cid:durableId="1146702067">
    <w:abstractNumId w:val="123"/>
  </w:num>
  <w:num w:numId="91" w16cid:durableId="875242047">
    <w:abstractNumId w:val="0"/>
  </w:num>
  <w:num w:numId="92" w16cid:durableId="2088115615">
    <w:abstractNumId w:val="65"/>
  </w:num>
  <w:num w:numId="93" w16cid:durableId="2130586608">
    <w:abstractNumId w:val="18"/>
  </w:num>
  <w:num w:numId="94" w16cid:durableId="296028529">
    <w:abstractNumId w:val="88"/>
  </w:num>
  <w:num w:numId="95" w16cid:durableId="2013027516">
    <w:abstractNumId w:val="91"/>
  </w:num>
  <w:num w:numId="96" w16cid:durableId="1041325256">
    <w:abstractNumId w:val="14"/>
  </w:num>
  <w:num w:numId="97" w16cid:durableId="990249785">
    <w:abstractNumId w:val="85"/>
  </w:num>
  <w:num w:numId="98" w16cid:durableId="1114598840">
    <w:abstractNumId w:val="116"/>
  </w:num>
  <w:num w:numId="99" w16cid:durableId="2070762795">
    <w:abstractNumId w:val="20"/>
  </w:num>
  <w:num w:numId="100" w16cid:durableId="1496452410">
    <w:abstractNumId w:val="38"/>
  </w:num>
  <w:num w:numId="101" w16cid:durableId="1543402072">
    <w:abstractNumId w:val="92"/>
  </w:num>
  <w:num w:numId="102" w16cid:durableId="1016150316">
    <w:abstractNumId w:val="11"/>
  </w:num>
  <w:num w:numId="103" w16cid:durableId="1966152484">
    <w:abstractNumId w:val="102"/>
  </w:num>
  <w:num w:numId="104" w16cid:durableId="931277160">
    <w:abstractNumId w:val="52"/>
  </w:num>
  <w:num w:numId="105" w16cid:durableId="1103040289">
    <w:abstractNumId w:val="10"/>
  </w:num>
  <w:num w:numId="106" w16cid:durableId="1455904378">
    <w:abstractNumId w:val="23"/>
  </w:num>
  <w:num w:numId="107" w16cid:durableId="472872448">
    <w:abstractNumId w:val="122"/>
  </w:num>
  <w:num w:numId="108" w16cid:durableId="40250811">
    <w:abstractNumId w:val="71"/>
  </w:num>
  <w:num w:numId="109" w16cid:durableId="1519464023">
    <w:abstractNumId w:val="56"/>
  </w:num>
  <w:num w:numId="110" w16cid:durableId="432360118">
    <w:abstractNumId w:val="19"/>
  </w:num>
  <w:num w:numId="111" w16cid:durableId="1268082504">
    <w:abstractNumId w:val="97"/>
  </w:num>
  <w:num w:numId="112" w16cid:durableId="119036934">
    <w:abstractNumId w:val="109"/>
  </w:num>
  <w:num w:numId="113" w16cid:durableId="2000226104">
    <w:abstractNumId w:val="35"/>
  </w:num>
  <w:num w:numId="114" w16cid:durableId="1201087504">
    <w:abstractNumId w:val="61"/>
  </w:num>
  <w:num w:numId="115" w16cid:durableId="961692418">
    <w:abstractNumId w:val="110"/>
  </w:num>
  <w:num w:numId="116" w16cid:durableId="971448711">
    <w:abstractNumId w:val="69"/>
  </w:num>
  <w:num w:numId="117" w16cid:durableId="1828209610">
    <w:abstractNumId w:val="93"/>
  </w:num>
  <w:num w:numId="118" w16cid:durableId="512649739">
    <w:abstractNumId w:val="1"/>
  </w:num>
  <w:num w:numId="119" w16cid:durableId="1790857385">
    <w:abstractNumId w:val="114"/>
  </w:num>
  <w:num w:numId="120" w16cid:durableId="930551873">
    <w:abstractNumId w:val="68"/>
  </w:num>
  <w:num w:numId="121" w16cid:durableId="534468865">
    <w:abstractNumId w:val="50"/>
  </w:num>
  <w:num w:numId="122" w16cid:durableId="1122454776">
    <w:abstractNumId w:val="42"/>
  </w:num>
  <w:num w:numId="123" w16cid:durableId="39718071">
    <w:abstractNumId w:val="31"/>
  </w:num>
  <w:num w:numId="124" w16cid:durableId="797646179">
    <w:abstractNumId w:val="30"/>
  </w:num>
  <w:num w:numId="125" w16cid:durableId="667753908">
    <w:abstractNumId w:val="36"/>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36"/>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7C27"/>
    <w:rsid w:val="000000D9"/>
    <w:rsid w:val="0000023C"/>
    <w:rsid w:val="00000906"/>
    <w:rsid w:val="00000934"/>
    <w:rsid w:val="00000953"/>
    <w:rsid w:val="00000A19"/>
    <w:rsid w:val="00000E35"/>
    <w:rsid w:val="0000131E"/>
    <w:rsid w:val="00001354"/>
    <w:rsid w:val="00001736"/>
    <w:rsid w:val="000018D4"/>
    <w:rsid w:val="00001B15"/>
    <w:rsid w:val="00001B1C"/>
    <w:rsid w:val="00001CA2"/>
    <w:rsid w:val="00002038"/>
    <w:rsid w:val="000021B1"/>
    <w:rsid w:val="00002406"/>
    <w:rsid w:val="00002416"/>
    <w:rsid w:val="000024C4"/>
    <w:rsid w:val="000026DE"/>
    <w:rsid w:val="00002740"/>
    <w:rsid w:val="000027A7"/>
    <w:rsid w:val="000027F7"/>
    <w:rsid w:val="00002AE8"/>
    <w:rsid w:val="00002DFE"/>
    <w:rsid w:val="0000334C"/>
    <w:rsid w:val="0000385A"/>
    <w:rsid w:val="00003AF6"/>
    <w:rsid w:val="00003E79"/>
    <w:rsid w:val="0000401A"/>
    <w:rsid w:val="000041E0"/>
    <w:rsid w:val="00004703"/>
    <w:rsid w:val="00004838"/>
    <w:rsid w:val="00004A17"/>
    <w:rsid w:val="00004CF5"/>
    <w:rsid w:val="00004D30"/>
    <w:rsid w:val="00005117"/>
    <w:rsid w:val="00005281"/>
    <w:rsid w:val="0000528C"/>
    <w:rsid w:val="00005463"/>
    <w:rsid w:val="00005547"/>
    <w:rsid w:val="000056DC"/>
    <w:rsid w:val="0000574D"/>
    <w:rsid w:val="0000582F"/>
    <w:rsid w:val="0000592A"/>
    <w:rsid w:val="000059CB"/>
    <w:rsid w:val="000059E3"/>
    <w:rsid w:val="00005CDE"/>
    <w:rsid w:val="00005CED"/>
    <w:rsid w:val="00005D96"/>
    <w:rsid w:val="00006101"/>
    <w:rsid w:val="000061E5"/>
    <w:rsid w:val="000061E9"/>
    <w:rsid w:val="00006258"/>
    <w:rsid w:val="00006306"/>
    <w:rsid w:val="00006398"/>
    <w:rsid w:val="000067BC"/>
    <w:rsid w:val="000067E9"/>
    <w:rsid w:val="000068F0"/>
    <w:rsid w:val="00006B2B"/>
    <w:rsid w:val="00006BF1"/>
    <w:rsid w:val="00006DB4"/>
    <w:rsid w:val="00006E85"/>
    <w:rsid w:val="000071B0"/>
    <w:rsid w:val="00007277"/>
    <w:rsid w:val="00007C5E"/>
    <w:rsid w:val="00007D18"/>
    <w:rsid w:val="00007D1B"/>
    <w:rsid w:val="00007EC5"/>
    <w:rsid w:val="000102AE"/>
    <w:rsid w:val="000106E6"/>
    <w:rsid w:val="00010AC7"/>
    <w:rsid w:val="00010B6F"/>
    <w:rsid w:val="00010E42"/>
    <w:rsid w:val="00010F11"/>
    <w:rsid w:val="00011376"/>
    <w:rsid w:val="000113E0"/>
    <w:rsid w:val="0001147F"/>
    <w:rsid w:val="00011506"/>
    <w:rsid w:val="000118F0"/>
    <w:rsid w:val="00011A6C"/>
    <w:rsid w:val="00011AAB"/>
    <w:rsid w:val="00011C2C"/>
    <w:rsid w:val="00011DCC"/>
    <w:rsid w:val="000120B5"/>
    <w:rsid w:val="0001216F"/>
    <w:rsid w:val="00012217"/>
    <w:rsid w:val="00012284"/>
    <w:rsid w:val="00012845"/>
    <w:rsid w:val="000128E5"/>
    <w:rsid w:val="00012BCE"/>
    <w:rsid w:val="00012F89"/>
    <w:rsid w:val="0001306C"/>
    <w:rsid w:val="0001311B"/>
    <w:rsid w:val="00013239"/>
    <w:rsid w:val="00013314"/>
    <w:rsid w:val="0001359F"/>
    <w:rsid w:val="00013661"/>
    <w:rsid w:val="0001375F"/>
    <w:rsid w:val="000138B1"/>
    <w:rsid w:val="000139DA"/>
    <w:rsid w:val="00013C7A"/>
    <w:rsid w:val="00014070"/>
    <w:rsid w:val="00014183"/>
    <w:rsid w:val="00014545"/>
    <w:rsid w:val="00014576"/>
    <w:rsid w:val="0001465C"/>
    <w:rsid w:val="000147A6"/>
    <w:rsid w:val="00014924"/>
    <w:rsid w:val="00014B3E"/>
    <w:rsid w:val="00014C0E"/>
    <w:rsid w:val="00014DBB"/>
    <w:rsid w:val="00014FB4"/>
    <w:rsid w:val="00015272"/>
    <w:rsid w:val="0001529E"/>
    <w:rsid w:val="000152AA"/>
    <w:rsid w:val="00015309"/>
    <w:rsid w:val="0001531B"/>
    <w:rsid w:val="00015323"/>
    <w:rsid w:val="0001547C"/>
    <w:rsid w:val="000154C4"/>
    <w:rsid w:val="0001582D"/>
    <w:rsid w:val="00015989"/>
    <w:rsid w:val="000159CF"/>
    <w:rsid w:val="00015A35"/>
    <w:rsid w:val="00015A51"/>
    <w:rsid w:val="00015AD2"/>
    <w:rsid w:val="00015B15"/>
    <w:rsid w:val="00015C07"/>
    <w:rsid w:val="00015D31"/>
    <w:rsid w:val="00015E8F"/>
    <w:rsid w:val="00016313"/>
    <w:rsid w:val="00016376"/>
    <w:rsid w:val="00016556"/>
    <w:rsid w:val="0001656D"/>
    <w:rsid w:val="0001666E"/>
    <w:rsid w:val="000167A1"/>
    <w:rsid w:val="0001688E"/>
    <w:rsid w:val="000168BD"/>
    <w:rsid w:val="000169AD"/>
    <w:rsid w:val="00016A1D"/>
    <w:rsid w:val="0001703B"/>
    <w:rsid w:val="00017189"/>
    <w:rsid w:val="000171E6"/>
    <w:rsid w:val="000175BF"/>
    <w:rsid w:val="00017624"/>
    <w:rsid w:val="000179F7"/>
    <w:rsid w:val="00017C2C"/>
    <w:rsid w:val="00017C3D"/>
    <w:rsid w:val="00017C64"/>
    <w:rsid w:val="00017D4C"/>
    <w:rsid w:val="000200E1"/>
    <w:rsid w:val="00020316"/>
    <w:rsid w:val="00020327"/>
    <w:rsid w:val="000203CA"/>
    <w:rsid w:val="0002046C"/>
    <w:rsid w:val="0002076F"/>
    <w:rsid w:val="00020779"/>
    <w:rsid w:val="00020DDF"/>
    <w:rsid w:val="00020F46"/>
    <w:rsid w:val="00021523"/>
    <w:rsid w:val="00021538"/>
    <w:rsid w:val="0002165B"/>
    <w:rsid w:val="0002169F"/>
    <w:rsid w:val="00021810"/>
    <w:rsid w:val="00021A3A"/>
    <w:rsid w:val="00021C44"/>
    <w:rsid w:val="00021C70"/>
    <w:rsid w:val="00021D66"/>
    <w:rsid w:val="00021FDE"/>
    <w:rsid w:val="000223AE"/>
    <w:rsid w:val="000229B0"/>
    <w:rsid w:val="000229C8"/>
    <w:rsid w:val="00022B11"/>
    <w:rsid w:val="00022CE8"/>
    <w:rsid w:val="00022D29"/>
    <w:rsid w:val="00022D9D"/>
    <w:rsid w:val="00022E0C"/>
    <w:rsid w:val="000230BA"/>
    <w:rsid w:val="00023121"/>
    <w:rsid w:val="000237F9"/>
    <w:rsid w:val="00023865"/>
    <w:rsid w:val="00023AD0"/>
    <w:rsid w:val="00023C57"/>
    <w:rsid w:val="00023DA0"/>
    <w:rsid w:val="00023ED5"/>
    <w:rsid w:val="00023EED"/>
    <w:rsid w:val="0002411C"/>
    <w:rsid w:val="0002415C"/>
    <w:rsid w:val="000241CE"/>
    <w:rsid w:val="000242C8"/>
    <w:rsid w:val="000243E3"/>
    <w:rsid w:val="0002453D"/>
    <w:rsid w:val="000246B2"/>
    <w:rsid w:val="000248B1"/>
    <w:rsid w:val="00024C3B"/>
    <w:rsid w:val="00024C44"/>
    <w:rsid w:val="00024D15"/>
    <w:rsid w:val="00024D1D"/>
    <w:rsid w:val="00024F1D"/>
    <w:rsid w:val="00024F44"/>
    <w:rsid w:val="00024FCF"/>
    <w:rsid w:val="00025198"/>
    <w:rsid w:val="00025217"/>
    <w:rsid w:val="00025541"/>
    <w:rsid w:val="00025618"/>
    <w:rsid w:val="00025881"/>
    <w:rsid w:val="000258B9"/>
    <w:rsid w:val="00025AC2"/>
    <w:rsid w:val="00025CBD"/>
    <w:rsid w:val="00025E0E"/>
    <w:rsid w:val="00026087"/>
    <w:rsid w:val="00026145"/>
    <w:rsid w:val="00026684"/>
    <w:rsid w:val="000269A4"/>
    <w:rsid w:val="00026E00"/>
    <w:rsid w:val="00026F50"/>
    <w:rsid w:val="000275DD"/>
    <w:rsid w:val="0002767A"/>
    <w:rsid w:val="000277EE"/>
    <w:rsid w:val="00027ACF"/>
    <w:rsid w:val="00027AE6"/>
    <w:rsid w:val="00027C58"/>
    <w:rsid w:val="00027E0D"/>
    <w:rsid w:val="00027EC7"/>
    <w:rsid w:val="00027EDF"/>
    <w:rsid w:val="00030039"/>
    <w:rsid w:val="00030161"/>
    <w:rsid w:val="0003032D"/>
    <w:rsid w:val="00030529"/>
    <w:rsid w:val="000306F3"/>
    <w:rsid w:val="000308E9"/>
    <w:rsid w:val="0003096A"/>
    <w:rsid w:val="00030B43"/>
    <w:rsid w:val="00030C2E"/>
    <w:rsid w:val="00030CB1"/>
    <w:rsid w:val="00030CB3"/>
    <w:rsid w:val="00030DE2"/>
    <w:rsid w:val="00030FE6"/>
    <w:rsid w:val="000310B3"/>
    <w:rsid w:val="00031510"/>
    <w:rsid w:val="000315B3"/>
    <w:rsid w:val="000315C8"/>
    <w:rsid w:val="000316F1"/>
    <w:rsid w:val="0003172D"/>
    <w:rsid w:val="000317A7"/>
    <w:rsid w:val="000317F9"/>
    <w:rsid w:val="00031878"/>
    <w:rsid w:val="00031C12"/>
    <w:rsid w:val="00031CC6"/>
    <w:rsid w:val="00031E98"/>
    <w:rsid w:val="00031F55"/>
    <w:rsid w:val="00032088"/>
    <w:rsid w:val="0003214D"/>
    <w:rsid w:val="000324D4"/>
    <w:rsid w:val="000327BC"/>
    <w:rsid w:val="000329BF"/>
    <w:rsid w:val="00032C75"/>
    <w:rsid w:val="00032D03"/>
    <w:rsid w:val="00032FC8"/>
    <w:rsid w:val="00033183"/>
    <w:rsid w:val="000331C2"/>
    <w:rsid w:val="00033450"/>
    <w:rsid w:val="00033684"/>
    <w:rsid w:val="00033D11"/>
    <w:rsid w:val="00033F51"/>
    <w:rsid w:val="00033F8E"/>
    <w:rsid w:val="0003400E"/>
    <w:rsid w:val="00034768"/>
    <w:rsid w:val="0003488E"/>
    <w:rsid w:val="00034AA1"/>
    <w:rsid w:val="00034C38"/>
    <w:rsid w:val="00034CD4"/>
    <w:rsid w:val="00035278"/>
    <w:rsid w:val="000355CE"/>
    <w:rsid w:val="00035CB6"/>
    <w:rsid w:val="00035D37"/>
    <w:rsid w:val="00035F03"/>
    <w:rsid w:val="00035FF5"/>
    <w:rsid w:val="00036090"/>
    <w:rsid w:val="0003609E"/>
    <w:rsid w:val="000361DB"/>
    <w:rsid w:val="00036222"/>
    <w:rsid w:val="00036304"/>
    <w:rsid w:val="00036808"/>
    <w:rsid w:val="00036A3A"/>
    <w:rsid w:val="00036A61"/>
    <w:rsid w:val="00036C80"/>
    <w:rsid w:val="00036EC9"/>
    <w:rsid w:val="00036ED2"/>
    <w:rsid w:val="00037190"/>
    <w:rsid w:val="000372D2"/>
    <w:rsid w:val="000373E4"/>
    <w:rsid w:val="00037406"/>
    <w:rsid w:val="0003740D"/>
    <w:rsid w:val="000377A4"/>
    <w:rsid w:val="00037A70"/>
    <w:rsid w:val="00037AFD"/>
    <w:rsid w:val="00037CCA"/>
    <w:rsid w:val="00037DAB"/>
    <w:rsid w:val="000400DB"/>
    <w:rsid w:val="0004026F"/>
    <w:rsid w:val="000405F5"/>
    <w:rsid w:val="00040671"/>
    <w:rsid w:val="00040689"/>
    <w:rsid w:val="0004079D"/>
    <w:rsid w:val="00040CEB"/>
    <w:rsid w:val="00040D23"/>
    <w:rsid w:val="00040D24"/>
    <w:rsid w:val="00040E3F"/>
    <w:rsid w:val="00040F7F"/>
    <w:rsid w:val="00040FF6"/>
    <w:rsid w:val="0004122E"/>
    <w:rsid w:val="000413DD"/>
    <w:rsid w:val="000416F1"/>
    <w:rsid w:val="00041ACE"/>
    <w:rsid w:val="00041B68"/>
    <w:rsid w:val="00041D06"/>
    <w:rsid w:val="000420F0"/>
    <w:rsid w:val="00042282"/>
    <w:rsid w:val="0004261A"/>
    <w:rsid w:val="00042684"/>
    <w:rsid w:val="000426F4"/>
    <w:rsid w:val="00042957"/>
    <w:rsid w:val="0004297A"/>
    <w:rsid w:val="00042C4C"/>
    <w:rsid w:val="00042E4D"/>
    <w:rsid w:val="000431D7"/>
    <w:rsid w:val="0004337C"/>
    <w:rsid w:val="000439BA"/>
    <w:rsid w:val="00043D6E"/>
    <w:rsid w:val="00044216"/>
    <w:rsid w:val="00044A33"/>
    <w:rsid w:val="00044CAB"/>
    <w:rsid w:val="00044E1B"/>
    <w:rsid w:val="000450EF"/>
    <w:rsid w:val="00045195"/>
    <w:rsid w:val="000451A3"/>
    <w:rsid w:val="00045375"/>
    <w:rsid w:val="00045495"/>
    <w:rsid w:val="0004558F"/>
    <w:rsid w:val="000457D4"/>
    <w:rsid w:val="00045ACA"/>
    <w:rsid w:val="00045E9C"/>
    <w:rsid w:val="00046102"/>
    <w:rsid w:val="00046121"/>
    <w:rsid w:val="0004660F"/>
    <w:rsid w:val="00046A83"/>
    <w:rsid w:val="00046D9E"/>
    <w:rsid w:val="00046F95"/>
    <w:rsid w:val="000471C4"/>
    <w:rsid w:val="00047286"/>
    <w:rsid w:val="000473B4"/>
    <w:rsid w:val="00047446"/>
    <w:rsid w:val="00047749"/>
    <w:rsid w:val="000477F1"/>
    <w:rsid w:val="0004791D"/>
    <w:rsid w:val="00047C09"/>
    <w:rsid w:val="00047C3C"/>
    <w:rsid w:val="00047CE7"/>
    <w:rsid w:val="00047E85"/>
    <w:rsid w:val="00050317"/>
    <w:rsid w:val="000505FE"/>
    <w:rsid w:val="00050654"/>
    <w:rsid w:val="00050847"/>
    <w:rsid w:val="0005087C"/>
    <w:rsid w:val="00050935"/>
    <w:rsid w:val="00050960"/>
    <w:rsid w:val="00050CD0"/>
    <w:rsid w:val="00050E28"/>
    <w:rsid w:val="00050F0D"/>
    <w:rsid w:val="00050F37"/>
    <w:rsid w:val="0005104F"/>
    <w:rsid w:val="000510FA"/>
    <w:rsid w:val="0005131B"/>
    <w:rsid w:val="000513A9"/>
    <w:rsid w:val="00051444"/>
    <w:rsid w:val="00051662"/>
    <w:rsid w:val="000517FF"/>
    <w:rsid w:val="0005199F"/>
    <w:rsid w:val="00051ADE"/>
    <w:rsid w:val="00051B7D"/>
    <w:rsid w:val="00051F48"/>
    <w:rsid w:val="000520E4"/>
    <w:rsid w:val="0005224F"/>
    <w:rsid w:val="000523C4"/>
    <w:rsid w:val="0005246C"/>
    <w:rsid w:val="00052719"/>
    <w:rsid w:val="00052A2D"/>
    <w:rsid w:val="00052CF6"/>
    <w:rsid w:val="00052D24"/>
    <w:rsid w:val="00052D25"/>
    <w:rsid w:val="00052E8A"/>
    <w:rsid w:val="00053285"/>
    <w:rsid w:val="00053381"/>
    <w:rsid w:val="000533F7"/>
    <w:rsid w:val="00053433"/>
    <w:rsid w:val="0005346A"/>
    <w:rsid w:val="000537A1"/>
    <w:rsid w:val="00053B2C"/>
    <w:rsid w:val="00053BA0"/>
    <w:rsid w:val="00053CDC"/>
    <w:rsid w:val="00053DCB"/>
    <w:rsid w:val="00053DFD"/>
    <w:rsid w:val="00053E7D"/>
    <w:rsid w:val="00054143"/>
    <w:rsid w:val="0005422A"/>
    <w:rsid w:val="00054280"/>
    <w:rsid w:val="00054307"/>
    <w:rsid w:val="00054333"/>
    <w:rsid w:val="0005433B"/>
    <w:rsid w:val="0005436B"/>
    <w:rsid w:val="00054728"/>
    <w:rsid w:val="000549C7"/>
    <w:rsid w:val="00054E7F"/>
    <w:rsid w:val="0005501C"/>
    <w:rsid w:val="0005525D"/>
    <w:rsid w:val="00055289"/>
    <w:rsid w:val="00055692"/>
    <w:rsid w:val="00055989"/>
    <w:rsid w:val="00056006"/>
    <w:rsid w:val="0005612D"/>
    <w:rsid w:val="000561CE"/>
    <w:rsid w:val="000563B7"/>
    <w:rsid w:val="000564B9"/>
    <w:rsid w:val="00056574"/>
    <w:rsid w:val="0005659C"/>
    <w:rsid w:val="000566BB"/>
    <w:rsid w:val="00056781"/>
    <w:rsid w:val="000568F0"/>
    <w:rsid w:val="000569B2"/>
    <w:rsid w:val="00056A08"/>
    <w:rsid w:val="00056A0C"/>
    <w:rsid w:val="00056DDC"/>
    <w:rsid w:val="00056FCE"/>
    <w:rsid w:val="000570E9"/>
    <w:rsid w:val="000571C3"/>
    <w:rsid w:val="000573CC"/>
    <w:rsid w:val="0005744F"/>
    <w:rsid w:val="00057483"/>
    <w:rsid w:val="000575A1"/>
    <w:rsid w:val="0005761A"/>
    <w:rsid w:val="000576B4"/>
    <w:rsid w:val="000577DA"/>
    <w:rsid w:val="0005792A"/>
    <w:rsid w:val="00057B10"/>
    <w:rsid w:val="00057B97"/>
    <w:rsid w:val="00057DC8"/>
    <w:rsid w:val="00057ED3"/>
    <w:rsid w:val="00057EFE"/>
    <w:rsid w:val="0006016B"/>
    <w:rsid w:val="000602C2"/>
    <w:rsid w:val="00060350"/>
    <w:rsid w:val="0006037A"/>
    <w:rsid w:val="000603C5"/>
    <w:rsid w:val="00060600"/>
    <w:rsid w:val="000606CF"/>
    <w:rsid w:val="0006081D"/>
    <w:rsid w:val="00060CDD"/>
    <w:rsid w:val="00060D3F"/>
    <w:rsid w:val="0006106C"/>
    <w:rsid w:val="0006109C"/>
    <w:rsid w:val="00061162"/>
    <w:rsid w:val="000611DE"/>
    <w:rsid w:val="0006126C"/>
    <w:rsid w:val="00061448"/>
    <w:rsid w:val="000617CE"/>
    <w:rsid w:val="0006189A"/>
    <w:rsid w:val="000618C0"/>
    <w:rsid w:val="00061A24"/>
    <w:rsid w:val="00061CE4"/>
    <w:rsid w:val="00061ED2"/>
    <w:rsid w:val="00061ED5"/>
    <w:rsid w:val="00061F24"/>
    <w:rsid w:val="00062064"/>
    <w:rsid w:val="00062074"/>
    <w:rsid w:val="0006252A"/>
    <w:rsid w:val="00062531"/>
    <w:rsid w:val="00062550"/>
    <w:rsid w:val="00062857"/>
    <w:rsid w:val="0006291D"/>
    <w:rsid w:val="00062AC0"/>
    <w:rsid w:val="00062F8F"/>
    <w:rsid w:val="0006323C"/>
    <w:rsid w:val="0006345E"/>
    <w:rsid w:val="0006357F"/>
    <w:rsid w:val="0006398A"/>
    <w:rsid w:val="00063B63"/>
    <w:rsid w:val="00063B84"/>
    <w:rsid w:val="00063CD9"/>
    <w:rsid w:val="00063D09"/>
    <w:rsid w:val="0006437D"/>
    <w:rsid w:val="00064627"/>
    <w:rsid w:val="000646BB"/>
    <w:rsid w:val="000647E5"/>
    <w:rsid w:val="00064976"/>
    <w:rsid w:val="00064A4B"/>
    <w:rsid w:val="00064CD0"/>
    <w:rsid w:val="00064D1B"/>
    <w:rsid w:val="00064D2D"/>
    <w:rsid w:val="00064D77"/>
    <w:rsid w:val="00064D9E"/>
    <w:rsid w:val="00064DFD"/>
    <w:rsid w:val="00064E50"/>
    <w:rsid w:val="00065677"/>
    <w:rsid w:val="00065732"/>
    <w:rsid w:val="000659A3"/>
    <w:rsid w:val="00065A94"/>
    <w:rsid w:val="00065B97"/>
    <w:rsid w:val="00065F3D"/>
    <w:rsid w:val="00065FD3"/>
    <w:rsid w:val="0006629B"/>
    <w:rsid w:val="000662DC"/>
    <w:rsid w:val="00066358"/>
    <w:rsid w:val="00066488"/>
    <w:rsid w:val="00066618"/>
    <w:rsid w:val="000667D9"/>
    <w:rsid w:val="000668DB"/>
    <w:rsid w:val="00066A0D"/>
    <w:rsid w:val="00066C6F"/>
    <w:rsid w:val="00066DDD"/>
    <w:rsid w:val="00066F89"/>
    <w:rsid w:val="00066F98"/>
    <w:rsid w:val="000671D8"/>
    <w:rsid w:val="00067215"/>
    <w:rsid w:val="000672B0"/>
    <w:rsid w:val="00067319"/>
    <w:rsid w:val="000674EE"/>
    <w:rsid w:val="000676C2"/>
    <w:rsid w:val="0006771D"/>
    <w:rsid w:val="000677A3"/>
    <w:rsid w:val="00067907"/>
    <w:rsid w:val="000679FF"/>
    <w:rsid w:val="00067A0F"/>
    <w:rsid w:val="00067A5A"/>
    <w:rsid w:val="00067AF2"/>
    <w:rsid w:val="00067C9E"/>
    <w:rsid w:val="00067E0F"/>
    <w:rsid w:val="00067E1C"/>
    <w:rsid w:val="00067F5A"/>
    <w:rsid w:val="000700BD"/>
    <w:rsid w:val="000701BD"/>
    <w:rsid w:val="00070552"/>
    <w:rsid w:val="0007058A"/>
    <w:rsid w:val="000707FF"/>
    <w:rsid w:val="00070916"/>
    <w:rsid w:val="0007092B"/>
    <w:rsid w:val="00070D5E"/>
    <w:rsid w:val="000710AE"/>
    <w:rsid w:val="00071534"/>
    <w:rsid w:val="000716AD"/>
    <w:rsid w:val="000716E9"/>
    <w:rsid w:val="00071726"/>
    <w:rsid w:val="000717F2"/>
    <w:rsid w:val="00071BA7"/>
    <w:rsid w:val="00071D4D"/>
    <w:rsid w:val="00071DD7"/>
    <w:rsid w:val="00072001"/>
    <w:rsid w:val="00072674"/>
    <w:rsid w:val="00072A16"/>
    <w:rsid w:val="00072BB1"/>
    <w:rsid w:val="00072C04"/>
    <w:rsid w:val="00072C74"/>
    <w:rsid w:val="000730D9"/>
    <w:rsid w:val="00073319"/>
    <w:rsid w:val="000733E5"/>
    <w:rsid w:val="000738BC"/>
    <w:rsid w:val="00073AFB"/>
    <w:rsid w:val="00073B59"/>
    <w:rsid w:val="00073BF7"/>
    <w:rsid w:val="00073D5A"/>
    <w:rsid w:val="000740E2"/>
    <w:rsid w:val="000741CF"/>
    <w:rsid w:val="0007437F"/>
    <w:rsid w:val="000743C6"/>
    <w:rsid w:val="00074588"/>
    <w:rsid w:val="00074895"/>
    <w:rsid w:val="00074C07"/>
    <w:rsid w:val="00074D9B"/>
    <w:rsid w:val="00075163"/>
    <w:rsid w:val="00075311"/>
    <w:rsid w:val="000755BF"/>
    <w:rsid w:val="000757BF"/>
    <w:rsid w:val="00075831"/>
    <w:rsid w:val="00075E29"/>
    <w:rsid w:val="00076024"/>
    <w:rsid w:val="0007608B"/>
    <w:rsid w:val="0007616D"/>
    <w:rsid w:val="000761E4"/>
    <w:rsid w:val="00076215"/>
    <w:rsid w:val="000765E9"/>
    <w:rsid w:val="000766E7"/>
    <w:rsid w:val="00076A27"/>
    <w:rsid w:val="00076D34"/>
    <w:rsid w:val="00076E3D"/>
    <w:rsid w:val="00076EED"/>
    <w:rsid w:val="0007702D"/>
    <w:rsid w:val="00077825"/>
    <w:rsid w:val="00077BDC"/>
    <w:rsid w:val="00077D21"/>
    <w:rsid w:val="00077F0E"/>
    <w:rsid w:val="00077FB3"/>
    <w:rsid w:val="00077FC6"/>
    <w:rsid w:val="00080086"/>
    <w:rsid w:val="00080208"/>
    <w:rsid w:val="0008032F"/>
    <w:rsid w:val="00080330"/>
    <w:rsid w:val="0008057B"/>
    <w:rsid w:val="000805F8"/>
    <w:rsid w:val="000806CC"/>
    <w:rsid w:val="00080987"/>
    <w:rsid w:val="00080C49"/>
    <w:rsid w:val="00080DCF"/>
    <w:rsid w:val="00080DDD"/>
    <w:rsid w:val="00081169"/>
    <w:rsid w:val="00081404"/>
    <w:rsid w:val="0008168D"/>
    <w:rsid w:val="00081897"/>
    <w:rsid w:val="000818D0"/>
    <w:rsid w:val="00081965"/>
    <w:rsid w:val="00081BAE"/>
    <w:rsid w:val="00081E83"/>
    <w:rsid w:val="00082067"/>
    <w:rsid w:val="00082132"/>
    <w:rsid w:val="0008241F"/>
    <w:rsid w:val="0008253F"/>
    <w:rsid w:val="000826D9"/>
    <w:rsid w:val="000827C0"/>
    <w:rsid w:val="000828BA"/>
    <w:rsid w:val="00082AC5"/>
    <w:rsid w:val="00082DFE"/>
    <w:rsid w:val="0008322C"/>
    <w:rsid w:val="000838C5"/>
    <w:rsid w:val="000839EA"/>
    <w:rsid w:val="00083D62"/>
    <w:rsid w:val="00083E1B"/>
    <w:rsid w:val="00083E57"/>
    <w:rsid w:val="00083E85"/>
    <w:rsid w:val="00083F04"/>
    <w:rsid w:val="00083F7B"/>
    <w:rsid w:val="00083FED"/>
    <w:rsid w:val="0008401F"/>
    <w:rsid w:val="0008435F"/>
    <w:rsid w:val="000844F2"/>
    <w:rsid w:val="00084631"/>
    <w:rsid w:val="00084888"/>
    <w:rsid w:val="00084912"/>
    <w:rsid w:val="00084AD1"/>
    <w:rsid w:val="00084B15"/>
    <w:rsid w:val="00084B83"/>
    <w:rsid w:val="00084C89"/>
    <w:rsid w:val="00085006"/>
    <w:rsid w:val="00085419"/>
    <w:rsid w:val="00085619"/>
    <w:rsid w:val="000856C9"/>
    <w:rsid w:val="000857CD"/>
    <w:rsid w:val="00085E30"/>
    <w:rsid w:val="00085FBC"/>
    <w:rsid w:val="000862DC"/>
    <w:rsid w:val="00086485"/>
    <w:rsid w:val="0008670C"/>
    <w:rsid w:val="0008696A"/>
    <w:rsid w:val="00086AB0"/>
    <w:rsid w:val="00086C85"/>
    <w:rsid w:val="00086CC2"/>
    <w:rsid w:val="0008709B"/>
    <w:rsid w:val="0008714D"/>
    <w:rsid w:val="000873CE"/>
    <w:rsid w:val="000875A9"/>
    <w:rsid w:val="000877E7"/>
    <w:rsid w:val="000879DC"/>
    <w:rsid w:val="00087CD1"/>
    <w:rsid w:val="00087FB9"/>
    <w:rsid w:val="000902D2"/>
    <w:rsid w:val="00090317"/>
    <w:rsid w:val="00090604"/>
    <w:rsid w:val="0009071D"/>
    <w:rsid w:val="00090CB6"/>
    <w:rsid w:val="00090EC3"/>
    <w:rsid w:val="00090FCE"/>
    <w:rsid w:val="00091227"/>
    <w:rsid w:val="00091381"/>
    <w:rsid w:val="00091501"/>
    <w:rsid w:val="00091617"/>
    <w:rsid w:val="00091644"/>
    <w:rsid w:val="00091779"/>
    <w:rsid w:val="000917CA"/>
    <w:rsid w:val="00091847"/>
    <w:rsid w:val="00091945"/>
    <w:rsid w:val="00091B81"/>
    <w:rsid w:val="00091D03"/>
    <w:rsid w:val="00091D11"/>
    <w:rsid w:val="00091D93"/>
    <w:rsid w:val="00091DF9"/>
    <w:rsid w:val="00091F32"/>
    <w:rsid w:val="00092008"/>
    <w:rsid w:val="00092143"/>
    <w:rsid w:val="00092145"/>
    <w:rsid w:val="0009244F"/>
    <w:rsid w:val="0009267C"/>
    <w:rsid w:val="00092CBA"/>
    <w:rsid w:val="00092D1A"/>
    <w:rsid w:val="00092E79"/>
    <w:rsid w:val="000934A7"/>
    <w:rsid w:val="000934CE"/>
    <w:rsid w:val="000936DC"/>
    <w:rsid w:val="00093BFC"/>
    <w:rsid w:val="00093DFB"/>
    <w:rsid w:val="00093FD3"/>
    <w:rsid w:val="00094058"/>
    <w:rsid w:val="0009406F"/>
    <w:rsid w:val="000943BA"/>
    <w:rsid w:val="000946E8"/>
    <w:rsid w:val="00094746"/>
    <w:rsid w:val="000947A0"/>
    <w:rsid w:val="000948A1"/>
    <w:rsid w:val="00094A4E"/>
    <w:rsid w:val="00094E0E"/>
    <w:rsid w:val="00094EFA"/>
    <w:rsid w:val="0009500C"/>
    <w:rsid w:val="000950F3"/>
    <w:rsid w:val="000952C1"/>
    <w:rsid w:val="0009533C"/>
    <w:rsid w:val="0009549D"/>
    <w:rsid w:val="00095EBB"/>
    <w:rsid w:val="0009607A"/>
    <w:rsid w:val="00096104"/>
    <w:rsid w:val="0009610D"/>
    <w:rsid w:val="000961A6"/>
    <w:rsid w:val="0009626F"/>
    <w:rsid w:val="00096345"/>
    <w:rsid w:val="000964DC"/>
    <w:rsid w:val="00096766"/>
    <w:rsid w:val="000967D3"/>
    <w:rsid w:val="00096A16"/>
    <w:rsid w:val="00096B5A"/>
    <w:rsid w:val="00096D20"/>
    <w:rsid w:val="00097087"/>
    <w:rsid w:val="00097102"/>
    <w:rsid w:val="00097395"/>
    <w:rsid w:val="0009782A"/>
    <w:rsid w:val="00097B54"/>
    <w:rsid w:val="00097E73"/>
    <w:rsid w:val="000A00C3"/>
    <w:rsid w:val="000A0311"/>
    <w:rsid w:val="000A036F"/>
    <w:rsid w:val="000A0420"/>
    <w:rsid w:val="000A04B9"/>
    <w:rsid w:val="000A05D1"/>
    <w:rsid w:val="000A0769"/>
    <w:rsid w:val="000A07B3"/>
    <w:rsid w:val="000A0922"/>
    <w:rsid w:val="000A0B27"/>
    <w:rsid w:val="000A149B"/>
    <w:rsid w:val="000A1654"/>
    <w:rsid w:val="000A177C"/>
    <w:rsid w:val="000A1963"/>
    <w:rsid w:val="000A199A"/>
    <w:rsid w:val="000A1AF8"/>
    <w:rsid w:val="000A1CEA"/>
    <w:rsid w:val="000A1FEA"/>
    <w:rsid w:val="000A24A1"/>
    <w:rsid w:val="000A25B1"/>
    <w:rsid w:val="000A27A6"/>
    <w:rsid w:val="000A2C14"/>
    <w:rsid w:val="000A2C1B"/>
    <w:rsid w:val="000A2D7E"/>
    <w:rsid w:val="000A2E76"/>
    <w:rsid w:val="000A2EE1"/>
    <w:rsid w:val="000A2F76"/>
    <w:rsid w:val="000A3116"/>
    <w:rsid w:val="000A3127"/>
    <w:rsid w:val="000A3159"/>
    <w:rsid w:val="000A32FA"/>
    <w:rsid w:val="000A33FC"/>
    <w:rsid w:val="000A3416"/>
    <w:rsid w:val="000A374A"/>
    <w:rsid w:val="000A3850"/>
    <w:rsid w:val="000A39DB"/>
    <w:rsid w:val="000A3C49"/>
    <w:rsid w:val="000A3DFE"/>
    <w:rsid w:val="000A40C5"/>
    <w:rsid w:val="000A4638"/>
    <w:rsid w:val="000A488F"/>
    <w:rsid w:val="000A48A0"/>
    <w:rsid w:val="000A4997"/>
    <w:rsid w:val="000A4C2A"/>
    <w:rsid w:val="000A4E31"/>
    <w:rsid w:val="000A4ECE"/>
    <w:rsid w:val="000A5061"/>
    <w:rsid w:val="000A5319"/>
    <w:rsid w:val="000A53EF"/>
    <w:rsid w:val="000A5798"/>
    <w:rsid w:val="000A58C7"/>
    <w:rsid w:val="000A5990"/>
    <w:rsid w:val="000A5A48"/>
    <w:rsid w:val="000A5ABE"/>
    <w:rsid w:val="000A5D12"/>
    <w:rsid w:val="000A5D20"/>
    <w:rsid w:val="000A62A8"/>
    <w:rsid w:val="000A6349"/>
    <w:rsid w:val="000A650F"/>
    <w:rsid w:val="000A65F7"/>
    <w:rsid w:val="000A66DB"/>
    <w:rsid w:val="000A6769"/>
    <w:rsid w:val="000A695D"/>
    <w:rsid w:val="000A69EC"/>
    <w:rsid w:val="000A6AA5"/>
    <w:rsid w:val="000A6B53"/>
    <w:rsid w:val="000A6B84"/>
    <w:rsid w:val="000A6BE9"/>
    <w:rsid w:val="000A7169"/>
    <w:rsid w:val="000A7447"/>
    <w:rsid w:val="000A757D"/>
    <w:rsid w:val="000A7664"/>
    <w:rsid w:val="000A773A"/>
    <w:rsid w:val="000A783D"/>
    <w:rsid w:val="000A78AE"/>
    <w:rsid w:val="000A798E"/>
    <w:rsid w:val="000B00CC"/>
    <w:rsid w:val="000B021D"/>
    <w:rsid w:val="000B03D0"/>
    <w:rsid w:val="000B07D7"/>
    <w:rsid w:val="000B0998"/>
    <w:rsid w:val="000B0E06"/>
    <w:rsid w:val="000B1179"/>
    <w:rsid w:val="000B11FA"/>
    <w:rsid w:val="000B1A5C"/>
    <w:rsid w:val="000B1DB5"/>
    <w:rsid w:val="000B220A"/>
    <w:rsid w:val="000B2411"/>
    <w:rsid w:val="000B2493"/>
    <w:rsid w:val="000B256D"/>
    <w:rsid w:val="000B259D"/>
    <w:rsid w:val="000B2720"/>
    <w:rsid w:val="000B2853"/>
    <w:rsid w:val="000B2A27"/>
    <w:rsid w:val="000B2C3A"/>
    <w:rsid w:val="000B2D1D"/>
    <w:rsid w:val="000B2E5C"/>
    <w:rsid w:val="000B2EA0"/>
    <w:rsid w:val="000B3065"/>
    <w:rsid w:val="000B30FC"/>
    <w:rsid w:val="000B31B8"/>
    <w:rsid w:val="000B3306"/>
    <w:rsid w:val="000B332A"/>
    <w:rsid w:val="000B33D8"/>
    <w:rsid w:val="000B3607"/>
    <w:rsid w:val="000B3B44"/>
    <w:rsid w:val="000B3DB3"/>
    <w:rsid w:val="000B3DB7"/>
    <w:rsid w:val="000B40DC"/>
    <w:rsid w:val="000B4198"/>
    <w:rsid w:val="000B41F1"/>
    <w:rsid w:val="000B4589"/>
    <w:rsid w:val="000B458B"/>
    <w:rsid w:val="000B4736"/>
    <w:rsid w:val="000B48EF"/>
    <w:rsid w:val="000B4964"/>
    <w:rsid w:val="000B49FD"/>
    <w:rsid w:val="000B4AB2"/>
    <w:rsid w:val="000B4B0C"/>
    <w:rsid w:val="000B5209"/>
    <w:rsid w:val="000B537A"/>
    <w:rsid w:val="000B537B"/>
    <w:rsid w:val="000B540B"/>
    <w:rsid w:val="000B57F8"/>
    <w:rsid w:val="000B5962"/>
    <w:rsid w:val="000B5B5E"/>
    <w:rsid w:val="000B5BCD"/>
    <w:rsid w:val="000B5C7B"/>
    <w:rsid w:val="000B5CC9"/>
    <w:rsid w:val="000B5DBE"/>
    <w:rsid w:val="000B5EB6"/>
    <w:rsid w:val="000B60DE"/>
    <w:rsid w:val="000B61DA"/>
    <w:rsid w:val="000B642E"/>
    <w:rsid w:val="000B6459"/>
    <w:rsid w:val="000B6FF5"/>
    <w:rsid w:val="000B7030"/>
    <w:rsid w:val="000B722C"/>
    <w:rsid w:val="000B72B3"/>
    <w:rsid w:val="000B7447"/>
    <w:rsid w:val="000B7471"/>
    <w:rsid w:val="000B7512"/>
    <w:rsid w:val="000B7656"/>
    <w:rsid w:val="000B79B4"/>
    <w:rsid w:val="000B7C3A"/>
    <w:rsid w:val="000B7CE4"/>
    <w:rsid w:val="000B7D25"/>
    <w:rsid w:val="000B7E0B"/>
    <w:rsid w:val="000B7E7B"/>
    <w:rsid w:val="000B7EE9"/>
    <w:rsid w:val="000C01DD"/>
    <w:rsid w:val="000C0218"/>
    <w:rsid w:val="000C0232"/>
    <w:rsid w:val="000C02B6"/>
    <w:rsid w:val="000C02C3"/>
    <w:rsid w:val="000C0750"/>
    <w:rsid w:val="000C0896"/>
    <w:rsid w:val="000C09D9"/>
    <w:rsid w:val="000C0A51"/>
    <w:rsid w:val="000C0B18"/>
    <w:rsid w:val="000C0CB2"/>
    <w:rsid w:val="000C0ED1"/>
    <w:rsid w:val="000C10E0"/>
    <w:rsid w:val="000C1113"/>
    <w:rsid w:val="000C11F8"/>
    <w:rsid w:val="000C1229"/>
    <w:rsid w:val="000C156D"/>
    <w:rsid w:val="000C15A6"/>
    <w:rsid w:val="000C19B1"/>
    <w:rsid w:val="000C1A99"/>
    <w:rsid w:val="000C1BE0"/>
    <w:rsid w:val="000C22A4"/>
    <w:rsid w:val="000C236A"/>
    <w:rsid w:val="000C26C5"/>
    <w:rsid w:val="000C2786"/>
    <w:rsid w:val="000C29E8"/>
    <w:rsid w:val="000C2A36"/>
    <w:rsid w:val="000C2B9D"/>
    <w:rsid w:val="000C2C3D"/>
    <w:rsid w:val="000C2DC6"/>
    <w:rsid w:val="000C2F42"/>
    <w:rsid w:val="000C3010"/>
    <w:rsid w:val="000C32A1"/>
    <w:rsid w:val="000C3350"/>
    <w:rsid w:val="000C34F5"/>
    <w:rsid w:val="000C36F9"/>
    <w:rsid w:val="000C371A"/>
    <w:rsid w:val="000C3A6B"/>
    <w:rsid w:val="000C3AD7"/>
    <w:rsid w:val="000C3B6F"/>
    <w:rsid w:val="000C3BBD"/>
    <w:rsid w:val="000C3E0F"/>
    <w:rsid w:val="000C4182"/>
    <w:rsid w:val="000C430B"/>
    <w:rsid w:val="000C43C1"/>
    <w:rsid w:val="000C4415"/>
    <w:rsid w:val="000C446F"/>
    <w:rsid w:val="000C4754"/>
    <w:rsid w:val="000C4AAE"/>
    <w:rsid w:val="000C4E67"/>
    <w:rsid w:val="000C4EC1"/>
    <w:rsid w:val="000C5047"/>
    <w:rsid w:val="000C51F2"/>
    <w:rsid w:val="000C5384"/>
    <w:rsid w:val="000C5618"/>
    <w:rsid w:val="000C574E"/>
    <w:rsid w:val="000C5916"/>
    <w:rsid w:val="000C5B56"/>
    <w:rsid w:val="000C5DB5"/>
    <w:rsid w:val="000C5E9B"/>
    <w:rsid w:val="000C6166"/>
    <w:rsid w:val="000C61DA"/>
    <w:rsid w:val="000C65E4"/>
    <w:rsid w:val="000C6676"/>
    <w:rsid w:val="000C66BF"/>
    <w:rsid w:val="000C6990"/>
    <w:rsid w:val="000C6DB6"/>
    <w:rsid w:val="000C703E"/>
    <w:rsid w:val="000C71EF"/>
    <w:rsid w:val="000C73D5"/>
    <w:rsid w:val="000C751B"/>
    <w:rsid w:val="000C76E3"/>
    <w:rsid w:val="000C7F9D"/>
    <w:rsid w:val="000D00CD"/>
    <w:rsid w:val="000D012F"/>
    <w:rsid w:val="000D03DB"/>
    <w:rsid w:val="000D043A"/>
    <w:rsid w:val="000D047D"/>
    <w:rsid w:val="000D0635"/>
    <w:rsid w:val="000D08AF"/>
    <w:rsid w:val="000D0903"/>
    <w:rsid w:val="000D0CFC"/>
    <w:rsid w:val="000D0F78"/>
    <w:rsid w:val="000D14A5"/>
    <w:rsid w:val="000D1656"/>
    <w:rsid w:val="000D1695"/>
    <w:rsid w:val="000D1906"/>
    <w:rsid w:val="000D1983"/>
    <w:rsid w:val="000D19BB"/>
    <w:rsid w:val="000D19E3"/>
    <w:rsid w:val="000D1A3C"/>
    <w:rsid w:val="000D1A89"/>
    <w:rsid w:val="000D1B7C"/>
    <w:rsid w:val="000D1C83"/>
    <w:rsid w:val="000D1F34"/>
    <w:rsid w:val="000D205C"/>
    <w:rsid w:val="000D20DE"/>
    <w:rsid w:val="000D239F"/>
    <w:rsid w:val="000D25AC"/>
    <w:rsid w:val="000D25C8"/>
    <w:rsid w:val="000D2AE3"/>
    <w:rsid w:val="000D2C37"/>
    <w:rsid w:val="000D2CE9"/>
    <w:rsid w:val="000D2E10"/>
    <w:rsid w:val="000D30D1"/>
    <w:rsid w:val="000D3102"/>
    <w:rsid w:val="000D3677"/>
    <w:rsid w:val="000D38D0"/>
    <w:rsid w:val="000D3DB8"/>
    <w:rsid w:val="000D4024"/>
    <w:rsid w:val="000D4059"/>
    <w:rsid w:val="000D405E"/>
    <w:rsid w:val="000D441D"/>
    <w:rsid w:val="000D4425"/>
    <w:rsid w:val="000D466D"/>
    <w:rsid w:val="000D46E1"/>
    <w:rsid w:val="000D46EC"/>
    <w:rsid w:val="000D48F9"/>
    <w:rsid w:val="000D4940"/>
    <w:rsid w:val="000D4BAA"/>
    <w:rsid w:val="000D50E6"/>
    <w:rsid w:val="000D514E"/>
    <w:rsid w:val="000D52F1"/>
    <w:rsid w:val="000D536D"/>
    <w:rsid w:val="000D5698"/>
    <w:rsid w:val="000D569D"/>
    <w:rsid w:val="000D5712"/>
    <w:rsid w:val="000D5827"/>
    <w:rsid w:val="000D591C"/>
    <w:rsid w:val="000D65FF"/>
    <w:rsid w:val="000D677B"/>
    <w:rsid w:val="000D6809"/>
    <w:rsid w:val="000D707C"/>
    <w:rsid w:val="000D70CA"/>
    <w:rsid w:val="000D71DF"/>
    <w:rsid w:val="000D720C"/>
    <w:rsid w:val="000D7408"/>
    <w:rsid w:val="000D75A2"/>
    <w:rsid w:val="000D79F7"/>
    <w:rsid w:val="000D7A78"/>
    <w:rsid w:val="000D7E77"/>
    <w:rsid w:val="000D7F43"/>
    <w:rsid w:val="000E01D4"/>
    <w:rsid w:val="000E0269"/>
    <w:rsid w:val="000E05AA"/>
    <w:rsid w:val="000E060E"/>
    <w:rsid w:val="000E0680"/>
    <w:rsid w:val="000E0AE5"/>
    <w:rsid w:val="000E0B21"/>
    <w:rsid w:val="000E0CC3"/>
    <w:rsid w:val="000E0DF3"/>
    <w:rsid w:val="000E13BA"/>
    <w:rsid w:val="000E1AE0"/>
    <w:rsid w:val="000E1B91"/>
    <w:rsid w:val="000E1CEA"/>
    <w:rsid w:val="000E1F54"/>
    <w:rsid w:val="000E22D2"/>
    <w:rsid w:val="000E2856"/>
    <w:rsid w:val="000E288D"/>
    <w:rsid w:val="000E28EA"/>
    <w:rsid w:val="000E2C37"/>
    <w:rsid w:val="000E2DAA"/>
    <w:rsid w:val="000E2E20"/>
    <w:rsid w:val="000E2FD1"/>
    <w:rsid w:val="000E343D"/>
    <w:rsid w:val="000E3515"/>
    <w:rsid w:val="000E3C17"/>
    <w:rsid w:val="000E3CFF"/>
    <w:rsid w:val="000E3E97"/>
    <w:rsid w:val="000E3F6F"/>
    <w:rsid w:val="000E3FC9"/>
    <w:rsid w:val="000E4793"/>
    <w:rsid w:val="000E4872"/>
    <w:rsid w:val="000E4AB0"/>
    <w:rsid w:val="000E4B89"/>
    <w:rsid w:val="000E4BF9"/>
    <w:rsid w:val="000E4D22"/>
    <w:rsid w:val="000E4DB5"/>
    <w:rsid w:val="000E4DF9"/>
    <w:rsid w:val="000E4F31"/>
    <w:rsid w:val="000E500A"/>
    <w:rsid w:val="000E509B"/>
    <w:rsid w:val="000E5184"/>
    <w:rsid w:val="000E527E"/>
    <w:rsid w:val="000E5399"/>
    <w:rsid w:val="000E53DB"/>
    <w:rsid w:val="000E547E"/>
    <w:rsid w:val="000E5757"/>
    <w:rsid w:val="000E595F"/>
    <w:rsid w:val="000E59E7"/>
    <w:rsid w:val="000E5A65"/>
    <w:rsid w:val="000E5A8B"/>
    <w:rsid w:val="000E5DED"/>
    <w:rsid w:val="000E5F78"/>
    <w:rsid w:val="000E5FE2"/>
    <w:rsid w:val="000E61EC"/>
    <w:rsid w:val="000E6263"/>
    <w:rsid w:val="000E6266"/>
    <w:rsid w:val="000E62C2"/>
    <w:rsid w:val="000E652E"/>
    <w:rsid w:val="000E6822"/>
    <w:rsid w:val="000E68A7"/>
    <w:rsid w:val="000E6C06"/>
    <w:rsid w:val="000E6D86"/>
    <w:rsid w:val="000E6E7D"/>
    <w:rsid w:val="000E71EC"/>
    <w:rsid w:val="000E71FC"/>
    <w:rsid w:val="000E730C"/>
    <w:rsid w:val="000E74BB"/>
    <w:rsid w:val="000E7631"/>
    <w:rsid w:val="000E79A9"/>
    <w:rsid w:val="000E7C74"/>
    <w:rsid w:val="000E7C7C"/>
    <w:rsid w:val="000EF5B7"/>
    <w:rsid w:val="000F0092"/>
    <w:rsid w:val="000F00B1"/>
    <w:rsid w:val="000F0124"/>
    <w:rsid w:val="000F0169"/>
    <w:rsid w:val="000F023C"/>
    <w:rsid w:val="000F03B5"/>
    <w:rsid w:val="000F0661"/>
    <w:rsid w:val="000F06BB"/>
    <w:rsid w:val="000F07D5"/>
    <w:rsid w:val="000F0AA6"/>
    <w:rsid w:val="000F0CE3"/>
    <w:rsid w:val="000F111C"/>
    <w:rsid w:val="000F1166"/>
    <w:rsid w:val="000F1315"/>
    <w:rsid w:val="000F1887"/>
    <w:rsid w:val="000F1A9C"/>
    <w:rsid w:val="000F1AA9"/>
    <w:rsid w:val="000F1C87"/>
    <w:rsid w:val="000F1CB1"/>
    <w:rsid w:val="000F20B9"/>
    <w:rsid w:val="000F23D7"/>
    <w:rsid w:val="000F25BD"/>
    <w:rsid w:val="000F26A5"/>
    <w:rsid w:val="000F29EA"/>
    <w:rsid w:val="000F2BD7"/>
    <w:rsid w:val="000F2D4B"/>
    <w:rsid w:val="000F2FBA"/>
    <w:rsid w:val="000F3826"/>
    <w:rsid w:val="000F3A52"/>
    <w:rsid w:val="000F3BC9"/>
    <w:rsid w:val="000F3DF1"/>
    <w:rsid w:val="000F3E87"/>
    <w:rsid w:val="000F4171"/>
    <w:rsid w:val="000F423C"/>
    <w:rsid w:val="000F44F0"/>
    <w:rsid w:val="000F4522"/>
    <w:rsid w:val="000F4779"/>
    <w:rsid w:val="000F4A13"/>
    <w:rsid w:val="000F4A71"/>
    <w:rsid w:val="000F4AA0"/>
    <w:rsid w:val="000F4C99"/>
    <w:rsid w:val="000F534D"/>
    <w:rsid w:val="000F53E2"/>
    <w:rsid w:val="000F5488"/>
    <w:rsid w:val="000F5706"/>
    <w:rsid w:val="000F590E"/>
    <w:rsid w:val="000F5A10"/>
    <w:rsid w:val="000F5BF1"/>
    <w:rsid w:val="000F5BFA"/>
    <w:rsid w:val="000F5E71"/>
    <w:rsid w:val="000F5EBF"/>
    <w:rsid w:val="000F5FD7"/>
    <w:rsid w:val="000F642B"/>
    <w:rsid w:val="000F67CE"/>
    <w:rsid w:val="000F6E05"/>
    <w:rsid w:val="000F7148"/>
    <w:rsid w:val="000F7169"/>
    <w:rsid w:val="000F731E"/>
    <w:rsid w:val="000F746A"/>
    <w:rsid w:val="000F7758"/>
    <w:rsid w:val="000F77B6"/>
    <w:rsid w:val="000F7B82"/>
    <w:rsid w:val="000F7BA3"/>
    <w:rsid w:val="000F7C00"/>
    <w:rsid w:val="000F7F08"/>
    <w:rsid w:val="0010023B"/>
    <w:rsid w:val="00100523"/>
    <w:rsid w:val="0010055A"/>
    <w:rsid w:val="001007CE"/>
    <w:rsid w:val="001007DA"/>
    <w:rsid w:val="00100ADE"/>
    <w:rsid w:val="00100B4E"/>
    <w:rsid w:val="00100B62"/>
    <w:rsid w:val="00100DA4"/>
    <w:rsid w:val="00100E8D"/>
    <w:rsid w:val="00100EC4"/>
    <w:rsid w:val="0010103E"/>
    <w:rsid w:val="0010113E"/>
    <w:rsid w:val="001011C3"/>
    <w:rsid w:val="0010140D"/>
    <w:rsid w:val="0010151C"/>
    <w:rsid w:val="00101652"/>
    <w:rsid w:val="00101AB6"/>
    <w:rsid w:val="00101B83"/>
    <w:rsid w:val="00101CC9"/>
    <w:rsid w:val="00101FFC"/>
    <w:rsid w:val="00102122"/>
    <w:rsid w:val="001021E7"/>
    <w:rsid w:val="00102854"/>
    <w:rsid w:val="001028C4"/>
    <w:rsid w:val="00102B04"/>
    <w:rsid w:val="00102C35"/>
    <w:rsid w:val="00102D96"/>
    <w:rsid w:val="00102ED5"/>
    <w:rsid w:val="00102FFB"/>
    <w:rsid w:val="00103005"/>
    <w:rsid w:val="00103090"/>
    <w:rsid w:val="0010328B"/>
    <w:rsid w:val="0010352F"/>
    <w:rsid w:val="0010361E"/>
    <w:rsid w:val="001036B5"/>
    <w:rsid w:val="0010373A"/>
    <w:rsid w:val="00103867"/>
    <w:rsid w:val="001038F4"/>
    <w:rsid w:val="00103A19"/>
    <w:rsid w:val="00103D3B"/>
    <w:rsid w:val="00103DFC"/>
    <w:rsid w:val="001045E2"/>
    <w:rsid w:val="0010474D"/>
    <w:rsid w:val="00104B62"/>
    <w:rsid w:val="00104DBF"/>
    <w:rsid w:val="00104DF7"/>
    <w:rsid w:val="00105234"/>
    <w:rsid w:val="001052A5"/>
    <w:rsid w:val="001053A4"/>
    <w:rsid w:val="00105645"/>
    <w:rsid w:val="00105955"/>
    <w:rsid w:val="00105968"/>
    <w:rsid w:val="00105986"/>
    <w:rsid w:val="00105A9B"/>
    <w:rsid w:val="00105BBB"/>
    <w:rsid w:val="00105BF9"/>
    <w:rsid w:val="00105E79"/>
    <w:rsid w:val="0010600D"/>
    <w:rsid w:val="001060B5"/>
    <w:rsid w:val="001061CF"/>
    <w:rsid w:val="001063D6"/>
    <w:rsid w:val="0010670B"/>
    <w:rsid w:val="00106850"/>
    <w:rsid w:val="0010687B"/>
    <w:rsid w:val="00106BA0"/>
    <w:rsid w:val="00106F45"/>
    <w:rsid w:val="00107047"/>
    <w:rsid w:val="001070EF"/>
    <w:rsid w:val="0010720E"/>
    <w:rsid w:val="0010734B"/>
    <w:rsid w:val="00107A65"/>
    <w:rsid w:val="00107C99"/>
    <w:rsid w:val="00107CC8"/>
    <w:rsid w:val="00107D12"/>
    <w:rsid w:val="00107DDE"/>
    <w:rsid w:val="00107ECC"/>
    <w:rsid w:val="00107FCD"/>
    <w:rsid w:val="001100FD"/>
    <w:rsid w:val="0011059C"/>
    <w:rsid w:val="00110805"/>
    <w:rsid w:val="00110893"/>
    <w:rsid w:val="001108DF"/>
    <w:rsid w:val="00110936"/>
    <w:rsid w:val="00110B29"/>
    <w:rsid w:val="00110CC8"/>
    <w:rsid w:val="0011116C"/>
    <w:rsid w:val="00111748"/>
    <w:rsid w:val="00111800"/>
    <w:rsid w:val="00111820"/>
    <w:rsid w:val="00111DDC"/>
    <w:rsid w:val="00111E0F"/>
    <w:rsid w:val="00111ECA"/>
    <w:rsid w:val="00111FB1"/>
    <w:rsid w:val="001123D5"/>
    <w:rsid w:val="001124CF"/>
    <w:rsid w:val="00112819"/>
    <w:rsid w:val="00112AD1"/>
    <w:rsid w:val="00112BFB"/>
    <w:rsid w:val="00112CA9"/>
    <w:rsid w:val="00112D07"/>
    <w:rsid w:val="0011315B"/>
    <w:rsid w:val="00113211"/>
    <w:rsid w:val="00113390"/>
    <w:rsid w:val="001134C9"/>
    <w:rsid w:val="00113551"/>
    <w:rsid w:val="00113AA9"/>
    <w:rsid w:val="00113C67"/>
    <w:rsid w:val="00113D58"/>
    <w:rsid w:val="00113DF8"/>
    <w:rsid w:val="00113EAC"/>
    <w:rsid w:val="00113EB3"/>
    <w:rsid w:val="0011414A"/>
    <w:rsid w:val="00114567"/>
    <w:rsid w:val="00114575"/>
    <w:rsid w:val="001146EB"/>
    <w:rsid w:val="00114965"/>
    <w:rsid w:val="001149FC"/>
    <w:rsid w:val="00114A03"/>
    <w:rsid w:val="00114BB4"/>
    <w:rsid w:val="00114DE4"/>
    <w:rsid w:val="00114E24"/>
    <w:rsid w:val="00114EF0"/>
    <w:rsid w:val="00114FDA"/>
    <w:rsid w:val="00115182"/>
    <w:rsid w:val="0011519A"/>
    <w:rsid w:val="001152D5"/>
    <w:rsid w:val="00115C91"/>
    <w:rsid w:val="00115CEC"/>
    <w:rsid w:val="00115D04"/>
    <w:rsid w:val="00115ED4"/>
    <w:rsid w:val="00115ED9"/>
    <w:rsid w:val="0011608F"/>
    <w:rsid w:val="00116399"/>
    <w:rsid w:val="0011649E"/>
    <w:rsid w:val="00116581"/>
    <w:rsid w:val="001168F4"/>
    <w:rsid w:val="00116940"/>
    <w:rsid w:val="00116C63"/>
    <w:rsid w:val="00116EE0"/>
    <w:rsid w:val="0011711C"/>
    <w:rsid w:val="001171C8"/>
    <w:rsid w:val="001173D0"/>
    <w:rsid w:val="00117451"/>
    <w:rsid w:val="001177D0"/>
    <w:rsid w:val="0011788B"/>
    <w:rsid w:val="001178B6"/>
    <w:rsid w:val="001179CD"/>
    <w:rsid w:val="00117A60"/>
    <w:rsid w:val="00117ACD"/>
    <w:rsid w:val="00117BE6"/>
    <w:rsid w:val="00117C24"/>
    <w:rsid w:val="00117C7E"/>
    <w:rsid w:val="00117C8A"/>
    <w:rsid w:val="00117FB0"/>
    <w:rsid w:val="001201CD"/>
    <w:rsid w:val="0012024E"/>
    <w:rsid w:val="00120325"/>
    <w:rsid w:val="00120455"/>
    <w:rsid w:val="0012049C"/>
    <w:rsid w:val="0012051B"/>
    <w:rsid w:val="0012058D"/>
    <w:rsid w:val="0012059A"/>
    <w:rsid w:val="00120953"/>
    <w:rsid w:val="00120990"/>
    <w:rsid w:val="00120999"/>
    <w:rsid w:val="00120B6F"/>
    <w:rsid w:val="00120D01"/>
    <w:rsid w:val="0012104B"/>
    <w:rsid w:val="0012106E"/>
    <w:rsid w:val="001213C8"/>
    <w:rsid w:val="001214E7"/>
    <w:rsid w:val="0012164D"/>
    <w:rsid w:val="00121829"/>
    <w:rsid w:val="00121A1B"/>
    <w:rsid w:val="00121CBB"/>
    <w:rsid w:val="00121D02"/>
    <w:rsid w:val="00121D73"/>
    <w:rsid w:val="00121EA8"/>
    <w:rsid w:val="00121F0A"/>
    <w:rsid w:val="001221A8"/>
    <w:rsid w:val="001221C7"/>
    <w:rsid w:val="00122525"/>
    <w:rsid w:val="00122637"/>
    <w:rsid w:val="001226DF"/>
    <w:rsid w:val="00122AF7"/>
    <w:rsid w:val="00122CC3"/>
    <w:rsid w:val="00122E75"/>
    <w:rsid w:val="00122E97"/>
    <w:rsid w:val="00122F62"/>
    <w:rsid w:val="001230D3"/>
    <w:rsid w:val="00123300"/>
    <w:rsid w:val="0012356F"/>
    <w:rsid w:val="0012365A"/>
    <w:rsid w:val="001236A1"/>
    <w:rsid w:val="00123DF5"/>
    <w:rsid w:val="00124120"/>
    <w:rsid w:val="001245CE"/>
    <w:rsid w:val="00124920"/>
    <w:rsid w:val="00124DD2"/>
    <w:rsid w:val="001251F5"/>
    <w:rsid w:val="00125315"/>
    <w:rsid w:val="001253A1"/>
    <w:rsid w:val="00125414"/>
    <w:rsid w:val="00125435"/>
    <w:rsid w:val="001254C8"/>
    <w:rsid w:val="001254EC"/>
    <w:rsid w:val="00125506"/>
    <w:rsid w:val="001256B9"/>
    <w:rsid w:val="00125767"/>
    <w:rsid w:val="00125A6E"/>
    <w:rsid w:val="00125A75"/>
    <w:rsid w:val="00125C80"/>
    <w:rsid w:val="001262DB"/>
    <w:rsid w:val="00126406"/>
    <w:rsid w:val="00126439"/>
    <w:rsid w:val="00126464"/>
    <w:rsid w:val="0012651A"/>
    <w:rsid w:val="0012669C"/>
    <w:rsid w:val="00126818"/>
    <w:rsid w:val="00126917"/>
    <w:rsid w:val="00126A0A"/>
    <w:rsid w:val="00126A27"/>
    <w:rsid w:val="00126D81"/>
    <w:rsid w:val="0012727D"/>
    <w:rsid w:val="00127424"/>
    <w:rsid w:val="001277F4"/>
    <w:rsid w:val="0012780E"/>
    <w:rsid w:val="00127CD0"/>
    <w:rsid w:val="00127ED4"/>
    <w:rsid w:val="00127F14"/>
    <w:rsid w:val="00127F39"/>
    <w:rsid w:val="00130041"/>
    <w:rsid w:val="0013007E"/>
    <w:rsid w:val="001301AE"/>
    <w:rsid w:val="0013025C"/>
    <w:rsid w:val="0013063A"/>
    <w:rsid w:val="00130731"/>
    <w:rsid w:val="0013080E"/>
    <w:rsid w:val="00130854"/>
    <w:rsid w:val="001309E2"/>
    <w:rsid w:val="00130B89"/>
    <w:rsid w:val="00130D5B"/>
    <w:rsid w:val="00130ECC"/>
    <w:rsid w:val="00130FD3"/>
    <w:rsid w:val="0013109A"/>
    <w:rsid w:val="0013130A"/>
    <w:rsid w:val="0013148C"/>
    <w:rsid w:val="0013162D"/>
    <w:rsid w:val="0013169E"/>
    <w:rsid w:val="00131B9C"/>
    <w:rsid w:val="00131BA7"/>
    <w:rsid w:val="00131C15"/>
    <w:rsid w:val="00131D0C"/>
    <w:rsid w:val="00131E9E"/>
    <w:rsid w:val="00131EAF"/>
    <w:rsid w:val="00131FEF"/>
    <w:rsid w:val="001323D9"/>
    <w:rsid w:val="001325C2"/>
    <w:rsid w:val="0013294F"/>
    <w:rsid w:val="00132A36"/>
    <w:rsid w:val="00132BCA"/>
    <w:rsid w:val="00133000"/>
    <w:rsid w:val="00133280"/>
    <w:rsid w:val="00133A6C"/>
    <w:rsid w:val="00133C39"/>
    <w:rsid w:val="00133D93"/>
    <w:rsid w:val="00133EC3"/>
    <w:rsid w:val="00133F43"/>
    <w:rsid w:val="001340D9"/>
    <w:rsid w:val="001340E3"/>
    <w:rsid w:val="001340F8"/>
    <w:rsid w:val="00134168"/>
    <w:rsid w:val="00134214"/>
    <w:rsid w:val="001345DE"/>
    <w:rsid w:val="001346C5"/>
    <w:rsid w:val="001346E7"/>
    <w:rsid w:val="00134866"/>
    <w:rsid w:val="0013492F"/>
    <w:rsid w:val="00134937"/>
    <w:rsid w:val="00134BA8"/>
    <w:rsid w:val="00134DE8"/>
    <w:rsid w:val="00134F1F"/>
    <w:rsid w:val="00134F4E"/>
    <w:rsid w:val="00134F57"/>
    <w:rsid w:val="0013524B"/>
    <w:rsid w:val="001352C1"/>
    <w:rsid w:val="0013558C"/>
    <w:rsid w:val="00135616"/>
    <w:rsid w:val="00135733"/>
    <w:rsid w:val="00135987"/>
    <w:rsid w:val="0013599A"/>
    <w:rsid w:val="00135BE0"/>
    <w:rsid w:val="00135C0C"/>
    <w:rsid w:val="00135CAB"/>
    <w:rsid w:val="00135CC1"/>
    <w:rsid w:val="00135E58"/>
    <w:rsid w:val="001360C7"/>
    <w:rsid w:val="00136228"/>
    <w:rsid w:val="001363E0"/>
    <w:rsid w:val="00136484"/>
    <w:rsid w:val="001364C6"/>
    <w:rsid w:val="00136909"/>
    <w:rsid w:val="00136DA2"/>
    <w:rsid w:val="00136E3E"/>
    <w:rsid w:val="0013715C"/>
    <w:rsid w:val="00137423"/>
    <w:rsid w:val="0013770F"/>
    <w:rsid w:val="00137A0B"/>
    <w:rsid w:val="0014010D"/>
    <w:rsid w:val="0014038C"/>
    <w:rsid w:val="00140393"/>
    <w:rsid w:val="00140546"/>
    <w:rsid w:val="00140683"/>
    <w:rsid w:val="0014091F"/>
    <w:rsid w:val="00140921"/>
    <w:rsid w:val="00140B85"/>
    <w:rsid w:val="00140CD9"/>
    <w:rsid w:val="00140D5B"/>
    <w:rsid w:val="00140DE3"/>
    <w:rsid w:val="00140EA3"/>
    <w:rsid w:val="00140F02"/>
    <w:rsid w:val="0014150C"/>
    <w:rsid w:val="00141517"/>
    <w:rsid w:val="001415B0"/>
    <w:rsid w:val="0014182D"/>
    <w:rsid w:val="00141E10"/>
    <w:rsid w:val="00141F7F"/>
    <w:rsid w:val="00141F80"/>
    <w:rsid w:val="00141F8E"/>
    <w:rsid w:val="00141FD2"/>
    <w:rsid w:val="00142277"/>
    <w:rsid w:val="0014230B"/>
    <w:rsid w:val="0014250F"/>
    <w:rsid w:val="001425A4"/>
    <w:rsid w:val="00142631"/>
    <w:rsid w:val="001426C0"/>
    <w:rsid w:val="001426F2"/>
    <w:rsid w:val="00142A1B"/>
    <w:rsid w:val="00142AF6"/>
    <w:rsid w:val="00142BA8"/>
    <w:rsid w:val="00142CCF"/>
    <w:rsid w:val="00142CF5"/>
    <w:rsid w:val="00142E1D"/>
    <w:rsid w:val="00143067"/>
    <w:rsid w:val="00143255"/>
    <w:rsid w:val="00143298"/>
    <w:rsid w:val="0014368A"/>
    <w:rsid w:val="0014371C"/>
    <w:rsid w:val="00143873"/>
    <w:rsid w:val="001439FB"/>
    <w:rsid w:val="00143B30"/>
    <w:rsid w:val="00143B5A"/>
    <w:rsid w:val="00143D8B"/>
    <w:rsid w:val="00143E6C"/>
    <w:rsid w:val="0014414E"/>
    <w:rsid w:val="001442BE"/>
    <w:rsid w:val="00144695"/>
    <w:rsid w:val="001446CA"/>
    <w:rsid w:val="00144919"/>
    <w:rsid w:val="001449CE"/>
    <w:rsid w:val="00144D29"/>
    <w:rsid w:val="00144D65"/>
    <w:rsid w:val="00144DB9"/>
    <w:rsid w:val="00144EBE"/>
    <w:rsid w:val="00144F75"/>
    <w:rsid w:val="00144FAA"/>
    <w:rsid w:val="00145019"/>
    <w:rsid w:val="00145460"/>
    <w:rsid w:val="00145499"/>
    <w:rsid w:val="00145530"/>
    <w:rsid w:val="001455A2"/>
    <w:rsid w:val="0014595A"/>
    <w:rsid w:val="00145BC7"/>
    <w:rsid w:val="00145E23"/>
    <w:rsid w:val="00145EA1"/>
    <w:rsid w:val="00146050"/>
    <w:rsid w:val="00146552"/>
    <w:rsid w:val="001469A3"/>
    <w:rsid w:val="001469DD"/>
    <w:rsid w:val="00146A12"/>
    <w:rsid w:val="00146A1D"/>
    <w:rsid w:val="00146C1D"/>
    <w:rsid w:val="00146E38"/>
    <w:rsid w:val="00146E49"/>
    <w:rsid w:val="00146EC5"/>
    <w:rsid w:val="00146F74"/>
    <w:rsid w:val="0014704E"/>
    <w:rsid w:val="001470BC"/>
    <w:rsid w:val="001473E6"/>
    <w:rsid w:val="001478CD"/>
    <w:rsid w:val="0014797A"/>
    <w:rsid w:val="00147BB9"/>
    <w:rsid w:val="00147C98"/>
    <w:rsid w:val="00147D7B"/>
    <w:rsid w:val="00147F9E"/>
    <w:rsid w:val="0015007C"/>
    <w:rsid w:val="00150102"/>
    <w:rsid w:val="00150A74"/>
    <w:rsid w:val="00150B1A"/>
    <w:rsid w:val="00150E87"/>
    <w:rsid w:val="00150E8F"/>
    <w:rsid w:val="00150EF4"/>
    <w:rsid w:val="0015116F"/>
    <w:rsid w:val="001512BF"/>
    <w:rsid w:val="001514DA"/>
    <w:rsid w:val="001517F0"/>
    <w:rsid w:val="00151915"/>
    <w:rsid w:val="00151BB1"/>
    <w:rsid w:val="00151C4A"/>
    <w:rsid w:val="00151CE1"/>
    <w:rsid w:val="00151E5A"/>
    <w:rsid w:val="001520AB"/>
    <w:rsid w:val="0015226C"/>
    <w:rsid w:val="001526DA"/>
    <w:rsid w:val="00152926"/>
    <w:rsid w:val="00152E02"/>
    <w:rsid w:val="00152EE2"/>
    <w:rsid w:val="00152F77"/>
    <w:rsid w:val="00153182"/>
    <w:rsid w:val="001531F1"/>
    <w:rsid w:val="0015328F"/>
    <w:rsid w:val="00153356"/>
    <w:rsid w:val="00153397"/>
    <w:rsid w:val="001533C4"/>
    <w:rsid w:val="001534C3"/>
    <w:rsid w:val="0015374C"/>
    <w:rsid w:val="0015376C"/>
    <w:rsid w:val="001537C6"/>
    <w:rsid w:val="00153D05"/>
    <w:rsid w:val="00153E0C"/>
    <w:rsid w:val="00154127"/>
    <w:rsid w:val="001545F0"/>
    <w:rsid w:val="00154976"/>
    <w:rsid w:val="00154C59"/>
    <w:rsid w:val="00154D20"/>
    <w:rsid w:val="00154E65"/>
    <w:rsid w:val="00154EBA"/>
    <w:rsid w:val="00154FD4"/>
    <w:rsid w:val="001553D3"/>
    <w:rsid w:val="001555DE"/>
    <w:rsid w:val="0015596C"/>
    <w:rsid w:val="00155A6F"/>
    <w:rsid w:val="00155D11"/>
    <w:rsid w:val="00155D1A"/>
    <w:rsid w:val="00155E10"/>
    <w:rsid w:val="00155ED3"/>
    <w:rsid w:val="00155EDD"/>
    <w:rsid w:val="001564C2"/>
    <w:rsid w:val="001564D4"/>
    <w:rsid w:val="00156850"/>
    <w:rsid w:val="0015687E"/>
    <w:rsid w:val="0015691A"/>
    <w:rsid w:val="001569D4"/>
    <w:rsid w:val="00156B2D"/>
    <w:rsid w:val="00156B2F"/>
    <w:rsid w:val="00156B7C"/>
    <w:rsid w:val="00156BA4"/>
    <w:rsid w:val="0015724A"/>
    <w:rsid w:val="00157356"/>
    <w:rsid w:val="0015744B"/>
    <w:rsid w:val="0015747F"/>
    <w:rsid w:val="001574EA"/>
    <w:rsid w:val="00157678"/>
    <w:rsid w:val="00157981"/>
    <w:rsid w:val="00157AB9"/>
    <w:rsid w:val="00157D4C"/>
    <w:rsid w:val="00157FF6"/>
    <w:rsid w:val="0016009E"/>
    <w:rsid w:val="0016055F"/>
    <w:rsid w:val="001609FB"/>
    <w:rsid w:val="00160B43"/>
    <w:rsid w:val="00160B60"/>
    <w:rsid w:val="00160CBC"/>
    <w:rsid w:val="00160DC6"/>
    <w:rsid w:val="00160E14"/>
    <w:rsid w:val="00160E79"/>
    <w:rsid w:val="001613A6"/>
    <w:rsid w:val="00161620"/>
    <w:rsid w:val="00161A6D"/>
    <w:rsid w:val="00161C3E"/>
    <w:rsid w:val="00161D36"/>
    <w:rsid w:val="00161F14"/>
    <w:rsid w:val="001622A0"/>
    <w:rsid w:val="001622A5"/>
    <w:rsid w:val="00162316"/>
    <w:rsid w:val="0016241F"/>
    <w:rsid w:val="0016253D"/>
    <w:rsid w:val="001626B5"/>
    <w:rsid w:val="00162736"/>
    <w:rsid w:val="001627A7"/>
    <w:rsid w:val="001628CC"/>
    <w:rsid w:val="001628D7"/>
    <w:rsid w:val="00162926"/>
    <w:rsid w:val="00162969"/>
    <w:rsid w:val="00162D05"/>
    <w:rsid w:val="001634BD"/>
    <w:rsid w:val="001634DA"/>
    <w:rsid w:val="00163509"/>
    <w:rsid w:val="00163590"/>
    <w:rsid w:val="001639D9"/>
    <w:rsid w:val="00163AD6"/>
    <w:rsid w:val="00163C1F"/>
    <w:rsid w:val="00163DD0"/>
    <w:rsid w:val="001640EE"/>
    <w:rsid w:val="001641E6"/>
    <w:rsid w:val="00164352"/>
    <w:rsid w:val="001643A2"/>
    <w:rsid w:val="001648AE"/>
    <w:rsid w:val="00164CD4"/>
    <w:rsid w:val="00164E2C"/>
    <w:rsid w:val="00164E63"/>
    <w:rsid w:val="00164EC0"/>
    <w:rsid w:val="00164F4A"/>
    <w:rsid w:val="00164F64"/>
    <w:rsid w:val="00165303"/>
    <w:rsid w:val="00165400"/>
    <w:rsid w:val="001655ED"/>
    <w:rsid w:val="00165647"/>
    <w:rsid w:val="00165963"/>
    <w:rsid w:val="00165B12"/>
    <w:rsid w:val="00165B91"/>
    <w:rsid w:val="00165BA7"/>
    <w:rsid w:val="00165C48"/>
    <w:rsid w:val="00165DE7"/>
    <w:rsid w:val="00165DF8"/>
    <w:rsid w:val="00165E78"/>
    <w:rsid w:val="0016614A"/>
    <w:rsid w:val="001662BE"/>
    <w:rsid w:val="001663EE"/>
    <w:rsid w:val="0016652A"/>
    <w:rsid w:val="00166618"/>
    <w:rsid w:val="00166649"/>
    <w:rsid w:val="00166771"/>
    <w:rsid w:val="001667F0"/>
    <w:rsid w:val="001668BD"/>
    <w:rsid w:val="00166A6F"/>
    <w:rsid w:val="00166F95"/>
    <w:rsid w:val="00167159"/>
    <w:rsid w:val="001671F8"/>
    <w:rsid w:val="0016740F"/>
    <w:rsid w:val="001675F7"/>
    <w:rsid w:val="00167B1E"/>
    <w:rsid w:val="00167C4A"/>
    <w:rsid w:val="00167CFE"/>
    <w:rsid w:val="00167ECE"/>
    <w:rsid w:val="001700C8"/>
    <w:rsid w:val="00170144"/>
    <w:rsid w:val="00170358"/>
    <w:rsid w:val="00170445"/>
    <w:rsid w:val="00170853"/>
    <w:rsid w:val="00170ABB"/>
    <w:rsid w:val="00170BFE"/>
    <w:rsid w:val="00170D69"/>
    <w:rsid w:val="001714A1"/>
    <w:rsid w:val="001716F6"/>
    <w:rsid w:val="0017170D"/>
    <w:rsid w:val="001718D5"/>
    <w:rsid w:val="00171D05"/>
    <w:rsid w:val="0017201E"/>
    <w:rsid w:val="0017217A"/>
    <w:rsid w:val="00172307"/>
    <w:rsid w:val="00172387"/>
    <w:rsid w:val="001724D7"/>
    <w:rsid w:val="001725BD"/>
    <w:rsid w:val="00172626"/>
    <w:rsid w:val="001727D6"/>
    <w:rsid w:val="00172883"/>
    <w:rsid w:val="001729CC"/>
    <w:rsid w:val="00172E1F"/>
    <w:rsid w:val="00172EB1"/>
    <w:rsid w:val="00172F92"/>
    <w:rsid w:val="0017346D"/>
    <w:rsid w:val="0017356A"/>
    <w:rsid w:val="00173619"/>
    <w:rsid w:val="00173C2B"/>
    <w:rsid w:val="00173C45"/>
    <w:rsid w:val="0017402E"/>
    <w:rsid w:val="001740C2"/>
    <w:rsid w:val="001742E3"/>
    <w:rsid w:val="001743C7"/>
    <w:rsid w:val="0017440F"/>
    <w:rsid w:val="001744E4"/>
    <w:rsid w:val="001745B1"/>
    <w:rsid w:val="00174953"/>
    <w:rsid w:val="00174B0D"/>
    <w:rsid w:val="00174B60"/>
    <w:rsid w:val="00174BCD"/>
    <w:rsid w:val="00175075"/>
    <w:rsid w:val="00175078"/>
    <w:rsid w:val="0017586F"/>
    <w:rsid w:val="00175995"/>
    <w:rsid w:val="00175BEC"/>
    <w:rsid w:val="00175D1A"/>
    <w:rsid w:val="001760AB"/>
    <w:rsid w:val="0017675C"/>
    <w:rsid w:val="001767A4"/>
    <w:rsid w:val="001767CA"/>
    <w:rsid w:val="00176A51"/>
    <w:rsid w:val="00176B23"/>
    <w:rsid w:val="00176F10"/>
    <w:rsid w:val="00176F6D"/>
    <w:rsid w:val="00176F70"/>
    <w:rsid w:val="001771C4"/>
    <w:rsid w:val="00177251"/>
    <w:rsid w:val="001772A6"/>
    <w:rsid w:val="001772B5"/>
    <w:rsid w:val="0017739A"/>
    <w:rsid w:val="001773AC"/>
    <w:rsid w:val="00177488"/>
    <w:rsid w:val="00177546"/>
    <w:rsid w:val="00177600"/>
    <w:rsid w:val="00177BF4"/>
    <w:rsid w:val="00177DCA"/>
    <w:rsid w:val="00177DE8"/>
    <w:rsid w:val="00177E62"/>
    <w:rsid w:val="00177F9F"/>
    <w:rsid w:val="001800A3"/>
    <w:rsid w:val="00180371"/>
    <w:rsid w:val="0018038F"/>
    <w:rsid w:val="001804E0"/>
    <w:rsid w:val="001805D9"/>
    <w:rsid w:val="0018065F"/>
    <w:rsid w:val="001807DA"/>
    <w:rsid w:val="00180846"/>
    <w:rsid w:val="00180AB1"/>
    <w:rsid w:val="00180E8D"/>
    <w:rsid w:val="0018128B"/>
    <w:rsid w:val="00181BC2"/>
    <w:rsid w:val="00181CA4"/>
    <w:rsid w:val="00181DCB"/>
    <w:rsid w:val="00181EBC"/>
    <w:rsid w:val="00182042"/>
    <w:rsid w:val="001820A4"/>
    <w:rsid w:val="001826DA"/>
    <w:rsid w:val="0018276B"/>
    <w:rsid w:val="00182A41"/>
    <w:rsid w:val="00182AA6"/>
    <w:rsid w:val="00182B63"/>
    <w:rsid w:val="00182C42"/>
    <w:rsid w:val="00182D7C"/>
    <w:rsid w:val="00182EC1"/>
    <w:rsid w:val="00182F8B"/>
    <w:rsid w:val="00182FDB"/>
    <w:rsid w:val="0018301D"/>
    <w:rsid w:val="00183177"/>
    <w:rsid w:val="0018324E"/>
    <w:rsid w:val="0018345A"/>
    <w:rsid w:val="00183571"/>
    <w:rsid w:val="0018365A"/>
    <w:rsid w:val="00183867"/>
    <w:rsid w:val="00183906"/>
    <w:rsid w:val="00184173"/>
    <w:rsid w:val="00184174"/>
    <w:rsid w:val="001841EB"/>
    <w:rsid w:val="00184370"/>
    <w:rsid w:val="0018446D"/>
    <w:rsid w:val="0018477F"/>
    <w:rsid w:val="00184795"/>
    <w:rsid w:val="00184895"/>
    <w:rsid w:val="00184906"/>
    <w:rsid w:val="001849B8"/>
    <w:rsid w:val="00184ABA"/>
    <w:rsid w:val="00184BD0"/>
    <w:rsid w:val="00184CB2"/>
    <w:rsid w:val="00185126"/>
    <w:rsid w:val="0018541A"/>
    <w:rsid w:val="001854B2"/>
    <w:rsid w:val="00185727"/>
    <w:rsid w:val="00185A9E"/>
    <w:rsid w:val="00185AC5"/>
    <w:rsid w:val="00185B37"/>
    <w:rsid w:val="00185C09"/>
    <w:rsid w:val="00185E6D"/>
    <w:rsid w:val="00185FC2"/>
    <w:rsid w:val="00186024"/>
    <w:rsid w:val="0018656A"/>
    <w:rsid w:val="00186922"/>
    <w:rsid w:val="00186A1B"/>
    <w:rsid w:val="00186B80"/>
    <w:rsid w:val="00186C76"/>
    <w:rsid w:val="00186E0B"/>
    <w:rsid w:val="00186E47"/>
    <w:rsid w:val="00186E95"/>
    <w:rsid w:val="00186F3D"/>
    <w:rsid w:val="00186FB7"/>
    <w:rsid w:val="0018703B"/>
    <w:rsid w:val="001870AA"/>
    <w:rsid w:val="00187416"/>
    <w:rsid w:val="001875A7"/>
    <w:rsid w:val="0018761E"/>
    <w:rsid w:val="001876B7"/>
    <w:rsid w:val="0018777F"/>
    <w:rsid w:val="0018778D"/>
    <w:rsid w:val="001878E9"/>
    <w:rsid w:val="001879CE"/>
    <w:rsid w:val="00187A91"/>
    <w:rsid w:val="00187AB3"/>
    <w:rsid w:val="00190041"/>
    <w:rsid w:val="0019039B"/>
    <w:rsid w:val="001904F2"/>
    <w:rsid w:val="00190527"/>
    <w:rsid w:val="00190678"/>
    <w:rsid w:val="001906AF"/>
    <w:rsid w:val="00190A44"/>
    <w:rsid w:val="00190A74"/>
    <w:rsid w:val="00190ADC"/>
    <w:rsid w:val="00190BD7"/>
    <w:rsid w:val="00190C3C"/>
    <w:rsid w:val="00190D50"/>
    <w:rsid w:val="00190D86"/>
    <w:rsid w:val="00190DF8"/>
    <w:rsid w:val="00190EB5"/>
    <w:rsid w:val="00190F5D"/>
    <w:rsid w:val="00190FA8"/>
    <w:rsid w:val="00191517"/>
    <w:rsid w:val="00191946"/>
    <w:rsid w:val="00191CBF"/>
    <w:rsid w:val="00191F25"/>
    <w:rsid w:val="00191F54"/>
    <w:rsid w:val="001920C2"/>
    <w:rsid w:val="001922A6"/>
    <w:rsid w:val="001923F7"/>
    <w:rsid w:val="00192402"/>
    <w:rsid w:val="0019250E"/>
    <w:rsid w:val="00192524"/>
    <w:rsid w:val="0019275C"/>
    <w:rsid w:val="00192784"/>
    <w:rsid w:val="00192791"/>
    <w:rsid w:val="00192995"/>
    <w:rsid w:val="00192DAE"/>
    <w:rsid w:val="00192E06"/>
    <w:rsid w:val="00192E21"/>
    <w:rsid w:val="001930FC"/>
    <w:rsid w:val="0019346C"/>
    <w:rsid w:val="00193864"/>
    <w:rsid w:val="0019397C"/>
    <w:rsid w:val="00193F65"/>
    <w:rsid w:val="001940AD"/>
    <w:rsid w:val="00194476"/>
    <w:rsid w:val="001945A7"/>
    <w:rsid w:val="001945AA"/>
    <w:rsid w:val="001945D1"/>
    <w:rsid w:val="00194629"/>
    <w:rsid w:val="001946DB"/>
    <w:rsid w:val="00194838"/>
    <w:rsid w:val="00194AE4"/>
    <w:rsid w:val="00194B6D"/>
    <w:rsid w:val="00194C0D"/>
    <w:rsid w:val="001950B2"/>
    <w:rsid w:val="0019512C"/>
    <w:rsid w:val="00195289"/>
    <w:rsid w:val="001953EA"/>
    <w:rsid w:val="00195648"/>
    <w:rsid w:val="0019596C"/>
    <w:rsid w:val="00195AAE"/>
    <w:rsid w:val="00195C05"/>
    <w:rsid w:val="00195C9E"/>
    <w:rsid w:val="00195FA3"/>
    <w:rsid w:val="00196164"/>
    <w:rsid w:val="00196240"/>
    <w:rsid w:val="00196360"/>
    <w:rsid w:val="001965D1"/>
    <w:rsid w:val="001965F4"/>
    <w:rsid w:val="00196640"/>
    <w:rsid w:val="00196684"/>
    <w:rsid w:val="001966E6"/>
    <w:rsid w:val="0019682C"/>
    <w:rsid w:val="00196A5C"/>
    <w:rsid w:val="00196C86"/>
    <w:rsid w:val="00196CA4"/>
    <w:rsid w:val="00196DCA"/>
    <w:rsid w:val="00196EE1"/>
    <w:rsid w:val="00197773"/>
    <w:rsid w:val="0019786F"/>
    <w:rsid w:val="00197875"/>
    <w:rsid w:val="00197DE1"/>
    <w:rsid w:val="001A0033"/>
    <w:rsid w:val="001A017E"/>
    <w:rsid w:val="001A0203"/>
    <w:rsid w:val="001A03ED"/>
    <w:rsid w:val="001A0410"/>
    <w:rsid w:val="001A0612"/>
    <w:rsid w:val="001A0647"/>
    <w:rsid w:val="001A069A"/>
    <w:rsid w:val="001A0CBB"/>
    <w:rsid w:val="001A0D0E"/>
    <w:rsid w:val="001A0EE3"/>
    <w:rsid w:val="001A0F29"/>
    <w:rsid w:val="001A0FAE"/>
    <w:rsid w:val="001A0FF5"/>
    <w:rsid w:val="001A107C"/>
    <w:rsid w:val="001A11EB"/>
    <w:rsid w:val="001A12A8"/>
    <w:rsid w:val="001A14D1"/>
    <w:rsid w:val="001A15FB"/>
    <w:rsid w:val="001A1743"/>
    <w:rsid w:val="001A191C"/>
    <w:rsid w:val="001A194D"/>
    <w:rsid w:val="001A1985"/>
    <w:rsid w:val="001A19B9"/>
    <w:rsid w:val="001A1B78"/>
    <w:rsid w:val="001A1D03"/>
    <w:rsid w:val="001A1E53"/>
    <w:rsid w:val="001A1E86"/>
    <w:rsid w:val="001A1EA3"/>
    <w:rsid w:val="001A1FA5"/>
    <w:rsid w:val="001A21CF"/>
    <w:rsid w:val="001A2618"/>
    <w:rsid w:val="001A2777"/>
    <w:rsid w:val="001A283A"/>
    <w:rsid w:val="001A2987"/>
    <w:rsid w:val="001A2AF4"/>
    <w:rsid w:val="001A2AF6"/>
    <w:rsid w:val="001A2C0C"/>
    <w:rsid w:val="001A2C36"/>
    <w:rsid w:val="001A2C8E"/>
    <w:rsid w:val="001A3090"/>
    <w:rsid w:val="001A31C9"/>
    <w:rsid w:val="001A34A5"/>
    <w:rsid w:val="001A3661"/>
    <w:rsid w:val="001A3CD7"/>
    <w:rsid w:val="001A3FBA"/>
    <w:rsid w:val="001A418D"/>
    <w:rsid w:val="001A4257"/>
    <w:rsid w:val="001A4A97"/>
    <w:rsid w:val="001A4FF0"/>
    <w:rsid w:val="001A50A7"/>
    <w:rsid w:val="001A5108"/>
    <w:rsid w:val="001A51E7"/>
    <w:rsid w:val="001A5522"/>
    <w:rsid w:val="001A5776"/>
    <w:rsid w:val="001A5E06"/>
    <w:rsid w:val="001A5EDA"/>
    <w:rsid w:val="001A5F65"/>
    <w:rsid w:val="001A5F7A"/>
    <w:rsid w:val="001A5FA9"/>
    <w:rsid w:val="001A608B"/>
    <w:rsid w:val="001A6510"/>
    <w:rsid w:val="001A6868"/>
    <w:rsid w:val="001A6AB6"/>
    <w:rsid w:val="001A6B38"/>
    <w:rsid w:val="001A6D77"/>
    <w:rsid w:val="001A6E63"/>
    <w:rsid w:val="001A70A0"/>
    <w:rsid w:val="001A70BA"/>
    <w:rsid w:val="001A730C"/>
    <w:rsid w:val="001A74E3"/>
    <w:rsid w:val="001A74EE"/>
    <w:rsid w:val="001A7602"/>
    <w:rsid w:val="001A78DA"/>
    <w:rsid w:val="001A79F2"/>
    <w:rsid w:val="001A7AD0"/>
    <w:rsid w:val="001A7BD4"/>
    <w:rsid w:val="001A7D91"/>
    <w:rsid w:val="001B01FF"/>
    <w:rsid w:val="001B0602"/>
    <w:rsid w:val="001B0679"/>
    <w:rsid w:val="001B075E"/>
    <w:rsid w:val="001B0935"/>
    <w:rsid w:val="001B09FD"/>
    <w:rsid w:val="001B0AEE"/>
    <w:rsid w:val="001B0CFD"/>
    <w:rsid w:val="001B1119"/>
    <w:rsid w:val="001B11E4"/>
    <w:rsid w:val="001B1343"/>
    <w:rsid w:val="001B15A3"/>
    <w:rsid w:val="001B1810"/>
    <w:rsid w:val="001B1868"/>
    <w:rsid w:val="001B197C"/>
    <w:rsid w:val="001B19A9"/>
    <w:rsid w:val="001B1B10"/>
    <w:rsid w:val="001B1C19"/>
    <w:rsid w:val="001B1C92"/>
    <w:rsid w:val="001B1D47"/>
    <w:rsid w:val="001B1DDC"/>
    <w:rsid w:val="001B1EE5"/>
    <w:rsid w:val="001B233B"/>
    <w:rsid w:val="001B2A19"/>
    <w:rsid w:val="001B2B59"/>
    <w:rsid w:val="001B2BA6"/>
    <w:rsid w:val="001B2EC7"/>
    <w:rsid w:val="001B3096"/>
    <w:rsid w:val="001B3154"/>
    <w:rsid w:val="001B3324"/>
    <w:rsid w:val="001B3409"/>
    <w:rsid w:val="001B3456"/>
    <w:rsid w:val="001B3691"/>
    <w:rsid w:val="001B38A0"/>
    <w:rsid w:val="001B3BB8"/>
    <w:rsid w:val="001B3CE9"/>
    <w:rsid w:val="001B3D98"/>
    <w:rsid w:val="001B3E7D"/>
    <w:rsid w:val="001B40B3"/>
    <w:rsid w:val="001B42B2"/>
    <w:rsid w:val="001B4437"/>
    <w:rsid w:val="001B44E3"/>
    <w:rsid w:val="001B45E6"/>
    <w:rsid w:val="001B4988"/>
    <w:rsid w:val="001B4F72"/>
    <w:rsid w:val="001B5192"/>
    <w:rsid w:val="001B5290"/>
    <w:rsid w:val="001B52D3"/>
    <w:rsid w:val="001B55E6"/>
    <w:rsid w:val="001B5624"/>
    <w:rsid w:val="001B5792"/>
    <w:rsid w:val="001B5835"/>
    <w:rsid w:val="001B5934"/>
    <w:rsid w:val="001B59DC"/>
    <w:rsid w:val="001B5A24"/>
    <w:rsid w:val="001B5D84"/>
    <w:rsid w:val="001B5E3D"/>
    <w:rsid w:val="001B6003"/>
    <w:rsid w:val="001B6200"/>
    <w:rsid w:val="001B6321"/>
    <w:rsid w:val="001B6761"/>
    <w:rsid w:val="001B676B"/>
    <w:rsid w:val="001B6888"/>
    <w:rsid w:val="001B6917"/>
    <w:rsid w:val="001B6B46"/>
    <w:rsid w:val="001B6CDB"/>
    <w:rsid w:val="001B7029"/>
    <w:rsid w:val="001B70AD"/>
    <w:rsid w:val="001B72C1"/>
    <w:rsid w:val="001B7529"/>
    <w:rsid w:val="001B76C1"/>
    <w:rsid w:val="001B776B"/>
    <w:rsid w:val="001B7838"/>
    <w:rsid w:val="001B784D"/>
    <w:rsid w:val="001B7862"/>
    <w:rsid w:val="001B7923"/>
    <w:rsid w:val="001B7B13"/>
    <w:rsid w:val="001B7C38"/>
    <w:rsid w:val="001B7C77"/>
    <w:rsid w:val="001B7FFA"/>
    <w:rsid w:val="001C002D"/>
    <w:rsid w:val="001C00C3"/>
    <w:rsid w:val="001C0189"/>
    <w:rsid w:val="001C01CA"/>
    <w:rsid w:val="001C01F2"/>
    <w:rsid w:val="001C0290"/>
    <w:rsid w:val="001C04DA"/>
    <w:rsid w:val="001C0722"/>
    <w:rsid w:val="001C0771"/>
    <w:rsid w:val="001C0990"/>
    <w:rsid w:val="001C0A44"/>
    <w:rsid w:val="001C0D4B"/>
    <w:rsid w:val="001C0D5C"/>
    <w:rsid w:val="001C0F68"/>
    <w:rsid w:val="001C104D"/>
    <w:rsid w:val="001C113F"/>
    <w:rsid w:val="001C12F6"/>
    <w:rsid w:val="001C19F5"/>
    <w:rsid w:val="001C1A89"/>
    <w:rsid w:val="001C1BCF"/>
    <w:rsid w:val="001C1E4B"/>
    <w:rsid w:val="001C2014"/>
    <w:rsid w:val="001C20B8"/>
    <w:rsid w:val="001C2490"/>
    <w:rsid w:val="001C25F0"/>
    <w:rsid w:val="001C261E"/>
    <w:rsid w:val="001C28A5"/>
    <w:rsid w:val="001C2B86"/>
    <w:rsid w:val="001C2BB6"/>
    <w:rsid w:val="001C2CBD"/>
    <w:rsid w:val="001C2F3E"/>
    <w:rsid w:val="001C31C4"/>
    <w:rsid w:val="001C32FE"/>
    <w:rsid w:val="001C352A"/>
    <w:rsid w:val="001C3849"/>
    <w:rsid w:val="001C3C20"/>
    <w:rsid w:val="001C40A1"/>
    <w:rsid w:val="001C4306"/>
    <w:rsid w:val="001C445E"/>
    <w:rsid w:val="001C4663"/>
    <w:rsid w:val="001C4752"/>
    <w:rsid w:val="001C47DE"/>
    <w:rsid w:val="001C50AC"/>
    <w:rsid w:val="001C51BE"/>
    <w:rsid w:val="001C5636"/>
    <w:rsid w:val="001C58FE"/>
    <w:rsid w:val="001C59DE"/>
    <w:rsid w:val="001C5A7A"/>
    <w:rsid w:val="001C5ABB"/>
    <w:rsid w:val="001C5AE6"/>
    <w:rsid w:val="001C5C65"/>
    <w:rsid w:val="001C5C8E"/>
    <w:rsid w:val="001C5D4C"/>
    <w:rsid w:val="001C5FAC"/>
    <w:rsid w:val="001C6133"/>
    <w:rsid w:val="001C617F"/>
    <w:rsid w:val="001C6212"/>
    <w:rsid w:val="001C646B"/>
    <w:rsid w:val="001C66A0"/>
    <w:rsid w:val="001C68B8"/>
    <w:rsid w:val="001C6C81"/>
    <w:rsid w:val="001C7032"/>
    <w:rsid w:val="001C74FE"/>
    <w:rsid w:val="001C75E1"/>
    <w:rsid w:val="001C7699"/>
    <w:rsid w:val="001C773A"/>
    <w:rsid w:val="001C784E"/>
    <w:rsid w:val="001C78EB"/>
    <w:rsid w:val="001C794F"/>
    <w:rsid w:val="001C7A37"/>
    <w:rsid w:val="001C7C27"/>
    <w:rsid w:val="001C7D16"/>
    <w:rsid w:val="001C7D91"/>
    <w:rsid w:val="001D0004"/>
    <w:rsid w:val="001D006E"/>
    <w:rsid w:val="001D006F"/>
    <w:rsid w:val="001D017D"/>
    <w:rsid w:val="001D03EF"/>
    <w:rsid w:val="001D04BE"/>
    <w:rsid w:val="001D05D6"/>
    <w:rsid w:val="001D062A"/>
    <w:rsid w:val="001D0AB7"/>
    <w:rsid w:val="001D0C3C"/>
    <w:rsid w:val="001D0FC6"/>
    <w:rsid w:val="001D0FCA"/>
    <w:rsid w:val="001D11C3"/>
    <w:rsid w:val="001D1358"/>
    <w:rsid w:val="001D1407"/>
    <w:rsid w:val="001D142F"/>
    <w:rsid w:val="001D159C"/>
    <w:rsid w:val="001D1602"/>
    <w:rsid w:val="001D1814"/>
    <w:rsid w:val="001D1ABA"/>
    <w:rsid w:val="001D1AE9"/>
    <w:rsid w:val="001D1B45"/>
    <w:rsid w:val="001D208B"/>
    <w:rsid w:val="001D22AA"/>
    <w:rsid w:val="001D268E"/>
    <w:rsid w:val="001D2756"/>
    <w:rsid w:val="001D281D"/>
    <w:rsid w:val="001D28CE"/>
    <w:rsid w:val="001D29E9"/>
    <w:rsid w:val="001D2FE3"/>
    <w:rsid w:val="001D3057"/>
    <w:rsid w:val="001D31E5"/>
    <w:rsid w:val="001D3283"/>
    <w:rsid w:val="001D32B6"/>
    <w:rsid w:val="001D332D"/>
    <w:rsid w:val="001D3452"/>
    <w:rsid w:val="001D3460"/>
    <w:rsid w:val="001D35A0"/>
    <w:rsid w:val="001D36B9"/>
    <w:rsid w:val="001D3729"/>
    <w:rsid w:val="001D38BD"/>
    <w:rsid w:val="001D3C94"/>
    <w:rsid w:val="001D4090"/>
    <w:rsid w:val="001D43E6"/>
    <w:rsid w:val="001D46AE"/>
    <w:rsid w:val="001D477B"/>
    <w:rsid w:val="001D4842"/>
    <w:rsid w:val="001D485D"/>
    <w:rsid w:val="001D4D2D"/>
    <w:rsid w:val="001D4EAC"/>
    <w:rsid w:val="001D5048"/>
    <w:rsid w:val="001D5241"/>
    <w:rsid w:val="001D561A"/>
    <w:rsid w:val="001D59CE"/>
    <w:rsid w:val="001D5F5C"/>
    <w:rsid w:val="001D60D2"/>
    <w:rsid w:val="001D6197"/>
    <w:rsid w:val="001D6874"/>
    <w:rsid w:val="001D687B"/>
    <w:rsid w:val="001D695A"/>
    <w:rsid w:val="001D6D62"/>
    <w:rsid w:val="001D6EBD"/>
    <w:rsid w:val="001D7269"/>
    <w:rsid w:val="001D7365"/>
    <w:rsid w:val="001D73F1"/>
    <w:rsid w:val="001D73F7"/>
    <w:rsid w:val="001D7518"/>
    <w:rsid w:val="001D77E4"/>
    <w:rsid w:val="001D77EF"/>
    <w:rsid w:val="001D7D85"/>
    <w:rsid w:val="001D7DC1"/>
    <w:rsid w:val="001E016A"/>
    <w:rsid w:val="001E0586"/>
    <w:rsid w:val="001E0661"/>
    <w:rsid w:val="001E071E"/>
    <w:rsid w:val="001E07AA"/>
    <w:rsid w:val="001E08D6"/>
    <w:rsid w:val="001E0B0C"/>
    <w:rsid w:val="001E0E39"/>
    <w:rsid w:val="001E0FB3"/>
    <w:rsid w:val="001E1011"/>
    <w:rsid w:val="001E11FE"/>
    <w:rsid w:val="001E161A"/>
    <w:rsid w:val="001E1621"/>
    <w:rsid w:val="001E17E7"/>
    <w:rsid w:val="001E190E"/>
    <w:rsid w:val="001E1BC0"/>
    <w:rsid w:val="001E1BFF"/>
    <w:rsid w:val="001E1E97"/>
    <w:rsid w:val="001E1FC6"/>
    <w:rsid w:val="001E20A7"/>
    <w:rsid w:val="001E21C4"/>
    <w:rsid w:val="001E2280"/>
    <w:rsid w:val="001E22BF"/>
    <w:rsid w:val="001E23A9"/>
    <w:rsid w:val="001E2486"/>
    <w:rsid w:val="001E2587"/>
    <w:rsid w:val="001E2813"/>
    <w:rsid w:val="001E2E31"/>
    <w:rsid w:val="001E2E35"/>
    <w:rsid w:val="001E30EB"/>
    <w:rsid w:val="001E3374"/>
    <w:rsid w:val="001E37CA"/>
    <w:rsid w:val="001E399F"/>
    <w:rsid w:val="001E39B4"/>
    <w:rsid w:val="001E3BD4"/>
    <w:rsid w:val="001E3F0A"/>
    <w:rsid w:val="001E3FBE"/>
    <w:rsid w:val="001E4190"/>
    <w:rsid w:val="001E45AA"/>
    <w:rsid w:val="001E48CA"/>
    <w:rsid w:val="001E4951"/>
    <w:rsid w:val="001E49E7"/>
    <w:rsid w:val="001E4BBB"/>
    <w:rsid w:val="001E4BC5"/>
    <w:rsid w:val="001E4BD8"/>
    <w:rsid w:val="001E4DB5"/>
    <w:rsid w:val="001E5740"/>
    <w:rsid w:val="001E587E"/>
    <w:rsid w:val="001E59D8"/>
    <w:rsid w:val="001E5A10"/>
    <w:rsid w:val="001E5D32"/>
    <w:rsid w:val="001E5D9A"/>
    <w:rsid w:val="001E5F8A"/>
    <w:rsid w:val="001E5FBD"/>
    <w:rsid w:val="001E601E"/>
    <w:rsid w:val="001E6254"/>
    <w:rsid w:val="001E638B"/>
    <w:rsid w:val="001E64C5"/>
    <w:rsid w:val="001E64DE"/>
    <w:rsid w:val="001E68B9"/>
    <w:rsid w:val="001E69F3"/>
    <w:rsid w:val="001E6CF4"/>
    <w:rsid w:val="001E6CF5"/>
    <w:rsid w:val="001E6D05"/>
    <w:rsid w:val="001E6DBE"/>
    <w:rsid w:val="001E6E5E"/>
    <w:rsid w:val="001E6F7A"/>
    <w:rsid w:val="001E71E2"/>
    <w:rsid w:val="001E7499"/>
    <w:rsid w:val="001E75D6"/>
    <w:rsid w:val="001E76C1"/>
    <w:rsid w:val="001E7766"/>
    <w:rsid w:val="001E7767"/>
    <w:rsid w:val="001E7788"/>
    <w:rsid w:val="001E77D4"/>
    <w:rsid w:val="001E7822"/>
    <w:rsid w:val="001E7C6D"/>
    <w:rsid w:val="001E7D72"/>
    <w:rsid w:val="001E7F4A"/>
    <w:rsid w:val="001E7F9E"/>
    <w:rsid w:val="001F0533"/>
    <w:rsid w:val="001F0769"/>
    <w:rsid w:val="001F08B8"/>
    <w:rsid w:val="001F08CE"/>
    <w:rsid w:val="001F0A7C"/>
    <w:rsid w:val="001F0CA4"/>
    <w:rsid w:val="001F0D12"/>
    <w:rsid w:val="001F0FCA"/>
    <w:rsid w:val="001F123A"/>
    <w:rsid w:val="001F145E"/>
    <w:rsid w:val="001F1555"/>
    <w:rsid w:val="001F1E0F"/>
    <w:rsid w:val="001F1E6D"/>
    <w:rsid w:val="001F1EFC"/>
    <w:rsid w:val="001F201E"/>
    <w:rsid w:val="001F2BA7"/>
    <w:rsid w:val="001F2BB8"/>
    <w:rsid w:val="001F2E28"/>
    <w:rsid w:val="001F35C8"/>
    <w:rsid w:val="001F3934"/>
    <w:rsid w:val="001F3987"/>
    <w:rsid w:val="001F3ABE"/>
    <w:rsid w:val="001F3C0D"/>
    <w:rsid w:val="001F3D71"/>
    <w:rsid w:val="001F3E85"/>
    <w:rsid w:val="001F40D2"/>
    <w:rsid w:val="001F4164"/>
    <w:rsid w:val="001F4170"/>
    <w:rsid w:val="001F41D6"/>
    <w:rsid w:val="001F4271"/>
    <w:rsid w:val="001F477D"/>
    <w:rsid w:val="001F492A"/>
    <w:rsid w:val="001F4AC2"/>
    <w:rsid w:val="001F4AF0"/>
    <w:rsid w:val="001F4EE2"/>
    <w:rsid w:val="001F4F59"/>
    <w:rsid w:val="001F4F97"/>
    <w:rsid w:val="001F508A"/>
    <w:rsid w:val="001F51DB"/>
    <w:rsid w:val="001F51F7"/>
    <w:rsid w:val="001F5323"/>
    <w:rsid w:val="001F53B7"/>
    <w:rsid w:val="001F565E"/>
    <w:rsid w:val="001F5902"/>
    <w:rsid w:val="001F5D8A"/>
    <w:rsid w:val="001F5D95"/>
    <w:rsid w:val="001F6116"/>
    <w:rsid w:val="001F6143"/>
    <w:rsid w:val="001F61B2"/>
    <w:rsid w:val="001F622F"/>
    <w:rsid w:val="001F62BB"/>
    <w:rsid w:val="001F632D"/>
    <w:rsid w:val="001F639D"/>
    <w:rsid w:val="001F63F3"/>
    <w:rsid w:val="001F64E7"/>
    <w:rsid w:val="001F660C"/>
    <w:rsid w:val="001F681B"/>
    <w:rsid w:val="001F6829"/>
    <w:rsid w:val="001F6A00"/>
    <w:rsid w:val="001F6BED"/>
    <w:rsid w:val="001F6C2A"/>
    <w:rsid w:val="001F6CA0"/>
    <w:rsid w:val="001F6F4D"/>
    <w:rsid w:val="001F7050"/>
    <w:rsid w:val="001F7140"/>
    <w:rsid w:val="001F7186"/>
    <w:rsid w:val="001F7569"/>
    <w:rsid w:val="001F7687"/>
    <w:rsid w:val="001F7B26"/>
    <w:rsid w:val="001F7B66"/>
    <w:rsid w:val="001F7B8A"/>
    <w:rsid w:val="001F7BD3"/>
    <w:rsid w:val="001F7EFC"/>
    <w:rsid w:val="002002A8"/>
    <w:rsid w:val="00200527"/>
    <w:rsid w:val="0020064A"/>
    <w:rsid w:val="0020066E"/>
    <w:rsid w:val="00200A8A"/>
    <w:rsid w:val="00200CC6"/>
    <w:rsid w:val="00200F36"/>
    <w:rsid w:val="00201189"/>
    <w:rsid w:val="002011D7"/>
    <w:rsid w:val="002012E6"/>
    <w:rsid w:val="002012FE"/>
    <w:rsid w:val="002017A2"/>
    <w:rsid w:val="00201B32"/>
    <w:rsid w:val="00201B47"/>
    <w:rsid w:val="00201D85"/>
    <w:rsid w:val="00201E07"/>
    <w:rsid w:val="00201EAC"/>
    <w:rsid w:val="002021D7"/>
    <w:rsid w:val="00202286"/>
    <w:rsid w:val="002023D5"/>
    <w:rsid w:val="00202651"/>
    <w:rsid w:val="00202731"/>
    <w:rsid w:val="0020282E"/>
    <w:rsid w:val="00202932"/>
    <w:rsid w:val="00202A6A"/>
    <w:rsid w:val="00202B5D"/>
    <w:rsid w:val="00202DD0"/>
    <w:rsid w:val="00202EBF"/>
    <w:rsid w:val="00202F38"/>
    <w:rsid w:val="002036C8"/>
    <w:rsid w:val="002038E2"/>
    <w:rsid w:val="002039C8"/>
    <w:rsid w:val="00203A39"/>
    <w:rsid w:val="00203A41"/>
    <w:rsid w:val="00203AE0"/>
    <w:rsid w:val="00203C88"/>
    <w:rsid w:val="00203D91"/>
    <w:rsid w:val="00204235"/>
    <w:rsid w:val="002042CE"/>
    <w:rsid w:val="002042FD"/>
    <w:rsid w:val="00204306"/>
    <w:rsid w:val="002043D9"/>
    <w:rsid w:val="00204451"/>
    <w:rsid w:val="002044BC"/>
    <w:rsid w:val="002046A8"/>
    <w:rsid w:val="002046DB"/>
    <w:rsid w:val="00204770"/>
    <w:rsid w:val="00204F9E"/>
    <w:rsid w:val="00205019"/>
    <w:rsid w:val="00205429"/>
    <w:rsid w:val="0020542B"/>
    <w:rsid w:val="00205489"/>
    <w:rsid w:val="0020554E"/>
    <w:rsid w:val="0020578A"/>
    <w:rsid w:val="00205792"/>
    <w:rsid w:val="002058BE"/>
    <w:rsid w:val="00205A1A"/>
    <w:rsid w:val="00205A48"/>
    <w:rsid w:val="00205B03"/>
    <w:rsid w:val="00205B2F"/>
    <w:rsid w:val="00205D02"/>
    <w:rsid w:val="00205E90"/>
    <w:rsid w:val="00206017"/>
    <w:rsid w:val="00206033"/>
    <w:rsid w:val="00206294"/>
    <w:rsid w:val="00206401"/>
    <w:rsid w:val="002064A2"/>
    <w:rsid w:val="00206502"/>
    <w:rsid w:val="00206785"/>
    <w:rsid w:val="00206942"/>
    <w:rsid w:val="00206DF1"/>
    <w:rsid w:val="00206E8F"/>
    <w:rsid w:val="00206FD0"/>
    <w:rsid w:val="002070C5"/>
    <w:rsid w:val="002070F4"/>
    <w:rsid w:val="002072CF"/>
    <w:rsid w:val="00207428"/>
    <w:rsid w:val="002077C5"/>
    <w:rsid w:val="002077FB"/>
    <w:rsid w:val="002078BB"/>
    <w:rsid w:val="00207BE3"/>
    <w:rsid w:val="00207BEB"/>
    <w:rsid w:val="00207F4D"/>
    <w:rsid w:val="00207FA9"/>
    <w:rsid w:val="002100E1"/>
    <w:rsid w:val="00210261"/>
    <w:rsid w:val="002105AC"/>
    <w:rsid w:val="00210AC7"/>
    <w:rsid w:val="00210AD5"/>
    <w:rsid w:val="0021100F"/>
    <w:rsid w:val="00211118"/>
    <w:rsid w:val="00211326"/>
    <w:rsid w:val="002113AC"/>
    <w:rsid w:val="0021152B"/>
    <w:rsid w:val="00211611"/>
    <w:rsid w:val="0021170E"/>
    <w:rsid w:val="0021187C"/>
    <w:rsid w:val="002118E7"/>
    <w:rsid w:val="00211A56"/>
    <w:rsid w:val="00211B16"/>
    <w:rsid w:val="00211B18"/>
    <w:rsid w:val="00211D63"/>
    <w:rsid w:val="00211D69"/>
    <w:rsid w:val="002123E4"/>
    <w:rsid w:val="00212594"/>
    <w:rsid w:val="002127A5"/>
    <w:rsid w:val="00212A73"/>
    <w:rsid w:val="00212D4C"/>
    <w:rsid w:val="00212D95"/>
    <w:rsid w:val="00212D9F"/>
    <w:rsid w:val="00212DC8"/>
    <w:rsid w:val="00212E7F"/>
    <w:rsid w:val="00212EA3"/>
    <w:rsid w:val="00213114"/>
    <w:rsid w:val="002133CA"/>
    <w:rsid w:val="00213582"/>
    <w:rsid w:val="00213597"/>
    <w:rsid w:val="002135D4"/>
    <w:rsid w:val="00213820"/>
    <w:rsid w:val="00213A80"/>
    <w:rsid w:val="00213A9F"/>
    <w:rsid w:val="00213B97"/>
    <w:rsid w:val="00213C36"/>
    <w:rsid w:val="00213C58"/>
    <w:rsid w:val="00213DE2"/>
    <w:rsid w:val="00213E76"/>
    <w:rsid w:val="00213F75"/>
    <w:rsid w:val="0021412B"/>
    <w:rsid w:val="0021415A"/>
    <w:rsid w:val="002145AE"/>
    <w:rsid w:val="0021497C"/>
    <w:rsid w:val="00214EB9"/>
    <w:rsid w:val="00214F76"/>
    <w:rsid w:val="00215070"/>
    <w:rsid w:val="002151B6"/>
    <w:rsid w:val="002152CC"/>
    <w:rsid w:val="002153D3"/>
    <w:rsid w:val="002153DC"/>
    <w:rsid w:val="002153F4"/>
    <w:rsid w:val="002154D8"/>
    <w:rsid w:val="00215A11"/>
    <w:rsid w:val="00215A8D"/>
    <w:rsid w:val="00215ACF"/>
    <w:rsid w:val="00215B0D"/>
    <w:rsid w:val="00215B3A"/>
    <w:rsid w:val="00215DB0"/>
    <w:rsid w:val="00215F69"/>
    <w:rsid w:val="002164F7"/>
    <w:rsid w:val="002165C0"/>
    <w:rsid w:val="002167D4"/>
    <w:rsid w:val="002168AF"/>
    <w:rsid w:val="00216984"/>
    <w:rsid w:val="00216BA9"/>
    <w:rsid w:val="002171F8"/>
    <w:rsid w:val="00217241"/>
    <w:rsid w:val="002173D5"/>
    <w:rsid w:val="002173DF"/>
    <w:rsid w:val="00217675"/>
    <w:rsid w:val="00217912"/>
    <w:rsid w:val="00217B08"/>
    <w:rsid w:val="00217BF8"/>
    <w:rsid w:val="00217D18"/>
    <w:rsid w:val="002200C2"/>
    <w:rsid w:val="0022017C"/>
    <w:rsid w:val="002201EA"/>
    <w:rsid w:val="002205CD"/>
    <w:rsid w:val="00220809"/>
    <w:rsid w:val="00220C76"/>
    <w:rsid w:val="00220DFC"/>
    <w:rsid w:val="00220ECC"/>
    <w:rsid w:val="0022111D"/>
    <w:rsid w:val="002213F3"/>
    <w:rsid w:val="0022157E"/>
    <w:rsid w:val="00221860"/>
    <w:rsid w:val="002218FA"/>
    <w:rsid w:val="00221941"/>
    <w:rsid w:val="00221BEC"/>
    <w:rsid w:val="00221C69"/>
    <w:rsid w:val="00221F4B"/>
    <w:rsid w:val="00221F75"/>
    <w:rsid w:val="00221FD4"/>
    <w:rsid w:val="00222063"/>
    <w:rsid w:val="00222220"/>
    <w:rsid w:val="002223F1"/>
    <w:rsid w:val="002225B8"/>
    <w:rsid w:val="002227E4"/>
    <w:rsid w:val="00222ABE"/>
    <w:rsid w:val="00222EC6"/>
    <w:rsid w:val="0022303B"/>
    <w:rsid w:val="00223429"/>
    <w:rsid w:val="00223B32"/>
    <w:rsid w:val="00223D1A"/>
    <w:rsid w:val="00223D38"/>
    <w:rsid w:val="00224049"/>
    <w:rsid w:val="00224361"/>
    <w:rsid w:val="0022462F"/>
    <w:rsid w:val="00224639"/>
    <w:rsid w:val="00224924"/>
    <w:rsid w:val="00224BEF"/>
    <w:rsid w:val="00224E41"/>
    <w:rsid w:val="00224EB4"/>
    <w:rsid w:val="00225109"/>
    <w:rsid w:val="002253A1"/>
    <w:rsid w:val="002253CB"/>
    <w:rsid w:val="002253DF"/>
    <w:rsid w:val="002256B5"/>
    <w:rsid w:val="002257A7"/>
    <w:rsid w:val="00225A38"/>
    <w:rsid w:val="00225D0E"/>
    <w:rsid w:val="00225FBB"/>
    <w:rsid w:val="0022602F"/>
    <w:rsid w:val="0022605D"/>
    <w:rsid w:val="00226250"/>
    <w:rsid w:val="002262D4"/>
    <w:rsid w:val="0022651E"/>
    <w:rsid w:val="00226718"/>
    <w:rsid w:val="00226747"/>
    <w:rsid w:val="002267D4"/>
    <w:rsid w:val="002268CF"/>
    <w:rsid w:val="0022694B"/>
    <w:rsid w:val="00226987"/>
    <w:rsid w:val="002269E0"/>
    <w:rsid w:val="00226CB5"/>
    <w:rsid w:val="00226EBF"/>
    <w:rsid w:val="0022702E"/>
    <w:rsid w:val="00227129"/>
    <w:rsid w:val="0022716D"/>
    <w:rsid w:val="00227175"/>
    <w:rsid w:val="0022737A"/>
    <w:rsid w:val="002274AC"/>
    <w:rsid w:val="0022779E"/>
    <w:rsid w:val="002278F3"/>
    <w:rsid w:val="00227AE6"/>
    <w:rsid w:val="00227D9F"/>
    <w:rsid w:val="00227E41"/>
    <w:rsid w:val="00227E4E"/>
    <w:rsid w:val="00227E7E"/>
    <w:rsid w:val="00227F3F"/>
    <w:rsid w:val="0023004C"/>
    <w:rsid w:val="0023008F"/>
    <w:rsid w:val="00230157"/>
    <w:rsid w:val="0023019D"/>
    <w:rsid w:val="00230374"/>
    <w:rsid w:val="0023041E"/>
    <w:rsid w:val="002306B6"/>
    <w:rsid w:val="0023073B"/>
    <w:rsid w:val="002308D1"/>
    <w:rsid w:val="002309FE"/>
    <w:rsid w:val="00230E81"/>
    <w:rsid w:val="0023162F"/>
    <w:rsid w:val="002317B4"/>
    <w:rsid w:val="002319C1"/>
    <w:rsid w:val="002319D0"/>
    <w:rsid w:val="00232624"/>
    <w:rsid w:val="00232C7D"/>
    <w:rsid w:val="00232E21"/>
    <w:rsid w:val="00232F3F"/>
    <w:rsid w:val="002331B0"/>
    <w:rsid w:val="002331C1"/>
    <w:rsid w:val="002332F4"/>
    <w:rsid w:val="00233408"/>
    <w:rsid w:val="0023354C"/>
    <w:rsid w:val="002336C0"/>
    <w:rsid w:val="00233708"/>
    <w:rsid w:val="00233A3F"/>
    <w:rsid w:val="00233B72"/>
    <w:rsid w:val="00233D39"/>
    <w:rsid w:val="00233FB1"/>
    <w:rsid w:val="00234131"/>
    <w:rsid w:val="0023429A"/>
    <w:rsid w:val="00234318"/>
    <w:rsid w:val="00234526"/>
    <w:rsid w:val="00234792"/>
    <w:rsid w:val="00234A14"/>
    <w:rsid w:val="00234C96"/>
    <w:rsid w:val="00234CB1"/>
    <w:rsid w:val="00234FA1"/>
    <w:rsid w:val="002352C9"/>
    <w:rsid w:val="00235490"/>
    <w:rsid w:val="00235558"/>
    <w:rsid w:val="002358E1"/>
    <w:rsid w:val="00235945"/>
    <w:rsid w:val="00235E49"/>
    <w:rsid w:val="00235E7E"/>
    <w:rsid w:val="00236578"/>
    <w:rsid w:val="002365C7"/>
    <w:rsid w:val="002369F5"/>
    <w:rsid w:val="00236AA7"/>
    <w:rsid w:val="00236F2A"/>
    <w:rsid w:val="002370DC"/>
    <w:rsid w:val="002370F0"/>
    <w:rsid w:val="00237170"/>
    <w:rsid w:val="00237198"/>
    <w:rsid w:val="00237277"/>
    <w:rsid w:val="002374E6"/>
    <w:rsid w:val="0023761F"/>
    <w:rsid w:val="002378F5"/>
    <w:rsid w:val="002379E0"/>
    <w:rsid w:val="00237D67"/>
    <w:rsid w:val="0024016E"/>
    <w:rsid w:val="002402AF"/>
    <w:rsid w:val="002402E2"/>
    <w:rsid w:val="00240312"/>
    <w:rsid w:val="00240347"/>
    <w:rsid w:val="002403C7"/>
    <w:rsid w:val="002409EF"/>
    <w:rsid w:val="00240A9C"/>
    <w:rsid w:val="00240AE3"/>
    <w:rsid w:val="00240B74"/>
    <w:rsid w:val="00240D78"/>
    <w:rsid w:val="00240DC9"/>
    <w:rsid w:val="00240DCF"/>
    <w:rsid w:val="00240E7F"/>
    <w:rsid w:val="00241081"/>
    <w:rsid w:val="00241138"/>
    <w:rsid w:val="00241285"/>
    <w:rsid w:val="0024136F"/>
    <w:rsid w:val="00241752"/>
    <w:rsid w:val="002417E0"/>
    <w:rsid w:val="00241949"/>
    <w:rsid w:val="00241D30"/>
    <w:rsid w:val="00242175"/>
    <w:rsid w:val="0024236A"/>
    <w:rsid w:val="00242429"/>
    <w:rsid w:val="0024249D"/>
    <w:rsid w:val="00242671"/>
    <w:rsid w:val="0024294D"/>
    <w:rsid w:val="00242F22"/>
    <w:rsid w:val="002433E0"/>
    <w:rsid w:val="002433E1"/>
    <w:rsid w:val="002433F8"/>
    <w:rsid w:val="00243650"/>
    <w:rsid w:val="00243670"/>
    <w:rsid w:val="00243885"/>
    <w:rsid w:val="00243988"/>
    <w:rsid w:val="00243C33"/>
    <w:rsid w:val="00243CA1"/>
    <w:rsid w:val="00243EF1"/>
    <w:rsid w:val="002440BD"/>
    <w:rsid w:val="00244129"/>
    <w:rsid w:val="00244349"/>
    <w:rsid w:val="00244743"/>
    <w:rsid w:val="00244C27"/>
    <w:rsid w:val="00244D5F"/>
    <w:rsid w:val="00244F3B"/>
    <w:rsid w:val="002452DB"/>
    <w:rsid w:val="00245673"/>
    <w:rsid w:val="002457D8"/>
    <w:rsid w:val="002458CF"/>
    <w:rsid w:val="00245C12"/>
    <w:rsid w:val="0024608E"/>
    <w:rsid w:val="0024621D"/>
    <w:rsid w:val="0024631C"/>
    <w:rsid w:val="00246743"/>
    <w:rsid w:val="00246A16"/>
    <w:rsid w:val="00246AA3"/>
    <w:rsid w:val="00247025"/>
    <w:rsid w:val="002470D0"/>
    <w:rsid w:val="0024712E"/>
    <w:rsid w:val="0024726B"/>
    <w:rsid w:val="002472CD"/>
    <w:rsid w:val="002472F7"/>
    <w:rsid w:val="0024734D"/>
    <w:rsid w:val="00247393"/>
    <w:rsid w:val="002475DB"/>
    <w:rsid w:val="00247674"/>
    <w:rsid w:val="00247936"/>
    <w:rsid w:val="002479BF"/>
    <w:rsid w:val="00247A43"/>
    <w:rsid w:val="00247AC2"/>
    <w:rsid w:val="00247C73"/>
    <w:rsid w:val="00247EA1"/>
    <w:rsid w:val="002501D3"/>
    <w:rsid w:val="002502EF"/>
    <w:rsid w:val="00250493"/>
    <w:rsid w:val="0025070F"/>
    <w:rsid w:val="002508DC"/>
    <w:rsid w:val="0025095A"/>
    <w:rsid w:val="00250C17"/>
    <w:rsid w:val="0025101C"/>
    <w:rsid w:val="002510F2"/>
    <w:rsid w:val="00251178"/>
    <w:rsid w:val="00251323"/>
    <w:rsid w:val="0025133B"/>
    <w:rsid w:val="00251656"/>
    <w:rsid w:val="00251981"/>
    <w:rsid w:val="00251A8B"/>
    <w:rsid w:val="00251C68"/>
    <w:rsid w:val="00251D4B"/>
    <w:rsid w:val="00251E65"/>
    <w:rsid w:val="00251F20"/>
    <w:rsid w:val="002523A0"/>
    <w:rsid w:val="00252441"/>
    <w:rsid w:val="0025248A"/>
    <w:rsid w:val="00252662"/>
    <w:rsid w:val="00252869"/>
    <w:rsid w:val="0025299D"/>
    <w:rsid w:val="00252A3B"/>
    <w:rsid w:val="00252A79"/>
    <w:rsid w:val="0025333E"/>
    <w:rsid w:val="002533DD"/>
    <w:rsid w:val="002537E8"/>
    <w:rsid w:val="00253AB2"/>
    <w:rsid w:val="00253B20"/>
    <w:rsid w:val="00253C25"/>
    <w:rsid w:val="00253E36"/>
    <w:rsid w:val="00253E62"/>
    <w:rsid w:val="00253F0F"/>
    <w:rsid w:val="00253F1F"/>
    <w:rsid w:val="002540E1"/>
    <w:rsid w:val="002541A1"/>
    <w:rsid w:val="00254251"/>
    <w:rsid w:val="0025427C"/>
    <w:rsid w:val="0025445A"/>
    <w:rsid w:val="00254496"/>
    <w:rsid w:val="00254745"/>
    <w:rsid w:val="00254869"/>
    <w:rsid w:val="002549C8"/>
    <w:rsid w:val="00254DFC"/>
    <w:rsid w:val="00254E23"/>
    <w:rsid w:val="00254E27"/>
    <w:rsid w:val="00254E35"/>
    <w:rsid w:val="00254F42"/>
    <w:rsid w:val="00254F54"/>
    <w:rsid w:val="002552E2"/>
    <w:rsid w:val="002553AA"/>
    <w:rsid w:val="002555C5"/>
    <w:rsid w:val="00255891"/>
    <w:rsid w:val="00255A93"/>
    <w:rsid w:val="00255AFE"/>
    <w:rsid w:val="00255C87"/>
    <w:rsid w:val="00255E0E"/>
    <w:rsid w:val="00255F55"/>
    <w:rsid w:val="00255FDE"/>
    <w:rsid w:val="0025613D"/>
    <w:rsid w:val="00256323"/>
    <w:rsid w:val="00256735"/>
    <w:rsid w:val="00256A90"/>
    <w:rsid w:val="00256E7B"/>
    <w:rsid w:val="00256F46"/>
    <w:rsid w:val="00256F96"/>
    <w:rsid w:val="002571FF"/>
    <w:rsid w:val="002572A6"/>
    <w:rsid w:val="002573F4"/>
    <w:rsid w:val="00257617"/>
    <w:rsid w:val="00257688"/>
    <w:rsid w:val="002578B3"/>
    <w:rsid w:val="00257938"/>
    <w:rsid w:val="00257C51"/>
    <w:rsid w:val="00257DD6"/>
    <w:rsid w:val="00257E68"/>
    <w:rsid w:val="00260473"/>
    <w:rsid w:val="002605D5"/>
    <w:rsid w:val="00260A0E"/>
    <w:rsid w:val="00260C57"/>
    <w:rsid w:val="00260EA4"/>
    <w:rsid w:val="002611CC"/>
    <w:rsid w:val="00261228"/>
    <w:rsid w:val="002614BB"/>
    <w:rsid w:val="0026175C"/>
    <w:rsid w:val="0026183D"/>
    <w:rsid w:val="00261A94"/>
    <w:rsid w:val="00261B6C"/>
    <w:rsid w:val="00261BC9"/>
    <w:rsid w:val="00261C8A"/>
    <w:rsid w:val="00261D40"/>
    <w:rsid w:val="002620D5"/>
    <w:rsid w:val="002622DE"/>
    <w:rsid w:val="00262877"/>
    <w:rsid w:val="00262BF2"/>
    <w:rsid w:val="00262C1B"/>
    <w:rsid w:val="00262DF3"/>
    <w:rsid w:val="00263168"/>
    <w:rsid w:val="0026328C"/>
    <w:rsid w:val="0026328D"/>
    <w:rsid w:val="00263647"/>
    <w:rsid w:val="002639FA"/>
    <w:rsid w:val="00263AA7"/>
    <w:rsid w:val="00263B3F"/>
    <w:rsid w:val="00263C11"/>
    <w:rsid w:val="00263C54"/>
    <w:rsid w:val="00263D8F"/>
    <w:rsid w:val="00263F8A"/>
    <w:rsid w:val="002643C9"/>
    <w:rsid w:val="00264433"/>
    <w:rsid w:val="00264490"/>
    <w:rsid w:val="002644EB"/>
    <w:rsid w:val="00264795"/>
    <w:rsid w:val="0026494C"/>
    <w:rsid w:val="00264A22"/>
    <w:rsid w:val="00264A3B"/>
    <w:rsid w:val="00264D53"/>
    <w:rsid w:val="00264ED3"/>
    <w:rsid w:val="00264F48"/>
    <w:rsid w:val="00264F96"/>
    <w:rsid w:val="00264FF6"/>
    <w:rsid w:val="00265198"/>
    <w:rsid w:val="0026521B"/>
    <w:rsid w:val="0026528E"/>
    <w:rsid w:val="00265412"/>
    <w:rsid w:val="00265545"/>
    <w:rsid w:val="0026571E"/>
    <w:rsid w:val="00265814"/>
    <w:rsid w:val="00265F5C"/>
    <w:rsid w:val="002660A9"/>
    <w:rsid w:val="0026611C"/>
    <w:rsid w:val="002662D7"/>
    <w:rsid w:val="00266502"/>
    <w:rsid w:val="00266643"/>
    <w:rsid w:val="0026693D"/>
    <w:rsid w:val="00266A9F"/>
    <w:rsid w:val="00266B2F"/>
    <w:rsid w:val="00266C59"/>
    <w:rsid w:val="00266E9A"/>
    <w:rsid w:val="00267205"/>
    <w:rsid w:val="00267428"/>
    <w:rsid w:val="00267524"/>
    <w:rsid w:val="002675DF"/>
    <w:rsid w:val="002677A1"/>
    <w:rsid w:val="00267882"/>
    <w:rsid w:val="00267A02"/>
    <w:rsid w:val="00267CA4"/>
    <w:rsid w:val="00267DF9"/>
    <w:rsid w:val="00267FF0"/>
    <w:rsid w:val="00270010"/>
    <w:rsid w:val="002700AF"/>
    <w:rsid w:val="0027035A"/>
    <w:rsid w:val="00270988"/>
    <w:rsid w:val="00270AFA"/>
    <w:rsid w:val="00270C32"/>
    <w:rsid w:val="002711BB"/>
    <w:rsid w:val="0027138D"/>
    <w:rsid w:val="002714B7"/>
    <w:rsid w:val="002715E6"/>
    <w:rsid w:val="0027186B"/>
    <w:rsid w:val="002718B3"/>
    <w:rsid w:val="00271A45"/>
    <w:rsid w:val="00271C9F"/>
    <w:rsid w:val="00271E9B"/>
    <w:rsid w:val="0027200C"/>
    <w:rsid w:val="002720AD"/>
    <w:rsid w:val="002720B3"/>
    <w:rsid w:val="0027227A"/>
    <w:rsid w:val="00272297"/>
    <w:rsid w:val="00272317"/>
    <w:rsid w:val="00272599"/>
    <w:rsid w:val="00272A49"/>
    <w:rsid w:val="00272C15"/>
    <w:rsid w:val="00272FE9"/>
    <w:rsid w:val="00273023"/>
    <w:rsid w:val="002730E3"/>
    <w:rsid w:val="00273151"/>
    <w:rsid w:val="002732A1"/>
    <w:rsid w:val="0027331B"/>
    <w:rsid w:val="0027333C"/>
    <w:rsid w:val="0027337B"/>
    <w:rsid w:val="00273541"/>
    <w:rsid w:val="002736DF"/>
    <w:rsid w:val="002737CF"/>
    <w:rsid w:val="00273BE5"/>
    <w:rsid w:val="002741B3"/>
    <w:rsid w:val="00274566"/>
    <w:rsid w:val="002745E3"/>
    <w:rsid w:val="00274DF8"/>
    <w:rsid w:val="00274FD1"/>
    <w:rsid w:val="00274FD9"/>
    <w:rsid w:val="0027525A"/>
    <w:rsid w:val="002754B5"/>
    <w:rsid w:val="002758D2"/>
    <w:rsid w:val="00275981"/>
    <w:rsid w:val="00275B5A"/>
    <w:rsid w:val="00275C3F"/>
    <w:rsid w:val="00275D18"/>
    <w:rsid w:val="00275E3B"/>
    <w:rsid w:val="00275E9A"/>
    <w:rsid w:val="002760FB"/>
    <w:rsid w:val="002761E1"/>
    <w:rsid w:val="002763EF"/>
    <w:rsid w:val="002766C4"/>
    <w:rsid w:val="0027683D"/>
    <w:rsid w:val="00276F46"/>
    <w:rsid w:val="002770AB"/>
    <w:rsid w:val="002771D1"/>
    <w:rsid w:val="0027730D"/>
    <w:rsid w:val="0027758C"/>
    <w:rsid w:val="002776C9"/>
    <w:rsid w:val="0027778C"/>
    <w:rsid w:val="002777B2"/>
    <w:rsid w:val="00277B24"/>
    <w:rsid w:val="00277CB5"/>
    <w:rsid w:val="00277CED"/>
    <w:rsid w:val="00277D36"/>
    <w:rsid w:val="00277DFA"/>
    <w:rsid w:val="00277F07"/>
    <w:rsid w:val="0028022E"/>
    <w:rsid w:val="002805A0"/>
    <w:rsid w:val="002807E5"/>
    <w:rsid w:val="00280A49"/>
    <w:rsid w:val="00280A6C"/>
    <w:rsid w:val="00280D91"/>
    <w:rsid w:val="00280F6B"/>
    <w:rsid w:val="00281066"/>
    <w:rsid w:val="00281207"/>
    <w:rsid w:val="0028126B"/>
    <w:rsid w:val="0028129F"/>
    <w:rsid w:val="00281398"/>
    <w:rsid w:val="00281C46"/>
    <w:rsid w:val="00281D0B"/>
    <w:rsid w:val="00281D36"/>
    <w:rsid w:val="00282085"/>
    <w:rsid w:val="002821DA"/>
    <w:rsid w:val="00282294"/>
    <w:rsid w:val="00282525"/>
    <w:rsid w:val="002825B4"/>
    <w:rsid w:val="002825E3"/>
    <w:rsid w:val="00282831"/>
    <w:rsid w:val="00282A67"/>
    <w:rsid w:val="00282C57"/>
    <w:rsid w:val="00282DAD"/>
    <w:rsid w:val="00282DC6"/>
    <w:rsid w:val="00282DEB"/>
    <w:rsid w:val="00282F73"/>
    <w:rsid w:val="00283142"/>
    <w:rsid w:val="0028314F"/>
    <w:rsid w:val="00283285"/>
    <w:rsid w:val="002834C2"/>
    <w:rsid w:val="00283510"/>
    <w:rsid w:val="00283518"/>
    <w:rsid w:val="0028353C"/>
    <w:rsid w:val="00283737"/>
    <w:rsid w:val="0028375A"/>
    <w:rsid w:val="00283995"/>
    <w:rsid w:val="002839FF"/>
    <w:rsid w:val="00283C8C"/>
    <w:rsid w:val="00283DC6"/>
    <w:rsid w:val="00283E46"/>
    <w:rsid w:val="00283EA5"/>
    <w:rsid w:val="00283EB6"/>
    <w:rsid w:val="00284015"/>
    <w:rsid w:val="00284056"/>
    <w:rsid w:val="0028407C"/>
    <w:rsid w:val="002840C9"/>
    <w:rsid w:val="0028410C"/>
    <w:rsid w:val="0028422D"/>
    <w:rsid w:val="00284309"/>
    <w:rsid w:val="0028437A"/>
    <w:rsid w:val="002847FB"/>
    <w:rsid w:val="00284A6A"/>
    <w:rsid w:val="00284B8A"/>
    <w:rsid w:val="00284BBF"/>
    <w:rsid w:val="00285107"/>
    <w:rsid w:val="002852A7"/>
    <w:rsid w:val="00285790"/>
    <w:rsid w:val="00285B02"/>
    <w:rsid w:val="00285B05"/>
    <w:rsid w:val="00285C26"/>
    <w:rsid w:val="00285E3E"/>
    <w:rsid w:val="0028623A"/>
    <w:rsid w:val="00286284"/>
    <w:rsid w:val="002862B1"/>
    <w:rsid w:val="002862EB"/>
    <w:rsid w:val="002862F7"/>
    <w:rsid w:val="00286317"/>
    <w:rsid w:val="0028637F"/>
    <w:rsid w:val="00286468"/>
    <w:rsid w:val="0028657F"/>
    <w:rsid w:val="002867A9"/>
    <w:rsid w:val="00286840"/>
    <w:rsid w:val="002868A8"/>
    <w:rsid w:val="00286988"/>
    <w:rsid w:val="00286B5E"/>
    <w:rsid w:val="00286CC8"/>
    <w:rsid w:val="00286EA1"/>
    <w:rsid w:val="00286EDB"/>
    <w:rsid w:val="002870C5"/>
    <w:rsid w:val="002870C8"/>
    <w:rsid w:val="00287193"/>
    <w:rsid w:val="00287288"/>
    <w:rsid w:val="0028731F"/>
    <w:rsid w:val="002874C8"/>
    <w:rsid w:val="002877B9"/>
    <w:rsid w:val="0028792A"/>
    <w:rsid w:val="002879B9"/>
    <w:rsid w:val="00287BC0"/>
    <w:rsid w:val="00287F8E"/>
    <w:rsid w:val="00290074"/>
    <w:rsid w:val="0029009B"/>
    <w:rsid w:val="00290146"/>
    <w:rsid w:val="0029017B"/>
    <w:rsid w:val="0029052A"/>
    <w:rsid w:val="002905EC"/>
    <w:rsid w:val="0029064A"/>
    <w:rsid w:val="00290AA2"/>
    <w:rsid w:val="00290D54"/>
    <w:rsid w:val="00290D6E"/>
    <w:rsid w:val="00290DE7"/>
    <w:rsid w:val="00290E2C"/>
    <w:rsid w:val="00290F06"/>
    <w:rsid w:val="0029110F"/>
    <w:rsid w:val="002911D2"/>
    <w:rsid w:val="002911F7"/>
    <w:rsid w:val="00291358"/>
    <w:rsid w:val="00291A30"/>
    <w:rsid w:val="00291A5A"/>
    <w:rsid w:val="00291B9B"/>
    <w:rsid w:val="00291BFE"/>
    <w:rsid w:val="00291C89"/>
    <w:rsid w:val="00291E88"/>
    <w:rsid w:val="00291EF9"/>
    <w:rsid w:val="0029210C"/>
    <w:rsid w:val="0029213B"/>
    <w:rsid w:val="0029219C"/>
    <w:rsid w:val="002921BB"/>
    <w:rsid w:val="0029264D"/>
    <w:rsid w:val="00292710"/>
    <w:rsid w:val="0029286A"/>
    <w:rsid w:val="00292A90"/>
    <w:rsid w:val="00292AC5"/>
    <w:rsid w:val="00292DF2"/>
    <w:rsid w:val="00293103"/>
    <w:rsid w:val="002932EC"/>
    <w:rsid w:val="002933BE"/>
    <w:rsid w:val="00293796"/>
    <w:rsid w:val="0029387A"/>
    <w:rsid w:val="00293958"/>
    <w:rsid w:val="00293971"/>
    <w:rsid w:val="002939DA"/>
    <w:rsid w:val="00293A2F"/>
    <w:rsid w:val="00293A6F"/>
    <w:rsid w:val="00293A74"/>
    <w:rsid w:val="00293D18"/>
    <w:rsid w:val="00293D84"/>
    <w:rsid w:val="00293FE7"/>
    <w:rsid w:val="002940BF"/>
    <w:rsid w:val="002943F6"/>
    <w:rsid w:val="002945D5"/>
    <w:rsid w:val="002947FF"/>
    <w:rsid w:val="00294A29"/>
    <w:rsid w:val="00294C0F"/>
    <w:rsid w:val="00294C97"/>
    <w:rsid w:val="00294E07"/>
    <w:rsid w:val="002952E3"/>
    <w:rsid w:val="0029554C"/>
    <w:rsid w:val="0029554F"/>
    <w:rsid w:val="002955F7"/>
    <w:rsid w:val="00295697"/>
    <w:rsid w:val="002957AA"/>
    <w:rsid w:val="00295AA8"/>
    <w:rsid w:val="00295BA2"/>
    <w:rsid w:val="00295DBE"/>
    <w:rsid w:val="00296019"/>
    <w:rsid w:val="002960E9"/>
    <w:rsid w:val="002961E5"/>
    <w:rsid w:val="002963A5"/>
    <w:rsid w:val="00296508"/>
    <w:rsid w:val="002966D6"/>
    <w:rsid w:val="0029687D"/>
    <w:rsid w:val="002968C8"/>
    <w:rsid w:val="002968F6"/>
    <w:rsid w:val="00296977"/>
    <w:rsid w:val="00296CA3"/>
    <w:rsid w:val="00296CDD"/>
    <w:rsid w:val="00296DDE"/>
    <w:rsid w:val="00296F4B"/>
    <w:rsid w:val="00296FFB"/>
    <w:rsid w:val="002972A4"/>
    <w:rsid w:val="002973C6"/>
    <w:rsid w:val="00297463"/>
    <w:rsid w:val="002974E6"/>
    <w:rsid w:val="002974FC"/>
    <w:rsid w:val="0029767A"/>
    <w:rsid w:val="00297A17"/>
    <w:rsid w:val="00297B38"/>
    <w:rsid w:val="00297CB1"/>
    <w:rsid w:val="00297E19"/>
    <w:rsid w:val="00297E42"/>
    <w:rsid w:val="00297EC6"/>
    <w:rsid w:val="00297EF0"/>
    <w:rsid w:val="00297FF8"/>
    <w:rsid w:val="002A045A"/>
    <w:rsid w:val="002A0472"/>
    <w:rsid w:val="002A0665"/>
    <w:rsid w:val="002A06A6"/>
    <w:rsid w:val="002A083C"/>
    <w:rsid w:val="002A09C4"/>
    <w:rsid w:val="002A0A4F"/>
    <w:rsid w:val="002A0AC9"/>
    <w:rsid w:val="002A0B8A"/>
    <w:rsid w:val="002A0B8E"/>
    <w:rsid w:val="002A0C2F"/>
    <w:rsid w:val="002A0D85"/>
    <w:rsid w:val="002A12A4"/>
    <w:rsid w:val="002A12A5"/>
    <w:rsid w:val="002A1416"/>
    <w:rsid w:val="002A17BF"/>
    <w:rsid w:val="002A1826"/>
    <w:rsid w:val="002A19B6"/>
    <w:rsid w:val="002A1B8E"/>
    <w:rsid w:val="002A1BC4"/>
    <w:rsid w:val="002A1BF0"/>
    <w:rsid w:val="002A1D41"/>
    <w:rsid w:val="002A1D4E"/>
    <w:rsid w:val="002A1EF3"/>
    <w:rsid w:val="002A1FC3"/>
    <w:rsid w:val="002A2011"/>
    <w:rsid w:val="002A217A"/>
    <w:rsid w:val="002A2283"/>
    <w:rsid w:val="002A237E"/>
    <w:rsid w:val="002A2558"/>
    <w:rsid w:val="002A2560"/>
    <w:rsid w:val="002A2697"/>
    <w:rsid w:val="002A2CDA"/>
    <w:rsid w:val="002A2D3E"/>
    <w:rsid w:val="002A2E42"/>
    <w:rsid w:val="002A338A"/>
    <w:rsid w:val="002A3402"/>
    <w:rsid w:val="002A35E7"/>
    <w:rsid w:val="002A363B"/>
    <w:rsid w:val="002A3773"/>
    <w:rsid w:val="002A3937"/>
    <w:rsid w:val="002A3976"/>
    <w:rsid w:val="002A3B9A"/>
    <w:rsid w:val="002A3BD8"/>
    <w:rsid w:val="002A3CAB"/>
    <w:rsid w:val="002A3CD6"/>
    <w:rsid w:val="002A3DF1"/>
    <w:rsid w:val="002A3DF8"/>
    <w:rsid w:val="002A3E48"/>
    <w:rsid w:val="002A3F09"/>
    <w:rsid w:val="002A3F81"/>
    <w:rsid w:val="002A4059"/>
    <w:rsid w:val="002A4236"/>
    <w:rsid w:val="002A427F"/>
    <w:rsid w:val="002A44AE"/>
    <w:rsid w:val="002A44D7"/>
    <w:rsid w:val="002A4612"/>
    <w:rsid w:val="002A46D3"/>
    <w:rsid w:val="002A49BD"/>
    <w:rsid w:val="002A49FC"/>
    <w:rsid w:val="002A4BA9"/>
    <w:rsid w:val="002A4D0D"/>
    <w:rsid w:val="002A4DAE"/>
    <w:rsid w:val="002A4FC0"/>
    <w:rsid w:val="002A5109"/>
    <w:rsid w:val="002A5281"/>
    <w:rsid w:val="002A55ED"/>
    <w:rsid w:val="002A57DF"/>
    <w:rsid w:val="002A5A35"/>
    <w:rsid w:val="002A5A81"/>
    <w:rsid w:val="002A5B80"/>
    <w:rsid w:val="002A5CD6"/>
    <w:rsid w:val="002A5E2E"/>
    <w:rsid w:val="002A5ECD"/>
    <w:rsid w:val="002A5F72"/>
    <w:rsid w:val="002A5FC6"/>
    <w:rsid w:val="002A61A9"/>
    <w:rsid w:val="002A62FD"/>
    <w:rsid w:val="002A6305"/>
    <w:rsid w:val="002A657A"/>
    <w:rsid w:val="002A669E"/>
    <w:rsid w:val="002A6852"/>
    <w:rsid w:val="002A69FD"/>
    <w:rsid w:val="002A6A65"/>
    <w:rsid w:val="002A6B3F"/>
    <w:rsid w:val="002A6B86"/>
    <w:rsid w:val="002A6DEF"/>
    <w:rsid w:val="002A6E08"/>
    <w:rsid w:val="002A6FB3"/>
    <w:rsid w:val="002A6FCA"/>
    <w:rsid w:val="002A6FCD"/>
    <w:rsid w:val="002A71F5"/>
    <w:rsid w:val="002A7323"/>
    <w:rsid w:val="002A7423"/>
    <w:rsid w:val="002A7AE4"/>
    <w:rsid w:val="002A7B85"/>
    <w:rsid w:val="002A7C3E"/>
    <w:rsid w:val="002A7D76"/>
    <w:rsid w:val="002B0106"/>
    <w:rsid w:val="002B02FC"/>
    <w:rsid w:val="002B0305"/>
    <w:rsid w:val="002B0314"/>
    <w:rsid w:val="002B0339"/>
    <w:rsid w:val="002B0389"/>
    <w:rsid w:val="002B07A4"/>
    <w:rsid w:val="002B0869"/>
    <w:rsid w:val="002B088F"/>
    <w:rsid w:val="002B0DAF"/>
    <w:rsid w:val="002B0ED7"/>
    <w:rsid w:val="002B0F01"/>
    <w:rsid w:val="002B0F3E"/>
    <w:rsid w:val="002B10DB"/>
    <w:rsid w:val="002B11E2"/>
    <w:rsid w:val="002B11FC"/>
    <w:rsid w:val="002B12DA"/>
    <w:rsid w:val="002B1463"/>
    <w:rsid w:val="002B151B"/>
    <w:rsid w:val="002B15D3"/>
    <w:rsid w:val="002B15E9"/>
    <w:rsid w:val="002B168F"/>
    <w:rsid w:val="002B1954"/>
    <w:rsid w:val="002B1970"/>
    <w:rsid w:val="002B19A2"/>
    <w:rsid w:val="002B19AB"/>
    <w:rsid w:val="002B19DA"/>
    <w:rsid w:val="002B1AED"/>
    <w:rsid w:val="002B1B29"/>
    <w:rsid w:val="002B1EC6"/>
    <w:rsid w:val="002B20B0"/>
    <w:rsid w:val="002B2207"/>
    <w:rsid w:val="002B232E"/>
    <w:rsid w:val="002B24DC"/>
    <w:rsid w:val="002B2591"/>
    <w:rsid w:val="002B2600"/>
    <w:rsid w:val="002B272B"/>
    <w:rsid w:val="002B27A5"/>
    <w:rsid w:val="002B2850"/>
    <w:rsid w:val="002B2996"/>
    <w:rsid w:val="002B2A42"/>
    <w:rsid w:val="002B2A5A"/>
    <w:rsid w:val="002B2ABB"/>
    <w:rsid w:val="002B2EFA"/>
    <w:rsid w:val="002B3089"/>
    <w:rsid w:val="002B33B4"/>
    <w:rsid w:val="002B3732"/>
    <w:rsid w:val="002B3742"/>
    <w:rsid w:val="002B38AE"/>
    <w:rsid w:val="002B38D6"/>
    <w:rsid w:val="002B3ACA"/>
    <w:rsid w:val="002B3BE7"/>
    <w:rsid w:val="002B3D9F"/>
    <w:rsid w:val="002B3E07"/>
    <w:rsid w:val="002B4108"/>
    <w:rsid w:val="002B4114"/>
    <w:rsid w:val="002B43DE"/>
    <w:rsid w:val="002B4735"/>
    <w:rsid w:val="002B5455"/>
    <w:rsid w:val="002B55FB"/>
    <w:rsid w:val="002B5779"/>
    <w:rsid w:val="002B587E"/>
    <w:rsid w:val="002B5968"/>
    <w:rsid w:val="002B5B57"/>
    <w:rsid w:val="002B5D9F"/>
    <w:rsid w:val="002B5E35"/>
    <w:rsid w:val="002B5E89"/>
    <w:rsid w:val="002B5F0F"/>
    <w:rsid w:val="002B5FBE"/>
    <w:rsid w:val="002B5FC5"/>
    <w:rsid w:val="002B6450"/>
    <w:rsid w:val="002B6470"/>
    <w:rsid w:val="002B6648"/>
    <w:rsid w:val="002B6706"/>
    <w:rsid w:val="002B6830"/>
    <w:rsid w:val="002B690F"/>
    <w:rsid w:val="002B693F"/>
    <w:rsid w:val="002B6AEE"/>
    <w:rsid w:val="002B6B0A"/>
    <w:rsid w:val="002B6D07"/>
    <w:rsid w:val="002B6D56"/>
    <w:rsid w:val="002B6E2B"/>
    <w:rsid w:val="002B6E76"/>
    <w:rsid w:val="002B6F56"/>
    <w:rsid w:val="002B7303"/>
    <w:rsid w:val="002B7731"/>
    <w:rsid w:val="002C000B"/>
    <w:rsid w:val="002C0574"/>
    <w:rsid w:val="002C0787"/>
    <w:rsid w:val="002C0ACE"/>
    <w:rsid w:val="002C0B84"/>
    <w:rsid w:val="002C0CEA"/>
    <w:rsid w:val="002C0E8D"/>
    <w:rsid w:val="002C0EC7"/>
    <w:rsid w:val="002C10D1"/>
    <w:rsid w:val="002C14DD"/>
    <w:rsid w:val="002C1508"/>
    <w:rsid w:val="002C1596"/>
    <w:rsid w:val="002C16B5"/>
    <w:rsid w:val="002C1924"/>
    <w:rsid w:val="002C19B4"/>
    <w:rsid w:val="002C1CD4"/>
    <w:rsid w:val="002C1DAF"/>
    <w:rsid w:val="002C2285"/>
    <w:rsid w:val="002C23D5"/>
    <w:rsid w:val="002C2631"/>
    <w:rsid w:val="002C2799"/>
    <w:rsid w:val="002C2AFF"/>
    <w:rsid w:val="002C2C2E"/>
    <w:rsid w:val="002C2D13"/>
    <w:rsid w:val="002C2D50"/>
    <w:rsid w:val="002C2EA3"/>
    <w:rsid w:val="002C2F8A"/>
    <w:rsid w:val="002C3064"/>
    <w:rsid w:val="002C32DF"/>
    <w:rsid w:val="002C3619"/>
    <w:rsid w:val="002C3A39"/>
    <w:rsid w:val="002C3ABF"/>
    <w:rsid w:val="002C3AEB"/>
    <w:rsid w:val="002C3B40"/>
    <w:rsid w:val="002C3BF7"/>
    <w:rsid w:val="002C3DC5"/>
    <w:rsid w:val="002C41DC"/>
    <w:rsid w:val="002C422A"/>
    <w:rsid w:val="002C4399"/>
    <w:rsid w:val="002C43C0"/>
    <w:rsid w:val="002C451F"/>
    <w:rsid w:val="002C4857"/>
    <w:rsid w:val="002C492F"/>
    <w:rsid w:val="002C4996"/>
    <w:rsid w:val="002C49A7"/>
    <w:rsid w:val="002C4A35"/>
    <w:rsid w:val="002C4AE3"/>
    <w:rsid w:val="002C4C31"/>
    <w:rsid w:val="002C4D53"/>
    <w:rsid w:val="002C4DD7"/>
    <w:rsid w:val="002C51E8"/>
    <w:rsid w:val="002C5261"/>
    <w:rsid w:val="002C52BD"/>
    <w:rsid w:val="002C54CB"/>
    <w:rsid w:val="002C5585"/>
    <w:rsid w:val="002C57D2"/>
    <w:rsid w:val="002C5AEB"/>
    <w:rsid w:val="002C5C31"/>
    <w:rsid w:val="002C5D1F"/>
    <w:rsid w:val="002C5DE1"/>
    <w:rsid w:val="002C63B4"/>
    <w:rsid w:val="002C66BB"/>
    <w:rsid w:val="002C6749"/>
    <w:rsid w:val="002C6D8B"/>
    <w:rsid w:val="002C6ED3"/>
    <w:rsid w:val="002C7134"/>
    <w:rsid w:val="002C741A"/>
    <w:rsid w:val="002C76BE"/>
    <w:rsid w:val="002C7725"/>
    <w:rsid w:val="002C7EBF"/>
    <w:rsid w:val="002D005F"/>
    <w:rsid w:val="002D00E8"/>
    <w:rsid w:val="002D0204"/>
    <w:rsid w:val="002D0519"/>
    <w:rsid w:val="002D0727"/>
    <w:rsid w:val="002D0AA1"/>
    <w:rsid w:val="002D0B56"/>
    <w:rsid w:val="002D0D39"/>
    <w:rsid w:val="002D0E34"/>
    <w:rsid w:val="002D1235"/>
    <w:rsid w:val="002D1316"/>
    <w:rsid w:val="002D1826"/>
    <w:rsid w:val="002D1847"/>
    <w:rsid w:val="002D1B56"/>
    <w:rsid w:val="002D1B90"/>
    <w:rsid w:val="002D1E29"/>
    <w:rsid w:val="002D1EE9"/>
    <w:rsid w:val="002D1F48"/>
    <w:rsid w:val="002D20AB"/>
    <w:rsid w:val="002D20BF"/>
    <w:rsid w:val="002D23E1"/>
    <w:rsid w:val="002D2516"/>
    <w:rsid w:val="002D285F"/>
    <w:rsid w:val="002D28DE"/>
    <w:rsid w:val="002D2994"/>
    <w:rsid w:val="002D2C3E"/>
    <w:rsid w:val="002D2D70"/>
    <w:rsid w:val="002D2F05"/>
    <w:rsid w:val="002D3140"/>
    <w:rsid w:val="002D314F"/>
    <w:rsid w:val="002D3559"/>
    <w:rsid w:val="002D37AD"/>
    <w:rsid w:val="002D3D84"/>
    <w:rsid w:val="002D3F49"/>
    <w:rsid w:val="002D40B3"/>
    <w:rsid w:val="002D40C9"/>
    <w:rsid w:val="002D4209"/>
    <w:rsid w:val="002D42C3"/>
    <w:rsid w:val="002D4317"/>
    <w:rsid w:val="002D446D"/>
    <w:rsid w:val="002D448D"/>
    <w:rsid w:val="002D45AE"/>
    <w:rsid w:val="002D4706"/>
    <w:rsid w:val="002D48A6"/>
    <w:rsid w:val="002D4CA0"/>
    <w:rsid w:val="002D4E5B"/>
    <w:rsid w:val="002D53F6"/>
    <w:rsid w:val="002D55B8"/>
    <w:rsid w:val="002D573F"/>
    <w:rsid w:val="002D57E4"/>
    <w:rsid w:val="002D5D0B"/>
    <w:rsid w:val="002D5FE5"/>
    <w:rsid w:val="002D6021"/>
    <w:rsid w:val="002D61A9"/>
    <w:rsid w:val="002D61B4"/>
    <w:rsid w:val="002D61C7"/>
    <w:rsid w:val="002D66C8"/>
    <w:rsid w:val="002D6722"/>
    <w:rsid w:val="002D6778"/>
    <w:rsid w:val="002D67CB"/>
    <w:rsid w:val="002D6850"/>
    <w:rsid w:val="002D688F"/>
    <w:rsid w:val="002D693A"/>
    <w:rsid w:val="002D6D51"/>
    <w:rsid w:val="002D6D7E"/>
    <w:rsid w:val="002D7176"/>
    <w:rsid w:val="002D7366"/>
    <w:rsid w:val="002D7380"/>
    <w:rsid w:val="002D784F"/>
    <w:rsid w:val="002D7893"/>
    <w:rsid w:val="002D7BB2"/>
    <w:rsid w:val="002D7BE6"/>
    <w:rsid w:val="002D7EF0"/>
    <w:rsid w:val="002D7F27"/>
    <w:rsid w:val="002D7F45"/>
    <w:rsid w:val="002D7FD6"/>
    <w:rsid w:val="002E01AB"/>
    <w:rsid w:val="002E0A40"/>
    <w:rsid w:val="002E0A46"/>
    <w:rsid w:val="002E0DF3"/>
    <w:rsid w:val="002E0E3F"/>
    <w:rsid w:val="002E0F30"/>
    <w:rsid w:val="002E1113"/>
    <w:rsid w:val="002E11A7"/>
    <w:rsid w:val="002E122E"/>
    <w:rsid w:val="002E1539"/>
    <w:rsid w:val="002E1575"/>
    <w:rsid w:val="002E17BD"/>
    <w:rsid w:val="002E1939"/>
    <w:rsid w:val="002E1B44"/>
    <w:rsid w:val="002E1DFA"/>
    <w:rsid w:val="002E22EF"/>
    <w:rsid w:val="002E243A"/>
    <w:rsid w:val="002E252B"/>
    <w:rsid w:val="002E25B9"/>
    <w:rsid w:val="002E260F"/>
    <w:rsid w:val="002E2E1B"/>
    <w:rsid w:val="002E343D"/>
    <w:rsid w:val="002E34A1"/>
    <w:rsid w:val="002E38D3"/>
    <w:rsid w:val="002E38F4"/>
    <w:rsid w:val="002E39B9"/>
    <w:rsid w:val="002E3B76"/>
    <w:rsid w:val="002E3BF7"/>
    <w:rsid w:val="002E3C3A"/>
    <w:rsid w:val="002E4242"/>
    <w:rsid w:val="002E433B"/>
    <w:rsid w:val="002E4642"/>
    <w:rsid w:val="002E469C"/>
    <w:rsid w:val="002E47B9"/>
    <w:rsid w:val="002E4898"/>
    <w:rsid w:val="002E48DD"/>
    <w:rsid w:val="002E50E4"/>
    <w:rsid w:val="002E5155"/>
    <w:rsid w:val="002E53ED"/>
    <w:rsid w:val="002E55FD"/>
    <w:rsid w:val="002E56BC"/>
    <w:rsid w:val="002E57E5"/>
    <w:rsid w:val="002E5A9A"/>
    <w:rsid w:val="002E5AE4"/>
    <w:rsid w:val="002E5F92"/>
    <w:rsid w:val="002E606E"/>
    <w:rsid w:val="002E62F5"/>
    <w:rsid w:val="002E676C"/>
    <w:rsid w:val="002E67A7"/>
    <w:rsid w:val="002E67C5"/>
    <w:rsid w:val="002E67E9"/>
    <w:rsid w:val="002E690E"/>
    <w:rsid w:val="002E6BD8"/>
    <w:rsid w:val="002E6D73"/>
    <w:rsid w:val="002E6E32"/>
    <w:rsid w:val="002E7217"/>
    <w:rsid w:val="002E7268"/>
    <w:rsid w:val="002E741B"/>
    <w:rsid w:val="002E7671"/>
    <w:rsid w:val="002E7929"/>
    <w:rsid w:val="002E7ABC"/>
    <w:rsid w:val="002E7AE9"/>
    <w:rsid w:val="002E7DC1"/>
    <w:rsid w:val="002E7E45"/>
    <w:rsid w:val="002F00CE"/>
    <w:rsid w:val="002F019A"/>
    <w:rsid w:val="002F0623"/>
    <w:rsid w:val="002F0645"/>
    <w:rsid w:val="002F0901"/>
    <w:rsid w:val="002F09FA"/>
    <w:rsid w:val="002F0A3F"/>
    <w:rsid w:val="002F114C"/>
    <w:rsid w:val="002F11E3"/>
    <w:rsid w:val="002F12B2"/>
    <w:rsid w:val="002F13AF"/>
    <w:rsid w:val="002F14D2"/>
    <w:rsid w:val="002F1816"/>
    <w:rsid w:val="002F19A0"/>
    <w:rsid w:val="002F1CA0"/>
    <w:rsid w:val="002F1D2E"/>
    <w:rsid w:val="002F1E99"/>
    <w:rsid w:val="002F2070"/>
    <w:rsid w:val="002F22AD"/>
    <w:rsid w:val="002F2621"/>
    <w:rsid w:val="002F27FA"/>
    <w:rsid w:val="002F28DD"/>
    <w:rsid w:val="002F2CEF"/>
    <w:rsid w:val="002F2D12"/>
    <w:rsid w:val="002F2F21"/>
    <w:rsid w:val="002F30C2"/>
    <w:rsid w:val="002F3608"/>
    <w:rsid w:val="002F369D"/>
    <w:rsid w:val="002F38DB"/>
    <w:rsid w:val="002F3CDF"/>
    <w:rsid w:val="002F3D3F"/>
    <w:rsid w:val="002F3D64"/>
    <w:rsid w:val="002F3EC2"/>
    <w:rsid w:val="002F3F62"/>
    <w:rsid w:val="002F4122"/>
    <w:rsid w:val="002F42CB"/>
    <w:rsid w:val="002F433E"/>
    <w:rsid w:val="002F4764"/>
    <w:rsid w:val="002F47F0"/>
    <w:rsid w:val="002F4A4C"/>
    <w:rsid w:val="002F4B5F"/>
    <w:rsid w:val="002F4EA3"/>
    <w:rsid w:val="002F4FF2"/>
    <w:rsid w:val="002F5052"/>
    <w:rsid w:val="002F5293"/>
    <w:rsid w:val="002F5432"/>
    <w:rsid w:val="002F5505"/>
    <w:rsid w:val="002F5531"/>
    <w:rsid w:val="002F5774"/>
    <w:rsid w:val="002F591A"/>
    <w:rsid w:val="002F59A0"/>
    <w:rsid w:val="002F5AA9"/>
    <w:rsid w:val="002F5F7C"/>
    <w:rsid w:val="002F637B"/>
    <w:rsid w:val="002F63E0"/>
    <w:rsid w:val="002F6613"/>
    <w:rsid w:val="002F6918"/>
    <w:rsid w:val="002F6967"/>
    <w:rsid w:val="002F6AC0"/>
    <w:rsid w:val="002F6CB9"/>
    <w:rsid w:val="002F6D28"/>
    <w:rsid w:val="002F6F82"/>
    <w:rsid w:val="002F7049"/>
    <w:rsid w:val="002F70B4"/>
    <w:rsid w:val="002F72D1"/>
    <w:rsid w:val="002F7572"/>
    <w:rsid w:val="002F75E2"/>
    <w:rsid w:val="002F7765"/>
    <w:rsid w:val="002F7878"/>
    <w:rsid w:val="002F78B1"/>
    <w:rsid w:val="002F7ABD"/>
    <w:rsid w:val="002F7B5C"/>
    <w:rsid w:val="002F7E08"/>
    <w:rsid w:val="00300057"/>
    <w:rsid w:val="0030012A"/>
    <w:rsid w:val="00300796"/>
    <w:rsid w:val="003007F3"/>
    <w:rsid w:val="00300BCA"/>
    <w:rsid w:val="00300CF2"/>
    <w:rsid w:val="00300E5E"/>
    <w:rsid w:val="00301218"/>
    <w:rsid w:val="00301275"/>
    <w:rsid w:val="0030156A"/>
    <w:rsid w:val="003016FE"/>
    <w:rsid w:val="0030175E"/>
    <w:rsid w:val="003019B3"/>
    <w:rsid w:val="00301B0B"/>
    <w:rsid w:val="00301D6B"/>
    <w:rsid w:val="00301E66"/>
    <w:rsid w:val="0030200A"/>
    <w:rsid w:val="00302035"/>
    <w:rsid w:val="00302296"/>
    <w:rsid w:val="003024F1"/>
    <w:rsid w:val="00302695"/>
    <w:rsid w:val="00302762"/>
    <w:rsid w:val="00302799"/>
    <w:rsid w:val="003027DC"/>
    <w:rsid w:val="00302DA2"/>
    <w:rsid w:val="00302DFF"/>
    <w:rsid w:val="00303005"/>
    <w:rsid w:val="003031CC"/>
    <w:rsid w:val="00303411"/>
    <w:rsid w:val="0030363A"/>
    <w:rsid w:val="0030383C"/>
    <w:rsid w:val="00303983"/>
    <w:rsid w:val="0030398A"/>
    <w:rsid w:val="00303995"/>
    <w:rsid w:val="00303A2D"/>
    <w:rsid w:val="00303D8B"/>
    <w:rsid w:val="00303E74"/>
    <w:rsid w:val="00303F5A"/>
    <w:rsid w:val="00304207"/>
    <w:rsid w:val="00304563"/>
    <w:rsid w:val="003045B1"/>
    <w:rsid w:val="00304681"/>
    <w:rsid w:val="00304805"/>
    <w:rsid w:val="00304A45"/>
    <w:rsid w:val="00304A9C"/>
    <w:rsid w:val="00304B10"/>
    <w:rsid w:val="00304B6E"/>
    <w:rsid w:val="00304CDA"/>
    <w:rsid w:val="00305077"/>
    <w:rsid w:val="00305095"/>
    <w:rsid w:val="00305149"/>
    <w:rsid w:val="003054A6"/>
    <w:rsid w:val="003054C7"/>
    <w:rsid w:val="0030552A"/>
    <w:rsid w:val="0030552F"/>
    <w:rsid w:val="0030561E"/>
    <w:rsid w:val="00305906"/>
    <w:rsid w:val="00305A67"/>
    <w:rsid w:val="00305DC3"/>
    <w:rsid w:val="00305E47"/>
    <w:rsid w:val="00305FC7"/>
    <w:rsid w:val="0030609E"/>
    <w:rsid w:val="00306118"/>
    <w:rsid w:val="00306426"/>
    <w:rsid w:val="00306636"/>
    <w:rsid w:val="00306686"/>
    <w:rsid w:val="0030670F"/>
    <w:rsid w:val="00306773"/>
    <w:rsid w:val="003067EB"/>
    <w:rsid w:val="00306C7D"/>
    <w:rsid w:val="00306C86"/>
    <w:rsid w:val="0030723A"/>
    <w:rsid w:val="00307388"/>
    <w:rsid w:val="00307406"/>
    <w:rsid w:val="003074B6"/>
    <w:rsid w:val="003079AD"/>
    <w:rsid w:val="00307BF6"/>
    <w:rsid w:val="00307D4A"/>
    <w:rsid w:val="00307F60"/>
    <w:rsid w:val="00310049"/>
    <w:rsid w:val="003101AC"/>
    <w:rsid w:val="003103CA"/>
    <w:rsid w:val="003106EC"/>
    <w:rsid w:val="00310886"/>
    <w:rsid w:val="00310C73"/>
    <w:rsid w:val="00310C94"/>
    <w:rsid w:val="00310D1D"/>
    <w:rsid w:val="00310D3D"/>
    <w:rsid w:val="00310DCD"/>
    <w:rsid w:val="00310EF3"/>
    <w:rsid w:val="00311483"/>
    <w:rsid w:val="00311687"/>
    <w:rsid w:val="003117F3"/>
    <w:rsid w:val="00311C67"/>
    <w:rsid w:val="00311F1D"/>
    <w:rsid w:val="00311F64"/>
    <w:rsid w:val="00311FD4"/>
    <w:rsid w:val="00312124"/>
    <w:rsid w:val="003124BB"/>
    <w:rsid w:val="003125B0"/>
    <w:rsid w:val="00312662"/>
    <w:rsid w:val="003127CE"/>
    <w:rsid w:val="00312A08"/>
    <w:rsid w:val="00312B33"/>
    <w:rsid w:val="00312B6C"/>
    <w:rsid w:val="00312C12"/>
    <w:rsid w:val="00312CBB"/>
    <w:rsid w:val="00312ED6"/>
    <w:rsid w:val="00312FE2"/>
    <w:rsid w:val="0031310B"/>
    <w:rsid w:val="00313435"/>
    <w:rsid w:val="003134AC"/>
    <w:rsid w:val="003137C3"/>
    <w:rsid w:val="00313C05"/>
    <w:rsid w:val="00313E24"/>
    <w:rsid w:val="00314332"/>
    <w:rsid w:val="00314448"/>
    <w:rsid w:val="00314608"/>
    <w:rsid w:val="0031473B"/>
    <w:rsid w:val="003148CF"/>
    <w:rsid w:val="00314B45"/>
    <w:rsid w:val="00314BA8"/>
    <w:rsid w:val="00314C67"/>
    <w:rsid w:val="00314C7C"/>
    <w:rsid w:val="00314D62"/>
    <w:rsid w:val="00314E9D"/>
    <w:rsid w:val="0031503B"/>
    <w:rsid w:val="00315164"/>
    <w:rsid w:val="0031521D"/>
    <w:rsid w:val="00315240"/>
    <w:rsid w:val="00315338"/>
    <w:rsid w:val="003154B7"/>
    <w:rsid w:val="003154F4"/>
    <w:rsid w:val="0031585D"/>
    <w:rsid w:val="00315947"/>
    <w:rsid w:val="00315B19"/>
    <w:rsid w:val="00315B86"/>
    <w:rsid w:val="00315CB3"/>
    <w:rsid w:val="00315E0A"/>
    <w:rsid w:val="00315EA7"/>
    <w:rsid w:val="00316023"/>
    <w:rsid w:val="0031604E"/>
    <w:rsid w:val="00316152"/>
    <w:rsid w:val="00316267"/>
    <w:rsid w:val="00316289"/>
    <w:rsid w:val="003162E4"/>
    <w:rsid w:val="003164A2"/>
    <w:rsid w:val="003165E2"/>
    <w:rsid w:val="003166A7"/>
    <w:rsid w:val="00316A18"/>
    <w:rsid w:val="00316C41"/>
    <w:rsid w:val="00316CEA"/>
    <w:rsid w:val="00316D20"/>
    <w:rsid w:val="003172A1"/>
    <w:rsid w:val="00317539"/>
    <w:rsid w:val="00317697"/>
    <w:rsid w:val="003176E8"/>
    <w:rsid w:val="003177F8"/>
    <w:rsid w:val="00317903"/>
    <w:rsid w:val="00317AE1"/>
    <w:rsid w:val="00317BAB"/>
    <w:rsid w:val="0032020C"/>
    <w:rsid w:val="00320287"/>
    <w:rsid w:val="003202D7"/>
    <w:rsid w:val="00320338"/>
    <w:rsid w:val="003203E4"/>
    <w:rsid w:val="003204F3"/>
    <w:rsid w:val="00320535"/>
    <w:rsid w:val="0032056F"/>
    <w:rsid w:val="003206CC"/>
    <w:rsid w:val="00320918"/>
    <w:rsid w:val="00320AB6"/>
    <w:rsid w:val="00320B60"/>
    <w:rsid w:val="00320CA4"/>
    <w:rsid w:val="00320EBE"/>
    <w:rsid w:val="00320FC2"/>
    <w:rsid w:val="0032121F"/>
    <w:rsid w:val="0032129B"/>
    <w:rsid w:val="0032143D"/>
    <w:rsid w:val="003214DC"/>
    <w:rsid w:val="00321883"/>
    <w:rsid w:val="00321A60"/>
    <w:rsid w:val="00321AEC"/>
    <w:rsid w:val="00321EF2"/>
    <w:rsid w:val="00321F44"/>
    <w:rsid w:val="0032200C"/>
    <w:rsid w:val="00322159"/>
    <w:rsid w:val="0032219C"/>
    <w:rsid w:val="0032220A"/>
    <w:rsid w:val="00322231"/>
    <w:rsid w:val="003223CF"/>
    <w:rsid w:val="003224D6"/>
    <w:rsid w:val="00322532"/>
    <w:rsid w:val="00322672"/>
    <w:rsid w:val="0032293B"/>
    <w:rsid w:val="00322A21"/>
    <w:rsid w:val="00322A62"/>
    <w:rsid w:val="00322C49"/>
    <w:rsid w:val="00322D17"/>
    <w:rsid w:val="00323004"/>
    <w:rsid w:val="00323285"/>
    <w:rsid w:val="003234EC"/>
    <w:rsid w:val="00323725"/>
    <w:rsid w:val="003237F4"/>
    <w:rsid w:val="00323B75"/>
    <w:rsid w:val="00323F55"/>
    <w:rsid w:val="00324015"/>
    <w:rsid w:val="0032404A"/>
    <w:rsid w:val="00324393"/>
    <w:rsid w:val="003245F1"/>
    <w:rsid w:val="003246A0"/>
    <w:rsid w:val="003246FE"/>
    <w:rsid w:val="00324C99"/>
    <w:rsid w:val="0032554C"/>
    <w:rsid w:val="003255A7"/>
    <w:rsid w:val="0032587E"/>
    <w:rsid w:val="003258BD"/>
    <w:rsid w:val="00325994"/>
    <w:rsid w:val="00325B52"/>
    <w:rsid w:val="00325C6B"/>
    <w:rsid w:val="00325D93"/>
    <w:rsid w:val="00325E3F"/>
    <w:rsid w:val="00325F72"/>
    <w:rsid w:val="00326070"/>
    <w:rsid w:val="0032609D"/>
    <w:rsid w:val="00326517"/>
    <w:rsid w:val="003266AC"/>
    <w:rsid w:val="00326731"/>
    <w:rsid w:val="0032686B"/>
    <w:rsid w:val="00326961"/>
    <w:rsid w:val="00326D07"/>
    <w:rsid w:val="00326D27"/>
    <w:rsid w:val="00326F10"/>
    <w:rsid w:val="00326F86"/>
    <w:rsid w:val="00327160"/>
    <w:rsid w:val="00327168"/>
    <w:rsid w:val="00327232"/>
    <w:rsid w:val="00327470"/>
    <w:rsid w:val="00327C0E"/>
    <w:rsid w:val="00327C98"/>
    <w:rsid w:val="00327CDC"/>
    <w:rsid w:val="00330071"/>
    <w:rsid w:val="00330131"/>
    <w:rsid w:val="003304B5"/>
    <w:rsid w:val="003308CC"/>
    <w:rsid w:val="003309B6"/>
    <w:rsid w:val="00330B49"/>
    <w:rsid w:val="00330C3D"/>
    <w:rsid w:val="00330C89"/>
    <w:rsid w:val="00330FC8"/>
    <w:rsid w:val="00331077"/>
    <w:rsid w:val="00331288"/>
    <w:rsid w:val="003316C2"/>
    <w:rsid w:val="00331796"/>
    <w:rsid w:val="0033179B"/>
    <w:rsid w:val="0033182C"/>
    <w:rsid w:val="00331908"/>
    <w:rsid w:val="00331970"/>
    <w:rsid w:val="00331AB7"/>
    <w:rsid w:val="00332249"/>
    <w:rsid w:val="003323A3"/>
    <w:rsid w:val="003323CF"/>
    <w:rsid w:val="003326CF"/>
    <w:rsid w:val="00332A59"/>
    <w:rsid w:val="00332BD1"/>
    <w:rsid w:val="00332E6A"/>
    <w:rsid w:val="00332F44"/>
    <w:rsid w:val="00333212"/>
    <w:rsid w:val="00333502"/>
    <w:rsid w:val="003335DB"/>
    <w:rsid w:val="00333925"/>
    <w:rsid w:val="00333971"/>
    <w:rsid w:val="00333C91"/>
    <w:rsid w:val="00333E10"/>
    <w:rsid w:val="00334077"/>
    <w:rsid w:val="003340C2"/>
    <w:rsid w:val="003340D8"/>
    <w:rsid w:val="0033418C"/>
    <w:rsid w:val="003347DE"/>
    <w:rsid w:val="00334AF1"/>
    <w:rsid w:val="00334C8D"/>
    <w:rsid w:val="00334D2E"/>
    <w:rsid w:val="003353EF"/>
    <w:rsid w:val="00335761"/>
    <w:rsid w:val="00335E26"/>
    <w:rsid w:val="00336077"/>
    <w:rsid w:val="00336123"/>
    <w:rsid w:val="00336145"/>
    <w:rsid w:val="00336581"/>
    <w:rsid w:val="003365F2"/>
    <w:rsid w:val="00336682"/>
    <w:rsid w:val="00336D48"/>
    <w:rsid w:val="00336F51"/>
    <w:rsid w:val="00336FA2"/>
    <w:rsid w:val="00337064"/>
    <w:rsid w:val="003371C5"/>
    <w:rsid w:val="00337401"/>
    <w:rsid w:val="0033749B"/>
    <w:rsid w:val="003375D9"/>
    <w:rsid w:val="00337A48"/>
    <w:rsid w:val="00337B5A"/>
    <w:rsid w:val="0034001A"/>
    <w:rsid w:val="003400F3"/>
    <w:rsid w:val="00340116"/>
    <w:rsid w:val="003401B1"/>
    <w:rsid w:val="0034023B"/>
    <w:rsid w:val="0034050F"/>
    <w:rsid w:val="00340879"/>
    <w:rsid w:val="0034095D"/>
    <w:rsid w:val="00340972"/>
    <w:rsid w:val="003409DC"/>
    <w:rsid w:val="00340A67"/>
    <w:rsid w:val="00340AB3"/>
    <w:rsid w:val="00340AF9"/>
    <w:rsid w:val="00340B36"/>
    <w:rsid w:val="00340BF8"/>
    <w:rsid w:val="00340DB5"/>
    <w:rsid w:val="003413E4"/>
    <w:rsid w:val="00341413"/>
    <w:rsid w:val="00341789"/>
    <w:rsid w:val="00341813"/>
    <w:rsid w:val="003419C9"/>
    <w:rsid w:val="00341D97"/>
    <w:rsid w:val="00341DD1"/>
    <w:rsid w:val="00341EDF"/>
    <w:rsid w:val="00341FD2"/>
    <w:rsid w:val="0034222C"/>
    <w:rsid w:val="003423EF"/>
    <w:rsid w:val="0034243D"/>
    <w:rsid w:val="00342505"/>
    <w:rsid w:val="003428AF"/>
    <w:rsid w:val="00342D46"/>
    <w:rsid w:val="00342F48"/>
    <w:rsid w:val="00342F77"/>
    <w:rsid w:val="0034365B"/>
    <w:rsid w:val="00343774"/>
    <w:rsid w:val="0034381A"/>
    <w:rsid w:val="00343A7D"/>
    <w:rsid w:val="00343D43"/>
    <w:rsid w:val="00343D88"/>
    <w:rsid w:val="00343FD7"/>
    <w:rsid w:val="003440D4"/>
    <w:rsid w:val="003440F5"/>
    <w:rsid w:val="0034413C"/>
    <w:rsid w:val="00344466"/>
    <w:rsid w:val="00344E5F"/>
    <w:rsid w:val="00344FBE"/>
    <w:rsid w:val="003450C9"/>
    <w:rsid w:val="00345180"/>
    <w:rsid w:val="00345262"/>
    <w:rsid w:val="00345296"/>
    <w:rsid w:val="003456A8"/>
    <w:rsid w:val="0034579C"/>
    <w:rsid w:val="003459B7"/>
    <w:rsid w:val="00345A50"/>
    <w:rsid w:val="00345A53"/>
    <w:rsid w:val="00345BAB"/>
    <w:rsid w:val="00345D82"/>
    <w:rsid w:val="0034602F"/>
    <w:rsid w:val="0034603D"/>
    <w:rsid w:val="00346487"/>
    <w:rsid w:val="00346528"/>
    <w:rsid w:val="00346799"/>
    <w:rsid w:val="00346917"/>
    <w:rsid w:val="00346990"/>
    <w:rsid w:val="00346A77"/>
    <w:rsid w:val="00346C96"/>
    <w:rsid w:val="00346DEE"/>
    <w:rsid w:val="00346DF3"/>
    <w:rsid w:val="00346F48"/>
    <w:rsid w:val="00347389"/>
    <w:rsid w:val="00347659"/>
    <w:rsid w:val="00347A83"/>
    <w:rsid w:val="00350076"/>
    <w:rsid w:val="003500A8"/>
    <w:rsid w:val="00350323"/>
    <w:rsid w:val="003505AC"/>
    <w:rsid w:val="00350BBB"/>
    <w:rsid w:val="00350BE4"/>
    <w:rsid w:val="00350C76"/>
    <w:rsid w:val="00350D84"/>
    <w:rsid w:val="003511DB"/>
    <w:rsid w:val="0035124E"/>
    <w:rsid w:val="003513F1"/>
    <w:rsid w:val="003514D5"/>
    <w:rsid w:val="0035178B"/>
    <w:rsid w:val="00351843"/>
    <w:rsid w:val="00351880"/>
    <w:rsid w:val="003519AD"/>
    <w:rsid w:val="00351B07"/>
    <w:rsid w:val="00351D87"/>
    <w:rsid w:val="00351EB6"/>
    <w:rsid w:val="00351FB9"/>
    <w:rsid w:val="003522C5"/>
    <w:rsid w:val="0035252E"/>
    <w:rsid w:val="003525E6"/>
    <w:rsid w:val="00352648"/>
    <w:rsid w:val="00352C10"/>
    <w:rsid w:val="00352C52"/>
    <w:rsid w:val="003530C8"/>
    <w:rsid w:val="003535B2"/>
    <w:rsid w:val="00353617"/>
    <w:rsid w:val="00353B05"/>
    <w:rsid w:val="00353B15"/>
    <w:rsid w:val="00353EBC"/>
    <w:rsid w:val="00353F02"/>
    <w:rsid w:val="00353F40"/>
    <w:rsid w:val="0035424F"/>
    <w:rsid w:val="00354352"/>
    <w:rsid w:val="003543D1"/>
    <w:rsid w:val="00354531"/>
    <w:rsid w:val="00354586"/>
    <w:rsid w:val="0035487E"/>
    <w:rsid w:val="0035488E"/>
    <w:rsid w:val="00354901"/>
    <w:rsid w:val="0035498B"/>
    <w:rsid w:val="0035498D"/>
    <w:rsid w:val="003549C0"/>
    <w:rsid w:val="003549F4"/>
    <w:rsid w:val="003549FB"/>
    <w:rsid w:val="00354DA1"/>
    <w:rsid w:val="00354ECB"/>
    <w:rsid w:val="00355123"/>
    <w:rsid w:val="003551B7"/>
    <w:rsid w:val="003552C1"/>
    <w:rsid w:val="00355384"/>
    <w:rsid w:val="003554F0"/>
    <w:rsid w:val="003555E4"/>
    <w:rsid w:val="003558C9"/>
    <w:rsid w:val="003558E2"/>
    <w:rsid w:val="00356157"/>
    <w:rsid w:val="0035615A"/>
    <w:rsid w:val="0035633E"/>
    <w:rsid w:val="00356434"/>
    <w:rsid w:val="0035644B"/>
    <w:rsid w:val="0035651A"/>
    <w:rsid w:val="003567E1"/>
    <w:rsid w:val="00356849"/>
    <w:rsid w:val="003568AD"/>
    <w:rsid w:val="00356AA1"/>
    <w:rsid w:val="00356BA3"/>
    <w:rsid w:val="00357153"/>
    <w:rsid w:val="0035718D"/>
    <w:rsid w:val="0035735E"/>
    <w:rsid w:val="00357580"/>
    <w:rsid w:val="00357641"/>
    <w:rsid w:val="003577E6"/>
    <w:rsid w:val="00357C3A"/>
    <w:rsid w:val="00357F66"/>
    <w:rsid w:val="00357F8D"/>
    <w:rsid w:val="003600A4"/>
    <w:rsid w:val="00360391"/>
    <w:rsid w:val="003603BD"/>
    <w:rsid w:val="00360744"/>
    <w:rsid w:val="003608B0"/>
    <w:rsid w:val="00360A16"/>
    <w:rsid w:val="00360A90"/>
    <w:rsid w:val="00360B04"/>
    <w:rsid w:val="0036105C"/>
    <w:rsid w:val="003610BF"/>
    <w:rsid w:val="0036115D"/>
    <w:rsid w:val="00361560"/>
    <w:rsid w:val="003615C9"/>
    <w:rsid w:val="00361825"/>
    <w:rsid w:val="00361AB0"/>
    <w:rsid w:val="00361C12"/>
    <w:rsid w:val="00361F48"/>
    <w:rsid w:val="0036207C"/>
    <w:rsid w:val="003623E2"/>
    <w:rsid w:val="00362598"/>
    <w:rsid w:val="00362727"/>
    <w:rsid w:val="003628C6"/>
    <w:rsid w:val="003629AD"/>
    <w:rsid w:val="003629BE"/>
    <w:rsid w:val="00362A76"/>
    <w:rsid w:val="00362AA4"/>
    <w:rsid w:val="00362AFF"/>
    <w:rsid w:val="00362BCC"/>
    <w:rsid w:val="00362C2D"/>
    <w:rsid w:val="00362FDA"/>
    <w:rsid w:val="0036301F"/>
    <w:rsid w:val="00363126"/>
    <w:rsid w:val="0036347E"/>
    <w:rsid w:val="003634BB"/>
    <w:rsid w:val="003634F2"/>
    <w:rsid w:val="003637C1"/>
    <w:rsid w:val="0036387E"/>
    <w:rsid w:val="00363C10"/>
    <w:rsid w:val="00363D27"/>
    <w:rsid w:val="00363DE1"/>
    <w:rsid w:val="00363E47"/>
    <w:rsid w:val="00363E88"/>
    <w:rsid w:val="003641BE"/>
    <w:rsid w:val="00364374"/>
    <w:rsid w:val="00364484"/>
    <w:rsid w:val="0036448A"/>
    <w:rsid w:val="003646F2"/>
    <w:rsid w:val="00364777"/>
    <w:rsid w:val="00364802"/>
    <w:rsid w:val="00364C61"/>
    <w:rsid w:val="00364C82"/>
    <w:rsid w:val="00364DCE"/>
    <w:rsid w:val="003655B9"/>
    <w:rsid w:val="00365656"/>
    <w:rsid w:val="00365674"/>
    <w:rsid w:val="00365768"/>
    <w:rsid w:val="003657C1"/>
    <w:rsid w:val="00365BA2"/>
    <w:rsid w:val="00365D35"/>
    <w:rsid w:val="00366230"/>
    <w:rsid w:val="00366532"/>
    <w:rsid w:val="00366906"/>
    <w:rsid w:val="0036693E"/>
    <w:rsid w:val="00366F8D"/>
    <w:rsid w:val="00366FB5"/>
    <w:rsid w:val="003672A7"/>
    <w:rsid w:val="003673C8"/>
    <w:rsid w:val="003676E2"/>
    <w:rsid w:val="003677C8"/>
    <w:rsid w:val="00367841"/>
    <w:rsid w:val="00367A6A"/>
    <w:rsid w:val="00367BB1"/>
    <w:rsid w:val="00367DFE"/>
    <w:rsid w:val="00367E13"/>
    <w:rsid w:val="0037026B"/>
    <w:rsid w:val="0037037E"/>
    <w:rsid w:val="0037050C"/>
    <w:rsid w:val="003706D1"/>
    <w:rsid w:val="003706D2"/>
    <w:rsid w:val="0037070F"/>
    <w:rsid w:val="00370C06"/>
    <w:rsid w:val="00370CD8"/>
    <w:rsid w:val="00370D36"/>
    <w:rsid w:val="00370DF1"/>
    <w:rsid w:val="00370E6E"/>
    <w:rsid w:val="00370FD8"/>
    <w:rsid w:val="00371003"/>
    <w:rsid w:val="00371211"/>
    <w:rsid w:val="0037136E"/>
    <w:rsid w:val="003713B8"/>
    <w:rsid w:val="003713DB"/>
    <w:rsid w:val="003713E2"/>
    <w:rsid w:val="003715DB"/>
    <w:rsid w:val="00371817"/>
    <w:rsid w:val="0037187E"/>
    <w:rsid w:val="00371CBD"/>
    <w:rsid w:val="00371D08"/>
    <w:rsid w:val="00371FD5"/>
    <w:rsid w:val="0037203F"/>
    <w:rsid w:val="00372131"/>
    <w:rsid w:val="00372192"/>
    <w:rsid w:val="003721AE"/>
    <w:rsid w:val="003722EF"/>
    <w:rsid w:val="00372384"/>
    <w:rsid w:val="00372781"/>
    <w:rsid w:val="0037291C"/>
    <w:rsid w:val="00372A36"/>
    <w:rsid w:val="00372C66"/>
    <w:rsid w:val="00373010"/>
    <w:rsid w:val="00373045"/>
    <w:rsid w:val="0037305B"/>
    <w:rsid w:val="00373261"/>
    <w:rsid w:val="00373363"/>
    <w:rsid w:val="00373395"/>
    <w:rsid w:val="003733FE"/>
    <w:rsid w:val="0037363F"/>
    <w:rsid w:val="00373665"/>
    <w:rsid w:val="003736C4"/>
    <w:rsid w:val="00373741"/>
    <w:rsid w:val="00373909"/>
    <w:rsid w:val="00373939"/>
    <w:rsid w:val="00373971"/>
    <w:rsid w:val="00373C18"/>
    <w:rsid w:val="00373CC4"/>
    <w:rsid w:val="00373D4B"/>
    <w:rsid w:val="00373E22"/>
    <w:rsid w:val="00373F88"/>
    <w:rsid w:val="0037454A"/>
    <w:rsid w:val="00374719"/>
    <w:rsid w:val="00374813"/>
    <w:rsid w:val="00374A0A"/>
    <w:rsid w:val="00374AB7"/>
    <w:rsid w:val="00374BA0"/>
    <w:rsid w:val="00374C83"/>
    <w:rsid w:val="003750D3"/>
    <w:rsid w:val="003751CA"/>
    <w:rsid w:val="003751CB"/>
    <w:rsid w:val="00375359"/>
    <w:rsid w:val="0037558B"/>
    <w:rsid w:val="003755EF"/>
    <w:rsid w:val="00375727"/>
    <w:rsid w:val="0037572C"/>
    <w:rsid w:val="00375950"/>
    <w:rsid w:val="00375AE5"/>
    <w:rsid w:val="00375C0D"/>
    <w:rsid w:val="00375D9D"/>
    <w:rsid w:val="00375DBF"/>
    <w:rsid w:val="0037601D"/>
    <w:rsid w:val="003760A1"/>
    <w:rsid w:val="0037618E"/>
    <w:rsid w:val="00376560"/>
    <w:rsid w:val="0037665F"/>
    <w:rsid w:val="0037696E"/>
    <w:rsid w:val="00376AD0"/>
    <w:rsid w:val="0037712C"/>
    <w:rsid w:val="00377179"/>
    <w:rsid w:val="0037742A"/>
    <w:rsid w:val="00377523"/>
    <w:rsid w:val="00377597"/>
    <w:rsid w:val="003777B1"/>
    <w:rsid w:val="003779FE"/>
    <w:rsid w:val="00377AF7"/>
    <w:rsid w:val="00377C35"/>
    <w:rsid w:val="00377C60"/>
    <w:rsid w:val="00377CD0"/>
    <w:rsid w:val="00377F32"/>
    <w:rsid w:val="00380004"/>
    <w:rsid w:val="003802A5"/>
    <w:rsid w:val="003802D9"/>
    <w:rsid w:val="003805C3"/>
    <w:rsid w:val="00380760"/>
    <w:rsid w:val="00380814"/>
    <w:rsid w:val="00380B52"/>
    <w:rsid w:val="00380B86"/>
    <w:rsid w:val="00380C91"/>
    <w:rsid w:val="0038105F"/>
    <w:rsid w:val="0038148D"/>
    <w:rsid w:val="0038152F"/>
    <w:rsid w:val="00381A37"/>
    <w:rsid w:val="00381A4B"/>
    <w:rsid w:val="00381A72"/>
    <w:rsid w:val="00381BC4"/>
    <w:rsid w:val="00381E2C"/>
    <w:rsid w:val="00381EC1"/>
    <w:rsid w:val="00381EE0"/>
    <w:rsid w:val="00381F09"/>
    <w:rsid w:val="00381F1F"/>
    <w:rsid w:val="00381F5C"/>
    <w:rsid w:val="0038222D"/>
    <w:rsid w:val="003823DE"/>
    <w:rsid w:val="00382574"/>
    <w:rsid w:val="00382680"/>
    <w:rsid w:val="0038269B"/>
    <w:rsid w:val="003827C5"/>
    <w:rsid w:val="00382941"/>
    <w:rsid w:val="00382B9A"/>
    <w:rsid w:val="00382E08"/>
    <w:rsid w:val="0038384F"/>
    <w:rsid w:val="00383A96"/>
    <w:rsid w:val="00383BF5"/>
    <w:rsid w:val="00383E71"/>
    <w:rsid w:val="00383E72"/>
    <w:rsid w:val="00383F40"/>
    <w:rsid w:val="003840A0"/>
    <w:rsid w:val="00384110"/>
    <w:rsid w:val="0038435C"/>
    <w:rsid w:val="00384492"/>
    <w:rsid w:val="00384B00"/>
    <w:rsid w:val="00384B24"/>
    <w:rsid w:val="00384F11"/>
    <w:rsid w:val="00384F27"/>
    <w:rsid w:val="00384FF4"/>
    <w:rsid w:val="0038501E"/>
    <w:rsid w:val="003850CC"/>
    <w:rsid w:val="00385122"/>
    <w:rsid w:val="00385204"/>
    <w:rsid w:val="0038554E"/>
    <w:rsid w:val="003856AA"/>
    <w:rsid w:val="0038581B"/>
    <w:rsid w:val="00385937"/>
    <w:rsid w:val="00386243"/>
    <w:rsid w:val="00386473"/>
    <w:rsid w:val="003864F0"/>
    <w:rsid w:val="00386519"/>
    <w:rsid w:val="003865EB"/>
    <w:rsid w:val="003866BD"/>
    <w:rsid w:val="003866E1"/>
    <w:rsid w:val="003867F7"/>
    <w:rsid w:val="00386A95"/>
    <w:rsid w:val="00386C6D"/>
    <w:rsid w:val="0038701F"/>
    <w:rsid w:val="00387216"/>
    <w:rsid w:val="00387262"/>
    <w:rsid w:val="003875E9"/>
    <w:rsid w:val="00387652"/>
    <w:rsid w:val="0038787D"/>
    <w:rsid w:val="00387A35"/>
    <w:rsid w:val="00387C16"/>
    <w:rsid w:val="00387D6D"/>
    <w:rsid w:val="00387F5E"/>
    <w:rsid w:val="00390096"/>
    <w:rsid w:val="003900EF"/>
    <w:rsid w:val="00390383"/>
    <w:rsid w:val="00390405"/>
    <w:rsid w:val="00390862"/>
    <w:rsid w:val="00390960"/>
    <w:rsid w:val="00390A2B"/>
    <w:rsid w:val="00390CB1"/>
    <w:rsid w:val="00390E14"/>
    <w:rsid w:val="00390F17"/>
    <w:rsid w:val="00390FB8"/>
    <w:rsid w:val="0039118E"/>
    <w:rsid w:val="003912DB"/>
    <w:rsid w:val="00391392"/>
    <w:rsid w:val="0039145B"/>
    <w:rsid w:val="003914DF"/>
    <w:rsid w:val="00391924"/>
    <w:rsid w:val="00391C79"/>
    <w:rsid w:val="00391D06"/>
    <w:rsid w:val="00391F59"/>
    <w:rsid w:val="00391F89"/>
    <w:rsid w:val="003924CB"/>
    <w:rsid w:val="0039262A"/>
    <w:rsid w:val="00392640"/>
    <w:rsid w:val="0039295E"/>
    <w:rsid w:val="00392962"/>
    <w:rsid w:val="00392A58"/>
    <w:rsid w:val="00392B22"/>
    <w:rsid w:val="00392B2C"/>
    <w:rsid w:val="00392C9D"/>
    <w:rsid w:val="00392DE0"/>
    <w:rsid w:val="00392E94"/>
    <w:rsid w:val="00393022"/>
    <w:rsid w:val="00393669"/>
    <w:rsid w:val="00393844"/>
    <w:rsid w:val="00393AEB"/>
    <w:rsid w:val="00393B1E"/>
    <w:rsid w:val="00393DE2"/>
    <w:rsid w:val="00393E69"/>
    <w:rsid w:val="00393F3E"/>
    <w:rsid w:val="0039412D"/>
    <w:rsid w:val="00394253"/>
    <w:rsid w:val="003945F7"/>
    <w:rsid w:val="00394628"/>
    <w:rsid w:val="003947DB"/>
    <w:rsid w:val="0039485C"/>
    <w:rsid w:val="00394995"/>
    <w:rsid w:val="00394E11"/>
    <w:rsid w:val="00394E1B"/>
    <w:rsid w:val="00394FD9"/>
    <w:rsid w:val="00395109"/>
    <w:rsid w:val="00395374"/>
    <w:rsid w:val="003953B7"/>
    <w:rsid w:val="0039560C"/>
    <w:rsid w:val="00395665"/>
    <w:rsid w:val="0039592E"/>
    <w:rsid w:val="00395A98"/>
    <w:rsid w:val="00395D3E"/>
    <w:rsid w:val="00395EE9"/>
    <w:rsid w:val="00395F39"/>
    <w:rsid w:val="00395F4D"/>
    <w:rsid w:val="00395F8E"/>
    <w:rsid w:val="00396051"/>
    <w:rsid w:val="003961C1"/>
    <w:rsid w:val="00396373"/>
    <w:rsid w:val="0039648E"/>
    <w:rsid w:val="003964A3"/>
    <w:rsid w:val="00396765"/>
    <w:rsid w:val="00396841"/>
    <w:rsid w:val="00396A99"/>
    <w:rsid w:val="00396D2F"/>
    <w:rsid w:val="00396D8F"/>
    <w:rsid w:val="00396E66"/>
    <w:rsid w:val="0039722C"/>
    <w:rsid w:val="003975E8"/>
    <w:rsid w:val="00397787"/>
    <w:rsid w:val="0039785C"/>
    <w:rsid w:val="0039786B"/>
    <w:rsid w:val="00397A8E"/>
    <w:rsid w:val="00397BD3"/>
    <w:rsid w:val="00397D20"/>
    <w:rsid w:val="00397E8E"/>
    <w:rsid w:val="00397EA8"/>
    <w:rsid w:val="00397F69"/>
    <w:rsid w:val="003A000C"/>
    <w:rsid w:val="003A03BA"/>
    <w:rsid w:val="003A0758"/>
    <w:rsid w:val="003A08E5"/>
    <w:rsid w:val="003A0B4E"/>
    <w:rsid w:val="003A0B86"/>
    <w:rsid w:val="003A0D00"/>
    <w:rsid w:val="003A0FA8"/>
    <w:rsid w:val="003A1670"/>
    <w:rsid w:val="003A1835"/>
    <w:rsid w:val="003A1B3C"/>
    <w:rsid w:val="003A1D8F"/>
    <w:rsid w:val="003A2038"/>
    <w:rsid w:val="003A20A6"/>
    <w:rsid w:val="003A211C"/>
    <w:rsid w:val="003A25DB"/>
    <w:rsid w:val="003A26CB"/>
    <w:rsid w:val="003A2885"/>
    <w:rsid w:val="003A28E2"/>
    <w:rsid w:val="003A2991"/>
    <w:rsid w:val="003A2ADE"/>
    <w:rsid w:val="003A2B67"/>
    <w:rsid w:val="003A2D06"/>
    <w:rsid w:val="003A2E96"/>
    <w:rsid w:val="003A31EC"/>
    <w:rsid w:val="003A3222"/>
    <w:rsid w:val="003A32AF"/>
    <w:rsid w:val="003A32F4"/>
    <w:rsid w:val="003A32FB"/>
    <w:rsid w:val="003A33FE"/>
    <w:rsid w:val="003A353D"/>
    <w:rsid w:val="003A35D8"/>
    <w:rsid w:val="003A3687"/>
    <w:rsid w:val="003A3AC6"/>
    <w:rsid w:val="003A3BDC"/>
    <w:rsid w:val="003A3BE2"/>
    <w:rsid w:val="003A3F62"/>
    <w:rsid w:val="003A4066"/>
    <w:rsid w:val="003A4071"/>
    <w:rsid w:val="003A40E0"/>
    <w:rsid w:val="003A4166"/>
    <w:rsid w:val="003A4357"/>
    <w:rsid w:val="003A4466"/>
    <w:rsid w:val="003A49FB"/>
    <w:rsid w:val="003A4BEE"/>
    <w:rsid w:val="003A4DD2"/>
    <w:rsid w:val="003A4E86"/>
    <w:rsid w:val="003A519B"/>
    <w:rsid w:val="003A5274"/>
    <w:rsid w:val="003A52A0"/>
    <w:rsid w:val="003A52EC"/>
    <w:rsid w:val="003A536E"/>
    <w:rsid w:val="003A53ED"/>
    <w:rsid w:val="003A57D9"/>
    <w:rsid w:val="003A5A9B"/>
    <w:rsid w:val="003A5ABB"/>
    <w:rsid w:val="003A5C3D"/>
    <w:rsid w:val="003A602F"/>
    <w:rsid w:val="003A610B"/>
    <w:rsid w:val="003A61A1"/>
    <w:rsid w:val="003A63DD"/>
    <w:rsid w:val="003A658C"/>
    <w:rsid w:val="003A670F"/>
    <w:rsid w:val="003A6809"/>
    <w:rsid w:val="003A689D"/>
    <w:rsid w:val="003A6962"/>
    <w:rsid w:val="003A6A30"/>
    <w:rsid w:val="003A6C9D"/>
    <w:rsid w:val="003A6D20"/>
    <w:rsid w:val="003A6D2A"/>
    <w:rsid w:val="003A6E39"/>
    <w:rsid w:val="003A717E"/>
    <w:rsid w:val="003A71F4"/>
    <w:rsid w:val="003A7239"/>
    <w:rsid w:val="003A733C"/>
    <w:rsid w:val="003A73F9"/>
    <w:rsid w:val="003A757C"/>
    <w:rsid w:val="003A79CB"/>
    <w:rsid w:val="003A7A93"/>
    <w:rsid w:val="003A7B40"/>
    <w:rsid w:val="003A7CB4"/>
    <w:rsid w:val="003A7E43"/>
    <w:rsid w:val="003A7ED1"/>
    <w:rsid w:val="003B0225"/>
    <w:rsid w:val="003B04B3"/>
    <w:rsid w:val="003B0542"/>
    <w:rsid w:val="003B0784"/>
    <w:rsid w:val="003B087C"/>
    <w:rsid w:val="003B0A20"/>
    <w:rsid w:val="003B0AAB"/>
    <w:rsid w:val="003B0C35"/>
    <w:rsid w:val="003B0E9E"/>
    <w:rsid w:val="003B0FA0"/>
    <w:rsid w:val="003B0FDA"/>
    <w:rsid w:val="003B10F2"/>
    <w:rsid w:val="003B126A"/>
    <w:rsid w:val="003B12C8"/>
    <w:rsid w:val="003B1378"/>
    <w:rsid w:val="003B160D"/>
    <w:rsid w:val="003B194B"/>
    <w:rsid w:val="003B1E86"/>
    <w:rsid w:val="003B1E9C"/>
    <w:rsid w:val="003B1EDB"/>
    <w:rsid w:val="003B1FC0"/>
    <w:rsid w:val="003B22E8"/>
    <w:rsid w:val="003B2505"/>
    <w:rsid w:val="003B281D"/>
    <w:rsid w:val="003B2918"/>
    <w:rsid w:val="003B2992"/>
    <w:rsid w:val="003B2A90"/>
    <w:rsid w:val="003B2AFD"/>
    <w:rsid w:val="003B2B2E"/>
    <w:rsid w:val="003B2DB1"/>
    <w:rsid w:val="003B2E0E"/>
    <w:rsid w:val="003B2EBC"/>
    <w:rsid w:val="003B30FD"/>
    <w:rsid w:val="003B314A"/>
    <w:rsid w:val="003B32D3"/>
    <w:rsid w:val="003B3575"/>
    <w:rsid w:val="003B3A93"/>
    <w:rsid w:val="003B3AF7"/>
    <w:rsid w:val="003B4077"/>
    <w:rsid w:val="003B43E2"/>
    <w:rsid w:val="003B4456"/>
    <w:rsid w:val="003B4617"/>
    <w:rsid w:val="003B47D4"/>
    <w:rsid w:val="003B488B"/>
    <w:rsid w:val="003B4A81"/>
    <w:rsid w:val="003B4B4F"/>
    <w:rsid w:val="003B4D75"/>
    <w:rsid w:val="003B4ED8"/>
    <w:rsid w:val="003B4F34"/>
    <w:rsid w:val="003B4F70"/>
    <w:rsid w:val="003B51E0"/>
    <w:rsid w:val="003B5254"/>
    <w:rsid w:val="003B5683"/>
    <w:rsid w:val="003B5685"/>
    <w:rsid w:val="003B572C"/>
    <w:rsid w:val="003B5A00"/>
    <w:rsid w:val="003B5A6D"/>
    <w:rsid w:val="003B5B9E"/>
    <w:rsid w:val="003B5D50"/>
    <w:rsid w:val="003B5D84"/>
    <w:rsid w:val="003B5E3A"/>
    <w:rsid w:val="003B613A"/>
    <w:rsid w:val="003B6174"/>
    <w:rsid w:val="003B6463"/>
    <w:rsid w:val="003B6A89"/>
    <w:rsid w:val="003B6B40"/>
    <w:rsid w:val="003B6B85"/>
    <w:rsid w:val="003B6C0B"/>
    <w:rsid w:val="003B6C32"/>
    <w:rsid w:val="003B6C6C"/>
    <w:rsid w:val="003B6F0F"/>
    <w:rsid w:val="003B73A5"/>
    <w:rsid w:val="003B75F2"/>
    <w:rsid w:val="003B792F"/>
    <w:rsid w:val="003B7963"/>
    <w:rsid w:val="003B79F6"/>
    <w:rsid w:val="003B7C31"/>
    <w:rsid w:val="003B7DAD"/>
    <w:rsid w:val="003B7F84"/>
    <w:rsid w:val="003C0041"/>
    <w:rsid w:val="003C0106"/>
    <w:rsid w:val="003C0472"/>
    <w:rsid w:val="003C04F4"/>
    <w:rsid w:val="003C05BD"/>
    <w:rsid w:val="003C08E3"/>
    <w:rsid w:val="003C0A1C"/>
    <w:rsid w:val="003C0A74"/>
    <w:rsid w:val="003C0B27"/>
    <w:rsid w:val="003C1177"/>
    <w:rsid w:val="003C13A1"/>
    <w:rsid w:val="003C1442"/>
    <w:rsid w:val="003C17C1"/>
    <w:rsid w:val="003C18AE"/>
    <w:rsid w:val="003C1937"/>
    <w:rsid w:val="003C194E"/>
    <w:rsid w:val="003C1F20"/>
    <w:rsid w:val="003C2098"/>
    <w:rsid w:val="003C222D"/>
    <w:rsid w:val="003C236F"/>
    <w:rsid w:val="003C23CD"/>
    <w:rsid w:val="003C24B0"/>
    <w:rsid w:val="003C27AA"/>
    <w:rsid w:val="003C2ABA"/>
    <w:rsid w:val="003C2DE0"/>
    <w:rsid w:val="003C3191"/>
    <w:rsid w:val="003C320B"/>
    <w:rsid w:val="003C320C"/>
    <w:rsid w:val="003C353D"/>
    <w:rsid w:val="003C3602"/>
    <w:rsid w:val="003C37B1"/>
    <w:rsid w:val="003C37D6"/>
    <w:rsid w:val="003C3896"/>
    <w:rsid w:val="003C39B9"/>
    <w:rsid w:val="003C39FC"/>
    <w:rsid w:val="003C3D06"/>
    <w:rsid w:val="003C3DD7"/>
    <w:rsid w:val="003C3FDD"/>
    <w:rsid w:val="003C42E2"/>
    <w:rsid w:val="003C43C4"/>
    <w:rsid w:val="003C4592"/>
    <w:rsid w:val="003C494D"/>
    <w:rsid w:val="003C49EC"/>
    <w:rsid w:val="003C4C42"/>
    <w:rsid w:val="003C4C60"/>
    <w:rsid w:val="003C4DA4"/>
    <w:rsid w:val="003C4EAD"/>
    <w:rsid w:val="003C5003"/>
    <w:rsid w:val="003C5B9E"/>
    <w:rsid w:val="003C5DED"/>
    <w:rsid w:val="003C5EC9"/>
    <w:rsid w:val="003C5F9A"/>
    <w:rsid w:val="003C61E5"/>
    <w:rsid w:val="003C6384"/>
    <w:rsid w:val="003C63B0"/>
    <w:rsid w:val="003C63B1"/>
    <w:rsid w:val="003C6552"/>
    <w:rsid w:val="003C6564"/>
    <w:rsid w:val="003C672A"/>
    <w:rsid w:val="003C6915"/>
    <w:rsid w:val="003C6AAA"/>
    <w:rsid w:val="003C6B02"/>
    <w:rsid w:val="003C6CB9"/>
    <w:rsid w:val="003C717B"/>
    <w:rsid w:val="003C73F4"/>
    <w:rsid w:val="003C7557"/>
    <w:rsid w:val="003C76CA"/>
    <w:rsid w:val="003C77BF"/>
    <w:rsid w:val="003C79C1"/>
    <w:rsid w:val="003C7A2F"/>
    <w:rsid w:val="003C7BBF"/>
    <w:rsid w:val="003C7D9F"/>
    <w:rsid w:val="003CDDC9"/>
    <w:rsid w:val="003D0083"/>
    <w:rsid w:val="003D01C7"/>
    <w:rsid w:val="003D02BD"/>
    <w:rsid w:val="003D0347"/>
    <w:rsid w:val="003D0374"/>
    <w:rsid w:val="003D04A0"/>
    <w:rsid w:val="003D09DD"/>
    <w:rsid w:val="003D0C1B"/>
    <w:rsid w:val="003D0E8D"/>
    <w:rsid w:val="003D0F9A"/>
    <w:rsid w:val="003D0FBF"/>
    <w:rsid w:val="003D10A3"/>
    <w:rsid w:val="003D12A2"/>
    <w:rsid w:val="003D12A7"/>
    <w:rsid w:val="003D1363"/>
    <w:rsid w:val="003D1439"/>
    <w:rsid w:val="003D14B9"/>
    <w:rsid w:val="003D1655"/>
    <w:rsid w:val="003D1703"/>
    <w:rsid w:val="003D180A"/>
    <w:rsid w:val="003D1ADC"/>
    <w:rsid w:val="003D1BA3"/>
    <w:rsid w:val="003D1C20"/>
    <w:rsid w:val="003D1C4E"/>
    <w:rsid w:val="003D1CDE"/>
    <w:rsid w:val="003D1DCF"/>
    <w:rsid w:val="003D2206"/>
    <w:rsid w:val="003D2312"/>
    <w:rsid w:val="003D249C"/>
    <w:rsid w:val="003D256B"/>
    <w:rsid w:val="003D2633"/>
    <w:rsid w:val="003D2778"/>
    <w:rsid w:val="003D2980"/>
    <w:rsid w:val="003D2BB1"/>
    <w:rsid w:val="003D2BFE"/>
    <w:rsid w:val="003D30A4"/>
    <w:rsid w:val="003D319B"/>
    <w:rsid w:val="003D31B2"/>
    <w:rsid w:val="003D3354"/>
    <w:rsid w:val="003D34F3"/>
    <w:rsid w:val="003D3518"/>
    <w:rsid w:val="003D35ED"/>
    <w:rsid w:val="003D3A42"/>
    <w:rsid w:val="003D3D7F"/>
    <w:rsid w:val="003D3EFD"/>
    <w:rsid w:val="003D3FC5"/>
    <w:rsid w:val="003D3FE3"/>
    <w:rsid w:val="003D41CD"/>
    <w:rsid w:val="003D4248"/>
    <w:rsid w:val="003D44F8"/>
    <w:rsid w:val="003D4735"/>
    <w:rsid w:val="003D47AF"/>
    <w:rsid w:val="003D47D6"/>
    <w:rsid w:val="003D4A13"/>
    <w:rsid w:val="003D4AD2"/>
    <w:rsid w:val="003D4B0B"/>
    <w:rsid w:val="003D4BFD"/>
    <w:rsid w:val="003D4C97"/>
    <w:rsid w:val="003D50A2"/>
    <w:rsid w:val="003D5155"/>
    <w:rsid w:val="003D5395"/>
    <w:rsid w:val="003D5994"/>
    <w:rsid w:val="003D5A8D"/>
    <w:rsid w:val="003D5DA7"/>
    <w:rsid w:val="003D5DCC"/>
    <w:rsid w:val="003D5EF4"/>
    <w:rsid w:val="003D5FBF"/>
    <w:rsid w:val="003D6055"/>
    <w:rsid w:val="003D6101"/>
    <w:rsid w:val="003D643F"/>
    <w:rsid w:val="003D6467"/>
    <w:rsid w:val="003D65B8"/>
    <w:rsid w:val="003D6614"/>
    <w:rsid w:val="003D6725"/>
    <w:rsid w:val="003D68E0"/>
    <w:rsid w:val="003D69BA"/>
    <w:rsid w:val="003D6BE2"/>
    <w:rsid w:val="003D6E70"/>
    <w:rsid w:val="003D6EA0"/>
    <w:rsid w:val="003D6F4B"/>
    <w:rsid w:val="003D6FBB"/>
    <w:rsid w:val="003D722E"/>
    <w:rsid w:val="003D7260"/>
    <w:rsid w:val="003D7589"/>
    <w:rsid w:val="003D78D7"/>
    <w:rsid w:val="003D7C43"/>
    <w:rsid w:val="003D7D21"/>
    <w:rsid w:val="003E002F"/>
    <w:rsid w:val="003E0219"/>
    <w:rsid w:val="003E029E"/>
    <w:rsid w:val="003E02EA"/>
    <w:rsid w:val="003E05EC"/>
    <w:rsid w:val="003E074F"/>
    <w:rsid w:val="003E081D"/>
    <w:rsid w:val="003E0879"/>
    <w:rsid w:val="003E0E33"/>
    <w:rsid w:val="003E1000"/>
    <w:rsid w:val="003E105E"/>
    <w:rsid w:val="003E106A"/>
    <w:rsid w:val="003E1121"/>
    <w:rsid w:val="003E12DF"/>
    <w:rsid w:val="003E1543"/>
    <w:rsid w:val="003E15EE"/>
    <w:rsid w:val="003E1656"/>
    <w:rsid w:val="003E1745"/>
    <w:rsid w:val="003E1771"/>
    <w:rsid w:val="003E1BF5"/>
    <w:rsid w:val="003E1DDC"/>
    <w:rsid w:val="003E1FD4"/>
    <w:rsid w:val="003E1FDC"/>
    <w:rsid w:val="003E1FE5"/>
    <w:rsid w:val="003E24B2"/>
    <w:rsid w:val="003E253F"/>
    <w:rsid w:val="003E2697"/>
    <w:rsid w:val="003E281D"/>
    <w:rsid w:val="003E28EB"/>
    <w:rsid w:val="003E2914"/>
    <w:rsid w:val="003E2AB8"/>
    <w:rsid w:val="003E2BA1"/>
    <w:rsid w:val="003E2D98"/>
    <w:rsid w:val="003E2F94"/>
    <w:rsid w:val="003E2FD3"/>
    <w:rsid w:val="003E3026"/>
    <w:rsid w:val="003E318D"/>
    <w:rsid w:val="003E363A"/>
    <w:rsid w:val="003E3651"/>
    <w:rsid w:val="003E3740"/>
    <w:rsid w:val="003E3A05"/>
    <w:rsid w:val="003E3B41"/>
    <w:rsid w:val="003E3CC4"/>
    <w:rsid w:val="003E3DA9"/>
    <w:rsid w:val="003E3DD7"/>
    <w:rsid w:val="003E3E8E"/>
    <w:rsid w:val="003E417D"/>
    <w:rsid w:val="003E420E"/>
    <w:rsid w:val="003E42FA"/>
    <w:rsid w:val="003E4512"/>
    <w:rsid w:val="003E455F"/>
    <w:rsid w:val="003E4619"/>
    <w:rsid w:val="003E489F"/>
    <w:rsid w:val="003E4943"/>
    <w:rsid w:val="003E49CC"/>
    <w:rsid w:val="003E49FE"/>
    <w:rsid w:val="003E4A06"/>
    <w:rsid w:val="003E4ABE"/>
    <w:rsid w:val="003E4BAC"/>
    <w:rsid w:val="003E4C4B"/>
    <w:rsid w:val="003E4D9E"/>
    <w:rsid w:val="003E4E08"/>
    <w:rsid w:val="003E51D0"/>
    <w:rsid w:val="003E5221"/>
    <w:rsid w:val="003E5444"/>
    <w:rsid w:val="003E5D11"/>
    <w:rsid w:val="003E5EAA"/>
    <w:rsid w:val="003E5F32"/>
    <w:rsid w:val="003E6485"/>
    <w:rsid w:val="003E657B"/>
    <w:rsid w:val="003E670B"/>
    <w:rsid w:val="003E6B46"/>
    <w:rsid w:val="003E6B80"/>
    <w:rsid w:val="003E6CB7"/>
    <w:rsid w:val="003E7396"/>
    <w:rsid w:val="003E7832"/>
    <w:rsid w:val="003E7856"/>
    <w:rsid w:val="003E792F"/>
    <w:rsid w:val="003E79EB"/>
    <w:rsid w:val="003E7DF5"/>
    <w:rsid w:val="003E7E0C"/>
    <w:rsid w:val="003E7F8C"/>
    <w:rsid w:val="003F012C"/>
    <w:rsid w:val="003F0206"/>
    <w:rsid w:val="003F032D"/>
    <w:rsid w:val="003F0605"/>
    <w:rsid w:val="003F0727"/>
    <w:rsid w:val="003F08F6"/>
    <w:rsid w:val="003F0A19"/>
    <w:rsid w:val="003F0ABF"/>
    <w:rsid w:val="003F0C3D"/>
    <w:rsid w:val="003F0E99"/>
    <w:rsid w:val="003F15D9"/>
    <w:rsid w:val="003F166C"/>
    <w:rsid w:val="003F1AAF"/>
    <w:rsid w:val="003F2554"/>
    <w:rsid w:val="003F28E8"/>
    <w:rsid w:val="003F2A3E"/>
    <w:rsid w:val="003F2B8A"/>
    <w:rsid w:val="003F2C20"/>
    <w:rsid w:val="003F2D53"/>
    <w:rsid w:val="003F2EB5"/>
    <w:rsid w:val="003F3177"/>
    <w:rsid w:val="003F31B9"/>
    <w:rsid w:val="003F321D"/>
    <w:rsid w:val="003F337B"/>
    <w:rsid w:val="003F37AF"/>
    <w:rsid w:val="003F3971"/>
    <w:rsid w:val="003F3A96"/>
    <w:rsid w:val="003F3B8B"/>
    <w:rsid w:val="003F4083"/>
    <w:rsid w:val="003F416A"/>
    <w:rsid w:val="003F4254"/>
    <w:rsid w:val="003F4558"/>
    <w:rsid w:val="003F467E"/>
    <w:rsid w:val="003F46A1"/>
    <w:rsid w:val="003F4B43"/>
    <w:rsid w:val="003F4DD7"/>
    <w:rsid w:val="003F530C"/>
    <w:rsid w:val="003F556F"/>
    <w:rsid w:val="003F55C0"/>
    <w:rsid w:val="003F57ED"/>
    <w:rsid w:val="003F5C69"/>
    <w:rsid w:val="003F5CB7"/>
    <w:rsid w:val="003F5D3D"/>
    <w:rsid w:val="003F5F6E"/>
    <w:rsid w:val="003F612D"/>
    <w:rsid w:val="003F6331"/>
    <w:rsid w:val="003F659D"/>
    <w:rsid w:val="003F6631"/>
    <w:rsid w:val="003F6674"/>
    <w:rsid w:val="003F6874"/>
    <w:rsid w:val="003F6875"/>
    <w:rsid w:val="003F69ED"/>
    <w:rsid w:val="003F6CED"/>
    <w:rsid w:val="003F7382"/>
    <w:rsid w:val="003F7413"/>
    <w:rsid w:val="003F7584"/>
    <w:rsid w:val="003F76CC"/>
    <w:rsid w:val="003F7B75"/>
    <w:rsid w:val="003F7E9D"/>
    <w:rsid w:val="0040029B"/>
    <w:rsid w:val="004003B6"/>
    <w:rsid w:val="00400714"/>
    <w:rsid w:val="00400957"/>
    <w:rsid w:val="00400C68"/>
    <w:rsid w:val="00400DF5"/>
    <w:rsid w:val="00400EB9"/>
    <w:rsid w:val="00400FDD"/>
    <w:rsid w:val="0040149E"/>
    <w:rsid w:val="0040170A"/>
    <w:rsid w:val="00401763"/>
    <w:rsid w:val="00401AA5"/>
    <w:rsid w:val="00401D33"/>
    <w:rsid w:val="00401F01"/>
    <w:rsid w:val="004020B9"/>
    <w:rsid w:val="00402515"/>
    <w:rsid w:val="00402890"/>
    <w:rsid w:val="004029EA"/>
    <w:rsid w:val="004029EC"/>
    <w:rsid w:val="00402BA7"/>
    <w:rsid w:val="00402BBA"/>
    <w:rsid w:val="00402C6D"/>
    <w:rsid w:val="00402E80"/>
    <w:rsid w:val="00402FC6"/>
    <w:rsid w:val="004031EF"/>
    <w:rsid w:val="004033CA"/>
    <w:rsid w:val="004034A9"/>
    <w:rsid w:val="0040360B"/>
    <w:rsid w:val="00403B06"/>
    <w:rsid w:val="00403CAB"/>
    <w:rsid w:val="0040406E"/>
    <w:rsid w:val="0040426F"/>
    <w:rsid w:val="004048FB"/>
    <w:rsid w:val="00404BE4"/>
    <w:rsid w:val="00404D97"/>
    <w:rsid w:val="0040502F"/>
    <w:rsid w:val="0040518D"/>
    <w:rsid w:val="004053B9"/>
    <w:rsid w:val="004054EB"/>
    <w:rsid w:val="0040561C"/>
    <w:rsid w:val="00405B9C"/>
    <w:rsid w:val="00406212"/>
    <w:rsid w:val="004066C3"/>
    <w:rsid w:val="004067C9"/>
    <w:rsid w:val="004069F3"/>
    <w:rsid w:val="00406BB7"/>
    <w:rsid w:val="00406C46"/>
    <w:rsid w:val="00406D73"/>
    <w:rsid w:val="0040714A"/>
    <w:rsid w:val="004072BF"/>
    <w:rsid w:val="004073B2"/>
    <w:rsid w:val="00407405"/>
    <w:rsid w:val="00407578"/>
    <w:rsid w:val="004076A3"/>
    <w:rsid w:val="004076BD"/>
    <w:rsid w:val="0040770C"/>
    <w:rsid w:val="00407834"/>
    <w:rsid w:val="004078B3"/>
    <w:rsid w:val="00407AB3"/>
    <w:rsid w:val="00407B43"/>
    <w:rsid w:val="00407BE1"/>
    <w:rsid w:val="00407D4A"/>
    <w:rsid w:val="00407EF9"/>
    <w:rsid w:val="0041066D"/>
    <w:rsid w:val="00410671"/>
    <w:rsid w:val="0041072F"/>
    <w:rsid w:val="0041080F"/>
    <w:rsid w:val="00410A58"/>
    <w:rsid w:val="00410BB9"/>
    <w:rsid w:val="00410E31"/>
    <w:rsid w:val="00411035"/>
    <w:rsid w:val="00411606"/>
    <w:rsid w:val="00411979"/>
    <w:rsid w:val="00411A00"/>
    <w:rsid w:val="00411D39"/>
    <w:rsid w:val="00411D3B"/>
    <w:rsid w:val="0041234C"/>
    <w:rsid w:val="0041239F"/>
    <w:rsid w:val="0041242A"/>
    <w:rsid w:val="0041273D"/>
    <w:rsid w:val="00412D82"/>
    <w:rsid w:val="00412F3A"/>
    <w:rsid w:val="004132B8"/>
    <w:rsid w:val="00413530"/>
    <w:rsid w:val="0041362D"/>
    <w:rsid w:val="0041383D"/>
    <w:rsid w:val="00413905"/>
    <w:rsid w:val="00413A32"/>
    <w:rsid w:val="00413ABC"/>
    <w:rsid w:val="00413AE8"/>
    <w:rsid w:val="00413DAB"/>
    <w:rsid w:val="00413E49"/>
    <w:rsid w:val="00413E94"/>
    <w:rsid w:val="00413ED8"/>
    <w:rsid w:val="00413F63"/>
    <w:rsid w:val="00413FC9"/>
    <w:rsid w:val="004140AD"/>
    <w:rsid w:val="004143E3"/>
    <w:rsid w:val="00414815"/>
    <w:rsid w:val="004149EB"/>
    <w:rsid w:val="00414DE1"/>
    <w:rsid w:val="00414E15"/>
    <w:rsid w:val="00415246"/>
    <w:rsid w:val="004154F0"/>
    <w:rsid w:val="004156E2"/>
    <w:rsid w:val="00415707"/>
    <w:rsid w:val="00415735"/>
    <w:rsid w:val="004157B9"/>
    <w:rsid w:val="004159F7"/>
    <w:rsid w:val="00415A07"/>
    <w:rsid w:val="00415A0D"/>
    <w:rsid w:val="00416060"/>
    <w:rsid w:val="00416839"/>
    <w:rsid w:val="00416B15"/>
    <w:rsid w:val="00416B33"/>
    <w:rsid w:val="00416C17"/>
    <w:rsid w:val="00416C37"/>
    <w:rsid w:val="00416F24"/>
    <w:rsid w:val="00416F71"/>
    <w:rsid w:val="00417107"/>
    <w:rsid w:val="00417269"/>
    <w:rsid w:val="004173CE"/>
    <w:rsid w:val="004175A3"/>
    <w:rsid w:val="004175DC"/>
    <w:rsid w:val="00417639"/>
    <w:rsid w:val="004177B5"/>
    <w:rsid w:val="004177F0"/>
    <w:rsid w:val="00417905"/>
    <w:rsid w:val="004179F9"/>
    <w:rsid w:val="00417E3D"/>
    <w:rsid w:val="00417E43"/>
    <w:rsid w:val="00420114"/>
    <w:rsid w:val="00420351"/>
    <w:rsid w:val="00420427"/>
    <w:rsid w:val="00420535"/>
    <w:rsid w:val="004205DA"/>
    <w:rsid w:val="00420822"/>
    <w:rsid w:val="004208B5"/>
    <w:rsid w:val="00420F18"/>
    <w:rsid w:val="00420F1E"/>
    <w:rsid w:val="00420F56"/>
    <w:rsid w:val="004210D4"/>
    <w:rsid w:val="004210E2"/>
    <w:rsid w:val="0042124C"/>
    <w:rsid w:val="004212A5"/>
    <w:rsid w:val="004215EE"/>
    <w:rsid w:val="0042195B"/>
    <w:rsid w:val="004219BB"/>
    <w:rsid w:val="00421BC1"/>
    <w:rsid w:val="00421C2C"/>
    <w:rsid w:val="00421DD4"/>
    <w:rsid w:val="00421E80"/>
    <w:rsid w:val="00422061"/>
    <w:rsid w:val="00422117"/>
    <w:rsid w:val="004224E5"/>
    <w:rsid w:val="00422630"/>
    <w:rsid w:val="004227E7"/>
    <w:rsid w:val="00422899"/>
    <w:rsid w:val="00422A12"/>
    <w:rsid w:val="00422AF8"/>
    <w:rsid w:val="00422C31"/>
    <w:rsid w:val="00422CDA"/>
    <w:rsid w:val="00422DA2"/>
    <w:rsid w:val="00422DC9"/>
    <w:rsid w:val="00423192"/>
    <w:rsid w:val="004231B4"/>
    <w:rsid w:val="0042336F"/>
    <w:rsid w:val="00423454"/>
    <w:rsid w:val="00423608"/>
    <w:rsid w:val="004238A5"/>
    <w:rsid w:val="00423914"/>
    <w:rsid w:val="0042393C"/>
    <w:rsid w:val="00423CDF"/>
    <w:rsid w:val="00423DD8"/>
    <w:rsid w:val="00424020"/>
    <w:rsid w:val="0042429E"/>
    <w:rsid w:val="004242C7"/>
    <w:rsid w:val="004244D7"/>
    <w:rsid w:val="0042477F"/>
    <w:rsid w:val="004248BC"/>
    <w:rsid w:val="0042491E"/>
    <w:rsid w:val="00424975"/>
    <w:rsid w:val="00424B7C"/>
    <w:rsid w:val="004253C8"/>
    <w:rsid w:val="00425490"/>
    <w:rsid w:val="004255BD"/>
    <w:rsid w:val="00425646"/>
    <w:rsid w:val="00425686"/>
    <w:rsid w:val="0042594E"/>
    <w:rsid w:val="00425A18"/>
    <w:rsid w:val="00425AAD"/>
    <w:rsid w:val="00425BF8"/>
    <w:rsid w:val="00425DD3"/>
    <w:rsid w:val="00425E32"/>
    <w:rsid w:val="00425E93"/>
    <w:rsid w:val="00425ECC"/>
    <w:rsid w:val="0042625B"/>
    <w:rsid w:val="00426418"/>
    <w:rsid w:val="00426579"/>
    <w:rsid w:val="0042661F"/>
    <w:rsid w:val="00426622"/>
    <w:rsid w:val="00426656"/>
    <w:rsid w:val="004267F5"/>
    <w:rsid w:val="0042681D"/>
    <w:rsid w:val="00426985"/>
    <w:rsid w:val="00426B2B"/>
    <w:rsid w:val="00426EAE"/>
    <w:rsid w:val="00426FD6"/>
    <w:rsid w:val="0042719F"/>
    <w:rsid w:val="00427240"/>
    <w:rsid w:val="00427369"/>
    <w:rsid w:val="0042753D"/>
    <w:rsid w:val="00427788"/>
    <w:rsid w:val="004278FB"/>
    <w:rsid w:val="00427ACC"/>
    <w:rsid w:val="00427E3A"/>
    <w:rsid w:val="0043020F"/>
    <w:rsid w:val="00430385"/>
    <w:rsid w:val="00430399"/>
    <w:rsid w:val="00430564"/>
    <w:rsid w:val="00430649"/>
    <w:rsid w:val="0043065D"/>
    <w:rsid w:val="004307B2"/>
    <w:rsid w:val="004307C9"/>
    <w:rsid w:val="004309F4"/>
    <w:rsid w:val="00430D97"/>
    <w:rsid w:val="00430F75"/>
    <w:rsid w:val="0043135F"/>
    <w:rsid w:val="00431A36"/>
    <w:rsid w:val="00431A6E"/>
    <w:rsid w:val="00431AA2"/>
    <w:rsid w:val="00431B4E"/>
    <w:rsid w:val="00431C57"/>
    <w:rsid w:val="00431E1E"/>
    <w:rsid w:val="00431EC8"/>
    <w:rsid w:val="00431F8B"/>
    <w:rsid w:val="00432198"/>
    <w:rsid w:val="00432221"/>
    <w:rsid w:val="0043225E"/>
    <w:rsid w:val="0043246C"/>
    <w:rsid w:val="00432525"/>
    <w:rsid w:val="00432670"/>
    <w:rsid w:val="00432712"/>
    <w:rsid w:val="00432B9A"/>
    <w:rsid w:val="00432C4B"/>
    <w:rsid w:val="00432CE1"/>
    <w:rsid w:val="00432D09"/>
    <w:rsid w:val="00432EBD"/>
    <w:rsid w:val="00432FC5"/>
    <w:rsid w:val="00433350"/>
    <w:rsid w:val="0043368E"/>
    <w:rsid w:val="0043369D"/>
    <w:rsid w:val="00433AA9"/>
    <w:rsid w:val="00433D1C"/>
    <w:rsid w:val="00433F6A"/>
    <w:rsid w:val="00434003"/>
    <w:rsid w:val="00434446"/>
    <w:rsid w:val="004344FE"/>
    <w:rsid w:val="0043457A"/>
    <w:rsid w:val="0043466A"/>
    <w:rsid w:val="004347E2"/>
    <w:rsid w:val="004348E5"/>
    <w:rsid w:val="00434AD6"/>
    <w:rsid w:val="00434BAB"/>
    <w:rsid w:val="00434D24"/>
    <w:rsid w:val="00434E19"/>
    <w:rsid w:val="004350F4"/>
    <w:rsid w:val="00435169"/>
    <w:rsid w:val="00435288"/>
    <w:rsid w:val="004352B8"/>
    <w:rsid w:val="00435460"/>
    <w:rsid w:val="00435540"/>
    <w:rsid w:val="004356CD"/>
    <w:rsid w:val="00435A74"/>
    <w:rsid w:val="00435ADF"/>
    <w:rsid w:val="00435AFE"/>
    <w:rsid w:val="00435C44"/>
    <w:rsid w:val="00435F63"/>
    <w:rsid w:val="00435F72"/>
    <w:rsid w:val="00435FFC"/>
    <w:rsid w:val="004364A0"/>
    <w:rsid w:val="004364E5"/>
    <w:rsid w:val="00436827"/>
    <w:rsid w:val="004368C0"/>
    <w:rsid w:val="00436B0B"/>
    <w:rsid w:val="00436B96"/>
    <w:rsid w:val="00436C69"/>
    <w:rsid w:val="00436D58"/>
    <w:rsid w:val="00436F6E"/>
    <w:rsid w:val="00436FB8"/>
    <w:rsid w:val="004372E4"/>
    <w:rsid w:val="00437375"/>
    <w:rsid w:val="004373D4"/>
    <w:rsid w:val="0043757E"/>
    <w:rsid w:val="004375B4"/>
    <w:rsid w:val="00437868"/>
    <w:rsid w:val="00437891"/>
    <w:rsid w:val="00437A59"/>
    <w:rsid w:val="00437AB8"/>
    <w:rsid w:val="00437BBF"/>
    <w:rsid w:val="00437DEA"/>
    <w:rsid w:val="00437EE3"/>
    <w:rsid w:val="00437FCC"/>
    <w:rsid w:val="004406BD"/>
    <w:rsid w:val="004409FF"/>
    <w:rsid w:val="00440D5A"/>
    <w:rsid w:val="00440D80"/>
    <w:rsid w:val="00440DC9"/>
    <w:rsid w:val="00440E49"/>
    <w:rsid w:val="00440EC4"/>
    <w:rsid w:val="00440F8D"/>
    <w:rsid w:val="004413F5"/>
    <w:rsid w:val="0044147F"/>
    <w:rsid w:val="0044150B"/>
    <w:rsid w:val="004415A8"/>
    <w:rsid w:val="00441797"/>
    <w:rsid w:val="004418A8"/>
    <w:rsid w:val="00441A34"/>
    <w:rsid w:val="00441EFD"/>
    <w:rsid w:val="00442223"/>
    <w:rsid w:val="00442245"/>
    <w:rsid w:val="00442354"/>
    <w:rsid w:val="00442C66"/>
    <w:rsid w:val="00442FC1"/>
    <w:rsid w:val="00442FC6"/>
    <w:rsid w:val="00443336"/>
    <w:rsid w:val="004433E6"/>
    <w:rsid w:val="00443435"/>
    <w:rsid w:val="004435CF"/>
    <w:rsid w:val="00443764"/>
    <w:rsid w:val="004437DC"/>
    <w:rsid w:val="0044392A"/>
    <w:rsid w:val="004439AC"/>
    <w:rsid w:val="004439D0"/>
    <w:rsid w:val="00443D33"/>
    <w:rsid w:val="004440BC"/>
    <w:rsid w:val="0044447F"/>
    <w:rsid w:val="0044488E"/>
    <w:rsid w:val="00444BB8"/>
    <w:rsid w:val="00444BE6"/>
    <w:rsid w:val="00445075"/>
    <w:rsid w:val="00445180"/>
    <w:rsid w:val="00445225"/>
    <w:rsid w:val="00445235"/>
    <w:rsid w:val="0044534F"/>
    <w:rsid w:val="004454D4"/>
    <w:rsid w:val="004455B7"/>
    <w:rsid w:val="00445737"/>
    <w:rsid w:val="004457CD"/>
    <w:rsid w:val="004463CA"/>
    <w:rsid w:val="00446416"/>
    <w:rsid w:val="00446A9A"/>
    <w:rsid w:val="00446B29"/>
    <w:rsid w:val="00446B41"/>
    <w:rsid w:val="00446BC7"/>
    <w:rsid w:val="0044708C"/>
    <w:rsid w:val="00447217"/>
    <w:rsid w:val="004473ED"/>
    <w:rsid w:val="004474A6"/>
    <w:rsid w:val="0044751C"/>
    <w:rsid w:val="004475C8"/>
    <w:rsid w:val="0044763C"/>
    <w:rsid w:val="004476AF"/>
    <w:rsid w:val="00447733"/>
    <w:rsid w:val="004477E9"/>
    <w:rsid w:val="00447942"/>
    <w:rsid w:val="00447D91"/>
    <w:rsid w:val="004501C9"/>
    <w:rsid w:val="0045022E"/>
    <w:rsid w:val="00450387"/>
    <w:rsid w:val="004506EA"/>
    <w:rsid w:val="00450809"/>
    <w:rsid w:val="004508E3"/>
    <w:rsid w:val="00450933"/>
    <w:rsid w:val="00450B03"/>
    <w:rsid w:val="00450CD3"/>
    <w:rsid w:val="00450DFB"/>
    <w:rsid w:val="00450ECA"/>
    <w:rsid w:val="00450F50"/>
    <w:rsid w:val="0045128F"/>
    <w:rsid w:val="0045144E"/>
    <w:rsid w:val="00451891"/>
    <w:rsid w:val="004519C9"/>
    <w:rsid w:val="00451D92"/>
    <w:rsid w:val="004521F9"/>
    <w:rsid w:val="00452477"/>
    <w:rsid w:val="0045247B"/>
    <w:rsid w:val="004526DC"/>
    <w:rsid w:val="0045295B"/>
    <w:rsid w:val="00452B3C"/>
    <w:rsid w:val="00452B47"/>
    <w:rsid w:val="00452B92"/>
    <w:rsid w:val="00452D4C"/>
    <w:rsid w:val="00452F35"/>
    <w:rsid w:val="00452F64"/>
    <w:rsid w:val="004531DB"/>
    <w:rsid w:val="0045339A"/>
    <w:rsid w:val="00453A2C"/>
    <w:rsid w:val="00453F78"/>
    <w:rsid w:val="004545AD"/>
    <w:rsid w:val="0045464B"/>
    <w:rsid w:val="004548A1"/>
    <w:rsid w:val="00454C08"/>
    <w:rsid w:val="00454C48"/>
    <w:rsid w:val="00454CC1"/>
    <w:rsid w:val="00454E89"/>
    <w:rsid w:val="00454FF8"/>
    <w:rsid w:val="00455573"/>
    <w:rsid w:val="0045573F"/>
    <w:rsid w:val="00455777"/>
    <w:rsid w:val="00455862"/>
    <w:rsid w:val="00455903"/>
    <w:rsid w:val="00455A89"/>
    <w:rsid w:val="00455AFD"/>
    <w:rsid w:val="00455B22"/>
    <w:rsid w:val="00455B43"/>
    <w:rsid w:val="00455F1A"/>
    <w:rsid w:val="00455FDF"/>
    <w:rsid w:val="00456312"/>
    <w:rsid w:val="00456464"/>
    <w:rsid w:val="004565C0"/>
    <w:rsid w:val="00456628"/>
    <w:rsid w:val="0045668D"/>
    <w:rsid w:val="004566D1"/>
    <w:rsid w:val="004569E2"/>
    <w:rsid w:val="00456CA0"/>
    <w:rsid w:val="00456ECE"/>
    <w:rsid w:val="00456FBA"/>
    <w:rsid w:val="00457088"/>
    <w:rsid w:val="004571E4"/>
    <w:rsid w:val="0045735D"/>
    <w:rsid w:val="0045743D"/>
    <w:rsid w:val="00457523"/>
    <w:rsid w:val="00457625"/>
    <w:rsid w:val="004578EE"/>
    <w:rsid w:val="0045790A"/>
    <w:rsid w:val="004579E0"/>
    <w:rsid w:val="00457F7F"/>
    <w:rsid w:val="00457F8C"/>
    <w:rsid w:val="004608A2"/>
    <w:rsid w:val="004608FC"/>
    <w:rsid w:val="00460A45"/>
    <w:rsid w:val="00460EA3"/>
    <w:rsid w:val="00461040"/>
    <w:rsid w:val="00461056"/>
    <w:rsid w:val="004611B3"/>
    <w:rsid w:val="0046122C"/>
    <w:rsid w:val="004615F4"/>
    <w:rsid w:val="00461617"/>
    <w:rsid w:val="00461707"/>
    <w:rsid w:val="0046188D"/>
    <w:rsid w:val="004619E0"/>
    <w:rsid w:val="00461A21"/>
    <w:rsid w:val="00461CD2"/>
    <w:rsid w:val="00461E25"/>
    <w:rsid w:val="004622E2"/>
    <w:rsid w:val="00462485"/>
    <w:rsid w:val="004626C3"/>
    <w:rsid w:val="0046273C"/>
    <w:rsid w:val="0046275F"/>
    <w:rsid w:val="0046287E"/>
    <w:rsid w:val="0046299C"/>
    <w:rsid w:val="00462E86"/>
    <w:rsid w:val="0046321C"/>
    <w:rsid w:val="0046341C"/>
    <w:rsid w:val="0046350E"/>
    <w:rsid w:val="004637B8"/>
    <w:rsid w:val="00463810"/>
    <w:rsid w:val="004638EF"/>
    <w:rsid w:val="004639B5"/>
    <w:rsid w:val="00463D22"/>
    <w:rsid w:val="00464177"/>
    <w:rsid w:val="00464265"/>
    <w:rsid w:val="004642E0"/>
    <w:rsid w:val="00464381"/>
    <w:rsid w:val="0046454B"/>
    <w:rsid w:val="0046462F"/>
    <w:rsid w:val="004646A3"/>
    <w:rsid w:val="0046498B"/>
    <w:rsid w:val="00465022"/>
    <w:rsid w:val="004650AF"/>
    <w:rsid w:val="004654A6"/>
    <w:rsid w:val="004655A2"/>
    <w:rsid w:val="004656E7"/>
    <w:rsid w:val="00465779"/>
    <w:rsid w:val="0046578F"/>
    <w:rsid w:val="00465CC4"/>
    <w:rsid w:val="00465D78"/>
    <w:rsid w:val="00465EC6"/>
    <w:rsid w:val="00466099"/>
    <w:rsid w:val="004660DF"/>
    <w:rsid w:val="00466203"/>
    <w:rsid w:val="00466320"/>
    <w:rsid w:val="00466776"/>
    <w:rsid w:val="004668AB"/>
    <w:rsid w:val="00466AB5"/>
    <w:rsid w:val="00466B26"/>
    <w:rsid w:val="00466B45"/>
    <w:rsid w:val="00466BDB"/>
    <w:rsid w:val="00466C4C"/>
    <w:rsid w:val="00466EC0"/>
    <w:rsid w:val="00467295"/>
    <w:rsid w:val="004673A4"/>
    <w:rsid w:val="004673F9"/>
    <w:rsid w:val="00467442"/>
    <w:rsid w:val="00467656"/>
    <w:rsid w:val="00467797"/>
    <w:rsid w:val="0046788D"/>
    <w:rsid w:val="004679B7"/>
    <w:rsid w:val="00467C72"/>
    <w:rsid w:val="00467D6E"/>
    <w:rsid w:val="00467F72"/>
    <w:rsid w:val="00467FFB"/>
    <w:rsid w:val="00470062"/>
    <w:rsid w:val="004703C1"/>
    <w:rsid w:val="00470465"/>
    <w:rsid w:val="00470518"/>
    <w:rsid w:val="004706EA"/>
    <w:rsid w:val="00470B30"/>
    <w:rsid w:val="00470CF6"/>
    <w:rsid w:val="00470F59"/>
    <w:rsid w:val="00471098"/>
    <w:rsid w:val="00471300"/>
    <w:rsid w:val="00471377"/>
    <w:rsid w:val="0047165D"/>
    <w:rsid w:val="0047195C"/>
    <w:rsid w:val="004719D4"/>
    <w:rsid w:val="00471C7D"/>
    <w:rsid w:val="00471F77"/>
    <w:rsid w:val="00472244"/>
    <w:rsid w:val="004722CC"/>
    <w:rsid w:val="00472650"/>
    <w:rsid w:val="00472685"/>
    <w:rsid w:val="00472C4B"/>
    <w:rsid w:val="00472F72"/>
    <w:rsid w:val="00473018"/>
    <w:rsid w:val="00473080"/>
    <w:rsid w:val="004731EC"/>
    <w:rsid w:val="004734BB"/>
    <w:rsid w:val="004735AE"/>
    <w:rsid w:val="004735C8"/>
    <w:rsid w:val="004738E6"/>
    <w:rsid w:val="004739C3"/>
    <w:rsid w:val="00473B1C"/>
    <w:rsid w:val="00473B9E"/>
    <w:rsid w:val="00473C29"/>
    <w:rsid w:val="00473CCC"/>
    <w:rsid w:val="00473F29"/>
    <w:rsid w:val="00474053"/>
    <w:rsid w:val="00474244"/>
    <w:rsid w:val="00474474"/>
    <w:rsid w:val="004744D4"/>
    <w:rsid w:val="004744F4"/>
    <w:rsid w:val="00474619"/>
    <w:rsid w:val="00474868"/>
    <w:rsid w:val="00474A69"/>
    <w:rsid w:val="00474C06"/>
    <w:rsid w:val="00474EE1"/>
    <w:rsid w:val="00474EF2"/>
    <w:rsid w:val="00475313"/>
    <w:rsid w:val="00475540"/>
    <w:rsid w:val="00475726"/>
    <w:rsid w:val="004757B0"/>
    <w:rsid w:val="00475A0B"/>
    <w:rsid w:val="00475ACC"/>
    <w:rsid w:val="00475D79"/>
    <w:rsid w:val="00475DB6"/>
    <w:rsid w:val="00475E9A"/>
    <w:rsid w:val="00475EC1"/>
    <w:rsid w:val="0047601C"/>
    <w:rsid w:val="00476095"/>
    <w:rsid w:val="00476171"/>
    <w:rsid w:val="004761D9"/>
    <w:rsid w:val="00476341"/>
    <w:rsid w:val="00476444"/>
    <w:rsid w:val="004764E1"/>
    <w:rsid w:val="004765F0"/>
    <w:rsid w:val="0047674B"/>
    <w:rsid w:val="00476906"/>
    <w:rsid w:val="00476983"/>
    <w:rsid w:val="004769B9"/>
    <w:rsid w:val="00476B35"/>
    <w:rsid w:val="00476CF2"/>
    <w:rsid w:val="00477358"/>
    <w:rsid w:val="00477578"/>
    <w:rsid w:val="00477B67"/>
    <w:rsid w:val="00477BE7"/>
    <w:rsid w:val="00477D9B"/>
    <w:rsid w:val="00480046"/>
    <w:rsid w:val="00480158"/>
    <w:rsid w:val="00480375"/>
    <w:rsid w:val="004803A2"/>
    <w:rsid w:val="004805B1"/>
    <w:rsid w:val="004807DD"/>
    <w:rsid w:val="004809C2"/>
    <w:rsid w:val="00480B49"/>
    <w:rsid w:val="00480B9A"/>
    <w:rsid w:val="00480D60"/>
    <w:rsid w:val="00480E67"/>
    <w:rsid w:val="00480F04"/>
    <w:rsid w:val="00480F96"/>
    <w:rsid w:val="00481147"/>
    <w:rsid w:val="004811AE"/>
    <w:rsid w:val="004816B3"/>
    <w:rsid w:val="004817FC"/>
    <w:rsid w:val="00481AAC"/>
    <w:rsid w:val="00481AE9"/>
    <w:rsid w:val="00481B9E"/>
    <w:rsid w:val="00481C79"/>
    <w:rsid w:val="0048218A"/>
    <w:rsid w:val="0048257B"/>
    <w:rsid w:val="004825EE"/>
    <w:rsid w:val="00482614"/>
    <w:rsid w:val="004827CA"/>
    <w:rsid w:val="00482857"/>
    <w:rsid w:val="00482C46"/>
    <w:rsid w:val="00482D89"/>
    <w:rsid w:val="00482DB1"/>
    <w:rsid w:val="00482DE6"/>
    <w:rsid w:val="00482E06"/>
    <w:rsid w:val="00482E12"/>
    <w:rsid w:val="00482F91"/>
    <w:rsid w:val="00483144"/>
    <w:rsid w:val="0048333B"/>
    <w:rsid w:val="0048366F"/>
    <w:rsid w:val="004836C5"/>
    <w:rsid w:val="0048381B"/>
    <w:rsid w:val="00483868"/>
    <w:rsid w:val="004838AC"/>
    <w:rsid w:val="00483AEA"/>
    <w:rsid w:val="00483B22"/>
    <w:rsid w:val="00483B7C"/>
    <w:rsid w:val="00483CB0"/>
    <w:rsid w:val="00483F01"/>
    <w:rsid w:val="00484058"/>
    <w:rsid w:val="004840CA"/>
    <w:rsid w:val="004840FD"/>
    <w:rsid w:val="00484435"/>
    <w:rsid w:val="0048444E"/>
    <w:rsid w:val="004844C6"/>
    <w:rsid w:val="004845EC"/>
    <w:rsid w:val="004849C2"/>
    <w:rsid w:val="00484B41"/>
    <w:rsid w:val="00484C30"/>
    <w:rsid w:val="00484D17"/>
    <w:rsid w:val="00484E5C"/>
    <w:rsid w:val="00484F3F"/>
    <w:rsid w:val="00484F52"/>
    <w:rsid w:val="00484FC2"/>
    <w:rsid w:val="00485567"/>
    <w:rsid w:val="004855AB"/>
    <w:rsid w:val="0048594B"/>
    <w:rsid w:val="0048596D"/>
    <w:rsid w:val="00485AB2"/>
    <w:rsid w:val="00485ACC"/>
    <w:rsid w:val="00485C47"/>
    <w:rsid w:val="00485C67"/>
    <w:rsid w:val="00485F2B"/>
    <w:rsid w:val="004860C7"/>
    <w:rsid w:val="0048613D"/>
    <w:rsid w:val="0048617E"/>
    <w:rsid w:val="00486194"/>
    <w:rsid w:val="004862D4"/>
    <w:rsid w:val="0048632E"/>
    <w:rsid w:val="0048654F"/>
    <w:rsid w:val="004865F4"/>
    <w:rsid w:val="00486747"/>
    <w:rsid w:val="004870BF"/>
    <w:rsid w:val="00487180"/>
    <w:rsid w:val="004871C2"/>
    <w:rsid w:val="004874A2"/>
    <w:rsid w:val="004875BE"/>
    <w:rsid w:val="004875D2"/>
    <w:rsid w:val="00487A63"/>
    <w:rsid w:val="00487CC8"/>
    <w:rsid w:val="00487E3D"/>
    <w:rsid w:val="00490536"/>
    <w:rsid w:val="00490736"/>
    <w:rsid w:val="00490774"/>
    <w:rsid w:val="004907E0"/>
    <w:rsid w:val="004908EB"/>
    <w:rsid w:val="00490918"/>
    <w:rsid w:val="0049098C"/>
    <w:rsid w:val="00490B81"/>
    <w:rsid w:val="00490C65"/>
    <w:rsid w:val="00490E37"/>
    <w:rsid w:val="00490F8F"/>
    <w:rsid w:val="0049115A"/>
    <w:rsid w:val="004912A9"/>
    <w:rsid w:val="0049187D"/>
    <w:rsid w:val="004919CE"/>
    <w:rsid w:val="00491A6F"/>
    <w:rsid w:val="00491B16"/>
    <w:rsid w:val="00491E90"/>
    <w:rsid w:val="00491EB2"/>
    <w:rsid w:val="00492205"/>
    <w:rsid w:val="00492467"/>
    <w:rsid w:val="00492471"/>
    <w:rsid w:val="0049254A"/>
    <w:rsid w:val="00492596"/>
    <w:rsid w:val="00492601"/>
    <w:rsid w:val="00492695"/>
    <w:rsid w:val="0049288D"/>
    <w:rsid w:val="00492B7A"/>
    <w:rsid w:val="00492BCC"/>
    <w:rsid w:val="00492BEB"/>
    <w:rsid w:val="00492D93"/>
    <w:rsid w:val="00492E98"/>
    <w:rsid w:val="00492F77"/>
    <w:rsid w:val="004934A3"/>
    <w:rsid w:val="004934D8"/>
    <w:rsid w:val="00493530"/>
    <w:rsid w:val="00493565"/>
    <w:rsid w:val="004937EC"/>
    <w:rsid w:val="00493823"/>
    <w:rsid w:val="00493854"/>
    <w:rsid w:val="004938D9"/>
    <w:rsid w:val="00493967"/>
    <w:rsid w:val="00493A9A"/>
    <w:rsid w:val="00493C2E"/>
    <w:rsid w:val="00493CA0"/>
    <w:rsid w:val="00494399"/>
    <w:rsid w:val="00494430"/>
    <w:rsid w:val="0049454C"/>
    <w:rsid w:val="0049459E"/>
    <w:rsid w:val="004945E4"/>
    <w:rsid w:val="0049468F"/>
    <w:rsid w:val="00494BC2"/>
    <w:rsid w:val="00494CE6"/>
    <w:rsid w:val="00494DA3"/>
    <w:rsid w:val="00495330"/>
    <w:rsid w:val="004954E7"/>
    <w:rsid w:val="00495963"/>
    <w:rsid w:val="004959AB"/>
    <w:rsid w:val="00495E15"/>
    <w:rsid w:val="00495E19"/>
    <w:rsid w:val="00495F49"/>
    <w:rsid w:val="004962E9"/>
    <w:rsid w:val="00496922"/>
    <w:rsid w:val="00496954"/>
    <w:rsid w:val="00496DCC"/>
    <w:rsid w:val="00496F1D"/>
    <w:rsid w:val="00497021"/>
    <w:rsid w:val="0049707E"/>
    <w:rsid w:val="004972B0"/>
    <w:rsid w:val="0049742D"/>
    <w:rsid w:val="00497684"/>
    <w:rsid w:val="00497768"/>
    <w:rsid w:val="00497779"/>
    <w:rsid w:val="00497C35"/>
    <w:rsid w:val="00497E00"/>
    <w:rsid w:val="004A00A5"/>
    <w:rsid w:val="004A00B4"/>
    <w:rsid w:val="004A024B"/>
    <w:rsid w:val="004A04EF"/>
    <w:rsid w:val="004A050D"/>
    <w:rsid w:val="004A0522"/>
    <w:rsid w:val="004A0581"/>
    <w:rsid w:val="004A07BF"/>
    <w:rsid w:val="004A084F"/>
    <w:rsid w:val="004A08AF"/>
    <w:rsid w:val="004A0CE9"/>
    <w:rsid w:val="004A0FA4"/>
    <w:rsid w:val="004A10D7"/>
    <w:rsid w:val="004A13DD"/>
    <w:rsid w:val="004A14BB"/>
    <w:rsid w:val="004A1575"/>
    <w:rsid w:val="004A19AB"/>
    <w:rsid w:val="004A1A2A"/>
    <w:rsid w:val="004A1E47"/>
    <w:rsid w:val="004A1F22"/>
    <w:rsid w:val="004A2009"/>
    <w:rsid w:val="004A2238"/>
    <w:rsid w:val="004A23AD"/>
    <w:rsid w:val="004A23B2"/>
    <w:rsid w:val="004A25E2"/>
    <w:rsid w:val="004A25E3"/>
    <w:rsid w:val="004A2C62"/>
    <w:rsid w:val="004A2E31"/>
    <w:rsid w:val="004A305C"/>
    <w:rsid w:val="004A3162"/>
    <w:rsid w:val="004A327A"/>
    <w:rsid w:val="004A34E8"/>
    <w:rsid w:val="004A35F2"/>
    <w:rsid w:val="004A384C"/>
    <w:rsid w:val="004A38F1"/>
    <w:rsid w:val="004A3BE5"/>
    <w:rsid w:val="004A3C93"/>
    <w:rsid w:val="004A4096"/>
    <w:rsid w:val="004A4249"/>
    <w:rsid w:val="004A428B"/>
    <w:rsid w:val="004A4458"/>
    <w:rsid w:val="004A449F"/>
    <w:rsid w:val="004A44B6"/>
    <w:rsid w:val="004A469C"/>
    <w:rsid w:val="004A4C30"/>
    <w:rsid w:val="004A5031"/>
    <w:rsid w:val="004A50A9"/>
    <w:rsid w:val="004A51A8"/>
    <w:rsid w:val="004A52B5"/>
    <w:rsid w:val="004A5D73"/>
    <w:rsid w:val="004A5EEE"/>
    <w:rsid w:val="004A607A"/>
    <w:rsid w:val="004A6233"/>
    <w:rsid w:val="004A6513"/>
    <w:rsid w:val="004A6812"/>
    <w:rsid w:val="004A6DF0"/>
    <w:rsid w:val="004A7290"/>
    <w:rsid w:val="004A74B3"/>
    <w:rsid w:val="004A77B6"/>
    <w:rsid w:val="004A7974"/>
    <w:rsid w:val="004A7C41"/>
    <w:rsid w:val="004A7CFE"/>
    <w:rsid w:val="004B008D"/>
    <w:rsid w:val="004B00A6"/>
    <w:rsid w:val="004B0137"/>
    <w:rsid w:val="004B0252"/>
    <w:rsid w:val="004B044B"/>
    <w:rsid w:val="004B0548"/>
    <w:rsid w:val="004B07C9"/>
    <w:rsid w:val="004B08BC"/>
    <w:rsid w:val="004B0E8D"/>
    <w:rsid w:val="004B11CB"/>
    <w:rsid w:val="004B153D"/>
    <w:rsid w:val="004B16E1"/>
    <w:rsid w:val="004B1834"/>
    <w:rsid w:val="004B1865"/>
    <w:rsid w:val="004B1887"/>
    <w:rsid w:val="004B1BEA"/>
    <w:rsid w:val="004B1F0A"/>
    <w:rsid w:val="004B2288"/>
    <w:rsid w:val="004B22FA"/>
    <w:rsid w:val="004B256F"/>
    <w:rsid w:val="004B2679"/>
    <w:rsid w:val="004B28C3"/>
    <w:rsid w:val="004B29AB"/>
    <w:rsid w:val="004B2A79"/>
    <w:rsid w:val="004B2AA9"/>
    <w:rsid w:val="004B2E13"/>
    <w:rsid w:val="004B344A"/>
    <w:rsid w:val="004B34AB"/>
    <w:rsid w:val="004B34B7"/>
    <w:rsid w:val="004B37CF"/>
    <w:rsid w:val="004B3D64"/>
    <w:rsid w:val="004B4228"/>
    <w:rsid w:val="004B49DE"/>
    <w:rsid w:val="004B4BC8"/>
    <w:rsid w:val="004B4C44"/>
    <w:rsid w:val="004B4C7A"/>
    <w:rsid w:val="004B4D19"/>
    <w:rsid w:val="004B4D94"/>
    <w:rsid w:val="004B532B"/>
    <w:rsid w:val="004B538D"/>
    <w:rsid w:val="004B54BE"/>
    <w:rsid w:val="004B54BF"/>
    <w:rsid w:val="004B54E6"/>
    <w:rsid w:val="004B5573"/>
    <w:rsid w:val="004B5863"/>
    <w:rsid w:val="004B5927"/>
    <w:rsid w:val="004B5E59"/>
    <w:rsid w:val="004B5E7D"/>
    <w:rsid w:val="004B5ED3"/>
    <w:rsid w:val="004B5EE8"/>
    <w:rsid w:val="004B60C7"/>
    <w:rsid w:val="004B6138"/>
    <w:rsid w:val="004B6166"/>
    <w:rsid w:val="004B62BE"/>
    <w:rsid w:val="004B62E9"/>
    <w:rsid w:val="004B6406"/>
    <w:rsid w:val="004B64E1"/>
    <w:rsid w:val="004B6559"/>
    <w:rsid w:val="004B66EB"/>
    <w:rsid w:val="004B6920"/>
    <w:rsid w:val="004B6A59"/>
    <w:rsid w:val="004B6CAC"/>
    <w:rsid w:val="004B6EDB"/>
    <w:rsid w:val="004B71F2"/>
    <w:rsid w:val="004B7230"/>
    <w:rsid w:val="004B73E5"/>
    <w:rsid w:val="004B73E8"/>
    <w:rsid w:val="004B7440"/>
    <w:rsid w:val="004B748E"/>
    <w:rsid w:val="004B7A01"/>
    <w:rsid w:val="004B7B9B"/>
    <w:rsid w:val="004B7F0C"/>
    <w:rsid w:val="004C02F0"/>
    <w:rsid w:val="004C0430"/>
    <w:rsid w:val="004C04CF"/>
    <w:rsid w:val="004C0633"/>
    <w:rsid w:val="004C07AB"/>
    <w:rsid w:val="004C08FA"/>
    <w:rsid w:val="004C08FB"/>
    <w:rsid w:val="004C0941"/>
    <w:rsid w:val="004C0D99"/>
    <w:rsid w:val="004C12E4"/>
    <w:rsid w:val="004C1375"/>
    <w:rsid w:val="004C146A"/>
    <w:rsid w:val="004C180B"/>
    <w:rsid w:val="004C18ED"/>
    <w:rsid w:val="004C1928"/>
    <w:rsid w:val="004C1A33"/>
    <w:rsid w:val="004C1EC9"/>
    <w:rsid w:val="004C205A"/>
    <w:rsid w:val="004C208E"/>
    <w:rsid w:val="004C2090"/>
    <w:rsid w:val="004C20F2"/>
    <w:rsid w:val="004C2223"/>
    <w:rsid w:val="004C22C6"/>
    <w:rsid w:val="004C2555"/>
    <w:rsid w:val="004C2759"/>
    <w:rsid w:val="004C2840"/>
    <w:rsid w:val="004C2916"/>
    <w:rsid w:val="004C2988"/>
    <w:rsid w:val="004C2C54"/>
    <w:rsid w:val="004C3151"/>
    <w:rsid w:val="004C31C3"/>
    <w:rsid w:val="004C35C5"/>
    <w:rsid w:val="004C397A"/>
    <w:rsid w:val="004C3990"/>
    <w:rsid w:val="004C3B63"/>
    <w:rsid w:val="004C3C50"/>
    <w:rsid w:val="004C3CB1"/>
    <w:rsid w:val="004C3CB7"/>
    <w:rsid w:val="004C3D5F"/>
    <w:rsid w:val="004C44E2"/>
    <w:rsid w:val="004C46EE"/>
    <w:rsid w:val="004C4702"/>
    <w:rsid w:val="004C48B6"/>
    <w:rsid w:val="004C48DA"/>
    <w:rsid w:val="004C48E3"/>
    <w:rsid w:val="004C4969"/>
    <w:rsid w:val="004C4C0A"/>
    <w:rsid w:val="004C4C48"/>
    <w:rsid w:val="004C4EB2"/>
    <w:rsid w:val="004C515C"/>
    <w:rsid w:val="004C5183"/>
    <w:rsid w:val="004C523E"/>
    <w:rsid w:val="004C52C5"/>
    <w:rsid w:val="004C53E9"/>
    <w:rsid w:val="004C569C"/>
    <w:rsid w:val="004C58E9"/>
    <w:rsid w:val="004C59F8"/>
    <w:rsid w:val="004C5D7E"/>
    <w:rsid w:val="004C5DB5"/>
    <w:rsid w:val="004C5E63"/>
    <w:rsid w:val="004C5EE9"/>
    <w:rsid w:val="004C616C"/>
    <w:rsid w:val="004C6180"/>
    <w:rsid w:val="004C634B"/>
    <w:rsid w:val="004C63E7"/>
    <w:rsid w:val="004C6809"/>
    <w:rsid w:val="004C69EE"/>
    <w:rsid w:val="004C6A1E"/>
    <w:rsid w:val="004C6BB0"/>
    <w:rsid w:val="004C6C17"/>
    <w:rsid w:val="004C6D4B"/>
    <w:rsid w:val="004C7091"/>
    <w:rsid w:val="004C72EE"/>
    <w:rsid w:val="004C745D"/>
    <w:rsid w:val="004C74A5"/>
    <w:rsid w:val="004C75C6"/>
    <w:rsid w:val="004C76D6"/>
    <w:rsid w:val="004C78A8"/>
    <w:rsid w:val="004C78B9"/>
    <w:rsid w:val="004C7952"/>
    <w:rsid w:val="004C7A7B"/>
    <w:rsid w:val="004C7ACD"/>
    <w:rsid w:val="004C7F7E"/>
    <w:rsid w:val="004D0295"/>
    <w:rsid w:val="004D0355"/>
    <w:rsid w:val="004D0672"/>
    <w:rsid w:val="004D08CB"/>
    <w:rsid w:val="004D0D79"/>
    <w:rsid w:val="004D0DF2"/>
    <w:rsid w:val="004D1086"/>
    <w:rsid w:val="004D15B4"/>
    <w:rsid w:val="004D175B"/>
    <w:rsid w:val="004D1914"/>
    <w:rsid w:val="004D19E0"/>
    <w:rsid w:val="004D1B15"/>
    <w:rsid w:val="004D1BA7"/>
    <w:rsid w:val="004D1C34"/>
    <w:rsid w:val="004D1DAD"/>
    <w:rsid w:val="004D1E06"/>
    <w:rsid w:val="004D1FA2"/>
    <w:rsid w:val="004D2299"/>
    <w:rsid w:val="004D2341"/>
    <w:rsid w:val="004D245B"/>
    <w:rsid w:val="004D2693"/>
    <w:rsid w:val="004D2A04"/>
    <w:rsid w:val="004D2D76"/>
    <w:rsid w:val="004D2EC7"/>
    <w:rsid w:val="004D309D"/>
    <w:rsid w:val="004D318D"/>
    <w:rsid w:val="004D3312"/>
    <w:rsid w:val="004D335C"/>
    <w:rsid w:val="004D33AB"/>
    <w:rsid w:val="004D3413"/>
    <w:rsid w:val="004D3512"/>
    <w:rsid w:val="004D364E"/>
    <w:rsid w:val="004D36D8"/>
    <w:rsid w:val="004D374A"/>
    <w:rsid w:val="004D3917"/>
    <w:rsid w:val="004D3B2C"/>
    <w:rsid w:val="004D3D27"/>
    <w:rsid w:val="004D3DCD"/>
    <w:rsid w:val="004D3F15"/>
    <w:rsid w:val="004D3F6E"/>
    <w:rsid w:val="004D3F84"/>
    <w:rsid w:val="004D4019"/>
    <w:rsid w:val="004D40C3"/>
    <w:rsid w:val="004D41E1"/>
    <w:rsid w:val="004D41F2"/>
    <w:rsid w:val="004D423F"/>
    <w:rsid w:val="004D43BC"/>
    <w:rsid w:val="004D43EF"/>
    <w:rsid w:val="004D466D"/>
    <w:rsid w:val="004D495A"/>
    <w:rsid w:val="004D4B74"/>
    <w:rsid w:val="004D4EA0"/>
    <w:rsid w:val="004D50F6"/>
    <w:rsid w:val="004D51B1"/>
    <w:rsid w:val="004D52B8"/>
    <w:rsid w:val="004D5311"/>
    <w:rsid w:val="004D53BC"/>
    <w:rsid w:val="004D5A2D"/>
    <w:rsid w:val="004D5B54"/>
    <w:rsid w:val="004D5FA5"/>
    <w:rsid w:val="004D609D"/>
    <w:rsid w:val="004D649B"/>
    <w:rsid w:val="004D651C"/>
    <w:rsid w:val="004D6657"/>
    <w:rsid w:val="004D66EB"/>
    <w:rsid w:val="004D69B1"/>
    <w:rsid w:val="004D6C78"/>
    <w:rsid w:val="004D6E4D"/>
    <w:rsid w:val="004D6E6A"/>
    <w:rsid w:val="004D6E7C"/>
    <w:rsid w:val="004D6F01"/>
    <w:rsid w:val="004D719D"/>
    <w:rsid w:val="004D732B"/>
    <w:rsid w:val="004D768F"/>
    <w:rsid w:val="004D7864"/>
    <w:rsid w:val="004D78C3"/>
    <w:rsid w:val="004D79FF"/>
    <w:rsid w:val="004D7A22"/>
    <w:rsid w:val="004D7C7D"/>
    <w:rsid w:val="004D7D24"/>
    <w:rsid w:val="004E02D3"/>
    <w:rsid w:val="004E057B"/>
    <w:rsid w:val="004E0812"/>
    <w:rsid w:val="004E0879"/>
    <w:rsid w:val="004E0C10"/>
    <w:rsid w:val="004E0E6A"/>
    <w:rsid w:val="004E10D4"/>
    <w:rsid w:val="004E10F5"/>
    <w:rsid w:val="004E1114"/>
    <w:rsid w:val="004E129B"/>
    <w:rsid w:val="004E1336"/>
    <w:rsid w:val="004E1503"/>
    <w:rsid w:val="004E1656"/>
    <w:rsid w:val="004E1A45"/>
    <w:rsid w:val="004E1A5E"/>
    <w:rsid w:val="004E1A66"/>
    <w:rsid w:val="004E1B06"/>
    <w:rsid w:val="004E1FCF"/>
    <w:rsid w:val="004E1FE0"/>
    <w:rsid w:val="004E1FE2"/>
    <w:rsid w:val="004E20B3"/>
    <w:rsid w:val="004E218B"/>
    <w:rsid w:val="004E256E"/>
    <w:rsid w:val="004E26D2"/>
    <w:rsid w:val="004E28CC"/>
    <w:rsid w:val="004E2958"/>
    <w:rsid w:val="004E2AC7"/>
    <w:rsid w:val="004E2C8F"/>
    <w:rsid w:val="004E2D02"/>
    <w:rsid w:val="004E2D25"/>
    <w:rsid w:val="004E2E60"/>
    <w:rsid w:val="004E2E6D"/>
    <w:rsid w:val="004E3082"/>
    <w:rsid w:val="004E30BF"/>
    <w:rsid w:val="004E3389"/>
    <w:rsid w:val="004E3629"/>
    <w:rsid w:val="004E3BC6"/>
    <w:rsid w:val="004E3C55"/>
    <w:rsid w:val="004E3CF6"/>
    <w:rsid w:val="004E4587"/>
    <w:rsid w:val="004E463C"/>
    <w:rsid w:val="004E48E5"/>
    <w:rsid w:val="004E4C9C"/>
    <w:rsid w:val="004E4DD8"/>
    <w:rsid w:val="004E4FBA"/>
    <w:rsid w:val="004E5310"/>
    <w:rsid w:val="004E5455"/>
    <w:rsid w:val="004E549B"/>
    <w:rsid w:val="004E54DC"/>
    <w:rsid w:val="004E56A6"/>
    <w:rsid w:val="004E5773"/>
    <w:rsid w:val="004E58F8"/>
    <w:rsid w:val="004E592C"/>
    <w:rsid w:val="004E5A11"/>
    <w:rsid w:val="004E5DF7"/>
    <w:rsid w:val="004E5FC6"/>
    <w:rsid w:val="004E6066"/>
    <w:rsid w:val="004E6082"/>
    <w:rsid w:val="004E63AB"/>
    <w:rsid w:val="004E6486"/>
    <w:rsid w:val="004E6611"/>
    <w:rsid w:val="004E6612"/>
    <w:rsid w:val="004E665A"/>
    <w:rsid w:val="004E6760"/>
    <w:rsid w:val="004E6764"/>
    <w:rsid w:val="004E684B"/>
    <w:rsid w:val="004E688D"/>
    <w:rsid w:val="004E6C0E"/>
    <w:rsid w:val="004E7162"/>
    <w:rsid w:val="004E73DE"/>
    <w:rsid w:val="004E73F2"/>
    <w:rsid w:val="004E740E"/>
    <w:rsid w:val="004E75AC"/>
    <w:rsid w:val="004E760E"/>
    <w:rsid w:val="004E7710"/>
    <w:rsid w:val="004E77A2"/>
    <w:rsid w:val="004E7892"/>
    <w:rsid w:val="004E79C7"/>
    <w:rsid w:val="004E7C36"/>
    <w:rsid w:val="004E7DB2"/>
    <w:rsid w:val="004E7E1D"/>
    <w:rsid w:val="004E7E8F"/>
    <w:rsid w:val="004F0013"/>
    <w:rsid w:val="004F0157"/>
    <w:rsid w:val="004F02BE"/>
    <w:rsid w:val="004F0397"/>
    <w:rsid w:val="004F0569"/>
    <w:rsid w:val="004F09C6"/>
    <w:rsid w:val="004F1007"/>
    <w:rsid w:val="004F101E"/>
    <w:rsid w:val="004F10C5"/>
    <w:rsid w:val="004F1238"/>
    <w:rsid w:val="004F1318"/>
    <w:rsid w:val="004F14D0"/>
    <w:rsid w:val="004F15BB"/>
    <w:rsid w:val="004F16AD"/>
    <w:rsid w:val="004F18C8"/>
    <w:rsid w:val="004F18E7"/>
    <w:rsid w:val="004F1E40"/>
    <w:rsid w:val="004F1E91"/>
    <w:rsid w:val="004F2047"/>
    <w:rsid w:val="004F2369"/>
    <w:rsid w:val="004F25AD"/>
    <w:rsid w:val="004F26A4"/>
    <w:rsid w:val="004F2C69"/>
    <w:rsid w:val="004F2CB6"/>
    <w:rsid w:val="004F301D"/>
    <w:rsid w:val="004F3026"/>
    <w:rsid w:val="004F3106"/>
    <w:rsid w:val="004F327E"/>
    <w:rsid w:val="004F343B"/>
    <w:rsid w:val="004F356C"/>
    <w:rsid w:val="004F3782"/>
    <w:rsid w:val="004F39A6"/>
    <w:rsid w:val="004F3AE5"/>
    <w:rsid w:val="004F3B9B"/>
    <w:rsid w:val="004F3F3C"/>
    <w:rsid w:val="004F3F6C"/>
    <w:rsid w:val="004F429F"/>
    <w:rsid w:val="004F45E4"/>
    <w:rsid w:val="004F490B"/>
    <w:rsid w:val="004F4B6A"/>
    <w:rsid w:val="004F4B89"/>
    <w:rsid w:val="004F4C1B"/>
    <w:rsid w:val="004F4DB6"/>
    <w:rsid w:val="004F4E0C"/>
    <w:rsid w:val="004F51D5"/>
    <w:rsid w:val="004F5262"/>
    <w:rsid w:val="004F53F6"/>
    <w:rsid w:val="004F58A0"/>
    <w:rsid w:val="004F59C4"/>
    <w:rsid w:val="004F5A5B"/>
    <w:rsid w:val="004F5BD5"/>
    <w:rsid w:val="004F5CB6"/>
    <w:rsid w:val="004F5E31"/>
    <w:rsid w:val="004F5E60"/>
    <w:rsid w:val="004F5EC6"/>
    <w:rsid w:val="004F5F36"/>
    <w:rsid w:val="004F5FD3"/>
    <w:rsid w:val="004F64BB"/>
    <w:rsid w:val="004F653F"/>
    <w:rsid w:val="004F6905"/>
    <w:rsid w:val="004F6AA7"/>
    <w:rsid w:val="004F6ACE"/>
    <w:rsid w:val="004F71C3"/>
    <w:rsid w:val="004F72B0"/>
    <w:rsid w:val="004F736D"/>
    <w:rsid w:val="004F795A"/>
    <w:rsid w:val="004F79F0"/>
    <w:rsid w:val="004F7D73"/>
    <w:rsid w:val="00500100"/>
    <w:rsid w:val="005004AF"/>
    <w:rsid w:val="00500550"/>
    <w:rsid w:val="00500742"/>
    <w:rsid w:val="00500A4A"/>
    <w:rsid w:val="00500A8C"/>
    <w:rsid w:val="00500C68"/>
    <w:rsid w:val="00500EA8"/>
    <w:rsid w:val="00501128"/>
    <w:rsid w:val="0050128D"/>
    <w:rsid w:val="005013D4"/>
    <w:rsid w:val="0050160B"/>
    <w:rsid w:val="0050173B"/>
    <w:rsid w:val="00501862"/>
    <w:rsid w:val="005018EE"/>
    <w:rsid w:val="00501B3A"/>
    <w:rsid w:val="00501C06"/>
    <w:rsid w:val="00501C3C"/>
    <w:rsid w:val="00501E89"/>
    <w:rsid w:val="00501F8B"/>
    <w:rsid w:val="0050283F"/>
    <w:rsid w:val="00502AC7"/>
    <w:rsid w:val="00502EAC"/>
    <w:rsid w:val="00502F6B"/>
    <w:rsid w:val="00502FD6"/>
    <w:rsid w:val="00503375"/>
    <w:rsid w:val="00503456"/>
    <w:rsid w:val="00503524"/>
    <w:rsid w:val="0050357B"/>
    <w:rsid w:val="00503655"/>
    <w:rsid w:val="00503680"/>
    <w:rsid w:val="00503684"/>
    <w:rsid w:val="00503869"/>
    <w:rsid w:val="00503E89"/>
    <w:rsid w:val="00504022"/>
    <w:rsid w:val="005040CF"/>
    <w:rsid w:val="00504221"/>
    <w:rsid w:val="0050425E"/>
    <w:rsid w:val="00504470"/>
    <w:rsid w:val="00504563"/>
    <w:rsid w:val="005047C1"/>
    <w:rsid w:val="005047FE"/>
    <w:rsid w:val="0050483F"/>
    <w:rsid w:val="00504AC6"/>
    <w:rsid w:val="00504B2C"/>
    <w:rsid w:val="00504E29"/>
    <w:rsid w:val="00504ED8"/>
    <w:rsid w:val="005050F0"/>
    <w:rsid w:val="005050FA"/>
    <w:rsid w:val="005051DE"/>
    <w:rsid w:val="00505282"/>
    <w:rsid w:val="005052FF"/>
    <w:rsid w:val="0050543F"/>
    <w:rsid w:val="005054DE"/>
    <w:rsid w:val="00505527"/>
    <w:rsid w:val="00505633"/>
    <w:rsid w:val="00505859"/>
    <w:rsid w:val="0050603D"/>
    <w:rsid w:val="0050658C"/>
    <w:rsid w:val="0050675C"/>
    <w:rsid w:val="005068A4"/>
    <w:rsid w:val="00506B0E"/>
    <w:rsid w:val="00506E9F"/>
    <w:rsid w:val="00507001"/>
    <w:rsid w:val="00507193"/>
    <w:rsid w:val="00507339"/>
    <w:rsid w:val="0050739F"/>
    <w:rsid w:val="0050755D"/>
    <w:rsid w:val="0050772F"/>
    <w:rsid w:val="005079A9"/>
    <w:rsid w:val="005079D7"/>
    <w:rsid w:val="005079E8"/>
    <w:rsid w:val="00507B74"/>
    <w:rsid w:val="00507C6F"/>
    <w:rsid w:val="00507D31"/>
    <w:rsid w:val="00507DC2"/>
    <w:rsid w:val="0051004B"/>
    <w:rsid w:val="005100F9"/>
    <w:rsid w:val="00510237"/>
    <w:rsid w:val="00510309"/>
    <w:rsid w:val="00510394"/>
    <w:rsid w:val="00510947"/>
    <w:rsid w:val="0051098C"/>
    <w:rsid w:val="00510AF5"/>
    <w:rsid w:val="00510B54"/>
    <w:rsid w:val="00510E31"/>
    <w:rsid w:val="00511292"/>
    <w:rsid w:val="00511365"/>
    <w:rsid w:val="00511377"/>
    <w:rsid w:val="005113FA"/>
    <w:rsid w:val="005116BA"/>
    <w:rsid w:val="005117D3"/>
    <w:rsid w:val="00511950"/>
    <w:rsid w:val="00511E88"/>
    <w:rsid w:val="00511F70"/>
    <w:rsid w:val="0051219E"/>
    <w:rsid w:val="00512215"/>
    <w:rsid w:val="00512341"/>
    <w:rsid w:val="00512B90"/>
    <w:rsid w:val="00512D73"/>
    <w:rsid w:val="00512E39"/>
    <w:rsid w:val="00512E52"/>
    <w:rsid w:val="00512E6E"/>
    <w:rsid w:val="00513164"/>
    <w:rsid w:val="005131C2"/>
    <w:rsid w:val="0051384C"/>
    <w:rsid w:val="005138CA"/>
    <w:rsid w:val="00513A69"/>
    <w:rsid w:val="00513A95"/>
    <w:rsid w:val="00513BBC"/>
    <w:rsid w:val="00513BF4"/>
    <w:rsid w:val="00513BF6"/>
    <w:rsid w:val="00513D79"/>
    <w:rsid w:val="00513DA6"/>
    <w:rsid w:val="00513EE4"/>
    <w:rsid w:val="00513F3F"/>
    <w:rsid w:val="00513FFA"/>
    <w:rsid w:val="005140C3"/>
    <w:rsid w:val="005142EA"/>
    <w:rsid w:val="005144DC"/>
    <w:rsid w:val="00514668"/>
    <w:rsid w:val="00514891"/>
    <w:rsid w:val="00514AB4"/>
    <w:rsid w:val="00514D10"/>
    <w:rsid w:val="0051532E"/>
    <w:rsid w:val="0051535D"/>
    <w:rsid w:val="005154E7"/>
    <w:rsid w:val="0051550D"/>
    <w:rsid w:val="00515A79"/>
    <w:rsid w:val="00515B9F"/>
    <w:rsid w:val="00515F45"/>
    <w:rsid w:val="00515F5B"/>
    <w:rsid w:val="00515FCF"/>
    <w:rsid w:val="00516001"/>
    <w:rsid w:val="0051617C"/>
    <w:rsid w:val="005164E8"/>
    <w:rsid w:val="0051681B"/>
    <w:rsid w:val="00516858"/>
    <w:rsid w:val="00516D14"/>
    <w:rsid w:val="00516DA0"/>
    <w:rsid w:val="00516DA6"/>
    <w:rsid w:val="00517097"/>
    <w:rsid w:val="005170AF"/>
    <w:rsid w:val="00517184"/>
    <w:rsid w:val="00517449"/>
    <w:rsid w:val="00517774"/>
    <w:rsid w:val="00517D5B"/>
    <w:rsid w:val="00517EBF"/>
    <w:rsid w:val="00520166"/>
    <w:rsid w:val="0052021D"/>
    <w:rsid w:val="00520240"/>
    <w:rsid w:val="0052034C"/>
    <w:rsid w:val="005204D0"/>
    <w:rsid w:val="0052052E"/>
    <w:rsid w:val="005209AB"/>
    <w:rsid w:val="005209F9"/>
    <w:rsid w:val="00520AF9"/>
    <w:rsid w:val="00520DA2"/>
    <w:rsid w:val="00520F57"/>
    <w:rsid w:val="00521218"/>
    <w:rsid w:val="00521330"/>
    <w:rsid w:val="005213FE"/>
    <w:rsid w:val="005216FF"/>
    <w:rsid w:val="005217FA"/>
    <w:rsid w:val="005218E2"/>
    <w:rsid w:val="00521C5A"/>
    <w:rsid w:val="00521C7A"/>
    <w:rsid w:val="00521D35"/>
    <w:rsid w:val="00521E84"/>
    <w:rsid w:val="00522B80"/>
    <w:rsid w:val="00522E6E"/>
    <w:rsid w:val="0052310F"/>
    <w:rsid w:val="005231BB"/>
    <w:rsid w:val="00523734"/>
    <w:rsid w:val="005238E6"/>
    <w:rsid w:val="00523B9E"/>
    <w:rsid w:val="00523BD0"/>
    <w:rsid w:val="00523C8E"/>
    <w:rsid w:val="00523C90"/>
    <w:rsid w:val="00523D71"/>
    <w:rsid w:val="00523F14"/>
    <w:rsid w:val="00523F18"/>
    <w:rsid w:val="00524279"/>
    <w:rsid w:val="0052430A"/>
    <w:rsid w:val="00524543"/>
    <w:rsid w:val="005247FE"/>
    <w:rsid w:val="005248A3"/>
    <w:rsid w:val="0052493A"/>
    <w:rsid w:val="00524BDA"/>
    <w:rsid w:val="00524C7C"/>
    <w:rsid w:val="00524CC6"/>
    <w:rsid w:val="00524D7C"/>
    <w:rsid w:val="00524EEA"/>
    <w:rsid w:val="00525221"/>
    <w:rsid w:val="005252D6"/>
    <w:rsid w:val="005255B2"/>
    <w:rsid w:val="005255E8"/>
    <w:rsid w:val="00525D5B"/>
    <w:rsid w:val="00525E3C"/>
    <w:rsid w:val="00525E49"/>
    <w:rsid w:val="00525F62"/>
    <w:rsid w:val="00526600"/>
    <w:rsid w:val="0052662C"/>
    <w:rsid w:val="00526775"/>
    <w:rsid w:val="00526802"/>
    <w:rsid w:val="0052686E"/>
    <w:rsid w:val="00526D69"/>
    <w:rsid w:val="00526EBC"/>
    <w:rsid w:val="005271F5"/>
    <w:rsid w:val="005278C8"/>
    <w:rsid w:val="005278FC"/>
    <w:rsid w:val="0052796D"/>
    <w:rsid w:val="00527A6C"/>
    <w:rsid w:val="00527C5B"/>
    <w:rsid w:val="00527E48"/>
    <w:rsid w:val="00527F3E"/>
    <w:rsid w:val="00527F86"/>
    <w:rsid w:val="00527FD2"/>
    <w:rsid w:val="00530040"/>
    <w:rsid w:val="005301C3"/>
    <w:rsid w:val="005304DB"/>
    <w:rsid w:val="0053058A"/>
    <w:rsid w:val="0053094C"/>
    <w:rsid w:val="00530CE0"/>
    <w:rsid w:val="005310F9"/>
    <w:rsid w:val="005312A0"/>
    <w:rsid w:val="00531857"/>
    <w:rsid w:val="0053187D"/>
    <w:rsid w:val="005319B5"/>
    <w:rsid w:val="00531A0E"/>
    <w:rsid w:val="00531EBC"/>
    <w:rsid w:val="00532334"/>
    <w:rsid w:val="0053235E"/>
    <w:rsid w:val="00532524"/>
    <w:rsid w:val="00532940"/>
    <w:rsid w:val="00532ABF"/>
    <w:rsid w:val="00532BFF"/>
    <w:rsid w:val="00533125"/>
    <w:rsid w:val="00533299"/>
    <w:rsid w:val="00533313"/>
    <w:rsid w:val="00533321"/>
    <w:rsid w:val="005337A3"/>
    <w:rsid w:val="005337DD"/>
    <w:rsid w:val="00533909"/>
    <w:rsid w:val="00533A46"/>
    <w:rsid w:val="00533B41"/>
    <w:rsid w:val="00533B42"/>
    <w:rsid w:val="00533CE9"/>
    <w:rsid w:val="00534195"/>
    <w:rsid w:val="00534374"/>
    <w:rsid w:val="005343F7"/>
    <w:rsid w:val="005344C0"/>
    <w:rsid w:val="005347FE"/>
    <w:rsid w:val="00534976"/>
    <w:rsid w:val="00534AD6"/>
    <w:rsid w:val="00534B32"/>
    <w:rsid w:val="00534B6E"/>
    <w:rsid w:val="00534B7C"/>
    <w:rsid w:val="00534D58"/>
    <w:rsid w:val="00534DBD"/>
    <w:rsid w:val="005350F8"/>
    <w:rsid w:val="005355DD"/>
    <w:rsid w:val="00535768"/>
    <w:rsid w:val="00535915"/>
    <w:rsid w:val="005359FF"/>
    <w:rsid w:val="00535D95"/>
    <w:rsid w:val="00535F3A"/>
    <w:rsid w:val="005363FD"/>
    <w:rsid w:val="005364D9"/>
    <w:rsid w:val="00536502"/>
    <w:rsid w:val="00536572"/>
    <w:rsid w:val="005365AD"/>
    <w:rsid w:val="00536839"/>
    <w:rsid w:val="00536AF8"/>
    <w:rsid w:val="00536B98"/>
    <w:rsid w:val="00536BFC"/>
    <w:rsid w:val="00536C6D"/>
    <w:rsid w:val="00536D43"/>
    <w:rsid w:val="00536EA0"/>
    <w:rsid w:val="00536EE8"/>
    <w:rsid w:val="00536F07"/>
    <w:rsid w:val="00536F66"/>
    <w:rsid w:val="005373D7"/>
    <w:rsid w:val="00537542"/>
    <w:rsid w:val="0053759C"/>
    <w:rsid w:val="005376E2"/>
    <w:rsid w:val="005377DD"/>
    <w:rsid w:val="00537B86"/>
    <w:rsid w:val="00537BA8"/>
    <w:rsid w:val="00537D94"/>
    <w:rsid w:val="00537DA4"/>
    <w:rsid w:val="00537FED"/>
    <w:rsid w:val="005400CD"/>
    <w:rsid w:val="005401C6"/>
    <w:rsid w:val="005401CC"/>
    <w:rsid w:val="005401E9"/>
    <w:rsid w:val="005405E6"/>
    <w:rsid w:val="005406B8"/>
    <w:rsid w:val="00540A90"/>
    <w:rsid w:val="00540B8A"/>
    <w:rsid w:val="00540BAB"/>
    <w:rsid w:val="00540C8B"/>
    <w:rsid w:val="00540D0D"/>
    <w:rsid w:val="00540D8B"/>
    <w:rsid w:val="00540F3D"/>
    <w:rsid w:val="00540F46"/>
    <w:rsid w:val="005410AB"/>
    <w:rsid w:val="005411AD"/>
    <w:rsid w:val="0054123D"/>
    <w:rsid w:val="00541371"/>
    <w:rsid w:val="00541976"/>
    <w:rsid w:val="005419A7"/>
    <w:rsid w:val="00541CFB"/>
    <w:rsid w:val="00541EB1"/>
    <w:rsid w:val="00542378"/>
    <w:rsid w:val="005425EF"/>
    <w:rsid w:val="005427B4"/>
    <w:rsid w:val="005427D2"/>
    <w:rsid w:val="0054289B"/>
    <w:rsid w:val="00542AD8"/>
    <w:rsid w:val="005430A4"/>
    <w:rsid w:val="0054344A"/>
    <w:rsid w:val="005434B4"/>
    <w:rsid w:val="0054386B"/>
    <w:rsid w:val="00543968"/>
    <w:rsid w:val="00543AE4"/>
    <w:rsid w:val="00543F67"/>
    <w:rsid w:val="00544245"/>
    <w:rsid w:val="0054425A"/>
    <w:rsid w:val="0054440D"/>
    <w:rsid w:val="00544493"/>
    <w:rsid w:val="00544595"/>
    <w:rsid w:val="0054471D"/>
    <w:rsid w:val="005448D4"/>
    <w:rsid w:val="00544941"/>
    <w:rsid w:val="00544C95"/>
    <w:rsid w:val="00544CF8"/>
    <w:rsid w:val="005451DC"/>
    <w:rsid w:val="005454E8"/>
    <w:rsid w:val="0054596E"/>
    <w:rsid w:val="00545C02"/>
    <w:rsid w:val="00545C4E"/>
    <w:rsid w:val="00545FB0"/>
    <w:rsid w:val="005461D8"/>
    <w:rsid w:val="00546254"/>
    <w:rsid w:val="005462BE"/>
    <w:rsid w:val="00546538"/>
    <w:rsid w:val="005466B7"/>
    <w:rsid w:val="0054685A"/>
    <w:rsid w:val="0054737A"/>
    <w:rsid w:val="00547785"/>
    <w:rsid w:val="00547801"/>
    <w:rsid w:val="00547B44"/>
    <w:rsid w:val="00547E2F"/>
    <w:rsid w:val="0054D4F5"/>
    <w:rsid w:val="0055004C"/>
    <w:rsid w:val="005500D9"/>
    <w:rsid w:val="00550112"/>
    <w:rsid w:val="00550376"/>
    <w:rsid w:val="0055038A"/>
    <w:rsid w:val="00550558"/>
    <w:rsid w:val="00550C98"/>
    <w:rsid w:val="00550FAB"/>
    <w:rsid w:val="00551211"/>
    <w:rsid w:val="00551690"/>
    <w:rsid w:val="00551712"/>
    <w:rsid w:val="005519EB"/>
    <w:rsid w:val="005519F7"/>
    <w:rsid w:val="00551A41"/>
    <w:rsid w:val="00551B5E"/>
    <w:rsid w:val="00551EBE"/>
    <w:rsid w:val="0055227D"/>
    <w:rsid w:val="00552311"/>
    <w:rsid w:val="00552326"/>
    <w:rsid w:val="005523A9"/>
    <w:rsid w:val="00552576"/>
    <w:rsid w:val="00552601"/>
    <w:rsid w:val="00552622"/>
    <w:rsid w:val="005528E9"/>
    <w:rsid w:val="005529EB"/>
    <w:rsid w:val="00552AD1"/>
    <w:rsid w:val="00552C2C"/>
    <w:rsid w:val="00552E64"/>
    <w:rsid w:val="00552E96"/>
    <w:rsid w:val="0055323E"/>
    <w:rsid w:val="005534D6"/>
    <w:rsid w:val="00553628"/>
    <w:rsid w:val="00553737"/>
    <w:rsid w:val="00553903"/>
    <w:rsid w:val="00553C79"/>
    <w:rsid w:val="00553C86"/>
    <w:rsid w:val="00553CA8"/>
    <w:rsid w:val="00553E8E"/>
    <w:rsid w:val="00553EB4"/>
    <w:rsid w:val="00554047"/>
    <w:rsid w:val="005548F1"/>
    <w:rsid w:val="00554D69"/>
    <w:rsid w:val="00554D74"/>
    <w:rsid w:val="0055514D"/>
    <w:rsid w:val="005552E5"/>
    <w:rsid w:val="00555786"/>
    <w:rsid w:val="005557F6"/>
    <w:rsid w:val="00555958"/>
    <w:rsid w:val="00555966"/>
    <w:rsid w:val="00555B1A"/>
    <w:rsid w:val="00555B3D"/>
    <w:rsid w:val="00555C74"/>
    <w:rsid w:val="00555DC0"/>
    <w:rsid w:val="00555F40"/>
    <w:rsid w:val="0055622C"/>
    <w:rsid w:val="00556247"/>
    <w:rsid w:val="00556337"/>
    <w:rsid w:val="00556362"/>
    <w:rsid w:val="00556434"/>
    <w:rsid w:val="0055651D"/>
    <w:rsid w:val="005568AD"/>
    <w:rsid w:val="00556AAC"/>
    <w:rsid w:val="00556EC5"/>
    <w:rsid w:val="005575F8"/>
    <w:rsid w:val="0055789F"/>
    <w:rsid w:val="005578B4"/>
    <w:rsid w:val="005579A7"/>
    <w:rsid w:val="00557A85"/>
    <w:rsid w:val="00557BAE"/>
    <w:rsid w:val="00557CA3"/>
    <w:rsid w:val="00557CF1"/>
    <w:rsid w:val="00557DD6"/>
    <w:rsid w:val="00557F26"/>
    <w:rsid w:val="00560021"/>
    <w:rsid w:val="00560497"/>
    <w:rsid w:val="00560720"/>
    <w:rsid w:val="005607E5"/>
    <w:rsid w:val="00560B96"/>
    <w:rsid w:val="00560BFC"/>
    <w:rsid w:val="00560C6D"/>
    <w:rsid w:val="00560EDC"/>
    <w:rsid w:val="00560FE7"/>
    <w:rsid w:val="00561248"/>
    <w:rsid w:val="00561371"/>
    <w:rsid w:val="00561374"/>
    <w:rsid w:val="0056140E"/>
    <w:rsid w:val="005615A1"/>
    <w:rsid w:val="00561764"/>
    <w:rsid w:val="00561860"/>
    <w:rsid w:val="00561D10"/>
    <w:rsid w:val="00561D28"/>
    <w:rsid w:val="00561D99"/>
    <w:rsid w:val="00562117"/>
    <w:rsid w:val="0056229F"/>
    <w:rsid w:val="005626DD"/>
    <w:rsid w:val="0056274C"/>
    <w:rsid w:val="00562940"/>
    <w:rsid w:val="0056295F"/>
    <w:rsid w:val="00562A7C"/>
    <w:rsid w:val="00562C2B"/>
    <w:rsid w:val="00563144"/>
    <w:rsid w:val="0056326E"/>
    <w:rsid w:val="005635C9"/>
    <w:rsid w:val="005635DC"/>
    <w:rsid w:val="00563B82"/>
    <w:rsid w:val="00563B86"/>
    <w:rsid w:val="00563BC8"/>
    <w:rsid w:val="00563DF2"/>
    <w:rsid w:val="005640AC"/>
    <w:rsid w:val="0056414A"/>
    <w:rsid w:val="0056423D"/>
    <w:rsid w:val="00564433"/>
    <w:rsid w:val="0056448D"/>
    <w:rsid w:val="0056454F"/>
    <w:rsid w:val="0056457F"/>
    <w:rsid w:val="00564658"/>
    <w:rsid w:val="005646AF"/>
    <w:rsid w:val="00564865"/>
    <w:rsid w:val="0056486D"/>
    <w:rsid w:val="00564877"/>
    <w:rsid w:val="005648BC"/>
    <w:rsid w:val="0056495B"/>
    <w:rsid w:val="00564979"/>
    <w:rsid w:val="00564CFF"/>
    <w:rsid w:val="00564EF1"/>
    <w:rsid w:val="00565059"/>
    <w:rsid w:val="00565455"/>
    <w:rsid w:val="0056550D"/>
    <w:rsid w:val="00565527"/>
    <w:rsid w:val="00565687"/>
    <w:rsid w:val="00565722"/>
    <w:rsid w:val="00565739"/>
    <w:rsid w:val="005658FA"/>
    <w:rsid w:val="00565B17"/>
    <w:rsid w:val="00565B2F"/>
    <w:rsid w:val="00565BE1"/>
    <w:rsid w:val="00565EF5"/>
    <w:rsid w:val="00565F27"/>
    <w:rsid w:val="0056605E"/>
    <w:rsid w:val="00566142"/>
    <w:rsid w:val="005661C3"/>
    <w:rsid w:val="0056679E"/>
    <w:rsid w:val="00566829"/>
    <w:rsid w:val="00566BAF"/>
    <w:rsid w:val="00566E2A"/>
    <w:rsid w:val="00566F95"/>
    <w:rsid w:val="00566FB8"/>
    <w:rsid w:val="00567041"/>
    <w:rsid w:val="005673C4"/>
    <w:rsid w:val="005676C3"/>
    <w:rsid w:val="005677DD"/>
    <w:rsid w:val="0056795A"/>
    <w:rsid w:val="0056797A"/>
    <w:rsid w:val="00567A92"/>
    <w:rsid w:val="00567FEB"/>
    <w:rsid w:val="00570072"/>
    <w:rsid w:val="005701BC"/>
    <w:rsid w:val="005703FB"/>
    <w:rsid w:val="005706C5"/>
    <w:rsid w:val="005706D0"/>
    <w:rsid w:val="005709EC"/>
    <w:rsid w:val="00570B14"/>
    <w:rsid w:val="00570B62"/>
    <w:rsid w:val="00570D13"/>
    <w:rsid w:val="00570DC8"/>
    <w:rsid w:val="00570E1C"/>
    <w:rsid w:val="00570FEA"/>
    <w:rsid w:val="00571034"/>
    <w:rsid w:val="00571206"/>
    <w:rsid w:val="00571281"/>
    <w:rsid w:val="005712DE"/>
    <w:rsid w:val="005717D0"/>
    <w:rsid w:val="00571827"/>
    <w:rsid w:val="00571843"/>
    <w:rsid w:val="00571A08"/>
    <w:rsid w:val="00571A70"/>
    <w:rsid w:val="00571B56"/>
    <w:rsid w:val="00571C36"/>
    <w:rsid w:val="00571C7B"/>
    <w:rsid w:val="00571D55"/>
    <w:rsid w:val="00571DA7"/>
    <w:rsid w:val="00571F46"/>
    <w:rsid w:val="00571F97"/>
    <w:rsid w:val="0057204C"/>
    <w:rsid w:val="00572229"/>
    <w:rsid w:val="00572398"/>
    <w:rsid w:val="00572605"/>
    <w:rsid w:val="005726A4"/>
    <w:rsid w:val="00572B32"/>
    <w:rsid w:val="00572B61"/>
    <w:rsid w:val="00572BE5"/>
    <w:rsid w:val="00572C3F"/>
    <w:rsid w:val="00572E6F"/>
    <w:rsid w:val="00572EC0"/>
    <w:rsid w:val="0057323A"/>
    <w:rsid w:val="005733A5"/>
    <w:rsid w:val="005736EE"/>
    <w:rsid w:val="00573B27"/>
    <w:rsid w:val="00573F43"/>
    <w:rsid w:val="0057408C"/>
    <w:rsid w:val="00574218"/>
    <w:rsid w:val="00574243"/>
    <w:rsid w:val="00574294"/>
    <w:rsid w:val="005742D5"/>
    <w:rsid w:val="00574635"/>
    <w:rsid w:val="005747BE"/>
    <w:rsid w:val="00574A52"/>
    <w:rsid w:val="00574ACF"/>
    <w:rsid w:val="00574B35"/>
    <w:rsid w:val="00574B87"/>
    <w:rsid w:val="00574C3D"/>
    <w:rsid w:val="00574D69"/>
    <w:rsid w:val="00574D84"/>
    <w:rsid w:val="00574FFA"/>
    <w:rsid w:val="0057531F"/>
    <w:rsid w:val="0057540C"/>
    <w:rsid w:val="0057581C"/>
    <w:rsid w:val="00575AA9"/>
    <w:rsid w:val="00575D23"/>
    <w:rsid w:val="0057624B"/>
    <w:rsid w:val="00576443"/>
    <w:rsid w:val="0057657B"/>
    <w:rsid w:val="005767B4"/>
    <w:rsid w:val="00576AA7"/>
    <w:rsid w:val="00576E62"/>
    <w:rsid w:val="00576F1C"/>
    <w:rsid w:val="00576F72"/>
    <w:rsid w:val="00577188"/>
    <w:rsid w:val="0057720F"/>
    <w:rsid w:val="00577536"/>
    <w:rsid w:val="0057769E"/>
    <w:rsid w:val="005776B5"/>
    <w:rsid w:val="00577784"/>
    <w:rsid w:val="005777C4"/>
    <w:rsid w:val="00577986"/>
    <w:rsid w:val="00577A22"/>
    <w:rsid w:val="00577A63"/>
    <w:rsid w:val="00577A9C"/>
    <w:rsid w:val="00577D57"/>
    <w:rsid w:val="00577E97"/>
    <w:rsid w:val="005800D4"/>
    <w:rsid w:val="00580363"/>
    <w:rsid w:val="005804FE"/>
    <w:rsid w:val="005805B5"/>
    <w:rsid w:val="005805C7"/>
    <w:rsid w:val="005806E2"/>
    <w:rsid w:val="0058078E"/>
    <w:rsid w:val="0058080D"/>
    <w:rsid w:val="0058089D"/>
    <w:rsid w:val="00580AFD"/>
    <w:rsid w:val="00580B02"/>
    <w:rsid w:val="00580CF5"/>
    <w:rsid w:val="00580DC3"/>
    <w:rsid w:val="00580DFC"/>
    <w:rsid w:val="00580E5C"/>
    <w:rsid w:val="00580F10"/>
    <w:rsid w:val="0058130E"/>
    <w:rsid w:val="005816F6"/>
    <w:rsid w:val="00581DF8"/>
    <w:rsid w:val="00581EFF"/>
    <w:rsid w:val="00581FED"/>
    <w:rsid w:val="0058230A"/>
    <w:rsid w:val="00582500"/>
    <w:rsid w:val="0058261A"/>
    <w:rsid w:val="0058275B"/>
    <w:rsid w:val="005828D5"/>
    <w:rsid w:val="00582926"/>
    <w:rsid w:val="00582976"/>
    <w:rsid w:val="00582A8D"/>
    <w:rsid w:val="00582B2B"/>
    <w:rsid w:val="00582B69"/>
    <w:rsid w:val="00582BD3"/>
    <w:rsid w:val="00582BD6"/>
    <w:rsid w:val="00582BF3"/>
    <w:rsid w:val="00582F1E"/>
    <w:rsid w:val="005833D6"/>
    <w:rsid w:val="0058373E"/>
    <w:rsid w:val="005837A5"/>
    <w:rsid w:val="00583C3A"/>
    <w:rsid w:val="00583DCE"/>
    <w:rsid w:val="00583F7C"/>
    <w:rsid w:val="00583FD1"/>
    <w:rsid w:val="005842D6"/>
    <w:rsid w:val="00584917"/>
    <w:rsid w:val="00584BB9"/>
    <w:rsid w:val="00584ECB"/>
    <w:rsid w:val="00584FEC"/>
    <w:rsid w:val="0058503C"/>
    <w:rsid w:val="005850A6"/>
    <w:rsid w:val="00585364"/>
    <w:rsid w:val="00585381"/>
    <w:rsid w:val="0058544F"/>
    <w:rsid w:val="0058555C"/>
    <w:rsid w:val="0058556B"/>
    <w:rsid w:val="0058594E"/>
    <w:rsid w:val="0058599F"/>
    <w:rsid w:val="005859C7"/>
    <w:rsid w:val="00585D79"/>
    <w:rsid w:val="00585E08"/>
    <w:rsid w:val="00585E93"/>
    <w:rsid w:val="005861F2"/>
    <w:rsid w:val="00586221"/>
    <w:rsid w:val="005863FB"/>
    <w:rsid w:val="0058644B"/>
    <w:rsid w:val="0058667C"/>
    <w:rsid w:val="00586990"/>
    <w:rsid w:val="00586A41"/>
    <w:rsid w:val="00586FED"/>
    <w:rsid w:val="00587034"/>
    <w:rsid w:val="005870D1"/>
    <w:rsid w:val="00587156"/>
    <w:rsid w:val="005871AD"/>
    <w:rsid w:val="00587251"/>
    <w:rsid w:val="00587424"/>
    <w:rsid w:val="00587550"/>
    <w:rsid w:val="005876B4"/>
    <w:rsid w:val="00587743"/>
    <w:rsid w:val="00587AF0"/>
    <w:rsid w:val="00587EB9"/>
    <w:rsid w:val="00587EEA"/>
    <w:rsid w:val="00587EFB"/>
    <w:rsid w:val="00590073"/>
    <w:rsid w:val="00590378"/>
    <w:rsid w:val="00590479"/>
    <w:rsid w:val="00590676"/>
    <w:rsid w:val="0059069D"/>
    <w:rsid w:val="005907AF"/>
    <w:rsid w:val="00590AB0"/>
    <w:rsid w:val="00590B28"/>
    <w:rsid w:val="00590B81"/>
    <w:rsid w:val="00590C25"/>
    <w:rsid w:val="00590C95"/>
    <w:rsid w:val="00590DD1"/>
    <w:rsid w:val="0059110E"/>
    <w:rsid w:val="0059112A"/>
    <w:rsid w:val="0059120C"/>
    <w:rsid w:val="0059178A"/>
    <w:rsid w:val="005918A2"/>
    <w:rsid w:val="00591D11"/>
    <w:rsid w:val="00591E17"/>
    <w:rsid w:val="00592005"/>
    <w:rsid w:val="0059205C"/>
    <w:rsid w:val="005920F7"/>
    <w:rsid w:val="0059214B"/>
    <w:rsid w:val="005921CD"/>
    <w:rsid w:val="00592306"/>
    <w:rsid w:val="0059245D"/>
    <w:rsid w:val="0059299F"/>
    <w:rsid w:val="00592B3E"/>
    <w:rsid w:val="00592C68"/>
    <w:rsid w:val="00593051"/>
    <w:rsid w:val="005930C7"/>
    <w:rsid w:val="0059332E"/>
    <w:rsid w:val="0059334F"/>
    <w:rsid w:val="00593896"/>
    <w:rsid w:val="00593996"/>
    <w:rsid w:val="00593A47"/>
    <w:rsid w:val="00593BC9"/>
    <w:rsid w:val="00593BF1"/>
    <w:rsid w:val="00594084"/>
    <w:rsid w:val="005942FC"/>
    <w:rsid w:val="00594363"/>
    <w:rsid w:val="00594A53"/>
    <w:rsid w:val="00594C7D"/>
    <w:rsid w:val="00594EAB"/>
    <w:rsid w:val="00594ED7"/>
    <w:rsid w:val="0059528A"/>
    <w:rsid w:val="005958A0"/>
    <w:rsid w:val="00595A9B"/>
    <w:rsid w:val="00595BF0"/>
    <w:rsid w:val="00595C04"/>
    <w:rsid w:val="00595CD7"/>
    <w:rsid w:val="00595DEE"/>
    <w:rsid w:val="00595E0D"/>
    <w:rsid w:val="00595F08"/>
    <w:rsid w:val="005962A1"/>
    <w:rsid w:val="0059645D"/>
    <w:rsid w:val="00596668"/>
    <w:rsid w:val="00596671"/>
    <w:rsid w:val="005968C7"/>
    <w:rsid w:val="00596949"/>
    <w:rsid w:val="005969AE"/>
    <w:rsid w:val="00596BDB"/>
    <w:rsid w:val="00596C41"/>
    <w:rsid w:val="0059714F"/>
    <w:rsid w:val="0059741F"/>
    <w:rsid w:val="005974A0"/>
    <w:rsid w:val="005975B8"/>
    <w:rsid w:val="005975CA"/>
    <w:rsid w:val="005976C2"/>
    <w:rsid w:val="005977D4"/>
    <w:rsid w:val="005979B5"/>
    <w:rsid w:val="00597B5F"/>
    <w:rsid w:val="00597D56"/>
    <w:rsid w:val="00597DC3"/>
    <w:rsid w:val="00597EBA"/>
    <w:rsid w:val="00597FBB"/>
    <w:rsid w:val="005A0321"/>
    <w:rsid w:val="005A0564"/>
    <w:rsid w:val="005A0585"/>
    <w:rsid w:val="005A0886"/>
    <w:rsid w:val="005A0920"/>
    <w:rsid w:val="005A0D38"/>
    <w:rsid w:val="005A112B"/>
    <w:rsid w:val="005A12B6"/>
    <w:rsid w:val="005A13BC"/>
    <w:rsid w:val="005A174A"/>
    <w:rsid w:val="005A1B0D"/>
    <w:rsid w:val="005A1BD3"/>
    <w:rsid w:val="005A1D10"/>
    <w:rsid w:val="005A1EE9"/>
    <w:rsid w:val="005A23E1"/>
    <w:rsid w:val="005A2716"/>
    <w:rsid w:val="005A275F"/>
    <w:rsid w:val="005A27C4"/>
    <w:rsid w:val="005A27FA"/>
    <w:rsid w:val="005A2884"/>
    <w:rsid w:val="005A28C5"/>
    <w:rsid w:val="005A2921"/>
    <w:rsid w:val="005A2A7F"/>
    <w:rsid w:val="005A2B2D"/>
    <w:rsid w:val="005A2BD6"/>
    <w:rsid w:val="005A2BE9"/>
    <w:rsid w:val="005A2C06"/>
    <w:rsid w:val="005A2F46"/>
    <w:rsid w:val="005A317A"/>
    <w:rsid w:val="005A3285"/>
    <w:rsid w:val="005A341C"/>
    <w:rsid w:val="005A36EB"/>
    <w:rsid w:val="005A3714"/>
    <w:rsid w:val="005A3D01"/>
    <w:rsid w:val="005A422B"/>
    <w:rsid w:val="005A4252"/>
    <w:rsid w:val="005A438B"/>
    <w:rsid w:val="005A43E0"/>
    <w:rsid w:val="005A462E"/>
    <w:rsid w:val="005A4837"/>
    <w:rsid w:val="005A4864"/>
    <w:rsid w:val="005A489A"/>
    <w:rsid w:val="005A4909"/>
    <w:rsid w:val="005A49C1"/>
    <w:rsid w:val="005A4D53"/>
    <w:rsid w:val="005A4E07"/>
    <w:rsid w:val="005A4EC2"/>
    <w:rsid w:val="005A539D"/>
    <w:rsid w:val="005A53D8"/>
    <w:rsid w:val="005A5410"/>
    <w:rsid w:val="005A54EA"/>
    <w:rsid w:val="005A55C4"/>
    <w:rsid w:val="005A56E6"/>
    <w:rsid w:val="005A57BF"/>
    <w:rsid w:val="005A58A0"/>
    <w:rsid w:val="005A5B08"/>
    <w:rsid w:val="005A5D46"/>
    <w:rsid w:val="005A5D78"/>
    <w:rsid w:val="005A5DEA"/>
    <w:rsid w:val="005A6130"/>
    <w:rsid w:val="005A6288"/>
    <w:rsid w:val="005A6656"/>
    <w:rsid w:val="005A6706"/>
    <w:rsid w:val="005A677F"/>
    <w:rsid w:val="005A680F"/>
    <w:rsid w:val="005A6835"/>
    <w:rsid w:val="005A68F1"/>
    <w:rsid w:val="005A6C06"/>
    <w:rsid w:val="005A6C84"/>
    <w:rsid w:val="005A6D97"/>
    <w:rsid w:val="005A6E2E"/>
    <w:rsid w:val="005A6EF8"/>
    <w:rsid w:val="005A700F"/>
    <w:rsid w:val="005A7096"/>
    <w:rsid w:val="005A7380"/>
    <w:rsid w:val="005A7832"/>
    <w:rsid w:val="005A7A9B"/>
    <w:rsid w:val="005A7BE1"/>
    <w:rsid w:val="005A7C15"/>
    <w:rsid w:val="005A7F5A"/>
    <w:rsid w:val="005B0089"/>
    <w:rsid w:val="005B03C8"/>
    <w:rsid w:val="005B042D"/>
    <w:rsid w:val="005B0706"/>
    <w:rsid w:val="005B0710"/>
    <w:rsid w:val="005B1083"/>
    <w:rsid w:val="005B1354"/>
    <w:rsid w:val="005B13D8"/>
    <w:rsid w:val="005B14DA"/>
    <w:rsid w:val="005B15D8"/>
    <w:rsid w:val="005B18FF"/>
    <w:rsid w:val="005B1F37"/>
    <w:rsid w:val="005B1F50"/>
    <w:rsid w:val="005B202B"/>
    <w:rsid w:val="005B2140"/>
    <w:rsid w:val="005B21F4"/>
    <w:rsid w:val="005B2210"/>
    <w:rsid w:val="005B2304"/>
    <w:rsid w:val="005B2843"/>
    <w:rsid w:val="005B2F9A"/>
    <w:rsid w:val="005B2FAB"/>
    <w:rsid w:val="005B33E9"/>
    <w:rsid w:val="005B355E"/>
    <w:rsid w:val="005B3778"/>
    <w:rsid w:val="005B3911"/>
    <w:rsid w:val="005B3B6A"/>
    <w:rsid w:val="005B3C29"/>
    <w:rsid w:val="005B3D1D"/>
    <w:rsid w:val="005B3E51"/>
    <w:rsid w:val="005B3EA2"/>
    <w:rsid w:val="005B410C"/>
    <w:rsid w:val="005B41A3"/>
    <w:rsid w:val="005B42A8"/>
    <w:rsid w:val="005B45C2"/>
    <w:rsid w:val="005B45C4"/>
    <w:rsid w:val="005B45D5"/>
    <w:rsid w:val="005B47BA"/>
    <w:rsid w:val="005B4A15"/>
    <w:rsid w:val="005B4C4F"/>
    <w:rsid w:val="005B4EB6"/>
    <w:rsid w:val="005B4F54"/>
    <w:rsid w:val="005B508D"/>
    <w:rsid w:val="005B523A"/>
    <w:rsid w:val="005B52EA"/>
    <w:rsid w:val="005B53AA"/>
    <w:rsid w:val="005B5487"/>
    <w:rsid w:val="005B557A"/>
    <w:rsid w:val="005B582C"/>
    <w:rsid w:val="005B5839"/>
    <w:rsid w:val="005B5935"/>
    <w:rsid w:val="005B5C86"/>
    <w:rsid w:val="005B5DB4"/>
    <w:rsid w:val="005B5EE3"/>
    <w:rsid w:val="005B5F0F"/>
    <w:rsid w:val="005B601E"/>
    <w:rsid w:val="005B63F1"/>
    <w:rsid w:val="005B64B4"/>
    <w:rsid w:val="005B676F"/>
    <w:rsid w:val="005B6A12"/>
    <w:rsid w:val="005B6AA0"/>
    <w:rsid w:val="005B6B11"/>
    <w:rsid w:val="005B6B37"/>
    <w:rsid w:val="005B6C32"/>
    <w:rsid w:val="005B714C"/>
    <w:rsid w:val="005B77BC"/>
    <w:rsid w:val="005B78B0"/>
    <w:rsid w:val="005B7904"/>
    <w:rsid w:val="005B7962"/>
    <w:rsid w:val="005B7971"/>
    <w:rsid w:val="005B7DF7"/>
    <w:rsid w:val="005B7F5D"/>
    <w:rsid w:val="005C01F0"/>
    <w:rsid w:val="005C0400"/>
    <w:rsid w:val="005C04B4"/>
    <w:rsid w:val="005C0556"/>
    <w:rsid w:val="005C062C"/>
    <w:rsid w:val="005C0901"/>
    <w:rsid w:val="005C09D6"/>
    <w:rsid w:val="005C09E0"/>
    <w:rsid w:val="005C0A18"/>
    <w:rsid w:val="005C0A3B"/>
    <w:rsid w:val="005C0BFC"/>
    <w:rsid w:val="005C0C5B"/>
    <w:rsid w:val="005C1040"/>
    <w:rsid w:val="005C1714"/>
    <w:rsid w:val="005C1739"/>
    <w:rsid w:val="005C1B2A"/>
    <w:rsid w:val="005C1DC5"/>
    <w:rsid w:val="005C1F0D"/>
    <w:rsid w:val="005C1F78"/>
    <w:rsid w:val="005C2081"/>
    <w:rsid w:val="005C209B"/>
    <w:rsid w:val="005C2329"/>
    <w:rsid w:val="005C2354"/>
    <w:rsid w:val="005C2427"/>
    <w:rsid w:val="005C24BC"/>
    <w:rsid w:val="005C25FD"/>
    <w:rsid w:val="005C26E6"/>
    <w:rsid w:val="005C2700"/>
    <w:rsid w:val="005C27A0"/>
    <w:rsid w:val="005C283D"/>
    <w:rsid w:val="005C2ACB"/>
    <w:rsid w:val="005C2CCF"/>
    <w:rsid w:val="005C2CF8"/>
    <w:rsid w:val="005C2DC3"/>
    <w:rsid w:val="005C3069"/>
    <w:rsid w:val="005C3098"/>
    <w:rsid w:val="005C327D"/>
    <w:rsid w:val="005C3438"/>
    <w:rsid w:val="005C34B8"/>
    <w:rsid w:val="005C35B2"/>
    <w:rsid w:val="005C38D8"/>
    <w:rsid w:val="005C3939"/>
    <w:rsid w:val="005C3A21"/>
    <w:rsid w:val="005C3D14"/>
    <w:rsid w:val="005C3FB4"/>
    <w:rsid w:val="005C408B"/>
    <w:rsid w:val="005C42B7"/>
    <w:rsid w:val="005C43BE"/>
    <w:rsid w:val="005C43F9"/>
    <w:rsid w:val="005C4C06"/>
    <w:rsid w:val="005C4EDF"/>
    <w:rsid w:val="005C5137"/>
    <w:rsid w:val="005C5163"/>
    <w:rsid w:val="005C5177"/>
    <w:rsid w:val="005C5207"/>
    <w:rsid w:val="005C57E4"/>
    <w:rsid w:val="005C59D0"/>
    <w:rsid w:val="005C5A60"/>
    <w:rsid w:val="005C5B8B"/>
    <w:rsid w:val="005C5C68"/>
    <w:rsid w:val="005C6134"/>
    <w:rsid w:val="005C6161"/>
    <w:rsid w:val="005C63D9"/>
    <w:rsid w:val="005C67CD"/>
    <w:rsid w:val="005C6924"/>
    <w:rsid w:val="005C6987"/>
    <w:rsid w:val="005C69E1"/>
    <w:rsid w:val="005C6A74"/>
    <w:rsid w:val="005C6FDC"/>
    <w:rsid w:val="005C6FE9"/>
    <w:rsid w:val="005C701C"/>
    <w:rsid w:val="005C70FA"/>
    <w:rsid w:val="005C725A"/>
    <w:rsid w:val="005C72F7"/>
    <w:rsid w:val="005C73EA"/>
    <w:rsid w:val="005C755F"/>
    <w:rsid w:val="005C7777"/>
    <w:rsid w:val="005C7953"/>
    <w:rsid w:val="005C7B21"/>
    <w:rsid w:val="005C7BA8"/>
    <w:rsid w:val="005C7C47"/>
    <w:rsid w:val="005C7D3B"/>
    <w:rsid w:val="005C7DEC"/>
    <w:rsid w:val="005C7ECF"/>
    <w:rsid w:val="005D0194"/>
    <w:rsid w:val="005D01D4"/>
    <w:rsid w:val="005D0266"/>
    <w:rsid w:val="005D0602"/>
    <w:rsid w:val="005D0A27"/>
    <w:rsid w:val="005D0BFC"/>
    <w:rsid w:val="005D1023"/>
    <w:rsid w:val="005D1072"/>
    <w:rsid w:val="005D1208"/>
    <w:rsid w:val="005D12FA"/>
    <w:rsid w:val="005D1378"/>
    <w:rsid w:val="005D13C3"/>
    <w:rsid w:val="005D13D6"/>
    <w:rsid w:val="005D1463"/>
    <w:rsid w:val="005D1546"/>
    <w:rsid w:val="005D19DC"/>
    <w:rsid w:val="005D1A0A"/>
    <w:rsid w:val="005D1AA5"/>
    <w:rsid w:val="005D1BE7"/>
    <w:rsid w:val="005D201E"/>
    <w:rsid w:val="005D212D"/>
    <w:rsid w:val="005D2485"/>
    <w:rsid w:val="005D25AF"/>
    <w:rsid w:val="005D265C"/>
    <w:rsid w:val="005D2973"/>
    <w:rsid w:val="005D2C63"/>
    <w:rsid w:val="005D2D40"/>
    <w:rsid w:val="005D2DFE"/>
    <w:rsid w:val="005D30D4"/>
    <w:rsid w:val="005D3147"/>
    <w:rsid w:val="005D314C"/>
    <w:rsid w:val="005D33A2"/>
    <w:rsid w:val="005D3B13"/>
    <w:rsid w:val="005D3C4E"/>
    <w:rsid w:val="005D3DAF"/>
    <w:rsid w:val="005D3EBC"/>
    <w:rsid w:val="005D437F"/>
    <w:rsid w:val="005D45AE"/>
    <w:rsid w:val="005D47AA"/>
    <w:rsid w:val="005D4985"/>
    <w:rsid w:val="005D4B04"/>
    <w:rsid w:val="005D4B23"/>
    <w:rsid w:val="005D4CA4"/>
    <w:rsid w:val="005D4CAA"/>
    <w:rsid w:val="005D517B"/>
    <w:rsid w:val="005D52B2"/>
    <w:rsid w:val="005D5497"/>
    <w:rsid w:val="005D58FD"/>
    <w:rsid w:val="005D5A19"/>
    <w:rsid w:val="005D5B44"/>
    <w:rsid w:val="005D5D77"/>
    <w:rsid w:val="005D5DA7"/>
    <w:rsid w:val="005D5F26"/>
    <w:rsid w:val="005D5FAA"/>
    <w:rsid w:val="005D6053"/>
    <w:rsid w:val="005D61AB"/>
    <w:rsid w:val="005D61AE"/>
    <w:rsid w:val="005D61F5"/>
    <w:rsid w:val="005D620A"/>
    <w:rsid w:val="005D62E3"/>
    <w:rsid w:val="005D6446"/>
    <w:rsid w:val="005D64E3"/>
    <w:rsid w:val="005D67EA"/>
    <w:rsid w:val="005D6893"/>
    <w:rsid w:val="005D68DA"/>
    <w:rsid w:val="005D6954"/>
    <w:rsid w:val="005D699E"/>
    <w:rsid w:val="005D6E05"/>
    <w:rsid w:val="005D6E74"/>
    <w:rsid w:val="005D7320"/>
    <w:rsid w:val="005D746B"/>
    <w:rsid w:val="005D74F5"/>
    <w:rsid w:val="005D7531"/>
    <w:rsid w:val="005D7574"/>
    <w:rsid w:val="005D7846"/>
    <w:rsid w:val="005D7969"/>
    <w:rsid w:val="005D7B88"/>
    <w:rsid w:val="005D7C33"/>
    <w:rsid w:val="005D7EB4"/>
    <w:rsid w:val="005DD368"/>
    <w:rsid w:val="005E0031"/>
    <w:rsid w:val="005E015F"/>
    <w:rsid w:val="005E053F"/>
    <w:rsid w:val="005E068D"/>
    <w:rsid w:val="005E070E"/>
    <w:rsid w:val="005E0AB6"/>
    <w:rsid w:val="005E0D32"/>
    <w:rsid w:val="005E0DC9"/>
    <w:rsid w:val="005E0E32"/>
    <w:rsid w:val="005E0EF2"/>
    <w:rsid w:val="005E13B2"/>
    <w:rsid w:val="005E16BC"/>
    <w:rsid w:val="005E16C1"/>
    <w:rsid w:val="005E17BB"/>
    <w:rsid w:val="005E17FD"/>
    <w:rsid w:val="005E1BC3"/>
    <w:rsid w:val="005E1F75"/>
    <w:rsid w:val="005E20BF"/>
    <w:rsid w:val="005E21DE"/>
    <w:rsid w:val="005E2395"/>
    <w:rsid w:val="005E258B"/>
    <w:rsid w:val="005E2893"/>
    <w:rsid w:val="005E2A6C"/>
    <w:rsid w:val="005E2ACA"/>
    <w:rsid w:val="005E2B69"/>
    <w:rsid w:val="005E302F"/>
    <w:rsid w:val="005E3120"/>
    <w:rsid w:val="005E320A"/>
    <w:rsid w:val="005E33F1"/>
    <w:rsid w:val="005E345C"/>
    <w:rsid w:val="005E38A7"/>
    <w:rsid w:val="005E38CF"/>
    <w:rsid w:val="005E3950"/>
    <w:rsid w:val="005E3B49"/>
    <w:rsid w:val="005E3C55"/>
    <w:rsid w:val="005E3E2A"/>
    <w:rsid w:val="005E400B"/>
    <w:rsid w:val="005E40E0"/>
    <w:rsid w:val="005E4138"/>
    <w:rsid w:val="005E441E"/>
    <w:rsid w:val="005E45BD"/>
    <w:rsid w:val="005E45D4"/>
    <w:rsid w:val="005E47AD"/>
    <w:rsid w:val="005E4945"/>
    <w:rsid w:val="005E4A58"/>
    <w:rsid w:val="005E4AB5"/>
    <w:rsid w:val="005E4D9A"/>
    <w:rsid w:val="005E4F88"/>
    <w:rsid w:val="005E4FDD"/>
    <w:rsid w:val="005E511B"/>
    <w:rsid w:val="005E514C"/>
    <w:rsid w:val="005E5292"/>
    <w:rsid w:val="005E54C2"/>
    <w:rsid w:val="005E5538"/>
    <w:rsid w:val="005E55DD"/>
    <w:rsid w:val="005E5681"/>
    <w:rsid w:val="005E581F"/>
    <w:rsid w:val="005E587B"/>
    <w:rsid w:val="005E590B"/>
    <w:rsid w:val="005E5B03"/>
    <w:rsid w:val="005E5C6B"/>
    <w:rsid w:val="005E5CA3"/>
    <w:rsid w:val="005E5E5B"/>
    <w:rsid w:val="005E60D8"/>
    <w:rsid w:val="005E626A"/>
    <w:rsid w:val="005E63ED"/>
    <w:rsid w:val="005E63EE"/>
    <w:rsid w:val="005E642A"/>
    <w:rsid w:val="005E666F"/>
    <w:rsid w:val="005E686E"/>
    <w:rsid w:val="005E695A"/>
    <w:rsid w:val="005E6B47"/>
    <w:rsid w:val="005E6DAA"/>
    <w:rsid w:val="005E6E2A"/>
    <w:rsid w:val="005E6E94"/>
    <w:rsid w:val="005E7426"/>
    <w:rsid w:val="005E755E"/>
    <w:rsid w:val="005E782D"/>
    <w:rsid w:val="005E78D1"/>
    <w:rsid w:val="005E7CA0"/>
    <w:rsid w:val="005E7CFC"/>
    <w:rsid w:val="005E7F11"/>
    <w:rsid w:val="005F02F9"/>
    <w:rsid w:val="005F0311"/>
    <w:rsid w:val="005F03A1"/>
    <w:rsid w:val="005F065A"/>
    <w:rsid w:val="005F07D9"/>
    <w:rsid w:val="005F07DE"/>
    <w:rsid w:val="005F0865"/>
    <w:rsid w:val="005F0F9E"/>
    <w:rsid w:val="005F111C"/>
    <w:rsid w:val="005F12E1"/>
    <w:rsid w:val="005F1688"/>
    <w:rsid w:val="005F1693"/>
    <w:rsid w:val="005F16A5"/>
    <w:rsid w:val="005F1806"/>
    <w:rsid w:val="005F188C"/>
    <w:rsid w:val="005F1B38"/>
    <w:rsid w:val="005F1B52"/>
    <w:rsid w:val="005F1E8E"/>
    <w:rsid w:val="005F231F"/>
    <w:rsid w:val="005F26B2"/>
    <w:rsid w:val="005F2A25"/>
    <w:rsid w:val="005F2CED"/>
    <w:rsid w:val="005F2E89"/>
    <w:rsid w:val="005F2F6E"/>
    <w:rsid w:val="005F3058"/>
    <w:rsid w:val="005F3164"/>
    <w:rsid w:val="005F3555"/>
    <w:rsid w:val="005F35D7"/>
    <w:rsid w:val="005F3941"/>
    <w:rsid w:val="005F3AE0"/>
    <w:rsid w:val="005F3B2B"/>
    <w:rsid w:val="005F3BE1"/>
    <w:rsid w:val="005F3D13"/>
    <w:rsid w:val="005F3F67"/>
    <w:rsid w:val="005F3FBE"/>
    <w:rsid w:val="005F40C6"/>
    <w:rsid w:val="005F4431"/>
    <w:rsid w:val="005F4469"/>
    <w:rsid w:val="005F44F3"/>
    <w:rsid w:val="005F479A"/>
    <w:rsid w:val="005F4826"/>
    <w:rsid w:val="005F483F"/>
    <w:rsid w:val="005F4955"/>
    <w:rsid w:val="005F4A30"/>
    <w:rsid w:val="005F4D97"/>
    <w:rsid w:val="005F4DDC"/>
    <w:rsid w:val="005F52E6"/>
    <w:rsid w:val="005F5376"/>
    <w:rsid w:val="005F5818"/>
    <w:rsid w:val="005F5A75"/>
    <w:rsid w:val="005F5B40"/>
    <w:rsid w:val="005F5B55"/>
    <w:rsid w:val="005F5CB3"/>
    <w:rsid w:val="005F5D47"/>
    <w:rsid w:val="005F5D58"/>
    <w:rsid w:val="005F5E1F"/>
    <w:rsid w:val="005F5E81"/>
    <w:rsid w:val="005F5F80"/>
    <w:rsid w:val="005F62CE"/>
    <w:rsid w:val="005F66A1"/>
    <w:rsid w:val="005F6716"/>
    <w:rsid w:val="005F6A2A"/>
    <w:rsid w:val="005F6B99"/>
    <w:rsid w:val="005F6F11"/>
    <w:rsid w:val="005F7064"/>
    <w:rsid w:val="005F7071"/>
    <w:rsid w:val="005F725E"/>
    <w:rsid w:val="005F7561"/>
    <w:rsid w:val="005F7624"/>
    <w:rsid w:val="005F79BE"/>
    <w:rsid w:val="005F7A08"/>
    <w:rsid w:val="005F7D7A"/>
    <w:rsid w:val="005F7E02"/>
    <w:rsid w:val="0060036A"/>
    <w:rsid w:val="006005DE"/>
    <w:rsid w:val="0060089C"/>
    <w:rsid w:val="0060089E"/>
    <w:rsid w:val="00600918"/>
    <w:rsid w:val="00600BED"/>
    <w:rsid w:val="00600CA5"/>
    <w:rsid w:val="00601158"/>
    <w:rsid w:val="00601397"/>
    <w:rsid w:val="006013DA"/>
    <w:rsid w:val="006014F1"/>
    <w:rsid w:val="006016E5"/>
    <w:rsid w:val="006018EE"/>
    <w:rsid w:val="00601C93"/>
    <w:rsid w:val="00601CD3"/>
    <w:rsid w:val="00601D76"/>
    <w:rsid w:val="00601E05"/>
    <w:rsid w:val="00601E57"/>
    <w:rsid w:val="00602221"/>
    <w:rsid w:val="006026CF"/>
    <w:rsid w:val="006027F1"/>
    <w:rsid w:val="006028F2"/>
    <w:rsid w:val="00602AB5"/>
    <w:rsid w:val="00602B66"/>
    <w:rsid w:val="00602CFE"/>
    <w:rsid w:val="00602D07"/>
    <w:rsid w:val="00602F00"/>
    <w:rsid w:val="00603090"/>
    <w:rsid w:val="00603106"/>
    <w:rsid w:val="006032B9"/>
    <w:rsid w:val="0060337C"/>
    <w:rsid w:val="0060340E"/>
    <w:rsid w:val="00603696"/>
    <w:rsid w:val="00603B09"/>
    <w:rsid w:val="00603E2C"/>
    <w:rsid w:val="00603E44"/>
    <w:rsid w:val="00603FE0"/>
    <w:rsid w:val="00604053"/>
    <w:rsid w:val="006041A6"/>
    <w:rsid w:val="00604588"/>
    <w:rsid w:val="006047A3"/>
    <w:rsid w:val="00604851"/>
    <w:rsid w:val="006048E9"/>
    <w:rsid w:val="00604B82"/>
    <w:rsid w:val="00604B8A"/>
    <w:rsid w:val="006050DC"/>
    <w:rsid w:val="0060521A"/>
    <w:rsid w:val="006052F9"/>
    <w:rsid w:val="0060544E"/>
    <w:rsid w:val="0060550B"/>
    <w:rsid w:val="0060557A"/>
    <w:rsid w:val="00605821"/>
    <w:rsid w:val="00605AAC"/>
    <w:rsid w:val="00605BD8"/>
    <w:rsid w:val="00605C14"/>
    <w:rsid w:val="00605DD6"/>
    <w:rsid w:val="00605E7A"/>
    <w:rsid w:val="00605EF1"/>
    <w:rsid w:val="00606346"/>
    <w:rsid w:val="006064FB"/>
    <w:rsid w:val="00606709"/>
    <w:rsid w:val="00606862"/>
    <w:rsid w:val="00606E22"/>
    <w:rsid w:val="0060702A"/>
    <w:rsid w:val="0060703B"/>
    <w:rsid w:val="006072A3"/>
    <w:rsid w:val="006073A1"/>
    <w:rsid w:val="006074DF"/>
    <w:rsid w:val="006078C9"/>
    <w:rsid w:val="00607A16"/>
    <w:rsid w:val="00607A6E"/>
    <w:rsid w:val="00607A75"/>
    <w:rsid w:val="00607CA1"/>
    <w:rsid w:val="00607E16"/>
    <w:rsid w:val="00610170"/>
    <w:rsid w:val="0061035E"/>
    <w:rsid w:val="006104C5"/>
    <w:rsid w:val="006104C6"/>
    <w:rsid w:val="0061084A"/>
    <w:rsid w:val="00610DF3"/>
    <w:rsid w:val="00610F4E"/>
    <w:rsid w:val="0061143F"/>
    <w:rsid w:val="00611510"/>
    <w:rsid w:val="006118BA"/>
    <w:rsid w:val="00611944"/>
    <w:rsid w:val="00611B34"/>
    <w:rsid w:val="00611C60"/>
    <w:rsid w:val="00612462"/>
    <w:rsid w:val="00612513"/>
    <w:rsid w:val="006127DA"/>
    <w:rsid w:val="00612831"/>
    <w:rsid w:val="00612B2F"/>
    <w:rsid w:val="00612BF4"/>
    <w:rsid w:val="00612E3B"/>
    <w:rsid w:val="00612F9E"/>
    <w:rsid w:val="00613050"/>
    <w:rsid w:val="0061349B"/>
    <w:rsid w:val="006134D2"/>
    <w:rsid w:val="00613526"/>
    <w:rsid w:val="00613B21"/>
    <w:rsid w:val="00613F63"/>
    <w:rsid w:val="00614000"/>
    <w:rsid w:val="00614028"/>
    <w:rsid w:val="00614116"/>
    <w:rsid w:val="00614510"/>
    <w:rsid w:val="00614636"/>
    <w:rsid w:val="00614670"/>
    <w:rsid w:val="006146BC"/>
    <w:rsid w:val="00614791"/>
    <w:rsid w:val="00614818"/>
    <w:rsid w:val="0061487F"/>
    <w:rsid w:val="006148B7"/>
    <w:rsid w:val="006149B5"/>
    <w:rsid w:val="006149C8"/>
    <w:rsid w:val="00614A10"/>
    <w:rsid w:val="00614D4A"/>
    <w:rsid w:val="00614EC6"/>
    <w:rsid w:val="006150A8"/>
    <w:rsid w:val="006151AC"/>
    <w:rsid w:val="00615552"/>
    <w:rsid w:val="006155DA"/>
    <w:rsid w:val="00615631"/>
    <w:rsid w:val="00615771"/>
    <w:rsid w:val="006157A4"/>
    <w:rsid w:val="006158B4"/>
    <w:rsid w:val="00615CFC"/>
    <w:rsid w:val="00615D4F"/>
    <w:rsid w:val="00615F6E"/>
    <w:rsid w:val="00616235"/>
    <w:rsid w:val="00616462"/>
    <w:rsid w:val="006164F5"/>
    <w:rsid w:val="006166D8"/>
    <w:rsid w:val="00616A3B"/>
    <w:rsid w:val="00617230"/>
    <w:rsid w:val="00617253"/>
    <w:rsid w:val="00617491"/>
    <w:rsid w:val="006178BA"/>
    <w:rsid w:val="00617CB5"/>
    <w:rsid w:val="00617D16"/>
    <w:rsid w:val="00617EA1"/>
    <w:rsid w:val="0062017D"/>
    <w:rsid w:val="00620249"/>
    <w:rsid w:val="00620274"/>
    <w:rsid w:val="00620444"/>
    <w:rsid w:val="00620563"/>
    <w:rsid w:val="0062076D"/>
    <w:rsid w:val="006207C8"/>
    <w:rsid w:val="006209A9"/>
    <w:rsid w:val="006209BA"/>
    <w:rsid w:val="00620B23"/>
    <w:rsid w:val="00620BCC"/>
    <w:rsid w:val="00620D1D"/>
    <w:rsid w:val="00620D4F"/>
    <w:rsid w:val="00620D6B"/>
    <w:rsid w:val="00620E23"/>
    <w:rsid w:val="006210CB"/>
    <w:rsid w:val="006217C2"/>
    <w:rsid w:val="00621881"/>
    <w:rsid w:val="00621A03"/>
    <w:rsid w:val="00621B41"/>
    <w:rsid w:val="00621BA4"/>
    <w:rsid w:val="00621DEC"/>
    <w:rsid w:val="00621E8C"/>
    <w:rsid w:val="00621F14"/>
    <w:rsid w:val="0062201A"/>
    <w:rsid w:val="00622078"/>
    <w:rsid w:val="00622186"/>
    <w:rsid w:val="00622235"/>
    <w:rsid w:val="00622311"/>
    <w:rsid w:val="006223F7"/>
    <w:rsid w:val="00622644"/>
    <w:rsid w:val="0062264F"/>
    <w:rsid w:val="006228CA"/>
    <w:rsid w:val="00622ACF"/>
    <w:rsid w:val="00622B2C"/>
    <w:rsid w:val="00622C50"/>
    <w:rsid w:val="00622D1E"/>
    <w:rsid w:val="00622D43"/>
    <w:rsid w:val="00622E1F"/>
    <w:rsid w:val="00622FCF"/>
    <w:rsid w:val="00623165"/>
    <w:rsid w:val="006235E4"/>
    <w:rsid w:val="006238F8"/>
    <w:rsid w:val="00623B11"/>
    <w:rsid w:val="00623BFF"/>
    <w:rsid w:val="0062402B"/>
    <w:rsid w:val="0062405E"/>
    <w:rsid w:val="006246CF"/>
    <w:rsid w:val="00624A84"/>
    <w:rsid w:val="00624F3C"/>
    <w:rsid w:val="0062535B"/>
    <w:rsid w:val="0062535F"/>
    <w:rsid w:val="006257F7"/>
    <w:rsid w:val="006258B5"/>
    <w:rsid w:val="00625A83"/>
    <w:rsid w:val="00625AC6"/>
    <w:rsid w:val="00625AF8"/>
    <w:rsid w:val="00625C8F"/>
    <w:rsid w:val="00625CD8"/>
    <w:rsid w:val="00625F0B"/>
    <w:rsid w:val="00626017"/>
    <w:rsid w:val="00626291"/>
    <w:rsid w:val="00626621"/>
    <w:rsid w:val="00626722"/>
    <w:rsid w:val="0062689D"/>
    <w:rsid w:val="00626954"/>
    <w:rsid w:val="00626E05"/>
    <w:rsid w:val="0062735C"/>
    <w:rsid w:val="00627421"/>
    <w:rsid w:val="00627642"/>
    <w:rsid w:val="00627725"/>
    <w:rsid w:val="00627DC3"/>
    <w:rsid w:val="00627FC5"/>
    <w:rsid w:val="00630033"/>
    <w:rsid w:val="006303CE"/>
    <w:rsid w:val="0063049F"/>
    <w:rsid w:val="00630520"/>
    <w:rsid w:val="0063062E"/>
    <w:rsid w:val="00630694"/>
    <w:rsid w:val="006306A5"/>
    <w:rsid w:val="00630773"/>
    <w:rsid w:val="006309A9"/>
    <w:rsid w:val="00630A54"/>
    <w:rsid w:val="00630C0F"/>
    <w:rsid w:val="00630CBF"/>
    <w:rsid w:val="00630CDC"/>
    <w:rsid w:val="00631265"/>
    <w:rsid w:val="006314E5"/>
    <w:rsid w:val="006316C9"/>
    <w:rsid w:val="00631C95"/>
    <w:rsid w:val="00631CFA"/>
    <w:rsid w:val="00631D26"/>
    <w:rsid w:val="00631EBC"/>
    <w:rsid w:val="00631FE1"/>
    <w:rsid w:val="00632001"/>
    <w:rsid w:val="00632074"/>
    <w:rsid w:val="006322D0"/>
    <w:rsid w:val="00632417"/>
    <w:rsid w:val="006324D4"/>
    <w:rsid w:val="0063250B"/>
    <w:rsid w:val="00632617"/>
    <w:rsid w:val="0063269B"/>
    <w:rsid w:val="00632729"/>
    <w:rsid w:val="0063283D"/>
    <w:rsid w:val="00632942"/>
    <w:rsid w:val="00632CB9"/>
    <w:rsid w:val="00632F81"/>
    <w:rsid w:val="006331B0"/>
    <w:rsid w:val="006332D0"/>
    <w:rsid w:val="006335AB"/>
    <w:rsid w:val="006337D2"/>
    <w:rsid w:val="006339C4"/>
    <w:rsid w:val="00633B23"/>
    <w:rsid w:val="00633C3E"/>
    <w:rsid w:val="00633C6E"/>
    <w:rsid w:val="00633FFC"/>
    <w:rsid w:val="0063427F"/>
    <w:rsid w:val="00634643"/>
    <w:rsid w:val="006347D1"/>
    <w:rsid w:val="00634C43"/>
    <w:rsid w:val="00634C9D"/>
    <w:rsid w:val="00634CF3"/>
    <w:rsid w:val="0063512A"/>
    <w:rsid w:val="0063526C"/>
    <w:rsid w:val="006353C6"/>
    <w:rsid w:val="00635550"/>
    <w:rsid w:val="00635622"/>
    <w:rsid w:val="006356ED"/>
    <w:rsid w:val="00635738"/>
    <w:rsid w:val="00635758"/>
    <w:rsid w:val="006359AD"/>
    <w:rsid w:val="006359FB"/>
    <w:rsid w:val="00635D38"/>
    <w:rsid w:val="00635DA0"/>
    <w:rsid w:val="00635F0C"/>
    <w:rsid w:val="00635F41"/>
    <w:rsid w:val="00636459"/>
    <w:rsid w:val="006365E9"/>
    <w:rsid w:val="006366A4"/>
    <w:rsid w:val="006367DC"/>
    <w:rsid w:val="0063686B"/>
    <w:rsid w:val="00636A51"/>
    <w:rsid w:val="00636AFE"/>
    <w:rsid w:val="00636B2A"/>
    <w:rsid w:val="00636C8A"/>
    <w:rsid w:val="00636C9C"/>
    <w:rsid w:val="00636D77"/>
    <w:rsid w:val="00636F27"/>
    <w:rsid w:val="00636F6B"/>
    <w:rsid w:val="00636FCC"/>
    <w:rsid w:val="00637013"/>
    <w:rsid w:val="00637462"/>
    <w:rsid w:val="00637716"/>
    <w:rsid w:val="00637783"/>
    <w:rsid w:val="00637907"/>
    <w:rsid w:val="00637A06"/>
    <w:rsid w:val="00637C86"/>
    <w:rsid w:val="00640056"/>
    <w:rsid w:val="00640226"/>
    <w:rsid w:val="006402F6"/>
    <w:rsid w:val="0064034A"/>
    <w:rsid w:val="00640CC2"/>
    <w:rsid w:val="006410C6"/>
    <w:rsid w:val="00641298"/>
    <w:rsid w:val="006415BE"/>
    <w:rsid w:val="00641656"/>
    <w:rsid w:val="00641789"/>
    <w:rsid w:val="0064187B"/>
    <w:rsid w:val="006418D5"/>
    <w:rsid w:val="006418FC"/>
    <w:rsid w:val="00641A7D"/>
    <w:rsid w:val="00641C7C"/>
    <w:rsid w:val="00641EF4"/>
    <w:rsid w:val="0064201B"/>
    <w:rsid w:val="0064203E"/>
    <w:rsid w:val="00642085"/>
    <w:rsid w:val="006420E4"/>
    <w:rsid w:val="0064213B"/>
    <w:rsid w:val="00642197"/>
    <w:rsid w:val="006421A0"/>
    <w:rsid w:val="00642443"/>
    <w:rsid w:val="006426E1"/>
    <w:rsid w:val="006427B8"/>
    <w:rsid w:val="00642A65"/>
    <w:rsid w:val="00642F9A"/>
    <w:rsid w:val="00643034"/>
    <w:rsid w:val="00643115"/>
    <w:rsid w:val="00643335"/>
    <w:rsid w:val="006433B7"/>
    <w:rsid w:val="00643AD1"/>
    <w:rsid w:val="00643CBC"/>
    <w:rsid w:val="00643F2D"/>
    <w:rsid w:val="00644019"/>
    <w:rsid w:val="006442AF"/>
    <w:rsid w:val="0064461C"/>
    <w:rsid w:val="00644683"/>
    <w:rsid w:val="0064476D"/>
    <w:rsid w:val="00644843"/>
    <w:rsid w:val="006449EF"/>
    <w:rsid w:val="00644CD8"/>
    <w:rsid w:val="00644D10"/>
    <w:rsid w:val="00644E8A"/>
    <w:rsid w:val="00644F68"/>
    <w:rsid w:val="00644F8A"/>
    <w:rsid w:val="00645057"/>
    <w:rsid w:val="00645107"/>
    <w:rsid w:val="006454A8"/>
    <w:rsid w:val="0064550C"/>
    <w:rsid w:val="00645555"/>
    <w:rsid w:val="00645DB0"/>
    <w:rsid w:val="00645F06"/>
    <w:rsid w:val="0064609F"/>
    <w:rsid w:val="00646387"/>
    <w:rsid w:val="00646468"/>
    <w:rsid w:val="006464C7"/>
    <w:rsid w:val="0064653B"/>
    <w:rsid w:val="0064694D"/>
    <w:rsid w:val="00646C1E"/>
    <w:rsid w:val="00646D4B"/>
    <w:rsid w:val="00646DDF"/>
    <w:rsid w:val="00647052"/>
    <w:rsid w:val="0064724D"/>
    <w:rsid w:val="0064725A"/>
    <w:rsid w:val="00647443"/>
    <w:rsid w:val="006477AB"/>
    <w:rsid w:val="00647B48"/>
    <w:rsid w:val="00647B92"/>
    <w:rsid w:val="00647C76"/>
    <w:rsid w:val="00647D0C"/>
    <w:rsid w:val="0065017F"/>
    <w:rsid w:val="006502CB"/>
    <w:rsid w:val="0065039E"/>
    <w:rsid w:val="006503A2"/>
    <w:rsid w:val="0065067E"/>
    <w:rsid w:val="006506DE"/>
    <w:rsid w:val="0065085C"/>
    <w:rsid w:val="00650969"/>
    <w:rsid w:val="00650B59"/>
    <w:rsid w:val="00650C02"/>
    <w:rsid w:val="006511ED"/>
    <w:rsid w:val="00651286"/>
    <w:rsid w:val="006514C3"/>
    <w:rsid w:val="0065157F"/>
    <w:rsid w:val="00651779"/>
    <w:rsid w:val="006517D3"/>
    <w:rsid w:val="00651862"/>
    <w:rsid w:val="00651BD9"/>
    <w:rsid w:val="00651C47"/>
    <w:rsid w:val="00651F65"/>
    <w:rsid w:val="0065202A"/>
    <w:rsid w:val="00652248"/>
    <w:rsid w:val="0065236A"/>
    <w:rsid w:val="0065283A"/>
    <w:rsid w:val="006529A9"/>
    <w:rsid w:val="00652B13"/>
    <w:rsid w:val="00652B19"/>
    <w:rsid w:val="00652C39"/>
    <w:rsid w:val="00652CDD"/>
    <w:rsid w:val="00652FBD"/>
    <w:rsid w:val="00653209"/>
    <w:rsid w:val="006533A2"/>
    <w:rsid w:val="006533DC"/>
    <w:rsid w:val="0065348D"/>
    <w:rsid w:val="00653503"/>
    <w:rsid w:val="00653761"/>
    <w:rsid w:val="00653BE6"/>
    <w:rsid w:val="00653F37"/>
    <w:rsid w:val="0065438D"/>
    <w:rsid w:val="006545D8"/>
    <w:rsid w:val="00654617"/>
    <w:rsid w:val="00654639"/>
    <w:rsid w:val="0065475D"/>
    <w:rsid w:val="00654810"/>
    <w:rsid w:val="00654CBF"/>
    <w:rsid w:val="00654CE3"/>
    <w:rsid w:val="00654DDE"/>
    <w:rsid w:val="00654FF7"/>
    <w:rsid w:val="00655111"/>
    <w:rsid w:val="00655270"/>
    <w:rsid w:val="00655336"/>
    <w:rsid w:val="006557C1"/>
    <w:rsid w:val="006558DF"/>
    <w:rsid w:val="00655965"/>
    <w:rsid w:val="00655D93"/>
    <w:rsid w:val="00655F04"/>
    <w:rsid w:val="00655FA3"/>
    <w:rsid w:val="00655FBD"/>
    <w:rsid w:val="006562EE"/>
    <w:rsid w:val="00656317"/>
    <w:rsid w:val="00656450"/>
    <w:rsid w:val="006565EE"/>
    <w:rsid w:val="00656699"/>
    <w:rsid w:val="006567DB"/>
    <w:rsid w:val="00656894"/>
    <w:rsid w:val="00656B0B"/>
    <w:rsid w:val="00656CA3"/>
    <w:rsid w:val="00656CBD"/>
    <w:rsid w:val="0065723F"/>
    <w:rsid w:val="006572F2"/>
    <w:rsid w:val="00657715"/>
    <w:rsid w:val="006577FA"/>
    <w:rsid w:val="00657834"/>
    <w:rsid w:val="006578F8"/>
    <w:rsid w:val="00657938"/>
    <w:rsid w:val="00657AA5"/>
    <w:rsid w:val="00657B85"/>
    <w:rsid w:val="00657F25"/>
    <w:rsid w:val="006600D1"/>
    <w:rsid w:val="006601F3"/>
    <w:rsid w:val="006603FC"/>
    <w:rsid w:val="006604EB"/>
    <w:rsid w:val="00660823"/>
    <w:rsid w:val="00660A9D"/>
    <w:rsid w:val="00660BD3"/>
    <w:rsid w:val="00660C8F"/>
    <w:rsid w:val="00660CC1"/>
    <w:rsid w:val="00660D59"/>
    <w:rsid w:val="00660E78"/>
    <w:rsid w:val="00660FE0"/>
    <w:rsid w:val="00661143"/>
    <w:rsid w:val="0066136E"/>
    <w:rsid w:val="00661421"/>
    <w:rsid w:val="00661582"/>
    <w:rsid w:val="006617CB"/>
    <w:rsid w:val="006618D0"/>
    <w:rsid w:val="006618D3"/>
    <w:rsid w:val="00661A20"/>
    <w:rsid w:val="00661B45"/>
    <w:rsid w:val="00661DBD"/>
    <w:rsid w:val="00661F9C"/>
    <w:rsid w:val="00662190"/>
    <w:rsid w:val="0066229F"/>
    <w:rsid w:val="0066298A"/>
    <w:rsid w:val="00663161"/>
    <w:rsid w:val="00663336"/>
    <w:rsid w:val="00663392"/>
    <w:rsid w:val="00663540"/>
    <w:rsid w:val="00663694"/>
    <w:rsid w:val="00663989"/>
    <w:rsid w:val="00663EF5"/>
    <w:rsid w:val="00664474"/>
    <w:rsid w:val="0066447F"/>
    <w:rsid w:val="0066449D"/>
    <w:rsid w:val="006644E1"/>
    <w:rsid w:val="00664933"/>
    <w:rsid w:val="00664C6C"/>
    <w:rsid w:val="00664C8B"/>
    <w:rsid w:val="00664CD1"/>
    <w:rsid w:val="00664D9E"/>
    <w:rsid w:val="00664E4E"/>
    <w:rsid w:val="00664F75"/>
    <w:rsid w:val="00664FC9"/>
    <w:rsid w:val="00665312"/>
    <w:rsid w:val="0066537E"/>
    <w:rsid w:val="00665542"/>
    <w:rsid w:val="00665636"/>
    <w:rsid w:val="0066591B"/>
    <w:rsid w:val="00665936"/>
    <w:rsid w:val="00665958"/>
    <w:rsid w:val="00665AE7"/>
    <w:rsid w:val="00665BB3"/>
    <w:rsid w:val="00665F17"/>
    <w:rsid w:val="006660D6"/>
    <w:rsid w:val="00666512"/>
    <w:rsid w:val="00666615"/>
    <w:rsid w:val="0066676D"/>
    <w:rsid w:val="00666825"/>
    <w:rsid w:val="006669B0"/>
    <w:rsid w:val="00666A15"/>
    <w:rsid w:val="00666BCB"/>
    <w:rsid w:val="00666F7E"/>
    <w:rsid w:val="00667068"/>
    <w:rsid w:val="006671E6"/>
    <w:rsid w:val="0066722F"/>
    <w:rsid w:val="0066733D"/>
    <w:rsid w:val="0066744F"/>
    <w:rsid w:val="00667663"/>
    <w:rsid w:val="006676EB"/>
    <w:rsid w:val="00667AEB"/>
    <w:rsid w:val="00670008"/>
    <w:rsid w:val="006707B4"/>
    <w:rsid w:val="0067081B"/>
    <w:rsid w:val="00670C15"/>
    <w:rsid w:val="00670E00"/>
    <w:rsid w:val="006711B0"/>
    <w:rsid w:val="006712AF"/>
    <w:rsid w:val="00671337"/>
    <w:rsid w:val="006714FD"/>
    <w:rsid w:val="0067158D"/>
    <w:rsid w:val="00671590"/>
    <w:rsid w:val="00671592"/>
    <w:rsid w:val="00671738"/>
    <w:rsid w:val="00671845"/>
    <w:rsid w:val="006719E3"/>
    <w:rsid w:val="00671A1E"/>
    <w:rsid w:val="00671AD6"/>
    <w:rsid w:val="00671CAE"/>
    <w:rsid w:val="00671D98"/>
    <w:rsid w:val="00671DEC"/>
    <w:rsid w:val="0067249F"/>
    <w:rsid w:val="0067258C"/>
    <w:rsid w:val="00672B18"/>
    <w:rsid w:val="00672BB5"/>
    <w:rsid w:val="00672F68"/>
    <w:rsid w:val="006731F1"/>
    <w:rsid w:val="006732C7"/>
    <w:rsid w:val="0067338A"/>
    <w:rsid w:val="006737B6"/>
    <w:rsid w:val="006738AE"/>
    <w:rsid w:val="00673C9C"/>
    <w:rsid w:val="00673CC6"/>
    <w:rsid w:val="00674226"/>
    <w:rsid w:val="0067425F"/>
    <w:rsid w:val="006742BE"/>
    <w:rsid w:val="0067430F"/>
    <w:rsid w:val="00674637"/>
    <w:rsid w:val="0067472B"/>
    <w:rsid w:val="00674795"/>
    <w:rsid w:val="00674980"/>
    <w:rsid w:val="00674CD1"/>
    <w:rsid w:val="00674D94"/>
    <w:rsid w:val="00674E62"/>
    <w:rsid w:val="00674EB3"/>
    <w:rsid w:val="00674F65"/>
    <w:rsid w:val="0067549B"/>
    <w:rsid w:val="00675620"/>
    <w:rsid w:val="00675E13"/>
    <w:rsid w:val="0067605B"/>
    <w:rsid w:val="006760FE"/>
    <w:rsid w:val="00676222"/>
    <w:rsid w:val="006763C6"/>
    <w:rsid w:val="0067672A"/>
    <w:rsid w:val="00676CAC"/>
    <w:rsid w:val="00676D97"/>
    <w:rsid w:val="00677086"/>
    <w:rsid w:val="00677156"/>
    <w:rsid w:val="00677210"/>
    <w:rsid w:val="00677522"/>
    <w:rsid w:val="006777C2"/>
    <w:rsid w:val="006778BF"/>
    <w:rsid w:val="00677A50"/>
    <w:rsid w:val="00677AB3"/>
    <w:rsid w:val="00677B1E"/>
    <w:rsid w:val="00677C3E"/>
    <w:rsid w:val="006804DC"/>
    <w:rsid w:val="006804EC"/>
    <w:rsid w:val="0068054B"/>
    <w:rsid w:val="0068066E"/>
    <w:rsid w:val="00680696"/>
    <w:rsid w:val="006807B2"/>
    <w:rsid w:val="006807DB"/>
    <w:rsid w:val="006807E0"/>
    <w:rsid w:val="0068086E"/>
    <w:rsid w:val="00680CAD"/>
    <w:rsid w:val="00680D7A"/>
    <w:rsid w:val="00680E65"/>
    <w:rsid w:val="0068149B"/>
    <w:rsid w:val="006814D7"/>
    <w:rsid w:val="00681597"/>
    <w:rsid w:val="0068161F"/>
    <w:rsid w:val="00681712"/>
    <w:rsid w:val="00681891"/>
    <w:rsid w:val="00681AD0"/>
    <w:rsid w:val="0068213B"/>
    <w:rsid w:val="0068230A"/>
    <w:rsid w:val="00682498"/>
    <w:rsid w:val="00682898"/>
    <w:rsid w:val="00682B2D"/>
    <w:rsid w:val="00682BDC"/>
    <w:rsid w:val="00682EE9"/>
    <w:rsid w:val="00682FBC"/>
    <w:rsid w:val="0068332D"/>
    <w:rsid w:val="0068347A"/>
    <w:rsid w:val="00683558"/>
    <w:rsid w:val="006835F7"/>
    <w:rsid w:val="0068363B"/>
    <w:rsid w:val="00683B79"/>
    <w:rsid w:val="00683BEF"/>
    <w:rsid w:val="00683BFA"/>
    <w:rsid w:val="00683FCD"/>
    <w:rsid w:val="00684035"/>
    <w:rsid w:val="006841B8"/>
    <w:rsid w:val="006842D6"/>
    <w:rsid w:val="00684336"/>
    <w:rsid w:val="00684386"/>
    <w:rsid w:val="0068487E"/>
    <w:rsid w:val="00684A26"/>
    <w:rsid w:val="00684C50"/>
    <w:rsid w:val="0068520C"/>
    <w:rsid w:val="006853B9"/>
    <w:rsid w:val="00685415"/>
    <w:rsid w:val="00685430"/>
    <w:rsid w:val="00685584"/>
    <w:rsid w:val="006856DB"/>
    <w:rsid w:val="00685AC9"/>
    <w:rsid w:val="0068605C"/>
    <w:rsid w:val="0068606E"/>
    <w:rsid w:val="00686122"/>
    <w:rsid w:val="00686155"/>
    <w:rsid w:val="00686367"/>
    <w:rsid w:val="006866D6"/>
    <w:rsid w:val="0068684B"/>
    <w:rsid w:val="00686BF7"/>
    <w:rsid w:val="00686C55"/>
    <w:rsid w:val="00686E39"/>
    <w:rsid w:val="00686EC5"/>
    <w:rsid w:val="006870D8"/>
    <w:rsid w:val="006870F7"/>
    <w:rsid w:val="00687114"/>
    <w:rsid w:val="006871B0"/>
    <w:rsid w:val="00687327"/>
    <w:rsid w:val="006874A5"/>
    <w:rsid w:val="006874E0"/>
    <w:rsid w:val="006874E6"/>
    <w:rsid w:val="0068757F"/>
    <w:rsid w:val="006876FD"/>
    <w:rsid w:val="00687812"/>
    <w:rsid w:val="0068789A"/>
    <w:rsid w:val="006878DF"/>
    <w:rsid w:val="00690128"/>
    <w:rsid w:val="00690138"/>
    <w:rsid w:val="0069016F"/>
    <w:rsid w:val="0069042C"/>
    <w:rsid w:val="0069051B"/>
    <w:rsid w:val="0069060B"/>
    <w:rsid w:val="00690687"/>
    <w:rsid w:val="00690954"/>
    <w:rsid w:val="00690A8E"/>
    <w:rsid w:val="00690B1A"/>
    <w:rsid w:val="00690C84"/>
    <w:rsid w:val="00690EFB"/>
    <w:rsid w:val="00690FC2"/>
    <w:rsid w:val="006911FB"/>
    <w:rsid w:val="006912FF"/>
    <w:rsid w:val="00691FCD"/>
    <w:rsid w:val="00692233"/>
    <w:rsid w:val="00692238"/>
    <w:rsid w:val="00692546"/>
    <w:rsid w:val="006925D8"/>
    <w:rsid w:val="00692AA4"/>
    <w:rsid w:val="00692D20"/>
    <w:rsid w:val="00692EA2"/>
    <w:rsid w:val="006935AE"/>
    <w:rsid w:val="00693988"/>
    <w:rsid w:val="00693A00"/>
    <w:rsid w:val="00693B1D"/>
    <w:rsid w:val="00693B2B"/>
    <w:rsid w:val="0069403C"/>
    <w:rsid w:val="006946E6"/>
    <w:rsid w:val="00694736"/>
    <w:rsid w:val="00694737"/>
    <w:rsid w:val="00694A1F"/>
    <w:rsid w:val="00694D16"/>
    <w:rsid w:val="00695219"/>
    <w:rsid w:val="0069525D"/>
    <w:rsid w:val="0069536D"/>
    <w:rsid w:val="00695503"/>
    <w:rsid w:val="00695683"/>
    <w:rsid w:val="0069584D"/>
    <w:rsid w:val="0069588F"/>
    <w:rsid w:val="00695C8D"/>
    <w:rsid w:val="00695DDD"/>
    <w:rsid w:val="00696049"/>
    <w:rsid w:val="00696162"/>
    <w:rsid w:val="00696181"/>
    <w:rsid w:val="00696266"/>
    <w:rsid w:val="006962EA"/>
    <w:rsid w:val="00696551"/>
    <w:rsid w:val="006968AB"/>
    <w:rsid w:val="006968AE"/>
    <w:rsid w:val="00696A1A"/>
    <w:rsid w:val="00696A4D"/>
    <w:rsid w:val="00696A75"/>
    <w:rsid w:val="00696A96"/>
    <w:rsid w:val="00696B1A"/>
    <w:rsid w:val="00696B65"/>
    <w:rsid w:val="00696BC6"/>
    <w:rsid w:val="00696E64"/>
    <w:rsid w:val="00697168"/>
    <w:rsid w:val="00697215"/>
    <w:rsid w:val="006973EB"/>
    <w:rsid w:val="00697475"/>
    <w:rsid w:val="006977BE"/>
    <w:rsid w:val="00697822"/>
    <w:rsid w:val="00697AD8"/>
    <w:rsid w:val="00697B63"/>
    <w:rsid w:val="00697C25"/>
    <w:rsid w:val="00697D4E"/>
    <w:rsid w:val="006A04C5"/>
    <w:rsid w:val="006A058F"/>
    <w:rsid w:val="006A061D"/>
    <w:rsid w:val="006A0710"/>
    <w:rsid w:val="006A0D1D"/>
    <w:rsid w:val="006A0D83"/>
    <w:rsid w:val="006A0EEA"/>
    <w:rsid w:val="006A11A9"/>
    <w:rsid w:val="006A1241"/>
    <w:rsid w:val="006A13D0"/>
    <w:rsid w:val="006A14DE"/>
    <w:rsid w:val="006A16C4"/>
    <w:rsid w:val="006A16F1"/>
    <w:rsid w:val="006A1AB0"/>
    <w:rsid w:val="006A1ABC"/>
    <w:rsid w:val="006A1AC7"/>
    <w:rsid w:val="006A1BB0"/>
    <w:rsid w:val="006A1FEE"/>
    <w:rsid w:val="006A2221"/>
    <w:rsid w:val="006A22A5"/>
    <w:rsid w:val="006A2301"/>
    <w:rsid w:val="006A2378"/>
    <w:rsid w:val="006A286C"/>
    <w:rsid w:val="006A2877"/>
    <w:rsid w:val="006A28D3"/>
    <w:rsid w:val="006A2998"/>
    <w:rsid w:val="006A2AF0"/>
    <w:rsid w:val="006A305C"/>
    <w:rsid w:val="006A3065"/>
    <w:rsid w:val="006A30B0"/>
    <w:rsid w:val="006A33C9"/>
    <w:rsid w:val="006A34E7"/>
    <w:rsid w:val="006A35CF"/>
    <w:rsid w:val="006A364B"/>
    <w:rsid w:val="006A3673"/>
    <w:rsid w:val="006A36F9"/>
    <w:rsid w:val="006A3856"/>
    <w:rsid w:val="006A3D74"/>
    <w:rsid w:val="006A40DA"/>
    <w:rsid w:val="006A4777"/>
    <w:rsid w:val="006A4785"/>
    <w:rsid w:val="006A4790"/>
    <w:rsid w:val="006A48CE"/>
    <w:rsid w:val="006A494C"/>
    <w:rsid w:val="006A4A2C"/>
    <w:rsid w:val="006A4B06"/>
    <w:rsid w:val="006A4CFB"/>
    <w:rsid w:val="006A5130"/>
    <w:rsid w:val="006A527D"/>
    <w:rsid w:val="006A5431"/>
    <w:rsid w:val="006A548E"/>
    <w:rsid w:val="006A5553"/>
    <w:rsid w:val="006A58BE"/>
    <w:rsid w:val="006A5A2B"/>
    <w:rsid w:val="006A5BFF"/>
    <w:rsid w:val="006A5C2F"/>
    <w:rsid w:val="006A5D05"/>
    <w:rsid w:val="006A5F99"/>
    <w:rsid w:val="006A6008"/>
    <w:rsid w:val="006A6271"/>
    <w:rsid w:val="006A634A"/>
    <w:rsid w:val="006A6625"/>
    <w:rsid w:val="006A66E0"/>
    <w:rsid w:val="006A66E3"/>
    <w:rsid w:val="006A6862"/>
    <w:rsid w:val="006A69FD"/>
    <w:rsid w:val="006A6A54"/>
    <w:rsid w:val="006A6C5B"/>
    <w:rsid w:val="006A6C7E"/>
    <w:rsid w:val="006A6CB0"/>
    <w:rsid w:val="006A71AB"/>
    <w:rsid w:val="006A75D7"/>
    <w:rsid w:val="006A7949"/>
    <w:rsid w:val="006A7AEE"/>
    <w:rsid w:val="006A7BA4"/>
    <w:rsid w:val="006A7EA0"/>
    <w:rsid w:val="006B007B"/>
    <w:rsid w:val="006B030C"/>
    <w:rsid w:val="006B033B"/>
    <w:rsid w:val="006B044A"/>
    <w:rsid w:val="006B091D"/>
    <w:rsid w:val="006B09F6"/>
    <w:rsid w:val="006B0BAC"/>
    <w:rsid w:val="006B0DAD"/>
    <w:rsid w:val="006B0F7F"/>
    <w:rsid w:val="006B103C"/>
    <w:rsid w:val="006B1215"/>
    <w:rsid w:val="006B139C"/>
    <w:rsid w:val="006B1551"/>
    <w:rsid w:val="006B1646"/>
    <w:rsid w:val="006B1726"/>
    <w:rsid w:val="006B180F"/>
    <w:rsid w:val="006B1867"/>
    <w:rsid w:val="006B186D"/>
    <w:rsid w:val="006B189D"/>
    <w:rsid w:val="006B18B4"/>
    <w:rsid w:val="006B1B60"/>
    <w:rsid w:val="006B1C8E"/>
    <w:rsid w:val="006B203F"/>
    <w:rsid w:val="006B216E"/>
    <w:rsid w:val="006B2274"/>
    <w:rsid w:val="006B22CE"/>
    <w:rsid w:val="006B22F2"/>
    <w:rsid w:val="006B23EC"/>
    <w:rsid w:val="006B24F7"/>
    <w:rsid w:val="006B27EA"/>
    <w:rsid w:val="006B286D"/>
    <w:rsid w:val="006B29BF"/>
    <w:rsid w:val="006B2C44"/>
    <w:rsid w:val="006B2D54"/>
    <w:rsid w:val="006B2DEF"/>
    <w:rsid w:val="006B2FC3"/>
    <w:rsid w:val="006B30D0"/>
    <w:rsid w:val="006B331A"/>
    <w:rsid w:val="006B33FF"/>
    <w:rsid w:val="006B340F"/>
    <w:rsid w:val="006B3890"/>
    <w:rsid w:val="006B389B"/>
    <w:rsid w:val="006B3DB8"/>
    <w:rsid w:val="006B3F2A"/>
    <w:rsid w:val="006B3F4D"/>
    <w:rsid w:val="006B41EB"/>
    <w:rsid w:val="006B428B"/>
    <w:rsid w:val="006B43D4"/>
    <w:rsid w:val="006B4537"/>
    <w:rsid w:val="006B45CC"/>
    <w:rsid w:val="006B4637"/>
    <w:rsid w:val="006B463C"/>
    <w:rsid w:val="006B4871"/>
    <w:rsid w:val="006B4C50"/>
    <w:rsid w:val="006B4E67"/>
    <w:rsid w:val="006B520D"/>
    <w:rsid w:val="006B535B"/>
    <w:rsid w:val="006B5A0E"/>
    <w:rsid w:val="006B5A36"/>
    <w:rsid w:val="006B5B43"/>
    <w:rsid w:val="006B5BF7"/>
    <w:rsid w:val="006B5DE6"/>
    <w:rsid w:val="006B5E24"/>
    <w:rsid w:val="006B5F20"/>
    <w:rsid w:val="006B5FFA"/>
    <w:rsid w:val="006B6104"/>
    <w:rsid w:val="006B68DB"/>
    <w:rsid w:val="006B69BF"/>
    <w:rsid w:val="006B6CDE"/>
    <w:rsid w:val="006B6E33"/>
    <w:rsid w:val="006B6E53"/>
    <w:rsid w:val="006B6F9E"/>
    <w:rsid w:val="006B7265"/>
    <w:rsid w:val="006B728E"/>
    <w:rsid w:val="006B74E5"/>
    <w:rsid w:val="006B77A4"/>
    <w:rsid w:val="006B7A5C"/>
    <w:rsid w:val="006B7D65"/>
    <w:rsid w:val="006B7DB3"/>
    <w:rsid w:val="006B7ECF"/>
    <w:rsid w:val="006B7F20"/>
    <w:rsid w:val="006B7F53"/>
    <w:rsid w:val="006B7F9C"/>
    <w:rsid w:val="006B7FEE"/>
    <w:rsid w:val="006C004D"/>
    <w:rsid w:val="006C00A1"/>
    <w:rsid w:val="006C048C"/>
    <w:rsid w:val="006C0944"/>
    <w:rsid w:val="006C0B2A"/>
    <w:rsid w:val="006C0EAE"/>
    <w:rsid w:val="006C0FA2"/>
    <w:rsid w:val="006C1008"/>
    <w:rsid w:val="006C1380"/>
    <w:rsid w:val="006C14F5"/>
    <w:rsid w:val="006C1501"/>
    <w:rsid w:val="006C1588"/>
    <w:rsid w:val="006C18E6"/>
    <w:rsid w:val="006C1955"/>
    <w:rsid w:val="006C19D3"/>
    <w:rsid w:val="006C1D58"/>
    <w:rsid w:val="006C20C4"/>
    <w:rsid w:val="006C20CF"/>
    <w:rsid w:val="006C216E"/>
    <w:rsid w:val="006C2319"/>
    <w:rsid w:val="006C2439"/>
    <w:rsid w:val="006C2461"/>
    <w:rsid w:val="006C24F4"/>
    <w:rsid w:val="006C251E"/>
    <w:rsid w:val="006C25B0"/>
    <w:rsid w:val="006C2718"/>
    <w:rsid w:val="006C2C0B"/>
    <w:rsid w:val="006C30D1"/>
    <w:rsid w:val="006C32F2"/>
    <w:rsid w:val="006C3953"/>
    <w:rsid w:val="006C3AE1"/>
    <w:rsid w:val="006C3F3B"/>
    <w:rsid w:val="006C3F99"/>
    <w:rsid w:val="006C4164"/>
    <w:rsid w:val="006C423F"/>
    <w:rsid w:val="006C4292"/>
    <w:rsid w:val="006C4585"/>
    <w:rsid w:val="006C463F"/>
    <w:rsid w:val="006C4745"/>
    <w:rsid w:val="006C4835"/>
    <w:rsid w:val="006C4BF5"/>
    <w:rsid w:val="006C5093"/>
    <w:rsid w:val="006C5167"/>
    <w:rsid w:val="006C51D9"/>
    <w:rsid w:val="006C5301"/>
    <w:rsid w:val="006C5438"/>
    <w:rsid w:val="006C5477"/>
    <w:rsid w:val="006C54E0"/>
    <w:rsid w:val="006C5621"/>
    <w:rsid w:val="006C5847"/>
    <w:rsid w:val="006C5B1F"/>
    <w:rsid w:val="006C5B9E"/>
    <w:rsid w:val="006C5CE4"/>
    <w:rsid w:val="006C5E0D"/>
    <w:rsid w:val="006C5E54"/>
    <w:rsid w:val="006C5F8B"/>
    <w:rsid w:val="006C5FF0"/>
    <w:rsid w:val="006C63DF"/>
    <w:rsid w:val="006C65B7"/>
    <w:rsid w:val="006C6683"/>
    <w:rsid w:val="006C674D"/>
    <w:rsid w:val="006C6782"/>
    <w:rsid w:val="006C6FCA"/>
    <w:rsid w:val="006C73DC"/>
    <w:rsid w:val="006C746A"/>
    <w:rsid w:val="006C760E"/>
    <w:rsid w:val="006C760F"/>
    <w:rsid w:val="006C77B9"/>
    <w:rsid w:val="006C78CE"/>
    <w:rsid w:val="006C797A"/>
    <w:rsid w:val="006C7C86"/>
    <w:rsid w:val="006C7DE1"/>
    <w:rsid w:val="006C7E73"/>
    <w:rsid w:val="006D051D"/>
    <w:rsid w:val="006D0663"/>
    <w:rsid w:val="006D0716"/>
    <w:rsid w:val="006D0760"/>
    <w:rsid w:val="006D0B0B"/>
    <w:rsid w:val="006D0CB0"/>
    <w:rsid w:val="006D0F87"/>
    <w:rsid w:val="006D1192"/>
    <w:rsid w:val="006D12EB"/>
    <w:rsid w:val="006D13F7"/>
    <w:rsid w:val="006D1433"/>
    <w:rsid w:val="006D1481"/>
    <w:rsid w:val="006D14B2"/>
    <w:rsid w:val="006D1886"/>
    <w:rsid w:val="006D1D75"/>
    <w:rsid w:val="006D1FB1"/>
    <w:rsid w:val="006D2038"/>
    <w:rsid w:val="006D206E"/>
    <w:rsid w:val="006D20F8"/>
    <w:rsid w:val="006D22AB"/>
    <w:rsid w:val="006D244E"/>
    <w:rsid w:val="006D27F1"/>
    <w:rsid w:val="006D2ACA"/>
    <w:rsid w:val="006D2BF9"/>
    <w:rsid w:val="006D2F44"/>
    <w:rsid w:val="006D309E"/>
    <w:rsid w:val="006D30E9"/>
    <w:rsid w:val="006D3113"/>
    <w:rsid w:val="006D313A"/>
    <w:rsid w:val="006D3196"/>
    <w:rsid w:val="006D3436"/>
    <w:rsid w:val="006D3863"/>
    <w:rsid w:val="006D399D"/>
    <w:rsid w:val="006D3C72"/>
    <w:rsid w:val="006D3D8C"/>
    <w:rsid w:val="006D3DE1"/>
    <w:rsid w:val="006D3E1B"/>
    <w:rsid w:val="006D3F67"/>
    <w:rsid w:val="006D3FE5"/>
    <w:rsid w:val="006D408D"/>
    <w:rsid w:val="006D4113"/>
    <w:rsid w:val="006D4180"/>
    <w:rsid w:val="006D467F"/>
    <w:rsid w:val="006D46D8"/>
    <w:rsid w:val="006D46E9"/>
    <w:rsid w:val="006D4925"/>
    <w:rsid w:val="006D498D"/>
    <w:rsid w:val="006D49F8"/>
    <w:rsid w:val="006D4A9A"/>
    <w:rsid w:val="006D4BB2"/>
    <w:rsid w:val="006D4CB5"/>
    <w:rsid w:val="006D55DE"/>
    <w:rsid w:val="006D565E"/>
    <w:rsid w:val="006D583D"/>
    <w:rsid w:val="006D5C33"/>
    <w:rsid w:val="006D5E92"/>
    <w:rsid w:val="006D6529"/>
    <w:rsid w:val="006D716A"/>
    <w:rsid w:val="006D7466"/>
    <w:rsid w:val="006D76F1"/>
    <w:rsid w:val="006E00DD"/>
    <w:rsid w:val="006E0109"/>
    <w:rsid w:val="006E0180"/>
    <w:rsid w:val="006E0339"/>
    <w:rsid w:val="006E0526"/>
    <w:rsid w:val="006E063F"/>
    <w:rsid w:val="006E07D8"/>
    <w:rsid w:val="006E0895"/>
    <w:rsid w:val="006E0C1C"/>
    <w:rsid w:val="006E0C36"/>
    <w:rsid w:val="006E0C4B"/>
    <w:rsid w:val="006E0CFA"/>
    <w:rsid w:val="006E0F11"/>
    <w:rsid w:val="006E13CC"/>
    <w:rsid w:val="006E1441"/>
    <w:rsid w:val="006E1AFA"/>
    <w:rsid w:val="006E25A5"/>
    <w:rsid w:val="006E25DE"/>
    <w:rsid w:val="006E271A"/>
    <w:rsid w:val="006E27E9"/>
    <w:rsid w:val="006E303A"/>
    <w:rsid w:val="006E334A"/>
    <w:rsid w:val="006E37F1"/>
    <w:rsid w:val="006E390C"/>
    <w:rsid w:val="006E3A70"/>
    <w:rsid w:val="006E3E94"/>
    <w:rsid w:val="006E3F50"/>
    <w:rsid w:val="006E41B4"/>
    <w:rsid w:val="006E41F4"/>
    <w:rsid w:val="006E458E"/>
    <w:rsid w:val="006E46CC"/>
    <w:rsid w:val="006E471F"/>
    <w:rsid w:val="006E480C"/>
    <w:rsid w:val="006E48C9"/>
    <w:rsid w:val="006E49A8"/>
    <w:rsid w:val="006E4B0F"/>
    <w:rsid w:val="006E4D1D"/>
    <w:rsid w:val="006E4DC9"/>
    <w:rsid w:val="006E4FC9"/>
    <w:rsid w:val="006E5181"/>
    <w:rsid w:val="006E51E3"/>
    <w:rsid w:val="006E53E6"/>
    <w:rsid w:val="006E55D7"/>
    <w:rsid w:val="006E5DC0"/>
    <w:rsid w:val="006E628C"/>
    <w:rsid w:val="006E64EF"/>
    <w:rsid w:val="006E6ACB"/>
    <w:rsid w:val="006E6CE4"/>
    <w:rsid w:val="006E6DED"/>
    <w:rsid w:val="006E6DF4"/>
    <w:rsid w:val="006E6E86"/>
    <w:rsid w:val="006E6F7A"/>
    <w:rsid w:val="006E6F7C"/>
    <w:rsid w:val="006E70B7"/>
    <w:rsid w:val="006E70B9"/>
    <w:rsid w:val="006E7579"/>
    <w:rsid w:val="006E762F"/>
    <w:rsid w:val="006E7718"/>
    <w:rsid w:val="006E780B"/>
    <w:rsid w:val="006E7A8B"/>
    <w:rsid w:val="006E7CBD"/>
    <w:rsid w:val="006E7E35"/>
    <w:rsid w:val="006F00A0"/>
    <w:rsid w:val="006F021F"/>
    <w:rsid w:val="006F0632"/>
    <w:rsid w:val="006F06AA"/>
    <w:rsid w:val="006F0EEA"/>
    <w:rsid w:val="006F1015"/>
    <w:rsid w:val="006F120F"/>
    <w:rsid w:val="006F129D"/>
    <w:rsid w:val="006F1440"/>
    <w:rsid w:val="006F16E6"/>
    <w:rsid w:val="006F1A5B"/>
    <w:rsid w:val="006F1BB6"/>
    <w:rsid w:val="006F1C92"/>
    <w:rsid w:val="006F1F1D"/>
    <w:rsid w:val="006F1F20"/>
    <w:rsid w:val="006F1F8D"/>
    <w:rsid w:val="006F1FD8"/>
    <w:rsid w:val="006F20ED"/>
    <w:rsid w:val="006F2464"/>
    <w:rsid w:val="006F2580"/>
    <w:rsid w:val="006F262A"/>
    <w:rsid w:val="006F2893"/>
    <w:rsid w:val="006F2A91"/>
    <w:rsid w:val="006F2B0D"/>
    <w:rsid w:val="006F2DF4"/>
    <w:rsid w:val="006F31F3"/>
    <w:rsid w:val="006F34C1"/>
    <w:rsid w:val="006F34E3"/>
    <w:rsid w:val="006F35CE"/>
    <w:rsid w:val="006F3665"/>
    <w:rsid w:val="006F3769"/>
    <w:rsid w:val="006F3BEA"/>
    <w:rsid w:val="006F3C0F"/>
    <w:rsid w:val="006F421C"/>
    <w:rsid w:val="006F427A"/>
    <w:rsid w:val="006F4366"/>
    <w:rsid w:val="006F459A"/>
    <w:rsid w:val="006F4675"/>
    <w:rsid w:val="006F4817"/>
    <w:rsid w:val="006F4950"/>
    <w:rsid w:val="006F4ACD"/>
    <w:rsid w:val="006F4F41"/>
    <w:rsid w:val="006F5073"/>
    <w:rsid w:val="006F51EE"/>
    <w:rsid w:val="006F5614"/>
    <w:rsid w:val="006F57C3"/>
    <w:rsid w:val="006F599D"/>
    <w:rsid w:val="006F5AE5"/>
    <w:rsid w:val="006F5AE8"/>
    <w:rsid w:val="006F5E46"/>
    <w:rsid w:val="006F5F8F"/>
    <w:rsid w:val="006F629C"/>
    <w:rsid w:val="006F63AB"/>
    <w:rsid w:val="006F63C7"/>
    <w:rsid w:val="006F663C"/>
    <w:rsid w:val="006F66C1"/>
    <w:rsid w:val="006F6AD4"/>
    <w:rsid w:val="006F6EBF"/>
    <w:rsid w:val="006F707B"/>
    <w:rsid w:val="006F7107"/>
    <w:rsid w:val="006F73CD"/>
    <w:rsid w:val="006F759E"/>
    <w:rsid w:val="006F76C5"/>
    <w:rsid w:val="006F7774"/>
    <w:rsid w:val="006F7788"/>
    <w:rsid w:val="006F79C3"/>
    <w:rsid w:val="006F7BD3"/>
    <w:rsid w:val="006F7BDD"/>
    <w:rsid w:val="006F7C05"/>
    <w:rsid w:val="006F7C44"/>
    <w:rsid w:val="006F7DCC"/>
    <w:rsid w:val="0070006B"/>
    <w:rsid w:val="00700282"/>
    <w:rsid w:val="007002D6"/>
    <w:rsid w:val="00700420"/>
    <w:rsid w:val="007004A6"/>
    <w:rsid w:val="00700688"/>
    <w:rsid w:val="0070093A"/>
    <w:rsid w:val="007009E5"/>
    <w:rsid w:val="0070108C"/>
    <w:rsid w:val="00701179"/>
    <w:rsid w:val="00701198"/>
    <w:rsid w:val="007011D4"/>
    <w:rsid w:val="00701329"/>
    <w:rsid w:val="0070178F"/>
    <w:rsid w:val="00701C53"/>
    <w:rsid w:val="00701D56"/>
    <w:rsid w:val="00701D5D"/>
    <w:rsid w:val="007020A7"/>
    <w:rsid w:val="007023F7"/>
    <w:rsid w:val="00702408"/>
    <w:rsid w:val="007024A3"/>
    <w:rsid w:val="00702653"/>
    <w:rsid w:val="00702902"/>
    <w:rsid w:val="00702CF2"/>
    <w:rsid w:val="00702D70"/>
    <w:rsid w:val="00702DB2"/>
    <w:rsid w:val="00703277"/>
    <w:rsid w:val="00703285"/>
    <w:rsid w:val="0070355B"/>
    <w:rsid w:val="007035D1"/>
    <w:rsid w:val="007035D6"/>
    <w:rsid w:val="00703834"/>
    <w:rsid w:val="00703860"/>
    <w:rsid w:val="00703933"/>
    <w:rsid w:val="00703D5D"/>
    <w:rsid w:val="00703E8E"/>
    <w:rsid w:val="00703EC7"/>
    <w:rsid w:val="00704097"/>
    <w:rsid w:val="007042A3"/>
    <w:rsid w:val="00704379"/>
    <w:rsid w:val="007046F9"/>
    <w:rsid w:val="0070483A"/>
    <w:rsid w:val="00704A03"/>
    <w:rsid w:val="00704C29"/>
    <w:rsid w:val="00704C4B"/>
    <w:rsid w:val="00704CBC"/>
    <w:rsid w:val="00704FBD"/>
    <w:rsid w:val="007051A3"/>
    <w:rsid w:val="007051DE"/>
    <w:rsid w:val="007052BA"/>
    <w:rsid w:val="00705397"/>
    <w:rsid w:val="00705781"/>
    <w:rsid w:val="00705A47"/>
    <w:rsid w:val="00705B2E"/>
    <w:rsid w:val="00705FF7"/>
    <w:rsid w:val="0070618E"/>
    <w:rsid w:val="0070631B"/>
    <w:rsid w:val="00706381"/>
    <w:rsid w:val="00706570"/>
    <w:rsid w:val="007066DD"/>
    <w:rsid w:val="007066F4"/>
    <w:rsid w:val="00706A37"/>
    <w:rsid w:val="00706AFF"/>
    <w:rsid w:val="00706C4C"/>
    <w:rsid w:val="00706C8B"/>
    <w:rsid w:val="00706D3F"/>
    <w:rsid w:val="00706DC4"/>
    <w:rsid w:val="00706E3F"/>
    <w:rsid w:val="00707030"/>
    <w:rsid w:val="0070715E"/>
    <w:rsid w:val="0070720E"/>
    <w:rsid w:val="007073E2"/>
    <w:rsid w:val="007073FF"/>
    <w:rsid w:val="0070741D"/>
    <w:rsid w:val="007078B5"/>
    <w:rsid w:val="00707901"/>
    <w:rsid w:val="0070790B"/>
    <w:rsid w:val="00707948"/>
    <w:rsid w:val="00707C9D"/>
    <w:rsid w:val="00707D94"/>
    <w:rsid w:val="00707F0A"/>
    <w:rsid w:val="00707F44"/>
    <w:rsid w:val="007102FD"/>
    <w:rsid w:val="00710353"/>
    <w:rsid w:val="0071047C"/>
    <w:rsid w:val="00710801"/>
    <w:rsid w:val="0071087C"/>
    <w:rsid w:val="00710993"/>
    <w:rsid w:val="00710BF2"/>
    <w:rsid w:val="00710C26"/>
    <w:rsid w:val="00710D87"/>
    <w:rsid w:val="00710E39"/>
    <w:rsid w:val="00711488"/>
    <w:rsid w:val="00711550"/>
    <w:rsid w:val="00711558"/>
    <w:rsid w:val="007115AC"/>
    <w:rsid w:val="00711646"/>
    <w:rsid w:val="007119A8"/>
    <w:rsid w:val="00711B91"/>
    <w:rsid w:val="00711DAD"/>
    <w:rsid w:val="00712044"/>
    <w:rsid w:val="007122C1"/>
    <w:rsid w:val="007122FD"/>
    <w:rsid w:val="00712503"/>
    <w:rsid w:val="007128C0"/>
    <w:rsid w:val="00712ABC"/>
    <w:rsid w:val="00712F1C"/>
    <w:rsid w:val="00712FF8"/>
    <w:rsid w:val="00713306"/>
    <w:rsid w:val="0071399D"/>
    <w:rsid w:val="007139A2"/>
    <w:rsid w:val="00713C07"/>
    <w:rsid w:val="00713D02"/>
    <w:rsid w:val="0071421D"/>
    <w:rsid w:val="0071445E"/>
    <w:rsid w:val="007147BA"/>
    <w:rsid w:val="007147C4"/>
    <w:rsid w:val="00714857"/>
    <w:rsid w:val="00714A72"/>
    <w:rsid w:val="00714D74"/>
    <w:rsid w:val="00714E0A"/>
    <w:rsid w:val="00714E2A"/>
    <w:rsid w:val="007151A2"/>
    <w:rsid w:val="00715750"/>
    <w:rsid w:val="007159EB"/>
    <w:rsid w:val="00715AB7"/>
    <w:rsid w:val="00715AFF"/>
    <w:rsid w:val="00715C56"/>
    <w:rsid w:val="00715D7C"/>
    <w:rsid w:val="00716135"/>
    <w:rsid w:val="007161F9"/>
    <w:rsid w:val="007163EF"/>
    <w:rsid w:val="007165C6"/>
    <w:rsid w:val="0071669F"/>
    <w:rsid w:val="007167A9"/>
    <w:rsid w:val="007167C8"/>
    <w:rsid w:val="00716A5B"/>
    <w:rsid w:val="00716ACE"/>
    <w:rsid w:val="00716BF7"/>
    <w:rsid w:val="00716F56"/>
    <w:rsid w:val="0071714A"/>
    <w:rsid w:val="007172D1"/>
    <w:rsid w:val="00717308"/>
    <w:rsid w:val="007175CD"/>
    <w:rsid w:val="0071767C"/>
    <w:rsid w:val="0071776A"/>
    <w:rsid w:val="007177EA"/>
    <w:rsid w:val="00717983"/>
    <w:rsid w:val="00717D63"/>
    <w:rsid w:val="00717EE3"/>
    <w:rsid w:val="00720056"/>
    <w:rsid w:val="00720198"/>
    <w:rsid w:val="007203FF"/>
    <w:rsid w:val="0072073D"/>
    <w:rsid w:val="0072081E"/>
    <w:rsid w:val="00720931"/>
    <w:rsid w:val="00720B01"/>
    <w:rsid w:val="00720BAF"/>
    <w:rsid w:val="0072118A"/>
    <w:rsid w:val="00721372"/>
    <w:rsid w:val="0072187C"/>
    <w:rsid w:val="00721AEF"/>
    <w:rsid w:val="00721E12"/>
    <w:rsid w:val="00721FB6"/>
    <w:rsid w:val="00722038"/>
    <w:rsid w:val="0072220D"/>
    <w:rsid w:val="007224EC"/>
    <w:rsid w:val="00722541"/>
    <w:rsid w:val="007229D5"/>
    <w:rsid w:val="00722E54"/>
    <w:rsid w:val="00722E83"/>
    <w:rsid w:val="00723130"/>
    <w:rsid w:val="0072314D"/>
    <w:rsid w:val="0072320A"/>
    <w:rsid w:val="007236C0"/>
    <w:rsid w:val="00723790"/>
    <w:rsid w:val="007239D0"/>
    <w:rsid w:val="00723A13"/>
    <w:rsid w:val="00723B14"/>
    <w:rsid w:val="00723B2C"/>
    <w:rsid w:val="00723C9D"/>
    <w:rsid w:val="00723F2A"/>
    <w:rsid w:val="00724222"/>
    <w:rsid w:val="0072436E"/>
    <w:rsid w:val="007245A2"/>
    <w:rsid w:val="00724769"/>
    <w:rsid w:val="00724BB8"/>
    <w:rsid w:val="00724BDE"/>
    <w:rsid w:val="00724DA0"/>
    <w:rsid w:val="00724E53"/>
    <w:rsid w:val="00724E78"/>
    <w:rsid w:val="00724F45"/>
    <w:rsid w:val="00724FEA"/>
    <w:rsid w:val="007250FF"/>
    <w:rsid w:val="0072513B"/>
    <w:rsid w:val="0072551A"/>
    <w:rsid w:val="0072583F"/>
    <w:rsid w:val="00725978"/>
    <w:rsid w:val="00725A74"/>
    <w:rsid w:val="00725AC3"/>
    <w:rsid w:val="00725B2C"/>
    <w:rsid w:val="00725F4B"/>
    <w:rsid w:val="007261E5"/>
    <w:rsid w:val="00726234"/>
    <w:rsid w:val="007262AC"/>
    <w:rsid w:val="00726308"/>
    <w:rsid w:val="0072651B"/>
    <w:rsid w:val="00726622"/>
    <w:rsid w:val="007266D3"/>
    <w:rsid w:val="007267A5"/>
    <w:rsid w:val="00726909"/>
    <w:rsid w:val="00726A93"/>
    <w:rsid w:val="00726BFA"/>
    <w:rsid w:val="00726D26"/>
    <w:rsid w:val="00726E51"/>
    <w:rsid w:val="007270AD"/>
    <w:rsid w:val="00727157"/>
    <w:rsid w:val="00727165"/>
    <w:rsid w:val="0072721D"/>
    <w:rsid w:val="0072754B"/>
    <w:rsid w:val="00727616"/>
    <w:rsid w:val="00727AC6"/>
    <w:rsid w:val="00727AC8"/>
    <w:rsid w:val="00727AEC"/>
    <w:rsid w:val="00727BC4"/>
    <w:rsid w:val="00727C8D"/>
    <w:rsid w:val="00727D25"/>
    <w:rsid w:val="00727DCC"/>
    <w:rsid w:val="0073006A"/>
    <w:rsid w:val="0073017B"/>
    <w:rsid w:val="00730206"/>
    <w:rsid w:val="0073030F"/>
    <w:rsid w:val="00730351"/>
    <w:rsid w:val="00730436"/>
    <w:rsid w:val="00730525"/>
    <w:rsid w:val="0073052C"/>
    <w:rsid w:val="00730B80"/>
    <w:rsid w:val="00730CE4"/>
    <w:rsid w:val="00730ED2"/>
    <w:rsid w:val="00730FAF"/>
    <w:rsid w:val="007312C9"/>
    <w:rsid w:val="0073133E"/>
    <w:rsid w:val="00731540"/>
    <w:rsid w:val="007315A7"/>
    <w:rsid w:val="00731688"/>
    <w:rsid w:val="0073176D"/>
    <w:rsid w:val="00731AFE"/>
    <w:rsid w:val="00731CDA"/>
    <w:rsid w:val="007322DB"/>
    <w:rsid w:val="00732436"/>
    <w:rsid w:val="00732480"/>
    <w:rsid w:val="007324A8"/>
    <w:rsid w:val="00732657"/>
    <w:rsid w:val="0073267C"/>
    <w:rsid w:val="00732750"/>
    <w:rsid w:val="00732864"/>
    <w:rsid w:val="00732B1E"/>
    <w:rsid w:val="00732B66"/>
    <w:rsid w:val="00732FE9"/>
    <w:rsid w:val="007332ED"/>
    <w:rsid w:val="007332F1"/>
    <w:rsid w:val="00733AA0"/>
    <w:rsid w:val="00733C42"/>
    <w:rsid w:val="00733D15"/>
    <w:rsid w:val="007342B8"/>
    <w:rsid w:val="00734488"/>
    <w:rsid w:val="00734553"/>
    <w:rsid w:val="0073498B"/>
    <w:rsid w:val="00734996"/>
    <w:rsid w:val="00734ABB"/>
    <w:rsid w:val="00734D40"/>
    <w:rsid w:val="00735556"/>
    <w:rsid w:val="007355D1"/>
    <w:rsid w:val="00735773"/>
    <w:rsid w:val="00735AF1"/>
    <w:rsid w:val="00735F4B"/>
    <w:rsid w:val="0073635B"/>
    <w:rsid w:val="0073645B"/>
    <w:rsid w:val="007364B9"/>
    <w:rsid w:val="0073653A"/>
    <w:rsid w:val="0073665E"/>
    <w:rsid w:val="00736F9E"/>
    <w:rsid w:val="00737079"/>
    <w:rsid w:val="007370E2"/>
    <w:rsid w:val="00737102"/>
    <w:rsid w:val="007371E5"/>
    <w:rsid w:val="007379FD"/>
    <w:rsid w:val="00740178"/>
    <w:rsid w:val="0074073E"/>
    <w:rsid w:val="00740754"/>
    <w:rsid w:val="00740978"/>
    <w:rsid w:val="00740995"/>
    <w:rsid w:val="00740B2E"/>
    <w:rsid w:val="00740B50"/>
    <w:rsid w:val="00740C5E"/>
    <w:rsid w:val="00740CC2"/>
    <w:rsid w:val="00740EB4"/>
    <w:rsid w:val="00741020"/>
    <w:rsid w:val="0074111C"/>
    <w:rsid w:val="0074129D"/>
    <w:rsid w:val="00741375"/>
    <w:rsid w:val="007415E7"/>
    <w:rsid w:val="00741617"/>
    <w:rsid w:val="007417DD"/>
    <w:rsid w:val="007419F5"/>
    <w:rsid w:val="00741C2E"/>
    <w:rsid w:val="0074201D"/>
    <w:rsid w:val="00742517"/>
    <w:rsid w:val="007426A7"/>
    <w:rsid w:val="00742769"/>
    <w:rsid w:val="0074289A"/>
    <w:rsid w:val="0074290E"/>
    <w:rsid w:val="00742AB4"/>
    <w:rsid w:val="00742CD3"/>
    <w:rsid w:val="00742E26"/>
    <w:rsid w:val="00742FCB"/>
    <w:rsid w:val="00743033"/>
    <w:rsid w:val="007435B4"/>
    <w:rsid w:val="007436F7"/>
    <w:rsid w:val="007438AA"/>
    <w:rsid w:val="00743917"/>
    <w:rsid w:val="00743B58"/>
    <w:rsid w:val="00743C70"/>
    <w:rsid w:val="00743CAD"/>
    <w:rsid w:val="00744095"/>
    <w:rsid w:val="007441BF"/>
    <w:rsid w:val="0074424F"/>
    <w:rsid w:val="0074428D"/>
    <w:rsid w:val="0074437C"/>
    <w:rsid w:val="00744497"/>
    <w:rsid w:val="00744506"/>
    <w:rsid w:val="00744721"/>
    <w:rsid w:val="00744A13"/>
    <w:rsid w:val="00744A1D"/>
    <w:rsid w:val="00744BF8"/>
    <w:rsid w:val="00744FFE"/>
    <w:rsid w:val="00745B5B"/>
    <w:rsid w:val="00745B78"/>
    <w:rsid w:val="00745D3D"/>
    <w:rsid w:val="0074611C"/>
    <w:rsid w:val="0074620E"/>
    <w:rsid w:val="00746470"/>
    <w:rsid w:val="0074651D"/>
    <w:rsid w:val="00746608"/>
    <w:rsid w:val="00746910"/>
    <w:rsid w:val="00746A4E"/>
    <w:rsid w:val="00746C2B"/>
    <w:rsid w:val="00746DE9"/>
    <w:rsid w:val="00746DF3"/>
    <w:rsid w:val="00746EBA"/>
    <w:rsid w:val="007472BE"/>
    <w:rsid w:val="007475A4"/>
    <w:rsid w:val="00747711"/>
    <w:rsid w:val="00747737"/>
    <w:rsid w:val="007477CB"/>
    <w:rsid w:val="00747867"/>
    <w:rsid w:val="00747E44"/>
    <w:rsid w:val="00747FD2"/>
    <w:rsid w:val="007501C8"/>
    <w:rsid w:val="00750206"/>
    <w:rsid w:val="007504D6"/>
    <w:rsid w:val="0075065E"/>
    <w:rsid w:val="007506D7"/>
    <w:rsid w:val="00750ADB"/>
    <w:rsid w:val="00750E6C"/>
    <w:rsid w:val="00751129"/>
    <w:rsid w:val="0075140E"/>
    <w:rsid w:val="00751418"/>
    <w:rsid w:val="00751507"/>
    <w:rsid w:val="0075173B"/>
    <w:rsid w:val="00751765"/>
    <w:rsid w:val="00751801"/>
    <w:rsid w:val="0075181B"/>
    <w:rsid w:val="007519ED"/>
    <w:rsid w:val="00751B26"/>
    <w:rsid w:val="00751E39"/>
    <w:rsid w:val="007521C2"/>
    <w:rsid w:val="00752208"/>
    <w:rsid w:val="007527F9"/>
    <w:rsid w:val="00752916"/>
    <w:rsid w:val="0075298E"/>
    <w:rsid w:val="00752C1D"/>
    <w:rsid w:val="00752F73"/>
    <w:rsid w:val="00753058"/>
    <w:rsid w:val="00753818"/>
    <w:rsid w:val="007538B5"/>
    <w:rsid w:val="0075395E"/>
    <w:rsid w:val="00753E46"/>
    <w:rsid w:val="00753F73"/>
    <w:rsid w:val="00753FAB"/>
    <w:rsid w:val="007540A2"/>
    <w:rsid w:val="00754285"/>
    <w:rsid w:val="00754415"/>
    <w:rsid w:val="007544B0"/>
    <w:rsid w:val="00754AB3"/>
    <w:rsid w:val="00754CBF"/>
    <w:rsid w:val="00754E39"/>
    <w:rsid w:val="00754F59"/>
    <w:rsid w:val="007550A7"/>
    <w:rsid w:val="00755349"/>
    <w:rsid w:val="0075547B"/>
    <w:rsid w:val="00755524"/>
    <w:rsid w:val="00755530"/>
    <w:rsid w:val="0075567E"/>
    <w:rsid w:val="00755937"/>
    <w:rsid w:val="00755A4E"/>
    <w:rsid w:val="00755A9F"/>
    <w:rsid w:val="00755AFC"/>
    <w:rsid w:val="00755BD8"/>
    <w:rsid w:val="00755C58"/>
    <w:rsid w:val="00755C8D"/>
    <w:rsid w:val="00755E3F"/>
    <w:rsid w:val="00755E88"/>
    <w:rsid w:val="00755EC6"/>
    <w:rsid w:val="007564E5"/>
    <w:rsid w:val="007565F5"/>
    <w:rsid w:val="0075671B"/>
    <w:rsid w:val="00756988"/>
    <w:rsid w:val="007569FB"/>
    <w:rsid w:val="00756D67"/>
    <w:rsid w:val="00756D7B"/>
    <w:rsid w:val="00756E33"/>
    <w:rsid w:val="007570AB"/>
    <w:rsid w:val="007571FE"/>
    <w:rsid w:val="00757222"/>
    <w:rsid w:val="007572CC"/>
    <w:rsid w:val="00757330"/>
    <w:rsid w:val="00757338"/>
    <w:rsid w:val="0075735D"/>
    <w:rsid w:val="00757368"/>
    <w:rsid w:val="00757448"/>
    <w:rsid w:val="00757962"/>
    <w:rsid w:val="00757988"/>
    <w:rsid w:val="00757C02"/>
    <w:rsid w:val="00757F0A"/>
    <w:rsid w:val="00760198"/>
    <w:rsid w:val="0076066F"/>
    <w:rsid w:val="0076073A"/>
    <w:rsid w:val="00760862"/>
    <w:rsid w:val="0076090E"/>
    <w:rsid w:val="00760A28"/>
    <w:rsid w:val="00760DB8"/>
    <w:rsid w:val="0076115F"/>
    <w:rsid w:val="007611CD"/>
    <w:rsid w:val="00761216"/>
    <w:rsid w:val="0076136E"/>
    <w:rsid w:val="00761684"/>
    <w:rsid w:val="00761A12"/>
    <w:rsid w:val="00761BEB"/>
    <w:rsid w:val="00761F38"/>
    <w:rsid w:val="00762073"/>
    <w:rsid w:val="0076220D"/>
    <w:rsid w:val="00762509"/>
    <w:rsid w:val="007628C2"/>
    <w:rsid w:val="007629B8"/>
    <w:rsid w:val="00762AAC"/>
    <w:rsid w:val="00762B27"/>
    <w:rsid w:val="00763144"/>
    <w:rsid w:val="00763326"/>
    <w:rsid w:val="00763383"/>
    <w:rsid w:val="00763612"/>
    <w:rsid w:val="00763661"/>
    <w:rsid w:val="007637F9"/>
    <w:rsid w:val="00763960"/>
    <w:rsid w:val="0076399B"/>
    <w:rsid w:val="00763F7B"/>
    <w:rsid w:val="007644B0"/>
    <w:rsid w:val="007646BB"/>
    <w:rsid w:val="007649B6"/>
    <w:rsid w:val="00764A25"/>
    <w:rsid w:val="00764C6F"/>
    <w:rsid w:val="00764E26"/>
    <w:rsid w:val="0076576A"/>
    <w:rsid w:val="0076588E"/>
    <w:rsid w:val="00765897"/>
    <w:rsid w:val="007658A6"/>
    <w:rsid w:val="00765954"/>
    <w:rsid w:val="00765C26"/>
    <w:rsid w:val="00765D1C"/>
    <w:rsid w:val="007661A2"/>
    <w:rsid w:val="0076666D"/>
    <w:rsid w:val="0076692E"/>
    <w:rsid w:val="00766A95"/>
    <w:rsid w:val="00766DC7"/>
    <w:rsid w:val="00766DDC"/>
    <w:rsid w:val="00766F34"/>
    <w:rsid w:val="00766F3F"/>
    <w:rsid w:val="00767404"/>
    <w:rsid w:val="00767669"/>
    <w:rsid w:val="0076781F"/>
    <w:rsid w:val="007679DC"/>
    <w:rsid w:val="00767A07"/>
    <w:rsid w:val="00767A2B"/>
    <w:rsid w:val="00767DE6"/>
    <w:rsid w:val="00767EA9"/>
    <w:rsid w:val="00767F59"/>
    <w:rsid w:val="00767FD7"/>
    <w:rsid w:val="00770184"/>
    <w:rsid w:val="007701FF"/>
    <w:rsid w:val="00770244"/>
    <w:rsid w:val="00770287"/>
    <w:rsid w:val="0077037D"/>
    <w:rsid w:val="0077038D"/>
    <w:rsid w:val="00770464"/>
    <w:rsid w:val="0077046C"/>
    <w:rsid w:val="007704BB"/>
    <w:rsid w:val="0077060B"/>
    <w:rsid w:val="0077069F"/>
    <w:rsid w:val="0077087D"/>
    <w:rsid w:val="00770983"/>
    <w:rsid w:val="00770AD6"/>
    <w:rsid w:val="00770EB1"/>
    <w:rsid w:val="00770F43"/>
    <w:rsid w:val="007711D0"/>
    <w:rsid w:val="007712ED"/>
    <w:rsid w:val="00771506"/>
    <w:rsid w:val="007715F3"/>
    <w:rsid w:val="00771938"/>
    <w:rsid w:val="00771D1D"/>
    <w:rsid w:val="00771E44"/>
    <w:rsid w:val="007721A4"/>
    <w:rsid w:val="00772347"/>
    <w:rsid w:val="007723F2"/>
    <w:rsid w:val="00772848"/>
    <w:rsid w:val="00772874"/>
    <w:rsid w:val="00772A3A"/>
    <w:rsid w:val="00772B07"/>
    <w:rsid w:val="00772C05"/>
    <w:rsid w:val="00772D04"/>
    <w:rsid w:val="00772D0E"/>
    <w:rsid w:val="00772D1A"/>
    <w:rsid w:val="00772EEE"/>
    <w:rsid w:val="00772F0A"/>
    <w:rsid w:val="007735F0"/>
    <w:rsid w:val="00773629"/>
    <w:rsid w:val="00773E78"/>
    <w:rsid w:val="007743D8"/>
    <w:rsid w:val="0077441E"/>
    <w:rsid w:val="00774658"/>
    <w:rsid w:val="00774871"/>
    <w:rsid w:val="00774890"/>
    <w:rsid w:val="00774A27"/>
    <w:rsid w:val="00774A44"/>
    <w:rsid w:val="00774AAD"/>
    <w:rsid w:val="00774B4F"/>
    <w:rsid w:val="00774BBE"/>
    <w:rsid w:val="00774D51"/>
    <w:rsid w:val="00774DA4"/>
    <w:rsid w:val="007750ED"/>
    <w:rsid w:val="007754F4"/>
    <w:rsid w:val="007755AE"/>
    <w:rsid w:val="007755BE"/>
    <w:rsid w:val="0077580A"/>
    <w:rsid w:val="00775879"/>
    <w:rsid w:val="00775912"/>
    <w:rsid w:val="00775960"/>
    <w:rsid w:val="00776023"/>
    <w:rsid w:val="00776054"/>
    <w:rsid w:val="00776139"/>
    <w:rsid w:val="0077617E"/>
    <w:rsid w:val="007761FF"/>
    <w:rsid w:val="00776355"/>
    <w:rsid w:val="007763B6"/>
    <w:rsid w:val="00776464"/>
    <w:rsid w:val="0077648F"/>
    <w:rsid w:val="00776496"/>
    <w:rsid w:val="007766FC"/>
    <w:rsid w:val="00776D31"/>
    <w:rsid w:val="0077703A"/>
    <w:rsid w:val="0077728C"/>
    <w:rsid w:val="00777831"/>
    <w:rsid w:val="00777860"/>
    <w:rsid w:val="0077789D"/>
    <w:rsid w:val="00777A8A"/>
    <w:rsid w:val="00777AB0"/>
    <w:rsid w:val="00777B64"/>
    <w:rsid w:val="00777D50"/>
    <w:rsid w:val="00777ED9"/>
    <w:rsid w:val="00777FD3"/>
    <w:rsid w:val="00780593"/>
    <w:rsid w:val="00780609"/>
    <w:rsid w:val="007806BD"/>
    <w:rsid w:val="007808A5"/>
    <w:rsid w:val="007808C5"/>
    <w:rsid w:val="007808DB"/>
    <w:rsid w:val="007809AF"/>
    <w:rsid w:val="00780A89"/>
    <w:rsid w:val="00780C47"/>
    <w:rsid w:val="00780D33"/>
    <w:rsid w:val="0078122E"/>
    <w:rsid w:val="0078144E"/>
    <w:rsid w:val="007814A3"/>
    <w:rsid w:val="007817D1"/>
    <w:rsid w:val="00781827"/>
    <w:rsid w:val="00781909"/>
    <w:rsid w:val="00781D52"/>
    <w:rsid w:val="0078201A"/>
    <w:rsid w:val="0078209B"/>
    <w:rsid w:val="00782173"/>
    <w:rsid w:val="00782184"/>
    <w:rsid w:val="007823C3"/>
    <w:rsid w:val="00782763"/>
    <w:rsid w:val="007827DC"/>
    <w:rsid w:val="00782A2E"/>
    <w:rsid w:val="00782BEB"/>
    <w:rsid w:val="00782F09"/>
    <w:rsid w:val="00782F1F"/>
    <w:rsid w:val="00783052"/>
    <w:rsid w:val="007831AA"/>
    <w:rsid w:val="007835CB"/>
    <w:rsid w:val="0078362E"/>
    <w:rsid w:val="00783707"/>
    <w:rsid w:val="00783963"/>
    <w:rsid w:val="00783A4B"/>
    <w:rsid w:val="00783B32"/>
    <w:rsid w:val="00783B4C"/>
    <w:rsid w:val="00783D37"/>
    <w:rsid w:val="0078404F"/>
    <w:rsid w:val="0078445F"/>
    <w:rsid w:val="00784D0C"/>
    <w:rsid w:val="00785100"/>
    <w:rsid w:val="00785587"/>
    <w:rsid w:val="0078575F"/>
    <w:rsid w:val="00785A38"/>
    <w:rsid w:val="00785B72"/>
    <w:rsid w:val="00785D70"/>
    <w:rsid w:val="0078602F"/>
    <w:rsid w:val="007860A4"/>
    <w:rsid w:val="0078619C"/>
    <w:rsid w:val="00786590"/>
    <w:rsid w:val="007865A9"/>
    <w:rsid w:val="00786739"/>
    <w:rsid w:val="0078676B"/>
    <w:rsid w:val="007869C2"/>
    <w:rsid w:val="00786A7F"/>
    <w:rsid w:val="00786D85"/>
    <w:rsid w:val="0078753F"/>
    <w:rsid w:val="00787585"/>
    <w:rsid w:val="007877CD"/>
    <w:rsid w:val="00787C9B"/>
    <w:rsid w:val="00787CE0"/>
    <w:rsid w:val="00787DEF"/>
    <w:rsid w:val="0079001C"/>
    <w:rsid w:val="00790114"/>
    <w:rsid w:val="0079017D"/>
    <w:rsid w:val="007901A9"/>
    <w:rsid w:val="0079045D"/>
    <w:rsid w:val="00790676"/>
    <w:rsid w:val="007906D8"/>
    <w:rsid w:val="00790729"/>
    <w:rsid w:val="007908A5"/>
    <w:rsid w:val="00790A53"/>
    <w:rsid w:val="00790BD2"/>
    <w:rsid w:val="00790E17"/>
    <w:rsid w:val="00790E61"/>
    <w:rsid w:val="00790F65"/>
    <w:rsid w:val="0079104A"/>
    <w:rsid w:val="007912D1"/>
    <w:rsid w:val="00791551"/>
    <w:rsid w:val="007918D1"/>
    <w:rsid w:val="00791938"/>
    <w:rsid w:val="00791BA7"/>
    <w:rsid w:val="00791DD8"/>
    <w:rsid w:val="007923D3"/>
    <w:rsid w:val="007928F7"/>
    <w:rsid w:val="007929F6"/>
    <w:rsid w:val="00792ACC"/>
    <w:rsid w:val="00792C87"/>
    <w:rsid w:val="00792CE0"/>
    <w:rsid w:val="00792EE9"/>
    <w:rsid w:val="007934C2"/>
    <w:rsid w:val="00793639"/>
    <w:rsid w:val="00793986"/>
    <w:rsid w:val="00793A48"/>
    <w:rsid w:val="00793F51"/>
    <w:rsid w:val="0079413A"/>
    <w:rsid w:val="00794171"/>
    <w:rsid w:val="00794184"/>
    <w:rsid w:val="00794568"/>
    <w:rsid w:val="00794616"/>
    <w:rsid w:val="0079478F"/>
    <w:rsid w:val="007947DF"/>
    <w:rsid w:val="00794806"/>
    <w:rsid w:val="0079495A"/>
    <w:rsid w:val="00794964"/>
    <w:rsid w:val="00794BC6"/>
    <w:rsid w:val="00794D2E"/>
    <w:rsid w:val="00794ECF"/>
    <w:rsid w:val="00794F85"/>
    <w:rsid w:val="00795063"/>
    <w:rsid w:val="00795397"/>
    <w:rsid w:val="00795399"/>
    <w:rsid w:val="00795808"/>
    <w:rsid w:val="007958E0"/>
    <w:rsid w:val="0079592F"/>
    <w:rsid w:val="00795A58"/>
    <w:rsid w:val="00795E19"/>
    <w:rsid w:val="007960A9"/>
    <w:rsid w:val="007960F5"/>
    <w:rsid w:val="007961D2"/>
    <w:rsid w:val="007962A0"/>
    <w:rsid w:val="0079681A"/>
    <w:rsid w:val="007968D5"/>
    <w:rsid w:val="00796987"/>
    <w:rsid w:val="0079698C"/>
    <w:rsid w:val="007969E0"/>
    <w:rsid w:val="00796B9A"/>
    <w:rsid w:val="00796D6C"/>
    <w:rsid w:val="00796FD9"/>
    <w:rsid w:val="0079702A"/>
    <w:rsid w:val="007972B2"/>
    <w:rsid w:val="0079737F"/>
    <w:rsid w:val="00797640"/>
    <w:rsid w:val="00797756"/>
    <w:rsid w:val="007977AB"/>
    <w:rsid w:val="007977DB"/>
    <w:rsid w:val="007977F9"/>
    <w:rsid w:val="00797981"/>
    <w:rsid w:val="00797B38"/>
    <w:rsid w:val="00797BE9"/>
    <w:rsid w:val="00797C98"/>
    <w:rsid w:val="00797D27"/>
    <w:rsid w:val="007A0172"/>
    <w:rsid w:val="007A0176"/>
    <w:rsid w:val="007A0971"/>
    <w:rsid w:val="007A0CA6"/>
    <w:rsid w:val="007A0CD3"/>
    <w:rsid w:val="007A0D94"/>
    <w:rsid w:val="007A100E"/>
    <w:rsid w:val="007A109C"/>
    <w:rsid w:val="007A1233"/>
    <w:rsid w:val="007A1387"/>
    <w:rsid w:val="007A1409"/>
    <w:rsid w:val="007A1420"/>
    <w:rsid w:val="007A149A"/>
    <w:rsid w:val="007A176B"/>
    <w:rsid w:val="007A1B77"/>
    <w:rsid w:val="007A1EA3"/>
    <w:rsid w:val="007A1F96"/>
    <w:rsid w:val="007A200F"/>
    <w:rsid w:val="007A2046"/>
    <w:rsid w:val="007A207D"/>
    <w:rsid w:val="007A23DC"/>
    <w:rsid w:val="007A247D"/>
    <w:rsid w:val="007A25EC"/>
    <w:rsid w:val="007A29C0"/>
    <w:rsid w:val="007A2B58"/>
    <w:rsid w:val="007A3118"/>
    <w:rsid w:val="007A32BA"/>
    <w:rsid w:val="007A359F"/>
    <w:rsid w:val="007A35CC"/>
    <w:rsid w:val="007A39CC"/>
    <w:rsid w:val="007A3A90"/>
    <w:rsid w:val="007A3B65"/>
    <w:rsid w:val="007A3CA2"/>
    <w:rsid w:val="007A3CED"/>
    <w:rsid w:val="007A3D3B"/>
    <w:rsid w:val="007A3D68"/>
    <w:rsid w:val="007A3D8F"/>
    <w:rsid w:val="007A3DBC"/>
    <w:rsid w:val="007A416C"/>
    <w:rsid w:val="007A4337"/>
    <w:rsid w:val="007A4366"/>
    <w:rsid w:val="007A459E"/>
    <w:rsid w:val="007A4734"/>
    <w:rsid w:val="007A4774"/>
    <w:rsid w:val="007A49C6"/>
    <w:rsid w:val="007A4A77"/>
    <w:rsid w:val="007A4B76"/>
    <w:rsid w:val="007A4C5F"/>
    <w:rsid w:val="007A4E29"/>
    <w:rsid w:val="007A4EF0"/>
    <w:rsid w:val="007A4F43"/>
    <w:rsid w:val="007A50B3"/>
    <w:rsid w:val="007A50C9"/>
    <w:rsid w:val="007A56C4"/>
    <w:rsid w:val="007A590E"/>
    <w:rsid w:val="007A59AD"/>
    <w:rsid w:val="007A5DC8"/>
    <w:rsid w:val="007A5DF8"/>
    <w:rsid w:val="007A5F03"/>
    <w:rsid w:val="007A5F22"/>
    <w:rsid w:val="007A6211"/>
    <w:rsid w:val="007A6558"/>
    <w:rsid w:val="007A6667"/>
    <w:rsid w:val="007A66A7"/>
    <w:rsid w:val="007A67DA"/>
    <w:rsid w:val="007A686A"/>
    <w:rsid w:val="007A68F5"/>
    <w:rsid w:val="007A6980"/>
    <w:rsid w:val="007A6C35"/>
    <w:rsid w:val="007A6C79"/>
    <w:rsid w:val="007A6E2F"/>
    <w:rsid w:val="007A6ED7"/>
    <w:rsid w:val="007A6FD0"/>
    <w:rsid w:val="007A73B3"/>
    <w:rsid w:val="007A7497"/>
    <w:rsid w:val="007A7732"/>
    <w:rsid w:val="007A7839"/>
    <w:rsid w:val="007A78E9"/>
    <w:rsid w:val="007A79CD"/>
    <w:rsid w:val="007A7BEC"/>
    <w:rsid w:val="007A7CC4"/>
    <w:rsid w:val="007A7D71"/>
    <w:rsid w:val="007A7DD7"/>
    <w:rsid w:val="007B00C5"/>
    <w:rsid w:val="007B00FE"/>
    <w:rsid w:val="007B01DC"/>
    <w:rsid w:val="007B01ED"/>
    <w:rsid w:val="007B059B"/>
    <w:rsid w:val="007B0621"/>
    <w:rsid w:val="007B075B"/>
    <w:rsid w:val="007B075E"/>
    <w:rsid w:val="007B07F2"/>
    <w:rsid w:val="007B0ABF"/>
    <w:rsid w:val="007B0B74"/>
    <w:rsid w:val="007B0CBE"/>
    <w:rsid w:val="007B0EE1"/>
    <w:rsid w:val="007B1036"/>
    <w:rsid w:val="007B1088"/>
    <w:rsid w:val="007B1621"/>
    <w:rsid w:val="007B18B1"/>
    <w:rsid w:val="007B19BB"/>
    <w:rsid w:val="007B1AC7"/>
    <w:rsid w:val="007B1AFB"/>
    <w:rsid w:val="007B1E26"/>
    <w:rsid w:val="007B2215"/>
    <w:rsid w:val="007B22F4"/>
    <w:rsid w:val="007B23B5"/>
    <w:rsid w:val="007B25BF"/>
    <w:rsid w:val="007B2B0A"/>
    <w:rsid w:val="007B2B40"/>
    <w:rsid w:val="007B2BEA"/>
    <w:rsid w:val="007B2C10"/>
    <w:rsid w:val="007B3201"/>
    <w:rsid w:val="007B34A0"/>
    <w:rsid w:val="007B34C3"/>
    <w:rsid w:val="007B3687"/>
    <w:rsid w:val="007B3693"/>
    <w:rsid w:val="007B393D"/>
    <w:rsid w:val="007B3A5C"/>
    <w:rsid w:val="007B3AA9"/>
    <w:rsid w:val="007B3B3D"/>
    <w:rsid w:val="007B3DFC"/>
    <w:rsid w:val="007B41C3"/>
    <w:rsid w:val="007B4420"/>
    <w:rsid w:val="007B49B6"/>
    <w:rsid w:val="007B4E54"/>
    <w:rsid w:val="007B4F2D"/>
    <w:rsid w:val="007B5035"/>
    <w:rsid w:val="007B58A4"/>
    <w:rsid w:val="007B58AE"/>
    <w:rsid w:val="007B59C6"/>
    <w:rsid w:val="007B5ACD"/>
    <w:rsid w:val="007B5B76"/>
    <w:rsid w:val="007B5BF7"/>
    <w:rsid w:val="007B5D0E"/>
    <w:rsid w:val="007B6014"/>
    <w:rsid w:val="007B60FA"/>
    <w:rsid w:val="007B6303"/>
    <w:rsid w:val="007B63DB"/>
    <w:rsid w:val="007B670A"/>
    <w:rsid w:val="007B679E"/>
    <w:rsid w:val="007B6822"/>
    <w:rsid w:val="007B68CF"/>
    <w:rsid w:val="007B68DC"/>
    <w:rsid w:val="007B6955"/>
    <w:rsid w:val="007B6989"/>
    <w:rsid w:val="007B6A6C"/>
    <w:rsid w:val="007B6A98"/>
    <w:rsid w:val="007B6ABD"/>
    <w:rsid w:val="007B6D30"/>
    <w:rsid w:val="007B6DEB"/>
    <w:rsid w:val="007B70D8"/>
    <w:rsid w:val="007B71C8"/>
    <w:rsid w:val="007B7456"/>
    <w:rsid w:val="007B78D9"/>
    <w:rsid w:val="007B78E1"/>
    <w:rsid w:val="007B7ADA"/>
    <w:rsid w:val="007B7AF9"/>
    <w:rsid w:val="007B7B4A"/>
    <w:rsid w:val="007B7F30"/>
    <w:rsid w:val="007C01DD"/>
    <w:rsid w:val="007C03B9"/>
    <w:rsid w:val="007C03D4"/>
    <w:rsid w:val="007C041C"/>
    <w:rsid w:val="007C05CA"/>
    <w:rsid w:val="007C065E"/>
    <w:rsid w:val="007C0DA2"/>
    <w:rsid w:val="007C0E7A"/>
    <w:rsid w:val="007C103C"/>
    <w:rsid w:val="007C111E"/>
    <w:rsid w:val="007C138B"/>
    <w:rsid w:val="007C1458"/>
    <w:rsid w:val="007C1500"/>
    <w:rsid w:val="007C15B9"/>
    <w:rsid w:val="007C1686"/>
    <w:rsid w:val="007C19B8"/>
    <w:rsid w:val="007C1BB0"/>
    <w:rsid w:val="007C1D44"/>
    <w:rsid w:val="007C1D55"/>
    <w:rsid w:val="007C1FCB"/>
    <w:rsid w:val="007C2193"/>
    <w:rsid w:val="007C224B"/>
    <w:rsid w:val="007C2505"/>
    <w:rsid w:val="007C26EF"/>
    <w:rsid w:val="007C26FB"/>
    <w:rsid w:val="007C2708"/>
    <w:rsid w:val="007C2974"/>
    <w:rsid w:val="007C2EC6"/>
    <w:rsid w:val="007C3045"/>
    <w:rsid w:val="007C31A0"/>
    <w:rsid w:val="007C34DF"/>
    <w:rsid w:val="007C3675"/>
    <w:rsid w:val="007C3966"/>
    <w:rsid w:val="007C3970"/>
    <w:rsid w:val="007C3C9E"/>
    <w:rsid w:val="007C3D25"/>
    <w:rsid w:val="007C40DB"/>
    <w:rsid w:val="007C41B2"/>
    <w:rsid w:val="007C4240"/>
    <w:rsid w:val="007C4313"/>
    <w:rsid w:val="007C47B0"/>
    <w:rsid w:val="007C4948"/>
    <w:rsid w:val="007C49E6"/>
    <w:rsid w:val="007C4C38"/>
    <w:rsid w:val="007C4E05"/>
    <w:rsid w:val="007C5138"/>
    <w:rsid w:val="007C517C"/>
    <w:rsid w:val="007C51E3"/>
    <w:rsid w:val="007C5206"/>
    <w:rsid w:val="007C529C"/>
    <w:rsid w:val="007C5419"/>
    <w:rsid w:val="007C5485"/>
    <w:rsid w:val="007C5745"/>
    <w:rsid w:val="007C583D"/>
    <w:rsid w:val="007C58F5"/>
    <w:rsid w:val="007C5969"/>
    <w:rsid w:val="007C599B"/>
    <w:rsid w:val="007C5AA5"/>
    <w:rsid w:val="007C5C21"/>
    <w:rsid w:val="007C5E50"/>
    <w:rsid w:val="007C5EC8"/>
    <w:rsid w:val="007C60D9"/>
    <w:rsid w:val="007C6316"/>
    <w:rsid w:val="007C65E2"/>
    <w:rsid w:val="007C698A"/>
    <w:rsid w:val="007C6A85"/>
    <w:rsid w:val="007C6B6A"/>
    <w:rsid w:val="007C6BD4"/>
    <w:rsid w:val="007C6E39"/>
    <w:rsid w:val="007C6E6E"/>
    <w:rsid w:val="007C6E9E"/>
    <w:rsid w:val="007C6EB3"/>
    <w:rsid w:val="007C700C"/>
    <w:rsid w:val="007C71E9"/>
    <w:rsid w:val="007C7E46"/>
    <w:rsid w:val="007C7F9F"/>
    <w:rsid w:val="007D0617"/>
    <w:rsid w:val="007D06F2"/>
    <w:rsid w:val="007D081D"/>
    <w:rsid w:val="007D0B23"/>
    <w:rsid w:val="007D0B54"/>
    <w:rsid w:val="007D0FB1"/>
    <w:rsid w:val="007D118E"/>
    <w:rsid w:val="007D127A"/>
    <w:rsid w:val="007D16DE"/>
    <w:rsid w:val="007D18CC"/>
    <w:rsid w:val="007D1E02"/>
    <w:rsid w:val="007D1E14"/>
    <w:rsid w:val="007D1F60"/>
    <w:rsid w:val="007D1FA9"/>
    <w:rsid w:val="007D1FCA"/>
    <w:rsid w:val="007D21A1"/>
    <w:rsid w:val="007D21D6"/>
    <w:rsid w:val="007D2240"/>
    <w:rsid w:val="007D277C"/>
    <w:rsid w:val="007D29AC"/>
    <w:rsid w:val="007D2CF7"/>
    <w:rsid w:val="007D2EF1"/>
    <w:rsid w:val="007D30A0"/>
    <w:rsid w:val="007D30E5"/>
    <w:rsid w:val="007D3517"/>
    <w:rsid w:val="007D35D6"/>
    <w:rsid w:val="007D3697"/>
    <w:rsid w:val="007D3962"/>
    <w:rsid w:val="007D3A71"/>
    <w:rsid w:val="007D3BC2"/>
    <w:rsid w:val="007D3C33"/>
    <w:rsid w:val="007D3CD1"/>
    <w:rsid w:val="007D3F8E"/>
    <w:rsid w:val="007D3F92"/>
    <w:rsid w:val="007D41F5"/>
    <w:rsid w:val="007D480F"/>
    <w:rsid w:val="007D48B8"/>
    <w:rsid w:val="007D4A57"/>
    <w:rsid w:val="007D4B3A"/>
    <w:rsid w:val="007D4C64"/>
    <w:rsid w:val="007D5052"/>
    <w:rsid w:val="007D50AC"/>
    <w:rsid w:val="007D55B6"/>
    <w:rsid w:val="007D5A85"/>
    <w:rsid w:val="007D5F31"/>
    <w:rsid w:val="007D5F7E"/>
    <w:rsid w:val="007D5F87"/>
    <w:rsid w:val="007D5FAA"/>
    <w:rsid w:val="007D6058"/>
    <w:rsid w:val="007D60F9"/>
    <w:rsid w:val="007D6135"/>
    <w:rsid w:val="007D6279"/>
    <w:rsid w:val="007D6302"/>
    <w:rsid w:val="007D6342"/>
    <w:rsid w:val="007D68ED"/>
    <w:rsid w:val="007D6985"/>
    <w:rsid w:val="007D69A2"/>
    <w:rsid w:val="007D6B83"/>
    <w:rsid w:val="007D6F36"/>
    <w:rsid w:val="007D70DB"/>
    <w:rsid w:val="007D7657"/>
    <w:rsid w:val="007D7712"/>
    <w:rsid w:val="007D774C"/>
    <w:rsid w:val="007D78A5"/>
    <w:rsid w:val="007D7B08"/>
    <w:rsid w:val="007D7C96"/>
    <w:rsid w:val="007D7C98"/>
    <w:rsid w:val="007D7C9B"/>
    <w:rsid w:val="007E0119"/>
    <w:rsid w:val="007E01FC"/>
    <w:rsid w:val="007E0256"/>
    <w:rsid w:val="007E066D"/>
    <w:rsid w:val="007E099A"/>
    <w:rsid w:val="007E09C5"/>
    <w:rsid w:val="007E0CA6"/>
    <w:rsid w:val="007E0CAB"/>
    <w:rsid w:val="007E0CE3"/>
    <w:rsid w:val="007E0E55"/>
    <w:rsid w:val="007E1334"/>
    <w:rsid w:val="007E150B"/>
    <w:rsid w:val="007E177C"/>
    <w:rsid w:val="007E182D"/>
    <w:rsid w:val="007E1A4A"/>
    <w:rsid w:val="007E1A55"/>
    <w:rsid w:val="007E1A75"/>
    <w:rsid w:val="007E1AA1"/>
    <w:rsid w:val="007E1B10"/>
    <w:rsid w:val="007E1B70"/>
    <w:rsid w:val="007E1E2F"/>
    <w:rsid w:val="007E1F68"/>
    <w:rsid w:val="007E2082"/>
    <w:rsid w:val="007E21C0"/>
    <w:rsid w:val="007E2217"/>
    <w:rsid w:val="007E228C"/>
    <w:rsid w:val="007E23F5"/>
    <w:rsid w:val="007E2514"/>
    <w:rsid w:val="007E2540"/>
    <w:rsid w:val="007E25EA"/>
    <w:rsid w:val="007E26A8"/>
    <w:rsid w:val="007E292E"/>
    <w:rsid w:val="007E2957"/>
    <w:rsid w:val="007E29BB"/>
    <w:rsid w:val="007E2AEF"/>
    <w:rsid w:val="007E2B19"/>
    <w:rsid w:val="007E2B38"/>
    <w:rsid w:val="007E2CF9"/>
    <w:rsid w:val="007E2DC5"/>
    <w:rsid w:val="007E2E34"/>
    <w:rsid w:val="007E2F00"/>
    <w:rsid w:val="007E2FC2"/>
    <w:rsid w:val="007E31D8"/>
    <w:rsid w:val="007E36DA"/>
    <w:rsid w:val="007E3886"/>
    <w:rsid w:val="007E38CB"/>
    <w:rsid w:val="007E3937"/>
    <w:rsid w:val="007E3963"/>
    <w:rsid w:val="007E396D"/>
    <w:rsid w:val="007E39DE"/>
    <w:rsid w:val="007E3BDD"/>
    <w:rsid w:val="007E3C59"/>
    <w:rsid w:val="007E4084"/>
    <w:rsid w:val="007E4165"/>
    <w:rsid w:val="007E44FE"/>
    <w:rsid w:val="007E4636"/>
    <w:rsid w:val="007E4764"/>
    <w:rsid w:val="007E493D"/>
    <w:rsid w:val="007E4B00"/>
    <w:rsid w:val="007E4B0B"/>
    <w:rsid w:val="007E4D28"/>
    <w:rsid w:val="007E4E55"/>
    <w:rsid w:val="007E5147"/>
    <w:rsid w:val="007E516E"/>
    <w:rsid w:val="007E5310"/>
    <w:rsid w:val="007E554C"/>
    <w:rsid w:val="007E55B4"/>
    <w:rsid w:val="007E58DC"/>
    <w:rsid w:val="007E5A6B"/>
    <w:rsid w:val="007E5AC4"/>
    <w:rsid w:val="007E5FA6"/>
    <w:rsid w:val="007E618D"/>
    <w:rsid w:val="007E63CE"/>
    <w:rsid w:val="007E6761"/>
    <w:rsid w:val="007E69C2"/>
    <w:rsid w:val="007E6ACB"/>
    <w:rsid w:val="007E6D32"/>
    <w:rsid w:val="007E6DC1"/>
    <w:rsid w:val="007E6EBF"/>
    <w:rsid w:val="007E6FA4"/>
    <w:rsid w:val="007E6FFC"/>
    <w:rsid w:val="007E702F"/>
    <w:rsid w:val="007E70F3"/>
    <w:rsid w:val="007E74D3"/>
    <w:rsid w:val="007E7950"/>
    <w:rsid w:val="007E796C"/>
    <w:rsid w:val="007E7AB7"/>
    <w:rsid w:val="007E7BDC"/>
    <w:rsid w:val="007E7F66"/>
    <w:rsid w:val="007F00F8"/>
    <w:rsid w:val="007F01E5"/>
    <w:rsid w:val="007F0281"/>
    <w:rsid w:val="007F0303"/>
    <w:rsid w:val="007F0639"/>
    <w:rsid w:val="007F069F"/>
    <w:rsid w:val="007F073B"/>
    <w:rsid w:val="007F07EB"/>
    <w:rsid w:val="007F0990"/>
    <w:rsid w:val="007F0A02"/>
    <w:rsid w:val="007F0CFD"/>
    <w:rsid w:val="007F0DED"/>
    <w:rsid w:val="007F1257"/>
    <w:rsid w:val="007F1512"/>
    <w:rsid w:val="007F1562"/>
    <w:rsid w:val="007F1639"/>
    <w:rsid w:val="007F1683"/>
    <w:rsid w:val="007F1A86"/>
    <w:rsid w:val="007F1D26"/>
    <w:rsid w:val="007F1D2C"/>
    <w:rsid w:val="007F1E34"/>
    <w:rsid w:val="007F23C0"/>
    <w:rsid w:val="007F24A7"/>
    <w:rsid w:val="007F25DD"/>
    <w:rsid w:val="007F2753"/>
    <w:rsid w:val="007F27D2"/>
    <w:rsid w:val="007F2993"/>
    <w:rsid w:val="007F2AB6"/>
    <w:rsid w:val="007F2B8F"/>
    <w:rsid w:val="007F2D3A"/>
    <w:rsid w:val="007F2EC6"/>
    <w:rsid w:val="007F2F75"/>
    <w:rsid w:val="007F2FA2"/>
    <w:rsid w:val="007F3041"/>
    <w:rsid w:val="007F3532"/>
    <w:rsid w:val="007F35BE"/>
    <w:rsid w:val="007F36CD"/>
    <w:rsid w:val="007F3983"/>
    <w:rsid w:val="007F3BDA"/>
    <w:rsid w:val="007F3CDB"/>
    <w:rsid w:val="007F4025"/>
    <w:rsid w:val="007F40F6"/>
    <w:rsid w:val="007F4151"/>
    <w:rsid w:val="007F4194"/>
    <w:rsid w:val="007F42FF"/>
    <w:rsid w:val="007F4523"/>
    <w:rsid w:val="007F453E"/>
    <w:rsid w:val="007F4957"/>
    <w:rsid w:val="007F49E2"/>
    <w:rsid w:val="007F4D25"/>
    <w:rsid w:val="007F4F3A"/>
    <w:rsid w:val="007F5007"/>
    <w:rsid w:val="007F502E"/>
    <w:rsid w:val="007F56BF"/>
    <w:rsid w:val="007F5DCB"/>
    <w:rsid w:val="007F60B5"/>
    <w:rsid w:val="007F6301"/>
    <w:rsid w:val="007F67A7"/>
    <w:rsid w:val="007F68D0"/>
    <w:rsid w:val="007F6E11"/>
    <w:rsid w:val="007F7074"/>
    <w:rsid w:val="007F715A"/>
    <w:rsid w:val="007F716D"/>
    <w:rsid w:val="007F719E"/>
    <w:rsid w:val="007F7345"/>
    <w:rsid w:val="007F75B2"/>
    <w:rsid w:val="007F7739"/>
    <w:rsid w:val="007F7D42"/>
    <w:rsid w:val="007F7F83"/>
    <w:rsid w:val="00800135"/>
    <w:rsid w:val="0080034F"/>
    <w:rsid w:val="00800431"/>
    <w:rsid w:val="00800729"/>
    <w:rsid w:val="008009CB"/>
    <w:rsid w:val="00800DA1"/>
    <w:rsid w:val="00800F9D"/>
    <w:rsid w:val="008010BF"/>
    <w:rsid w:val="008011A3"/>
    <w:rsid w:val="008012F4"/>
    <w:rsid w:val="00801319"/>
    <w:rsid w:val="0080138E"/>
    <w:rsid w:val="00801601"/>
    <w:rsid w:val="00801ACF"/>
    <w:rsid w:val="00801D16"/>
    <w:rsid w:val="00801DC4"/>
    <w:rsid w:val="00801E27"/>
    <w:rsid w:val="00801EB8"/>
    <w:rsid w:val="00801F19"/>
    <w:rsid w:val="00801F1B"/>
    <w:rsid w:val="00801F53"/>
    <w:rsid w:val="00802024"/>
    <w:rsid w:val="00802165"/>
    <w:rsid w:val="0080218A"/>
    <w:rsid w:val="0080240C"/>
    <w:rsid w:val="008024E2"/>
    <w:rsid w:val="00802522"/>
    <w:rsid w:val="0080291B"/>
    <w:rsid w:val="00802ACA"/>
    <w:rsid w:val="00802C88"/>
    <w:rsid w:val="00803121"/>
    <w:rsid w:val="008034C1"/>
    <w:rsid w:val="008037E9"/>
    <w:rsid w:val="00803969"/>
    <w:rsid w:val="00803CA6"/>
    <w:rsid w:val="00803CFA"/>
    <w:rsid w:val="00803DAE"/>
    <w:rsid w:val="00803F57"/>
    <w:rsid w:val="00803F9D"/>
    <w:rsid w:val="008040FD"/>
    <w:rsid w:val="0080431B"/>
    <w:rsid w:val="0080438A"/>
    <w:rsid w:val="008043C0"/>
    <w:rsid w:val="00804718"/>
    <w:rsid w:val="00804820"/>
    <w:rsid w:val="008048C6"/>
    <w:rsid w:val="00804B72"/>
    <w:rsid w:val="00804B86"/>
    <w:rsid w:val="00804CAC"/>
    <w:rsid w:val="00804D3D"/>
    <w:rsid w:val="00804DFB"/>
    <w:rsid w:val="00804FC1"/>
    <w:rsid w:val="00805107"/>
    <w:rsid w:val="00805230"/>
    <w:rsid w:val="008056FE"/>
    <w:rsid w:val="00805AAB"/>
    <w:rsid w:val="00805AC4"/>
    <w:rsid w:val="00805C12"/>
    <w:rsid w:val="00805C42"/>
    <w:rsid w:val="00806030"/>
    <w:rsid w:val="0080616C"/>
    <w:rsid w:val="008064C4"/>
    <w:rsid w:val="008064E1"/>
    <w:rsid w:val="00806555"/>
    <w:rsid w:val="008065A0"/>
    <w:rsid w:val="0080679A"/>
    <w:rsid w:val="0080689C"/>
    <w:rsid w:val="00806B8A"/>
    <w:rsid w:val="00806D88"/>
    <w:rsid w:val="008072CE"/>
    <w:rsid w:val="0080747C"/>
    <w:rsid w:val="00807B0A"/>
    <w:rsid w:val="00807B0F"/>
    <w:rsid w:val="008102CA"/>
    <w:rsid w:val="008102E1"/>
    <w:rsid w:val="008102E8"/>
    <w:rsid w:val="0081052B"/>
    <w:rsid w:val="008109B1"/>
    <w:rsid w:val="00810ADD"/>
    <w:rsid w:val="00810B07"/>
    <w:rsid w:val="00810C2C"/>
    <w:rsid w:val="00810DF0"/>
    <w:rsid w:val="00810F3D"/>
    <w:rsid w:val="0081100C"/>
    <w:rsid w:val="0081106D"/>
    <w:rsid w:val="008110DF"/>
    <w:rsid w:val="008110FE"/>
    <w:rsid w:val="008113CB"/>
    <w:rsid w:val="008116DC"/>
    <w:rsid w:val="0081182E"/>
    <w:rsid w:val="00811AC9"/>
    <w:rsid w:val="00811B6B"/>
    <w:rsid w:val="00811B98"/>
    <w:rsid w:val="00811BE1"/>
    <w:rsid w:val="00811DEC"/>
    <w:rsid w:val="008120DB"/>
    <w:rsid w:val="0081218F"/>
    <w:rsid w:val="0081236F"/>
    <w:rsid w:val="0081299E"/>
    <w:rsid w:val="00812C13"/>
    <w:rsid w:val="00812E77"/>
    <w:rsid w:val="00812F41"/>
    <w:rsid w:val="008130D2"/>
    <w:rsid w:val="008130DA"/>
    <w:rsid w:val="00813219"/>
    <w:rsid w:val="00813292"/>
    <w:rsid w:val="0081335C"/>
    <w:rsid w:val="008134EF"/>
    <w:rsid w:val="00813767"/>
    <w:rsid w:val="00813CF5"/>
    <w:rsid w:val="00814082"/>
    <w:rsid w:val="008143D3"/>
    <w:rsid w:val="00814631"/>
    <w:rsid w:val="00814686"/>
    <w:rsid w:val="008148E9"/>
    <w:rsid w:val="00814C03"/>
    <w:rsid w:val="00814D7F"/>
    <w:rsid w:val="00814D82"/>
    <w:rsid w:val="00814FFA"/>
    <w:rsid w:val="0081510E"/>
    <w:rsid w:val="00815239"/>
    <w:rsid w:val="008153BF"/>
    <w:rsid w:val="00815442"/>
    <w:rsid w:val="00815520"/>
    <w:rsid w:val="0081578D"/>
    <w:rsid w:val="0081589A"/>
    <w:rsid w:val="00815939"/>
    <w:rsid w:val="00815C5B"/>
    <w:rsid w:val="00816189"/>
    <w:rsid w:val="0081620C"/>
    <w:rsid w:val="008162C2"/>
    <w:rsid w:val="008165D6"/>
    <w:rsid w:val="00816A05"/>
    <w:rsid w:val="00816A06"/>
    <w:rsid w:val="00816D23"/>
    <w:rsid w:val="00817005"/>
    <w:rsid w:val="00817435"/>
    <w:rsid w:val="008177CA"/>
    <w:rsid w:val="00817864"/>
    <w:rsid w:val="00817C33"/>
    <w:rsid w:val="00817D74"/>
    <w:rsid w:val="00817D76"/>
    <w:rsid w:val="00820137"/>
    <w:rsid w:val="00820191"/>
    <w:rsid w:val="008201B3"/>
    <w:rsid w:val="00820211"/>
    <w:rsid w:val="008202EA"/>
    <w:rsid w:val="0082044F"/>
    <w:rsid w:val="0082049F"/>
    <w:rsid w:val="00820795"/>
    <w:rsid w:val="00820923"/>
    <w:rsid w:val="00820B10"/>
    <w:rsid w:val="00820BDA"/>
    <w:rsid w:val="00820F8F"/>
    <w:rsid w:val="0082103D"/>
    <w:rsid w:val="00821205"/>
    <w:rsid w:val="008213F1"/>
    <w:rsid w:val="00821402"/>
    <w:rsid w:val="008216F1"/>
    <w:rsid w:val="0082176D"/>
    <w:rsid w:val="008217DC"/>
    <w:rsid w:val="00821811"/>
    <w:rsid w:val="00821965"/>
    <w:rsid w:val="00821BC4"/>
    <w:rsid w:val="00821DA4"/>
    <w:rsid w:val="008220FF"/>
    <w:rsid w:val="008221B8"/>
    <w:rsid w:val="008221E4"/>
    <w:rsid w:val="008224D9"/>
    <w:rsid w:val="00822648"/>
    <w:rsid w:val="00822B62"/>
    <w:rsid w:val="00822F13"/>
    <w:rsid w:val="00823109"/>
    <w:rsid w:val="008231FD"/>
    <w:rsid w:val="008233FD"/>
    <w:rsid w:val="00823861"/>
    <w:rsid w:val="00823887"/>
    <w:rsid w:val="00823928"/>
    <w:rsid w:val="00823AC5"/>
    <w:rsid w:val="008244C0"/>
    <w:rsid w:val="008246AA"/>
    <w:rsid w:val="008246BF"/>
    <w:rsid w:val="0082496A"/>
    <w:rsid w:val="00824B91"/>
    <w:rsid w:val="00824BB8"/>
    <w:rsid w:val="00824C40"/>
    <w:rsid w:val="00824C8C"/>
    <w:rsid w:val="00824E3F"/>
    <w:rsid w:val="00824F24"/>
    <w:rsid w:val="008250E6"/>
    <w:rsid w:val="00825125"/>
    <w:rsid w:val="008251CA"/>
    <w:rsid w:val="00825294"/>
    <w:rsid w:val="008252E4"/>
    <w:rsid w:val="008252EC"/>
    <w:rsid w:val="008253B4"/>
    <w:rsid w:val="008254E5"/>
    <w:rsid w:val="0082550B"/>
    <w:rsid w:val="008255C6"/>
    <w:rsid w:val="00825623"/>
    <w:rsid w:val="00825896"/>
    <w:rsid w:val="00825BB2"/>
    <w:rsid w:val="00825E02"/>
    <w:rsid w:val="0082606E"/>
    <w:rsid w:val="008260CE"/>
    <w:rsid w:val="008262EF"/>
    <w:rsid w:val="00826462"/>
    <w:rsid w:val="00826779"/>
    <w:rsid w:val="008267A2"/>
    <w:rsid w:val="00826839"/>
    <w:rsid w:val="008269FA"/>
    <w:rsid w:val="00826A7E"/>
    <w:rsid w:val="00826AE1"/>
    <w:rsid w:val="00826B87"/>
    <w:rsid w:val="00826BBB"/>
    <w:rsid w:val="00826BEC"/>
    <w:rsid w:val="00826CDC"/>
    <w:rsid w:val="00826E3E"/>
    <w:rsid w:val="00826F58"/>
    <w:rsid w:val="008271DF"/>
    <w:rsid w:val="00827282"/>
    <w:rsid w:val="008275B2"/>
    <w:rsid w:val="008275C3"/>
    <w:rsid w:val="008278E0"/>
    <w:rsid w:val="0082793F"/>
    <w:rsid w:val="00827AA5"/>
    <w:rsid w:val="00827C2E"/>
    <w:rsid w:val="00827DD9"/>
    <w:rsid w:val="00830030"/>
    <w:rsid w:val="008301B0"/>
    <w:rsid w:val="00830605"/>
    <w:rsid w:val="00830946"/>
    <w:rsid w:val="008309DB"/>
    <w:rsid w:val="00830ED5"/>
    <w:rsid w:val="0083108B"/>
    <w:rsid w:val="00831098"/>
    <w:rsid w:val="00831209"/>
    <w:rsid w:val="008313CD"/>
    <w:rsid w:val="008314BD"/>
    <w:rsid w:val="00831574"/>
    <w:rsid w:val="00831745"/>
    <w:rsid w:val="008318AF"/>
    <w:rsid w:val="008319C2"/>
    <w:rsid w:val="00831A4A"/>
    <w:rsid w:val="00831DCA"/>
    <w:rsid w:val="00831E95"/>
    <w:rsid w:val="0083215D"/>
    <w:rsid w:val="008321ED"/>
    <w:rsid w:val="0083251B"/>
    <w:rsid w:val="00832789"/>
    <w:rsid w:val="008327A9"/>
    <w:rsid w:val="00832BAE"/>
    <w:rsid w:val="00832E65"/>
    <w:rsid w:val="00832EEF"/>
    <w:rsid w:val="00832F03"/>
    <w:rsid w:val="00833160"/>
    <w:rsid w:val="008331A9"/>
    <w:rsid w:val="008332E0"/>
    <w:rsid w:val="008335DB"/>
    <w:rsid w:val="00833623"/>
    <w:rsid w:val="00833B82"/>
    <w:rsid w:val="00833B86"/>
    <w:rsid w:val="00833EAA"/>
    <w:rsid w:val="00834084"/>
    <w:rsid w:val="008342D4"/>
    <w:rsid w:val="00834392"/>
    <w:rsid w:val="00834632"/>
    <w:rsid w:val="00834BFE"/>
    <w:rsid w:val="00834D96"/>
    <w:rsid w:val="00835341"/>
    <w:rsid w:val="008354F6"/>
    <w:rsid w:val="0083556A"/>
    <w:rsid w:val="008356FC"/>
    <w:rsid w:val="00835A23"/>
    <w:rsid w:val="00835BFA"/>
    <w:rsid w:val="00836105"/>
    <w:rsid w:val="00836436"/>
    <w:rsid w:val="008365DB"/>
    <w:rsid w:val="008366E3"/>
    <w:rsid w:val="00836743"/>
    <w:rsid w:val="00836B02"/>
    <w:rsid w:val="00836BEA"/>
    <w:rsid w:val="00836DD0"/>
    <w:rsid w:val="00836E85"/>
    <w:rsid w:val="00837171"/>
    <w:rsid w:val="008371D0"/>
    <w:rsid w:val="00837747"/>
    <w:rsid w:val="008378A2"/>
    <w:rsid w:val="00837BE9"/>
    <w:rsid w:val="00837F6E"/>
    <w:rsid w:val="008400F7"/>
    <w:rsid w:val="00840390"/>
    <w:rsid w:val="008404C8"/>
    <w:rsid w:val="008404EA"/>
    <w:rsid w:val="00840543"/>
    <w:rsid w:val="00840574"/>
    <w:rsid w:val="00840D7E"/>
    <w:rsid w:val="00840E6B"/>
    <w:rsid w:val="0084108D"/>
    <w:rsid w:val="00841299"/>
    <w:rsid w:val="008413CF"/>
    <w:rsid w:val="008417DB"/>
    <w:rsid w:val="00841896"/>
    <w:rsid w:val="008418F0"/>
    <w:rsid w:val="00841A68"/>
    <w:rsid w:val="00841C2A"/>
    <w:rsid w:val="0084206D"/>
    <w:rsid w:val="00842B5A"/>
    <w:rsid w:val="00842FB6"/>
    <w:rsid w:val="00843063"/>
    <w:rsid w:val="00843236"/>
    <w:rsid w:val="00843263"/>
    <w:rsid w:val="008432CF"/>
    <w:rsid w:val="008433F1"/>
    <w:rsid w:val="0084378B"/>
    <w:rsid w:val="00843902"/>
    <w:rsid w:val="008439E2"/>
    <w:rsid w:val="008439F4"/>
    <w:rsid w:val="00843A0B"/>
    <w:rsid w:val="00843CD7"/>
    <w:rsid w:val="00843DC4"/>
    <w:rsid w:val="0084409C"/>
    <w:rsid w:val="008442E8"/>
    <w:rsid w:val="00844570"/>
    <w:rsid w:val="00844A8C"/>
    <w:rsid w:val="00844DCB"/>
    <w:rsid w:val="00844E65"/>
    <w:rsid w:val="00844F33"/>
    <w:rsid w:val="00844F53"/>
    <w:rsid w:val="00845335"/>
    <w:rsid w:val="00845F7E"/>
    <w:rsid w:val="00845F94"/>
    <w:rsid w:val="00846133"/>
    <w:rsid w:val="008462B9"/>
    <w:rsid w:val="0084639D"/>
    <w:rsid w:val="0084689A"/>
    <w:rsid w:val="00846907"/>
    <w:rsid w:val="0084693E"/>
    <w:rsid w:val="00846BE7"/>
    <w:rsid w:val="00846C39"/>
    <w:rsid w:val="00846CC9"/>
    <w:rsid w:val="00846CF4"/>
    <w:rsid w:val="00846E4B"/>
    <w:rsid w:val="00846E50"/>
    <w:rsid w:val="00847102"/>
    <w:rsid w:val="008473AC"/>
    <w:rsid w:val="00847433"/>
    <w:rsid w:val="00847481"/>
    <w:rsid w:val="008478C6"/>
    <w:rsid w:val="00847AEC"/>
    <w:rsid w:val="008503D0"/>
    <w:rsid w:val="00850461"/>
    <w:rsid w:val="00850CEE"/>
    <w:rsid w:val="00850E59"/>
    <w:rsid w:val="00850F65"/>
    <w:rsid w:val="00850F82"/>
    <w:rsid w:val="00851242"/>
    <w:rsid w:val="00851291"/>
    <w:rsid w:val="0085148B"/>
    <w:rsid w:val="008514C2"/>
    <w:rsid w:val="00851A6C"/>
    <w:rsid w:val="00851B0A"/>
    <w:rsid w:val="00851BBC"/>
    <w:rsid w:val="00851FD3"/>
    <w:rsid w:val="008521B0"/>
    <w:rsid w:val="00852302"/>
    <w:rsid w:val="00852305"/>
    <w:rsid w:val="008524F3"/>
    <w:rsid w:val="008525AC"/>
    <w:rsid w:val="008526C4"/>
    <w:rsid w:val="00852841"/>
    <w:rsid w:val="0085291E"/>
    <w:rsid w:val="00852B0D"/>
    <w:rsid w:val="00852D59"/>
    <w:rsid w:val="00852EE8"/>
    <w:rsid w:val="00852FA0"/>
    <w:rsid w:val="00853006"/>
    <w:rsid w:val="00853081"/>
    <w:rsid w:val="00853278"/>
    <w:rsid w:val="008533F1"/>
    <w:rsid w:val="008534AF"/>
    <w:rsid w:val="0085357E"/>
    <w:rsid w:val="0085379D"/>
    <w:rsid w:val="008538DC"/>
    <w:rsid w:val="00853911"/>
    <w:rsid w:val="00853A6C"/>
    <w:rsid w:val="00853BA6"/>
    <w:rsid w:val="00853E0F"/>
    <w:rsid w:val="00853EFB"/>
    <w:rsid w:val="008540F2"/>
    <w:rsid w:val="00854178"/>
    <w:rsid w:val="00854180"/>
    <w:rsid w:val="0085433C"/>
    <w:rsid w:val="00854346"/>
    <w:rsid w:val="0085484D"/>
    <w:rsid w:val="00854D8A"/>
    <w:rsid w:val="0085512C"/>
    <w:rsid w:val="008554D3"/>
    <w:rsid w:val="00855537"/>
    <w:rsid w:val="0085565B"/>
    <w:rsid w:val="008556DC"/>
    <w:rsid w:val="008557B9"/>
    <w:rsid w:val="0085583C"/>
    <w:rsid w:val="00855AF1"/>
    <w:rsid w:val="00855B2D"/>
    <w:rsid w:val="00855D5E"/>
    <w:rsid w:val="00855D62"/>
    <w:rsid w:val="00855EB3"/>
    <w:rsid w:val="00856201"/>
    <w:rsid w:val="0085659D"/>
    <w:rsid w:val="00856838"/>
    <w:rsid w:val="0085686F"/>
    <w:rsid w:val="0085691E"/>
    <w:rsid w:val="008569FE"/>
    <w:rsid w:val="00856EF2"/>
    <w:rsid w:val="00856FD0"/>
    <w:rsid w:val="00857087"/>
    <w:rsid w:val="008573BD"/>
    <w:rsid w:val="00857547"/>
    <w:rsid w:val="0085773B"/>
    <w:rsid w:val="0085775C"/>
    <w:rsid w:val="008577C7"/>
    <w:rsid w:val="00857897"/>
    <w:rsid w:val="00857A9F"/>
    <w:rsid w:val="00857C2B"/>
    <w:rsid w:val="00857E8A"/>
    <w:rsid w:val="00857EC7"/>
    <w:rsid w:val="00857F3B"/>
    <w:rsid w:val="00857F44"/>
    <w:rsid w:val="008600AB"/>
    <w:rsid w:val="0086011B"/>
    <w:rsid w:val="008601B6"/>
    <w:rsid w:val="008602B8"/>
    <w:rsid w:val="00860474"/>
    <w:rsid w:val="00860586"/>
    <w:rsid w:val="008605DD"/>
    <w:rsid w:val="0086071C"/>
    <w:rsid w:val="008607B0"/>
    <w:rsid w:val="00860870"/>
    <w:rsid w:val="008608A1"/>
    <w:rsid w:val="008609D1"/>
    <w:rsid w:val="00860AFE"/>
    <w:rsid w:val="00860EDD"/>
    <w:rsid w:val="0086109A"/>
    <w:rsid w:val="0086111D"/>
    <w:rsid w:val="00861294"/>
    <w:rsid w:val="00861760"/>
    <w:rsid w:val="0086183E"/>
    <w:rsid w:val="00861898"/>
    <w:rsid w:val="008618B4"/>
    <w:rsid w:val="008619D5"/>
    <w:rsid w:val="00861A2B"/>
    <w:rsid w:val="00861AE3"/>
    <w:rsid w:val="00861C77"/>
    <w:rsid w:val="00861F7F"/>
    <w:rsid w:val="008626E6"/>
    <w:rsid w:val="008627FB"/>
    <w:rsid w:val="00862813"/>
    <w:rsid w:val="008629A9"/>
    <w:rsid w:val="00862F2D"/>
    <w:rsid w:val="00862F71"/>
    <w:rsid w:val="008630B5"/>
    <w:rsid w:val="008630FD"/>
    <w:rsid w:val="00863178"/>
    <w:rsid w:val="0086322A"/>
    <w:rsid w:val="00863342"/>
    <w:rsid w:val="00863637"/>
    <w:rsid w:val="00863847"/>
    <w:rsid w:val="008639E5"/>
    <w:rsid w:val="00863DA0"/>
    <w:rsid w:val="00863FC5"/>
    <w:rsid w:val="008641E9"/>
    <w:rsid w:val="00864214"/>
    <w:rsid w:val="00864241"/>
    <w:rsid w:val="008642C7"/>
    <w:rsid w:val="00864795"/>
    <w:rsid w:val="0086487F"/>
    <w:rsid w:val="00864A06"/>
    <w:rsid w:val="00864A96"/>
    <w:rsid w:val="00864CB0"/>
    <w:rsid w:val="00864F0A"/>
    <w:rsid w:val="00864FCC"/>
    <w:rsid w:val="00864FFC"/>
    <w:rsid w:val="00865043"/>
    <w:rsid w:val="00865218"/>
    <w:rsid w:val="008654DB"/>
    <w:rsid w:val="0086563A"/>
    <w:rsid w:val="00865B7B"/>
    <w:rsid w:val="00865DAE"/>
    <w:rsid w:val="00865DB1"/>
    <w:rsid w:val="00865E05"/>
    <w:rsid w:val="00866102"/>
    <w:rsid w:val="008661D2"/>
    <w:rsid w:val="00866297"/>
    <w:rsid w:val="008662F0"/>
    <w:rsid w:val="00866310"/>
    <w:rsid w:val="0086631F"/>
    <w:rsid w:val="008664DB"/>
    <w:rsid w:val="00866631"/>
    <w:rsid w:val="00866ACD"/>
    <w:rsid w:val="00866ADB"/>
    <w:rsid w:val="00866ADC"/>
    <w:rsid w:val="00866CD8"/>
    <w:rsid w:val="00866D3C"/>
    <w:rsid w:val="00866EAA"/>
    <w:rsid w:val="00866EBF"/>
    <w:rsid w:val="00867B29"/>
    <w:rsid w:val="00867DBF"/>
    <w:rsid w:val="00870024"/>
    <w:rsid w:val="00870117"/>
    <w:rsid w:val="00870381"/>
    <w:rsid w:val="00870418"/>
    <w:rsid w:val="008704EE"/>
    <w:rsid w:val="008709B6"/>
    <w:rsid w:val="00870BF5"/>
    <w:rsid w:val="00870EE3"/>
    <w:rsid w:val="008715AA"/>
    <w:rsid w:val="008718F3"/>
    <w:rsid w:val="008718F9"/>
    <w:rsid w:val="008719D6"/>
    <w:rsid w:val="00871A3E"/>
    <w:rsid w:val="00871AC9"/>
    <w:rsid w:val="00871B43"/>
    <w:rsid w:val="00871BA2"/>
    <w:rsid w:val="00871C61"/>
    <w:rsid w:val="00871D59"/>
    <w:rsid w:val="00871E32"/>
    <w:rsid w:val="008721A2"/>
    <w:rsid w:val="008721A8"/>
    <w:rsid w:val="008723AB"/>
    <w:rsid w:val="00872804"/>
    <w:rsid w:val="0087286F"/>
    <w:rsid w:val="008729D1"/>
    <w:rsid w:val="00872AD5"/>
    <w:rsid w:val="00872C62"/>
    <w:rsid w:val="00872D7A"/>
    <w:rsid w:val="00872DB5"/>
    <w:rsid w:val="00872E03"/>
    <w:rsid w:val="00872FB2"/>
    <w:rsid w:val="00872FCD"/>
    <w:rsid w:val="00873312"/>
    <w:rsid w:val="00873BBD"/>
    <w:rsid w:val="00873DC0"/>
    <w:rsid w:val="0087423A"/>
    <w:rsid w:val="00874287"/>
    <w:rsid w:val="008745A5"/>
    <w:rsid w:val="0087475C"/>
    <w:rsid w:val="00874891"/>
    <w:rsid w:val="008749C0"/>
    <w:rsid w:val="00874C4A"/>
    <w:rsid w:val="00874D32"/>
    <w:rsid w:val="00874E33"/>
    <w:rsid w:val="00874E3B"/>
    <w:rsid w:val="0087505F"/>
    <w:rsid w:val="00875434"/>
    <w:rsid w:val="00875471"/>
    <w:rsid w:val="008754C1"/>
    <w:rsid w:val="008756CC"/>
    <w:rsid w:val="00875B3E"/>
    <w:rsid w:val="00875F93"/>
    <w:rsid w:val="0087619F"/>
    <w:rsid w:val="00876299"/>
    <w:rsid w:val="0087632F"/>
    <w:rsid w:val="00876387"/>
    <w:rsid w:val="0087644E"/>
    <w:rsid w:val="00877010"/>
    <w:rsid w:val="00877067"/>
    <w:rsid w:val="00877138"/>
    <w:rsid w:val="0087738A"/>
    <w:rsid w:val="00877438"/>
    <w:rsid w:val="00877513"/>
    <w:rsid w:val="008776D8"/>
    <w:rsid w:val="00877703"/>
    <w:rsid w:val="00877742"/>
    <w:rsid w:val="00877857"/>
    <w:rsid w:val="008778B1"/>
    <w:rsid w:val="00877AB6"/>
    <w:rsid w:val="00877B64"/>
    <w:rsid w:val="00877D23"/>
    <w:rsid w:val="00877EA6"/>
    <w:rsid w:val="008801DC"/>
    <w:rsid w:val="008802E3"/>
    <w:rsid w:val="008802F0"/>
    <w:rsid w:val="00880327"/>
    <w:rsid w:val="00880362"/>
    <w:rsid w:val="00880576"/>
    <w:rsid w:val="00880857"/>
    <w:rsid w:val="008808E6"/>
    <w:rsid w:val="00880A9D"/>
    <w:rsid w:val="00880EC0"/>
    <w:rsid w:val="00881049"/>
    <w:rsid w:val="00881278"/>
    <w:rsid w:val="00881459"/>
    <w:rsid w:val="008814A3"/>
    <w:rsid w:val="008814A7"/>
    <w:rsid w:val="0088164A"/>
    <w:rsid w:val="008816DA"/>
    <w:rsid w:val="008817A2"/>
    <w:rsid w:val="00881904"/>
    <w:rsid w:val="00881D0D"/>
    <w:rsid w:val="00881F93"/>
    <w:rsid w:val="008822FF"/>
    <w:rsid w:val="00882494"/>
    <w:rsid w:val="008825EC"/>
    <w:rsid w:val="008826DA"/>
    <w:rsid w:val="008827E0"/>
    <w:rsid w:val="0088280B"/>
    <w:rsid w:val="0088299D"/>
    <w:rsid w:val="00882B03"/>
    <w:rsid w:val="00882BF5"/>
    <w:rsid w:val="00882DF0"/>
    <w:rsid w:val="00882F04"/>
    <w:rsid w:val="00882FA5"/>
    <w:rsid w:val="008831B6"/>
    <w:rsid w:val="00883224"/>
    <w:rsid w:val="00883230"/>
    <w:rsid w:val="00883344"/>
    <w:rsid w:val="00883496"/>
    <w:rsid w:val="008835AD"/>
    <w:rsid w:val="0088364E"/>
    <w:rsid w:val="008836E7"/>
    <w:rsid w:val="00883B3B"/>
    <w:rsid w:val="00883E1B"/>
    <w:rsid w:val="00883E4C"/>
    <w:rsid w:val="00883FC9"/>
    <w:rsid w:val="00883FEC"/>
    <w:rsid w:val="0088472E"/>
    <w:rsid w:val="00884757"/>
    <w:rsid w:val="008848E6"/>
    <w:rsid w:val="00884943"/>
    <w:rsid w:val="00884AF5"/>
    <w:rsid w:val="00884C08"/>
    <w:rsid w:val="00884C27"/>
    <w:rsid w:val="00884D57"/>
    <w:rsid w:val="00884DCC"/>
    <w:rsid w:val="00884EE2"/>
    <w:rsid w:val="0088508A"/>
    <w:rsid w:val="008851A5"/>
    <w:rsid w:val="00885324"/>
    <w:rsid w:val="008853C7"/>
    <w:rsid w:val="008857A3"/>
    <w:rsid w:val="00885A40"/>
    <w:rsid w:val="00885B0B"/>
    <w:rsid w:val="00885C7B"/>
    <w:rsid w:val="00885D74"/>
    <w:rsid w:val="00885F8C"/>
    <w:rsid w:val="00886286"/>
    <w:rsid w:val="008866B8"/>
    <w:rsid w:val="00886718"/>
    <w:rsid w:val="0088680A"/>
    <w:rsid w:val="00886930"/>
    <w:rsid w:val="00886BB4"/>
    <w:rsid w:val="008872E6"/>
    <w:rsid w:val="00887357"/>
    <w:rsid w:val="00887364"/>
    <w:rsid w:val="00887395"/>
    <w:rsid w:val="008876A3"/>
    <w:rsid w:val="00887708"/>
    <w:rsid w:val="00887732"/>
    <w:rsid w:val="00887A1A"/>
    <w:rsid w:val="00887A2A"/>
    <w:rsid w:val="00887B0C"/>
    <w:rsid w:val="00887C98"/>
    <w:rsid w:val="00887E52"/>
    <w:rsid w:val="00890016"/>
    <w:rsid w:val="008900F7"/>
    <w:rsid w:val="00890251"/>
    <w:rsid w:val="00890521"/>
    <w:rsid w:val="00890709"/>
    <w:rsid w:val="00890835"/>
    <w:rsid w:val="008909F5"/>
    <w:rsid w:val="00890AF9"/>
    <w:rsid w:val="00890BC4"/>
    <w:rsid w:val="00890D4B"/>
    <w:rsid w:val="00890D9D"/>
    <w:rsid w:val="00890ECD"/>
    <w:rsid w:val="00890F3D"/>
    <w:rsid w:val="008911C0"/>
    <w:rsid w:val="008917D9"/>
    <w:rsid w:val="0089180E"/>
    <w:rsid w:val="00891825"/>
    <w:rsid w:val="00891B24"/>
    <w:rsid w:val="00891C69"/>
    <w:rsid w:val="00891CBE"/>
    <w:rsid w:val="00891D66"/>
    <w:rsid w:val="008924E0"/>
    <w:rsid w:val="0089250A"/>
    <w:rsid w:val="0089251B"/>
    <w:rsid w:val="008925E8"/>
    <w:rsid w:val="00892613"/>
    <w:rsid w:val="00892681"/>
    <w:rsid w:val="0089292A"/>
    <w:rsid w:val="0089299B"/>
    <w:rsid w:val="00892B93"/>
    <w:rsid w:val="00892BBF"/>
    <w:rsid w:val="00892CB3"/>
    <w:rsid w:val="00892CC7"/>
    <w:rsid w:val="00892D38"/>
    <w:rsid w:val="0089303D"/>
    <w:rsid w:val="00893050"/>
    <w:rsid w:val="0089311E"/>
    <w:rsid w:val="00893468"/>
    <w:rsid w:val="008935A7"/>
    <w:rsid w:val="008935CF"/>
    <w:rsid w:val="008936B6"/>
    <w:rsid w:val="00893A36"/>
    <w:rsid w:val="00894359"/>
    <w:rsid w:val="008944B9"/>
    <w:rsid w:val="00894677"/>
    <w:rsid w:val="008946DC"/>
    <w:rsid w:val="0089473A"/>
    <w:rsid w:val="00894787"/>
    <w:rsid w:val="0089484A"/>
    <w:rsid w:val="0089487F"/>
    <w:rsid w:val="00894914"/>
    <w:rsid w:val="00894BED"/>
    <w:rsid w:val="00894CC2"/>
    <w:rsid w:val="00894E7C"/>
    <w:rsid w:val="00894F4A"/>
    <w:rsid w:val="0089506C"/>
    <w:rsid w:val="008952CE"/>
    <w:rsid w:val="00895383"/>
    <w:rsid w:val="00895494"/>
    <w:rsid w:val="008954E7"/>
    <w:rsid w:val="0089561C"/>
    <w:rsid w:val="008958C0"/>
    <w:rsid w:val="00895A4B"/>
    <w:rsid w:val="008961B5"/>
    <w:rsid w:val="008961D6"/>
    <w:rsid w:val="008961E5"/>
    <w:rsid w:val="008963F1"/>
    <w:rsid w:val="00896505"/>
    <w:rsid w:val="008965C4"/>
    <w:rsid w:val="008965DE"/>
    <w:rsid w:val="00896615"/>
    <w:rsid w:val="00896963"/>
    <w:rsid w:val="00896A7D"/>
    <w:rsid w:val="00896AFD"/>
    <w:rsid w:val="00896DCD"/>
    <w:rsid w:val="00896E05"/>
    <w:rsid w:val="00896F12"/>
    <w:rsid w:val="008971A0"/>
    <w:rsid w:val="0089731C"/>
    <w:rsid w:val="008975B6"/>
    <w:rsid w:val="00897604"/>
    <w:rsid w:val="008976D9"/>
    <w:rsid w:val="008977EB"/>
    <w:rsid w:val="00897AD8"/>
    <w:rsid w:val="00897AFD"/>
    <w:rsid w:val="00897DAE"/>
    <w:rsid w:val="00897F41"/>
    <w:rsid w:val="00897F9A"/>
    <w:rsid w:val="008A01E8"/>
    <w:rsid w:val="008A02BA"/>
    <w:rsid w:val="008A04E6"/>
    <w:rsid w:val="008A05E4"/>
    <w:rsid w:val="008A06AA"/>
    <w:rsid w:val="008A0819"/>
    <w:rsid w:val="008A09F0"/>
    <w:rsid w:val="008A0A53"/>
    <w:rsid w:val="008A0A81"/>
    <w:rsid w:val="008A0B1A"/>
    <w:rsid w:val="008A0BBF"/>
    <w:rsid w:val="008A0D70"/>
    <w:rsid w:val="008A0D85"/>
    <w:rsid w:val="008A0DE6"/>
    <w:rsid w:val="008A0F9F"/>
    <w:rsid w:val="008A113A"/>
    <w:rsid w:val="008A1174"/>
    <w:rsid w:val="008A11C5"/>
    <w:rsid w:val="008A11D0"/>
    <w:rsid w:val="008A1201"/>
    <w:rsid w:val="008A129B"/>
    <w:rsid w:val="008A145E"/>
    <w:rsid w:val="008A150E"/>
    <w:rsid w:val="008A1754"/>
    <w:rsid w:val="008A19AE"/>
    <w:rsid w:val="008A1CB5"/>
    <w:rsid w:val="008A1E17"/>
    <w:rsid w:val="008A1FAC"/>
    <w:rsid w:val="008A212A"/>
    <w:rsid w:val="008A2167"/>
    <w:rsid w:val="008A22C6"/>
    <w:rsid w:val="008A26EB"/>
    <w:rsid w:val="008A2769"/>
    <w:rsid w:val="008A27A6"/>
    <w:rsid w:val="008A2A8C"/>
    <w:rsid w:val="008A2E89"/>
    <w:rsid w:val="008A34BF"/>
    <w:rsid w:val="008A39E4"/>
    <w:rsid w:val="008A3C04"/>
    <w:rsid w:val="008A3DA7"/>
    <w:rsid w:val="008A3E30"/>
    <w:rsid w:val="008A4010"/>
    <w:rsid w:val="008A4021"/>
    <w:rsid w:val="008A403B"/>
    <w:rsid w:val="008A416B"/>
    <w:rsid w:val="008A41A5"/>
    <w:rsid w:val="008A420E"/>
    <w:rsid w:val="008A4657"/>
    <w:rsid w:val="008A47DE"/>
    <w:rsid w:val="008A4874"/>
    <w:rsid w:val="008A4B66"/>
    <w:rsid w:val="008A4CD6"/>
    <w:rsid w:val="008A4E2E"/>
    <w:rsid w:val="008A518D"/>
    <w:rsid w:val="008A54A8"/>
    <w:rsid w:val="008A56B0"/>
    <w:rsid w:val="008A5C42"/>
    <w:rsid w:val="008A5D0A"/>
    <w:rsid w:val="008A5F02"/>
    <w:rsid w:val="008A621B"/>
    <w:rsid w:val="008A632C"/>
    <w:rsid w:val="008A63A0"/>
    <w:rsid w:val="008A65F3"/>
    <w:rsid w:val="008A6688"/>
    <w:rsid w:val="008A67C6"/>
    <w:rsid w:val="008A6AC9"/>
    <w:rsid w:val="008A6FAB"/>
    <w:rsid w:val="008A7019"/>
    <w:rsid w:val="008A73A0"/>
    <w:rsid w:val="008A73A9"/>
    <w:rsid w:val="008A73D8"/>
    <w:rsid w:val="008A7471"/>
    <w:rsid w:val="008A7687"/>
    <w:rsid w:val="008A76BC"/>
    <w:rsid w:val="008A77E2"/>
    <w:rsid w:val="008A7825"/>
    <w:rsid w:val="008A78DA"/>
    <w:rsid w:val="008A78E9"/>
    <w:rsid w:val="008A7FA6"/>
    <w:rsid w:val="008B01C0"/>
    <w:rsid w:val="008B0238"/>
    <w:rsid w:val="008B046D"/>
    <w:rsid w:val="008B085A"/>
    <w:rsid w:val="008B08D8"/>
    <w:rsid w:val="008B0C08"/>
    <w:rsid w:val="008B1928"/>
    <w:rsid w:val="008B1A82"/>
    <w:rsid w:val="008B1BA5"/>
    <w:rsid w:val="008B1C62"/>
    <w:rsid w:val="008B1D50"/>
    <w:rsid w:val="008B1E2C"/>
    <w:rsid w:val="008B1F84"/>
    <w:rsid w:val="008B2286"/>
    <w:rsid w:val="008B2545"/>
    <w:rsid w:val="008B274C"/>
    <w:rsid w:val="008B278A"/>
    <w:rsid w:val="008B287B"/>
    <w:rsid w:val="008B28AB"/>
    <w:rsid w:val="008B29CB"/>
    <w:rsid w:val="008B2D96"/>
    <w:rsid w:val="008B2FD1"/>
    <w:rsid w:val="008B30A8"/>
    <w:rsid w:val="008B329C"/>
    <w:rsid w:val="008B3618"/>
    <w:rsid w:val="008B3676"/>
    <w:rsid w:val="008B3735"/>
    <w:rsid w:val="008B3774"/>
    <w:rsid w:val="008B37DB"/>
    <w:rsid w:val="008B38CC"/>
    <w:rsid w:val="008B394C"/>
    <w:rsid w:val="008B4109"/>
    <w:rsid w:val="008B42CC"/>
    <w:rsid w:val="008B42EF"/>
    <w:rsid w:val="008B4404"/>
    <w:rsid w:val="008B4407"/>
    <w:rsid w:val="008B4467"/>
    <w:rsid w:val="008B488C"/>
    <w:rsid w:val="008B49D0"/>
    <w:rsid w:val="008B4EE6"/>
    <w:rsid w:val="008B5245"/>
    <w:rsid w:val="008B52B8"/>
    <w:rsid w:val="008B5340"/>
    <w:rsid w:val="008B54AE"/>
    <w:rsid w:val="008B57AF"/>
    <w:rsid w:val="008B58D8"/>
    <w:rsid w:val="008B593C"/>
    <w:rsid w:val="008B5BE4"/>
    <w:rsid w:val="008B5CA2"/>
    <w:rsid w:val="008B5EAF"/>
    <w:rsid w:val="008B5F25"/>
    <w:rsid w:val="008B5F6B"/>
    <w:rsid w:val="008B61CB"/>
    <w:rsid w:val="008B636F"/>
    <w:rsid w:val="008B657F"/>
    <w:rsid w:val="008B668C"/>
    <w:rsid w:val="008B66CB"/>
    <w:rsid w:val="008B66E7"/>
    <w:rsid w:val="008B6761"/>
    <w:rsid w:val="008B67DD"/>
    <w:rsid w:val="008B69DE"/>
    <w:rsid w:val="008B6A2F"/>
    <w:rsid w:val="008B6B4B"/>
    <w:rsid w:val="008B6C18"/>
    <w:rsid w:val="008B6F6C"/>
    <w:rsid w:val="008B7069"/>
    <w:rsid w:val="008B71D8"/>
    <w:rsid w:val="008B72F0"/>
    <w:rsid w:val="008B75F7"/>
    <w:rsid w:val="008B75FE"/>
    <w:rsid w:val="008B7835"/>
    <w:rsid w:val="008B7958"/>
    <w:rsid w:val="008B7A9C"/>
    <w:rsid w:val="008B7BE6"/>
    <w:rsid w:val="008B7C76"/>
    <w:rsid w:val="008B7C8A"/>
    <w:rsid w:val="008B7E57"/>
    <w:rsid w:val="008B7FA2"/>
    <w:rsid w:val="008C0277"/>
    <w:rsid w:val="008C0297"/>
    <w:rsid w:val="008C098F"/>
    <w:rsid w:val="008C0A00"/>
    <w:rsid w:val="008C0DFB"/>
    <w:rsid w:val="008C108C"/>
    <w:rsid w:val="008C1182"/>
    <w:rsid w:val="008C12DA"/>
    <w:rsid w:val="008C1329"/>
    <w:rsid w:val="008C140C"/>
    <w:rsid w:val="008C153C"/>
    <w:rsid w:val="008C15A6"/>
    <w:rsid w:val="008C1822"/>
    <w:rsid w:val="008C187A"/>
    <w:rsid w:val="008C19B8"/>
    <w:rsid w:val="008C1BD3"/>
    <w:rsid w:val="008C1CCC"/>
    <w:rsid w:val="008C1EA3"/>
    <w:rsid w:val="008C1EB8"/>
    <w:rsid w:val="008C1F6C"/>
    <w:rsid w:val="008C2271"/>
    <w:rsid w:val="008C2631"/>
    <w:rsid w:val="008C2843"/>
    <w:rsid w:val="008C2C8A"/>
    <w:rsid w:val="008C2CDA"/>
    <w:rsid w:val="008C2FA7"/>
    <w:rsid w:val="008C313F"/>
    <w:rsid w:val="008C3470"/>
    <w:rsid w:val="008C35D1"/>
    <w:rsid w:val="008C35F9"/>
    <w:rsid w:val="008C36BF"/>
    <w:rsid w:val="008C37A5"/>
    <w:rsid w:val="008C3941"/>
    <w:rsid w:val="008C3A75"/>
    <w:rsid w:val="008C3D1B"/>
    <w:rsid w:val="008C3DB2"/>
    <w:rsid w:val="008C3E64"/>
    <w:rsid w:val="008C3E67"/>
    <w:rsid w:val="008C4106"/>
    <w:rsid w:val="008C4152"/>
    <w:rsid w:val="008C4403"/>
    <w:rsid w:val="008C4527"/>
    <w:rsid w:val="008C47C6"/>
    <w:rsid w:val="008C47CC"/>
    <w:rsid w:val="008C47E3"/>
    <w:rsid w:val="008C496E"/>
    <w:rsid w:val="008C4A81"/>
    <w:rsid w:val="008C4AEC"/>
    <w:rsid w:val="008C4D44"/>
    <w:rsid w:val="008C4F09"/>
    <w:rsid w:val="008C5093"/>
    <w:rsid w:val="008C5343"/>
    <w:rsid w:val="008C5649"/>
    <w:rsid w:val="008C56A3"/>
    <w:rsid w:val="008C57EF"/>
    <w:rsid w:val="008C5920"/>
    <w:rsid w:val="008C5987"/>
    <w:rsid w:val="008C5F03"/>
    <w:rsid w:val="008C60DD"/>
    <w:rsid w:val="008C6112"/>
    <w:rsid w:val="008C6205"/>
    <w:rsid w:val="008C6268"/>
    <w:rsid w:val="008C669B"/>
    <w:rsid w:val="008C6AF7"/>
    <w:rsid w:val="008C6B41"/>
    <w:rsid w:val="008C6C6D"/>
    <w:rsid w:val="008C6CE4"/>
    <w:rsid w:val="008C6DFB"/>
    <w:rsid w:val="008C6E06"/>
    <w:rsid w:val="008C6EC5"/>
    <w:rsid w:val="008C6F5F"/>
    <w:rsid w:val="008C71CB"/>
    <w:rsid w:val="008C7241"/>
    <w:rsid w:val="008C7274"/>
    <w:rsid w:val="008C75C3"/>
    <w:rsid w:val="008C7869"/>
    <w:rsid w:val="008C7910"/>
    <w:rsid w:val="008C7940"/>
    <w:rsid w:val="008C79B0"/>
    <w:rsid w:val="008C7A40"/>
    <w:rsid w:val="008C7A77"/>
    <w:rsid w:val="008C7C09"/>
    <w:rsid w:val="008C7F83"/>
    <w:rsid w:val="008D00BE"/>
    <w:rsid w:val="008D019F"/>
    <w:rsid w:val="008D06D6"/>
    <w:rsid w:val="008D0AA7"/>
    <w:rsid w:val="008D0ADE"/>
    <w:rsid w:val="008D0C12"/>
    <w:rsid w:val="008D0DCC"/>
    <w:rsid w:val="008D0EA0"/>
    <w:rsid w:val="008D113A"/>
    <w:rsid w:val="008D12B0"/>
    <w:rsid w:val="008D1449"/>
    <w:rsid w:val="008D14AB"/>
    <w:rsid w:val="008D1566"/>
    <w:rsid w:val="008D1A9A"/>
    <w:rsid w:val="008D1AA2"/>
    <w:rsid w:val="008D1C68"/>
    <w:rsid w:val="008D1E8D"/>
    <w:rsid w:val="008D1F1B"/>
    <w:rsid w:val="008D1F3A"/>
    <w:rsid w:val="008D200E"/>
    <w:rsid w:val="008D20E7"/>
    <w:rsid w:val="008D2128"/>
    <w:rsid w:val="008D21CB"/>
    <w:rsid w:val="008D2507"/>
    <w:rsid w:val="008D2709"/>
    <w:rsid w:val="008D2B19"/>
    <w:rsid w:val="008D2D99"/>
    <w:rsid w:val="008D2EFA"/>
    <w:rsid w:val="008D30D8"/>
    <w:rsid w:val="008D30F0"/>
    <w:rsid w:val="008D3309"/>
    <w:rsid w:val="008D3315"/>
    <w:rsid w:val="008D3377"/>
    <w:rsid w:val="008D3801"/>
    <w:rsid w:val="008D38E1"/>
    <w:rsid w:val="008D3A23"/>
    <w:rsid w:val="008D3A44"/>
    <w:rsid w:val="008D3C11"/>
    <w:rsid w:val="008D3D42"/>
    <w:rsid w:val="008D4694"/>
    <w:rsid w:val="008D46FF"/>
    <w:rsid w:val="008D471C"/>
    <w:rsid w:val="008D49D9"/>
    <w:rsid w:val="008D4A86"/>
    <w:rsid w:val="008D4C00"/>
    <w:rsid w:val="008D4C77"/>
    <w:rsid w:val="008D4E3A"/>
    <w:rsid w:val="008D50B4"/>
    <w:rsid w:val="008D544E"/>
    <w:rsid w:val="008D5729"/>
    <w:rsid w:val="008D5730"/>
    <w:rsid w:val="008D5753"/>
    <w:rsid w:val="008D5795"/>
    <w:rsid w:val="008D5854"/>
    <w:rsid w:val="008D58AF"/>
    <w:rsid w:val="008D5903"/>
    <w:rsid w:val="008D59C2"/>
    <w:rsid w:val="008D5A3C"/>
    <w:rsid w:val="008D5FCA"/>
    <w:rsid w:val="008D6101"/>
    <w:rsid w:val="008D653A"/>
    <w:rsid w:val="008D6552"/>
    <w:rsid w:val="008D65AA"/>
    <w:rsid w:val="008D65F3"/>
    <w:rsid w:val="008D6AFA"/>
    <w:rsid w:val="008D6B82"/>
    <w:rsid w:val="008D6BCD"/>
    <w:rsid w:val="008D6FBF"/>
    <w:rsid w:val="008D7208"/>
    <w:rsid w:val="008D72C4"/>
    <w:rsid w:val="008D74D9"/>
    <w:rsid w:val="008D79C7"/>
    <w:rsid w:val="008D7C1A"/>
    <w:rsid w:val="008D7CDC"/>
    <w:rsid w:val="008D7E0E"/>
    <w:rsid w:val="008E0148"/>
    <w:rsid w:val="008E01CC"/>
    <w:rsid w:val="008E0433"/>
    <w:rsid w:val="008E0566"/>
    <w:rsid w:val="008E0688"/>
    <w:rsid w:val="008E0AD0"/>
    <w:rsid w:val="008E0AEA"/>
    <w:rsid w:val="008E0B72"/>
    <w:rsid w:val="008E0BDA"/>
    <w:rsid w:val="008E0E79"/>
    <w:rsid w:val="008E0FE6"/>
    <w:rsid w:val="008E1133"/>
    <w:rsid w:val="008E135D"/>
    <w:rsid w:val="008E1E88"/>
    <w:rsid w:val="008E1FAF"/>
    <w:rsid w:val="008E221B"/>
    <w:rsid w:val="008E2371"/>
    <w:rsid w:val="008E25B8"/>
    <w:rsid w:val="008E281F"/>
    <w:rsid w:val="008E2909"/>
    <w:rsid w:val="008E2A39"/>
    <w:rsid w:val="008E2C3B"/>
    <w:rsid w:val="008E2C87"/>
    <w:rsid w:val="008E3207"/>
    <w:rsid w:val="008E3299"/>
    <w:rsid w:val="008E3386"/>
    <w:rsid w:val="008E33FC"/>
    <w:rsid w:val="008E3418"/>
    <w:rsid w:val="008E3442"/>
    <w:rsid w:val="008E3470"/>
    <w:rsid w:val="008E3517"/>
    <w:rsid w:val="008E3966"/>
    <w:rsid w:val="008E3A2B"/>
    <w:rsid w:val="008E3B3A"/>
    <w:rsid w:val="008E3B4B"/>
    <w:rsid w:val="008E3BEF"/>
    <w:rsid w:val="008E3C76"/>
    <w:rsid w:val="008E3D2C"/>
    <w:rsid w:val="008E3D84"/>
    <w:rsid w:val="008E3D89"/>
    <w:rsid w:val="008E3ECF"/>
    <w:rsid w:val="008E3EEE"/>
    <w:rsid w:val="008E3F39"/>
    <w:rsid w:val="008E4275"/>
    <w:rsid w:val="008E4592"/>
    <w:rsid w:val="008E494E"/>
    <w:rsid w:val="008E4DEE"/>
    <w:rsid w:val="008E4F47"/>
    <w:rsid w:val="008E532C"/>
    <w:rsid w:val="008E55E3"/>
    <w:rsid w:val="008E5833"/>
    <w:rsid w:val="008E5BF7"/>
    <w:rsid w:val="008E5D8C"/>
    <w:rsid w:val="008E5E06"/>
    <w:rsid w:val="008E5F4E"/>
    <w:rsid w:val="008E5FD8"/>
    <w:rsid w:val="008E6377"/>
    <w:rsid w:val="008E646F"/>
    <w:rsid w:val="008E660B"/>
    <w:rsid w:val="008E6A01"/>
    <w:rsid w:val="008E6B7A"/>
    <w:rsid w:val="008E70FE"/>
    <w:rsid w:val="008E7215"/>
    <w:rsid w:val="008E7798"/>
    <w:rsid w:val="008E78E9"/>
    <w:rsid w:val="008E7A63"/>
    <w:rsid w:val="008E7B11"/>
    <w:rsid w:val="008E7C5F"/>
    <w:rsid w:val="008E7DA4"/>
    <w:rsid w:val="008E7EE0"/>
    <w:rsid w:val="008F01F3"/>
    <w:rsid w:val="008F0255"/>
    <w:rsid w:val="008F0533"/>
    <w:rsid w:val="008F0576"/>
    <w:rsid w:val="008F0860"/>
    <w:rsid w:val="008F0881"/>
    <w:rsid w:val="008F0917"/>
    <w:rsid w:val="008F0C3B"/>
    <w:rsid w:val="008F0D84"/>
    <w:rsid w:val="008F0DE4"/>
    <w:rsid w:val="008F0E0E"/>
    <w:rsid w:val="008F0E2C"/>
    <w:rsid w:val="008F1203"/>
    <w:rsid w:val="008F193A"/>
    <w:rsid w:val="008F19FA"/>
    <w:rsid w:val="008F1BB9"/>
    <w:rsid w:val="008F1C7E"/>
    <w:rsid w:val="008F1E5B"/>
    <w:rsid w:val="008F1EF9"/>
    <w:rsid w:val="008F20F3"/>
    <w:rsid w:val="008F226B"/>
    <w:rsid w:val="008F22AB"/>
    <w:rsid w:val="008F22E1"/>
    <w:rsid w:val="008F233F"/>
    <w:rsid w:val="008F2748"/>
    <w:rsid w:val="008F27F0"/>
    <w:rsid w:val="008F29E5"/>
    <w:rsid w:val="008F2E75"/>
    <w:rsid w:val="008F3169"/>
    <w:rsid w:val="008F31C5"/>
    <w:rsid w:val="008F3789"/>
    <w:rsid w:val="008F3979"/>
    <w:rsid w:val="008F3AAB"/>
    <w:rsid w:val="008F3AF5"/>
    <w:rsid w:val="008F3BEE"/>
    <w:rsid w:val="008F3C23"/>
    <w:rsid w:val="008F3C5A"/>
    <w:rsid w:val="008F3D54"/>
    <w:rsid w:val="008F4167"/>
    <w:rsid w:val="008F434C"/>
    <w:rsid w:val="008F43CC"/>
    <w:rsid w:val="008F4539"/>
    <w:rsid w:val="008F45CB"/>
    <w:rsid w:val="008F45EF"/>
    <w:rsid w:val="008F46BF"/>
    <w:rsid w:val="008F475C"/>
    <w:rsid w:val="008F47CC"/>
    <w:rsid w:val="008F4A3E"/>
    <w:rsid w:val="008F4B83"/>
    <w:rsid w:val="008F4CAE"/>
    <w:rsid w:val="008F4CC3"/>
    <w:rsid w:val="008F4D79"/>
    <w:rsid w:val="008F4D8A"/>
    <w:rsid w:val="008F523E"/>
    <w:rsid w:val="008F5350"/>
    <w:rsid w:val="008F5679"/>
    <w:rsid w:val="008F57C2"/>
    <w:rsid w:val="008F593B"/>
    <w:rsid w:val="008F5CF6"/>
    <w:rsid w:val="008F6094"/>
    <w:rsid w:val="008F60BD"/>
    <w:rsid w:val="008F6259"/>
    <w:rsid w:val="008F646C"/>
    <w:rsid w:val="008F6483"/>
    <w:rsid w:val="008F66ED"/>
    <w:rsid w:val="008F67A7"/>
    <w:rsid w:val="008F686F"/>
    <w:rsid w:val="008F6ACF"/>
    <w:rsid w:val="008F6CBB"/>
    <w:rsid w:val="008F6CFE"/>
    <w:rsid w:val="008F6D8C"/>
    <w:rsid w:val="008F6F45"/>
    <w:rsid w:val="008F708D"/>
    <w:rsid w:val="008F7142"/>
    <w:rsid w:val="008F745C"/>
    <w:rsid w:val="008F771D"/>
    <w:rsid w:val="008F7823"/>
    <w:rsid w:val="008F7955"/>
    <w:rsid w:val="008F7960"/>
    <w:rsid w:val="008F7A28"/>
    <w:rsid w:val="008F7C86"/>
    <w:rsid w:val="008F7DC9"/>
    <w:rsid w:val="008F7E7F"/>
    <w:rsid w:val="008F7F9A"/>
    <w:rsid w:val="00900217"/>
    <w:rsid w:val="00900314"/>
    <w:rsid w:val="00900592"/>
    <w:rsid w:val="009006A1"/>
    <w:rsid w:val="00900E39"/>
    <w:rsid w:val="00900EC2"/>
    <w:rsid w:val="00900F50"/>
    <w:rsid w:val="009010DF"/>
    <w:rsid w:val="00901666"/>
    <w:rsid w:val="00901687"/>
    <w:rsid w:val="009016E9"/>
    <w:rsid w:val="00901C29"/>
    <w:rsid w:val="00901D1E"/>
    <w:rsid w:val="00901D3A"/>
    <w:rsid w:val="00901D5D"/>
    <w:rsid w:val="00901DC0"/>
    <w:rsid w:val="00901F9A"/>
    <w:rsid w:val="00901FCD"/>
    <w:rsid w:val="00902155"/>
    <w:rsid w:val="0090269D"/>
    <w:rsid w:val="009026CB"/>
    <w:rsid w:val="009026F8"/>
    <w:rsid w:val="0090272C"/>
    <w:rsid w:val="00902808"/>
    <w:rsid w:val="00902864"/>
    <w:rsid w:val="00902B49"/>
    <w:rsid w:val="00902FD7"/>
    <w:rsid w:val="009030C5"/>
    <w:rsid w:val="00903160"/>
    <w:rsid w:val="0090334D"/>
    <w:rsid w:val="00903871"/>
    <w:rsid w:val="00903D6A"/>
    <w:rsid w:val="00903D6C"/>
    <w:rsid w:val="00903E46"/>
    <w:rsid w:val="00903E82"/>
    <w:rsid w:val="00903EDA"/>
    <w:rsid w:val="00904069"/>
    <w:rsid w:val="00904148"/>
    <w:rsid w:val="009042DE"/>
    <w:rsid w:val="00904349"/>
    <w:rsid w:val="00904582"/>
    <w:rsid w:val="0090458F"/>
    <w:rsid w:val="0090470A"/>
    <w:rsid w:val="009047C1"/>
    <w:rsid w:val="00904F70"/>
    <w:rsid w:val="00904F83"/>
    <w:rsid w:val="009052CA"/>
    <w:rsid w:val="0090531A"/>
    <w:rsid w:val="009053A6"/>
    <w:rsid w:val="009054AA"/>
    <w:rsid w:val="009054EF"/>
    <w:rsid w:val="009054F9"/>
    <w:rsid w:val="00905671"/>
    <w:rsid w:val="00905D20"/>
    <w:rsid w:val="00905D68"/>
    <w:rsid w:val="00905E97"/>
    <w:rsid w:val="009060FB"/>
    <w:rsid w:val="0090639F"/>
    <w:rsid w:val="009065AA"/>
    <w:rsid w:val="0090666B"/>
    <w:rsid w:val="0090693B"/>
    <w:rsid w:val="00906A49"/>
    <w:rsid w:val="00906BCE"/>
    <w:rsid w:val="00906DC0"/>
    <w:rsid w:val="00906E34"/>
    <w:rsid w:val="00906F8E"/>
    <w:rsid w:val="0090725F"/>
    <w:rsid w:val="0090741C"/>
    <w:rsid w:val="009074EA"/>
    <w:rsid w:val="0090778A"/>
    <w:rsid w:val="00907AF4"/>
    <w:rsid w:val="009106CB"/>
    <w:rsid w:val="009106D7"/>
    <w:rsid w:val="00910799"/>
    <w:rsid w:val="009108E7"/>
    <w:rsid w:val="00910A76"/>
    <w:rsid w:val="00910B75"/>
    <w:rsid w:val="00910D38"/>
    <w:rsid w:val="00910D56"/>
    <w:rsid w:val="00910E1B"/>
    <w:rsid w:val="00910F5D"/>
    <w:rsid w:val="009110E3"/>
    <w:rsid w:val="0091114B"/>
    <w:rsid w:val="0091162A"/>
    <w:rsid w:val="009116A4"/>
    <w:rsid w:val="009118C3"/>
    <w:rsid w:val="00911C46"/>
    <w:rsid w:val="00911CDB"/>
    <w:rsid w:val="00911D88"/>
    <w:rsid w:val="00911E1B"/>
    <w:rsid w:val="00911F0B"/>
    <w:rsid w:val="00911F0C"/>
    <w:rsid w:val="0091222D"/>
    <w:rsid w:val="0091253F"/>
    <w:rsid w:val="0091259A"/>
    <w:rsid w:val="00912855"/>
    <w:rsid w:val="00912CA0"/>
    <w:rsid w:val="0091307C"/>
    <w:rsid w:val="00913232"/>
    <w:rsid w:val="00913D06"/>
    <w:rsid w:val="00913D17"/>
    <w:rsid w:val="00913DDA"/>
    <w:rsid w:val="0091403D"/>
    <w:rsid w:val="009140BF"/>
    <w:rsid w:val="0091413D"/>
    <w:rsid w:val="009143F1"/>
    <w:rsid w:val="0091440C"/>
    <w:rsid w:val="00914542"/>
    <w:rsid w:val="00914632"/>
    <w:rsid w:val="00914A6B"/>
    <w:rsid w:val="00914BA4"/>
    <w:rsid w:val="00914BD8"/>
    <w:rsid w:val="00914BDF"/>
    <w:rsid w:val="0091501F"/>
    <w:rsid w:val="00915026"/>
    <w:rsid w:val="0091514B"/>
    <w:rsid w:val="00915449"/>
    <w:rsid w:val="009154F6"/>
    <w:rsid w:val="00915735"/>
    <w:rsid w:val="00915960"/>
    <w:rsid w:val="00915AF2"/>
    <w:rsid w:val="00915B24"/>
    <w:rsid w:val="00915D52"/>
    <w:rsid w:val="00915F5D"/>
    <w:rsid w:val="00915F94"/>
    <w:rsid w:val="00916112"/>
    <w:rsid w:val="00916366"/>
    <w:rsid w:val="009163B3"/>
    <w:rsid w:val="009164ED"/>
    <w:rsid w:val="00916548"/>
    <w:rsid w:val="00916553"/>
    <w:rsid w:val="009165E0"/>
    <w:rsid w:val="00916813"/>
    <w:rsid w:val="00916BD7"/>
    <w:rsid w:val="00916D66"/>
    <w:rsid w:val="00916D92"/>
    <w:rsid w:val="00916DEB"/>
    <w:rsid w:val="00916E11"/>
    <w:rsid w:val="00917079"/>
    <w:rsid w:val="009171F6"/>
    <w:rsid w:val="00917391"/>
    <w:rsid w:val="0091745E"/>
    <w:rsid w:val="009174FA"/>
    <w:rsid w:val="00917541"/>
    <w:rsid w:val="00917AD9"/>
    <w:rsid w:val="00917AF3"/>
    <w:rsid w:val="0092013C"/>
    <w:rsid w:val="00920A2A"/>
    <w:rsid w:val="00920C43"/>
    <w:rsid w:val="00920C9D"/>
    <w:rsid w:val="00920E47"/>
    <w:rsid w:val="009213F5"/>
    <w:rsid w:val="0092154A"/>
    <w:rsid w:val="009216E5"/>
    <w:rsid w:val="009217C8"/>
    <w:rsid w:val="00921860"/>
    <w:rsid w:val="0092198C"/>
    <w:rsid w:val="00921992"/>
    <w:rsid w:val="00921BCC"/>
    <w:rsid w:val="00921C84"/>
    <w:rsid w:val="00921CDD"/>
    <w:rsid w:val="00921DA5"/>
    <w:rsid w:val="00921DEA"/>
    <w:rsid w:val="0092224C"/>
    <w:rsid w:val="009224E8"/>
    <w:rsid w:val="009225E6"/>
    <w:rsid w:val="00922687"/>
    <w:rsid w:val="009226D8"/>
    <w:rsid w:val="0092270D"/>
    <w:rsid w:val="009227FB"/>
    <w:rsid w:val="00922800"/>
    <w:rsid w:val="00922808"/>
    <w:rsid w:val="00922989"/>
    <w:rsid w:val="00922B7E"/>
    <w:rsid w:val="00922F06"/>
    <w:rsid w:val="00923074"/>
    <w:rsid w:val="0092316B"/>
    <w:rsid w:val="009232C4"/>
    <w:rsid w:val="009233F6"/>
    <w:rsid w:val="00923438"/>
    <w:rsid w:val="00923472"/>
    <w:rsid w:val="009235A8"/>
    <w:rsid w:val="009237B8"/>
    <w:rsid w:val="009238CA"/>
    <w:rsid w:val="00923A89"/>
    <w:rsid w:val="00923B0B"/>
    <w:rsid w:val="00923E80"/>
    <w:rsid w:val="00924153"/>
    <w:rsid w:val="009246D2"/>
    <w:rsid w:val="009249F8"/>
    <w:rsid w:val="00924BE6"/>
    <w:rsid w:val="00924D76"/>
    <w:rsid w:val="00925115"/>
    <w:rsid w:val="00925135"/>
    <w:rsid w:val="009251DE"/>
    <w:rsid w:val="00925245"/>
    <w:rsid w:val="00925268"/>
    <w:rsid w:val="0092529A"/>
    <w:rsid w:val="00925887"/>
    <w:rsid w:val="00925915"/>
    <w:rsid w:val="00925AE2"/>
    <w:rsid w:val="00925B0D"/>
    <w:rsid w:val="00925B13"/>
    <w:rsid w:val="00925CA9"/>
    <w:rsid w:val="00925CD7"/>
    <w:rsid w:val="00925D03"/>
    <w:rsid w:val="00925FA3"/>
    <w:rsid w:val="009260F1"/>
    <w:rsid w:val="00926214"/>
    <w:rsid w:val="009263D4"/>
    <w:rsid w:val="009266B8"/>
    <w:rsid w:val="00926721"/>
    <w:rsid w:val="00926869"/>
    <w:rsid w:val="0092688D"/>
    <w:rsid w:val="009268B3"/>
    <w:rsid w:val="00926B05"/>
    <w:rsid w:val="00926B06"/>
    <w:rsid w:val="00926C1C"/>
    <w:rsid w:val="00926D0A"/>
    <w:rsid w:val="00926D11"/>
    <w:rsid w:val="00926ECD"/>
    <w:rsid w:val="00926ECE"/>
    <w:rsid w:val="00927028"/>
    <w:rsid w:val="009270B2"/>
    <w:rsid w:val="0092720C"/>
    <w:rsid w:val="00927438"/>
    <w:rsid w:val="00927453"/>
    <w:rsid w:val="0092771D"/>
    <w:rsid w:val="009278C7"/>
    <w:rsid w:val="0092799C"/>
    <w:rsid w:val="00927B16"/>
    <w:rsid w:val="00927C1A"/>
    <w:rsid w:val="00927D7B"/>
    <w:rsid w:val="00927D7C"/>
    <w:rsid w:val="00927D7F"/>
    <w:rsid w:val="00927D99"/>
    <w:rsid w:val="00927EAD"/>
    <w:rsid w:val="00930059"/>
    <w:rsid w:val="009300DA"/>
    <w:rsid w:val="009302DD"/>
    <w:rsid w:val="0093077D"/>
    <w:rsid w:val="009308BA"/>
    <w:rsid w:val="00930A97"/>
    <w:rsid w:val="00931179"/>
    <w:rsid w:val="0093128F"/>
    <w:rsid w:val="009313BD"/>
    <w:rsid w:val="00931625"/>
    <w:rsid w:val="0093168C"/>
    <w:rsid w:val="0093183E"/>
    <w:rsid w:val="00931A08"/>
    <w:rsid w:val="00931ED1"/>
    <w:rsid w:val="00931FE8"/>
    <w:rsid w:val="0093207F"/>
    <w:rsid w:val="009322A8"/>
    <w:rsid w:val="009322CA"/>
    <w:rsid w:val="009324C7"/>
    <w:rsid w:val="009327EC"/>
    <w:rsid w:val="0093288F"/>
    <w:rsid w:val="00932A20"/>
    <w:rsid w:val="00932ABE"/>
    <w:rsid w:val="00932AD5"/>
    <w:rsid w:val="00932B14"/>
    <w:rsid w:val="00932C4F"/>
    <w:rsid w:val="00933092"/>
    <w:rsid w:val="009330E0"/>
    <w:rsid w:val="00933178"/>
    <w:rsid w:val="00933297"/>
    <w:rsid w:val="009333A0"/>
    <w:rsid w:val="009333CE"/>
    <w:rsid w:val="00933570"/>
    <w:rsid w:val="0093357A"/>
    <w:rsid w:val="009336CB"/>
    <w:rsid w:val="009337C3"/>
    <w:rsid w:val="00933816"/>
    <w:rsid w:val="009338F0"/>
    <w:rsid w:val="009339E6"/>
    <w:rsid w:val="00933C9F"/>
    <w:rsid w:val="00933D7B"/>
    <w:rsid w:val="00933E48"/>
    <w:rsid w:val="009341FC"/>
    <w:rsid w:val="00934816"/>
    <w:rsid w:val="0093486D"/>
    <w:rsid w:val="009349A1"/>
    <w:rsid w:val="00934CCB"/>
    <w:rsid w:val="0093533F"/>
    <w:rsid w:val="00935398"/>
    <w:rsid w:val="00935403"/>
    <w:rsid w:val="00935604"/>
    <w:rsid w:val="00935741"/>
    <w:rsid w:val="00935805"/>
    <w:rsid w:val="00935A1C"/>
    <w:rsid w:val="00935A42"/>
    <w:rsid w:val="00935E19"/>
    <w:rsid w:val="00935EC2"/>
    <w:rsid w:val="009362A6"/>
    <w:rsid w:val="0093630E"/>
    <w:rsid w:val="00936359"/>
    <w:rsid w:val="00936380"/>
    <w:rsid w:val="00936558"/>
    <w:rsid w:val="00936606"/>
    <w:rsid w:val="009366B1"/>
    <w:rsid w:val="00936956"/>
    <w:rsid w:val="00936C0F"/>
    <w:rsid w:val="00937005"/>
    <w:rsid w:val="0093701D"/>
    <w:rsid w:val="0093708B"/>
    <w:rsid w:val="009371AC"/>
    <w:rsid w:val="00937269"/>
    <w:rsid w:val="00937493"/>
    <w:rsid w:val="009374FB"/>
    <w:rsid w:val="009377F8"/>
    <w:rsid w:val="009379DB"/>
    <w:rsid w:val="00937A61"/>
    <w:rsid w:val="00937ACB"/>
    <w:rsid w:val="00937AE6"/>
    <w:rsid w:val="00937F7C"/>
    <w:rsid w:val="00940013"/>
    <w:rsid w:val="00940106"/>
    <w:rsid w:val="009403C8"/>
    <w:rsid w:val="00940490"/>
    <w:rsid w:val="0094053F"/>
    <w:rsid w:val="00940877"/>
    <w:rsid w:val="00940F2F"/>
    <w:rsid w:val="009412E6"/>
    <w:rsid w:val="009413DB"/>
    <w:rsid w:val="009415C7"/>
    <w:rsid w:val="00941647"/>
    <w:rsid w:val="0094168F"/>
    <w:rsid w:val="00941961"/>
    <w:rsid w:val="00941B4A"/>
    <w:rsid w:val="00941D3C"/>
    <w:rsid w:val="00941E87"/>
    <w:rsid w:val="009421EF"/>
    <w:rsid w:val="009424C3"/>
    <w:rsid w:val="009425A6"/>
    <w:rsid w:val="0094295F"/>
    <w:rsid w:val="00942C83"/>
    <w:rsid w:val="00943051"/>
    <w:rsid w:val="00943066"/>
    <w:rsid w:val="009430F3"/>
    <w:rsid w:val="009432AB"/>
    <w:rsid w:val="00943406"/>
    <w:rsid w:val="0094341F"/>
    <w:rsid w:val="00943857"/>
    <w:rsid w:val="00943A37"/>
    <w:rsid w:val="00943B0A"/>
    <w:rsid w:val="00943C5F"/>
    <w:rsid w:val="00943D9B"/>
    <w:rsid w:val="00943E28"/>
    <w:rsid w:val="00944127"/>
    <w:rsid w:val="00944141"/>
    <w:rsid w:val="00944458"/>
    <w:rsid w:val="00944481"/>
    <w:rsid w:val="009444DE"/>
    <w:rsid w:val="0094481E"/>
    <w:rsid w:val="009449F9"/>
    <w:rsid w:val="009449FA"/>
    <w:rsid w:val="00944B26"/>
    <w:rsid w:val="00944F01"/>
    <w:rsid w:val="00944F75"/>
    <w:rsid w:val="0094516D"/>
    <w:rsid w:val="00945467"/>
    <w:rsid w:val="00945511"/>
    <w:rsid w:val="00945551"/>
    <w:rsid w:val="009456E4"/>
    <w:rsid w:val="0094583D"/>
    <w:rsid w:val="009458C9"/>
    <w:rsid w:val="0094597D"/>
    <w:rsid w:val="009459F3"/>
    <w:rsid w:val="00945A39"/>
    <w:rsid w:val="00945A99"/>
    <w:rsid w:val="00945AA0"/>
    <w:rsid w:val="00945ECF"/>
    <w:rsid w:val="00945F97"/>
    <w:rsid w:val="00945FC7"/>
    <w:rsid w:val="00945FCF"/>
    <w:rsid w:val="009462BA"/>
    <w:rsid w:val="009466AA"/>
    <w:rsid w:val="009466F0"/>
    <w:rsid w:val="00946848"/>
    <w:rsid w:val="009469EB"/>
    <w:rsid w:val="00946E1B"/>
    <w:rsid w:val="00946E8A"/>
    <w:rsid w:val="00947186"/>
    <w:rsid w:val="0094719E"/>
    <w:rsid w:val="00947224"/>
    <w:rsid w:val="0094751B"/>
    <w:rsid w:val="0094752E"/>
    <w:rsid w:val="00947537"/>
    <w:rsid w:val="009477AD"/>
    <w:rsid w:val="00947814"/>
    <w:rsid w:val="009478C9"/>
    <w:rsid w:val="00947A93"/>
    <w:rsid w:val="00947AF2"/>
    <w:rsid w:val="00947D96"/>
    <w:rsid w:val="00950149"/>
    <w:rsid w:val="0095027D"/>
    <w:rsid w:val="00950735"/>
    <w:rsid w:val="009508AF"/>
    <w:rsid w:val="009508F2"/>
    <w:rsid w:val="00950DF5"/>
    <w:rsid w:val="0095176F"/>
    <w:rsid w:val="009518DA"/>
    <w:rsid w:val="00951A13"/>
    <w:rsid w:val="00951A2D"/>
    <w:rsid w:val="00951C6E"/>
    <w:rsid w:val="00951DA9"/>
    <w:rsid w:val="00951F10"/>
    <w:rsid w:val="00951FE8"/>
    <w:rsid w:val="0095221A"/>
    <w:rsid w:val="0095227E"/>
    <w:rsid w:val="0095236E"/>
    <w:rsid w:val="00952522"/>
    <w:rsid w:val="00952872"/>
    <w:rsid w:val="00952881"/>
    <w:rsid w:val="00952965"/>
    <w:rsid w:val="00952A24"/>
    <w:rsid w:val="00952B9B"/>
    <w:rsid w:val="00952C32"/>
    <w:rsid w:val="00952D55"/>
    <w:rsid w:val="00952FB1"/>
    <w:rsid w:val="00953036"/>
    <w:rsid w:val="00953111"/>
    <w:rsid w:val="00953193"/>
    <w:rsid w:val="0095341B"/>
    <w:rsid w:val="009536D6"/>
    <w:rsid w:val="0095383C"/>
    <w:rsid w:val="00953927"/>
    <w:rsid w:val="00953990"/>
    <w:rsid w:val="00953DC6"/>
    <w:rsid w:val="00953F8A"/>
    <w:rsid w:val="009542BE"/>
    <w:rsid w:val="009542C0"/>
    <w:rsid w:val="0095460B"/>
    <w:rsid w:val="009548AD"/>
    <w:rsid w:val="00954A5B"/>
    <w:rsid w:val="00954F33"/>
    <w:rsid w:val="0095509D"/>
    <w:rsid w:val="0095519B"/>
    <w:rsid w:val="009552FB"/>
    <w:rsid w:val="00955628"/>
    <w:rsid w:val="0095564E"/>
    <w:rsid w:val="009556E9"/>
    <w:rsid w:val="009559F8"/>
    <w:rsid w:val="00955A62"/>
    <w:rsid w:val="00955F58"/>
    <w:rsid w:val="00955F8B"/>
    <w:rsid w:val="00956142"/>
    <w:rsid w:val="0095618C"/>
    <w:rsid w:val="009564F2"/>
    <w:rsid w:val="009565BA"/>
    <w:rsid w:val="00956793"/>
    <w:rsid w:val="00956C91"/>
    <w:rsid w:val="00956CC8"/>
    <w:rsid w:val="00956DC8"/>
    <w:rsid w:val="009571DC"/>
    <w:rsid w:val="00957283"/>
    <w:rsid w:val="0095757A"/>
    <w:rsid w:val="00957632"/>
    <w:rsid w:val="00957772"/>
    <w:rsid w:val="00957ACF"/>
    <w:rsid w:val="00957BA3"/>
    <w:rsid w:val="00957C1A"/>
    <w:rsid w:val="00957CDD"/>
    <w:rsid w:val="00957D7B"/>
    <w:rsid w:val="00960073"/>
    <w:rsid w:val="009601FD"/>
    <w:rsid w:val="00960234"/>
    <w:rsid w:val="00960544"/>
    <w:rsid w:val="00960565"/>
    <w:rsid w:val="0096060F"/>
    <w:rsid w:val="009607F3"/>
    <w:rsid w:val="00960A42"/>
    <w:rsid w:val="00960C76"/>
    <w:rsid w:val="00961210"/>
    <w:rsid w:val="00961380"/>
    <w:rsid w:val="0096148D"/>
    <w:rsid w:val="009614B2"/>
    <w:rsid w:val="0096171D"/>
    <w:rsid w:val="009618D1"/>
    <w:rsid w:val="00961A1C"/>
    <w:rsid w:val="00961C9F"/>
    <w:rsid w:val="00961CDE"/>
    <w:rsid w:val="00962102"/>
    <w:rsid w:val="009621E8"/>
    <w:rsid w:val="0096229C"/>
    <w:rsid w:val="00962332"/>
    <w:rsid w:val="00962550"/>
    <w:rsid w:val="00962612"/>
    <w:rsid w:val="009628FB"/>
    <w:rsid w:val="009629E2"/>
    <w:rsid w:val="00962DA3"/>
    <w:rsid w:val="00962EA3"/>
    <w:rsid w:val="00962EBC"/>
    <w:rsid w:val="00962F01"/>
    <w:rsid w:val="00962FAA"/>
    <w:rsid w:val="00962FDE"/>
    <w:rsid w:val="0096300F"/>
    <w:rsid w:val="00963414"/>
    <w:rsid w:val="00963569"/>
    <w:rsid w:val="009636ED"/>
    <w:rsid w:val="0096376E"/>
    <w:rsid w:val="0096379A"/>
    <w:rsid w:val="009637E1"/>
    <w:rsid w:val="00963A3E"/>
    <w:rsid w:val="00963B9C"/>
    <w:rsid w:val="00963BFF"/>
    <w:rsid w:val="00963F37"/>
    <w:rsid w:val="0096449D"/>
    <w:rsid w:val="0096469D"/>
    <w:rsid w:val="009647E5"/>
    <w:rsid w:val="00964821"/>
    <w:rsid w:val="00964917"/>
    <w:rsid w:val="0096495C"/>
    <w:rsid w:val="00964A7F"/>
    <w:rsid w:val="00964AB9"/>
    <w:rsid w:val="00964AD2"/>
    <w:rsid w:val="00964EE5"/>
    <w:rsid w:val="0096540B"/>
    <w:rsid w:val="00965492"/>
    <w:rsid w:val="009656BF"/>
    <w:rsid w:val="00965B5E"/>
    <w:rsid w:val="00965CB2"/>
    <w:rsid w:val="00965D3A"/>
    <w:rsid w:val="00965EDC"/>
    <w:rsid w:val="00966163"/>
    <w:rsid w:val="00966272"/>
    <w:rsid w:val="009664BD"/>
    <w:rsid w:val="009669C9"/>
    <w:rsid w:val="00966C20"/>
    <w:rsid w:val="00966CD1"/>
    <w:rsid w:val="00967173"/>
    <w:rsid w:val="00967324"/>
    <w:rsid w:val="00967861"/>
    <w:rsid w:val="00967DA1"/>
    <w:rsid w:val="00967F79"/>
    <w:rsid w:val="00970299"/>
    <w:rsid w:val="00970308"/>
    <w:rsid w:val="0097043F"/>
    <w:rsid w:val="00970968"/>
    <w:rsid w:val="00970AFA"/>
    <w:rsid w:val="00970D65"/>
    <w:rsid w:val="00970F34"/>
    <w:rsid w:val="00971027"/>
    <w:rsid w:val="009712D6"/>
    <w:rsid w:val="0097133A"/>
    <w:rsid w:val="00971413"/>
    <w:rsid w:val="00971965"/>
    <w:rsid w:val="00971A00"/>
    <w:rsid w:val="00971BBD"/>
    <w:rsid w:val="00971FFB"/>
    <w:rsid w:val="00972164"/>
    <w:rsid w:val="009721A6"/>
    <w:rsid w:val="009721BB"/>
    <w:rsid w:val="009721BF"/>
    <w:rsid w:val="009725DC"/>
    <w:rsid w:val="00972794"/>
    <w:rsid w:val="009728A7"/>
    <w:rsid w:val="00972B60"/>
    <w:rsid w:val="00972C22"/>
    <w:rsid w:val="00972E59"/>
    <w:rsid w:val="00972FD6"/>
    <w:rsid w:val="009731C3"/>
    <w:rsid w:val="009731F2"/>
    <w:rsid w:val="00973254"/>
    <w:rsid w:val="0097325E"/>
    <w:rsid w:val="00973431"/>
    <w:rsid w:val="00973501"/>
    <w:rsid w:val="0097350E"/>
    <w:rsid w:val="0097383B"/>
    <w:rsid w:val="00973863"/>
    <w:rsid w:val="009738E1"/>
    <w:rsid w:val="0097393F"/>
    <w:rsid w:val="00973F33"/>
    <w:rsid w:val="00973F7C"/>
    <w:rsid w:val="00974009"/>
    <w:rsid w:val="0097410A"/>
    <w:rsid w:val="00974385"/>
    <w:rsid w:val="00974445"/>
    <w:rsid w:val="0097490A"/>
    <w:rsid w:val="00974923"/>
    <w:rsid w:val="00974A43"/>
    <w:rsid w:val="00974EC9"/>
    <w:rsid w:val="00974FCD"/>
    <w:rsid w:val="00975039"/>
    <w:rsid w:val="00975413"/>
    <w:rsid w:val="00975AC6"/>
    <w:rsid w:val="00975BFB"/>
    <w:rsid w:val="00975CA1"/>
    <w:rsid w:val="00975E90"/>
    <w:rsid w:val="00975F73"/>
    <w:rsid w:val="009760F5"/>
    <w:rsid w:val="0097610A"/>
    <w:rsid w:val="009762A7"/>
    <w:rsid w:val="00976473"/>
    <w:rsid w:val="00976589"/>
    <w:rsid w:val="00976600"/>
    <w:rsid w:val="009768DB"/>
    <w:rsid w:val="009768F8"/>
    <w:rsid w:val="00976999"/>
    <w:rsid w:val="00976AF9"/>
    <w:rsid w:val="00976CAE"/>
    <w:rsid w:val="00976D41"/>
    <w:rsid w:val="00976E8A"/>
    <w:rsid w:val="00976F85"/>
    <w:rsid w:val="00977240"/>
    <w:rsid w:val="0097734F"/>
    <w:rsid w:val="00977395"/>
    <w:rsid w:val="009773C8"/>
    <w:rsid w:val="00977500"/>
    <w:rsid w:val="009775A1"/>
    <w:rsid w:val="009778B5"/>
    <w:rsid w:val="00977953"/>
    <w:rsid w:val="00977AB7"/>
    <w:rsid w:val="00977FD2"/>
    <w:rsid w:val="00977FDB"/>
    <w:rsid w:val="00980513"/>
    <w:rsid w:val="0098054C"/>
    <w:rsid w:val="00980C73"/>
    <w:rsid w:val="00980D1D"/>
    <w:rsid w:val="00980DE7"/>
    <w:rsid w:val="00980E04"/>
    <w:rsid w:val="00981112"/>
    <w:rsid w:val="009811AC"/>
    <w:rsid w:val="009812D6"/>
    <w:rsid w:val="009813BE"/>
    <w:rsid w:val="00981400"/>
    <w:rsid w:val="0098193F"/>
    <w:rsid w:val="00981F4C"/>
    <w:rsid w:val="00982145"/>
    <w:rsid w:val="009822AA"/>
    <w:rsid w:val="009822B3"/>
    <w:rsid w:val="00982344"/>
    <w:rsid w:val="00982398"/>
    <w:rsid w:val="009825A5"/>
    <w:rsid w:val="00982924"/>
    <w:rsid w:val="00982AE7"/>
    <w:rsid w:val="00982CFB"/>
    <w:rsid w:val="0098314A"/>
    <w:rsid w:val="009833F2"/>
    <w:rsid w:val="009833FF"/>
    <w:rsid w:val="00983439"/>
    <w:rsid w:val="00983500"/>
    <w:rsid w:val="00983BF0"/>
    <w:rsid w:val="00983DC0"/>
    <w:rsid w:val="00983E0C"/>
    <w:rsid w:val="00984058"/>
    <w:rsid w:val="009841BA"/>
    <w:rsid w:val="009847B3"/>
    <w:rsid w:val="00984E29"/>
    <w:rsid w:val="00985008"/>
    <w:rsid w:val="00985180"/>
    <w:rsid w:val="0098525F"/>
    <w:rsid w:val="0098527B"/>
    <w:rsid w:val="00985489"/>
    <w:rsid w:val="009855C4"/>
    <w:rsid w:val="009855F7"/>
    <w:rsid w:val="00985942"/>
    <w:rsid w:val="00985A6E"/>
    <w:rsid w:val="00985C62"/>
    <w:rsid w:val="009863B8"/>
    <w:rsid w:val="00986525"/>
    <w:rsid w:val="0098660F"/>
    <w:rsid w:val="00986610"/>
    <w:rsid w:val="009866B0"/>
    <w:rsid w:val="00986722"/>
    <w:rsid w:val="00986872"/>
    <w:rsid w:val="0098696F"/>
    <w:rsid w:val="00986B1C"/>
    <w:rsid w:val="00986E3C"/>
    <w:rsid w:val="00987042"/>
    <w:rsid w:val="009871CE"/>
    <w:rsid w:val="009877DE"/>
    <w:rsid w:val="00987A70"/>
    <w:rsid w:val="00987CFB"/>
    <w:rsid w:val="00987E20"/>
    <w:rsid w:val="00987F2A"/>
    <w:rsid w:val="009901E0"/>
    <w:rsid w:val="00990458"/>
    <w:rsid w:val="009904EE"/>
    <w:rsid w:val="0099052E"/>
    <w:rsid w:val="009908BA"/>
    <w:rsid w:val="00990A2D"/>
    <w:rsid w:val="00990A49"/>
    <w:rsid w:val="00990C89"/>
    <w:rsid w:val="00990D1B"/>
    <w:rsid w:val="00990E5E"/>
    <w:rsid w:val="00991281"/>
    <w:rsid w:val="00991289"/>
    <w:rsid w:val="009912FB"/>
    <w:rsid w:val="0099155E"/>
    <w:rsid w:val="00991609"/>
    <w:rsid w:val="0099165F"/>
    <w:rsid w:val="00991886"/>
    <w:rsid w:val="00991B28"/>
    <w:rsid w:val="00991CC5"/>
    <w:rsid w:val="00991CED"/>
    <w:rsid w:val="009921B8"/>
    <w:rsid w:val="009922EB"/>
    <w:rsid w:val="009925ED"/>
    <w:rsid w:val="009926A4"/>
    <w:rsid w:val="00992A1A"/>
    <w:rsid w:val="00992C25"/>
    <w:rsid w:val="00992D05"/>
    <w:rsid w:val="00992DDF"/>
    <w:rsid w:val="00992F07"/>
    <w:rsid w:val="009933E5"/>
    <w:rsid w:val="00993651"/>
    <w:rsid w:val="0099373B"/>
    <w:rsid w:val="00993A24"/>
    <w:rsid w:val="00993B87"/>
    <w:rsid w:val="00993D42"/>
    <w:rsid w:val="00993F22"/>
    <w:rsid w:val="00994068"/>
    <w:rsid w:val="0099408B"/>
    <w:rsid w:val="009940E7"/>
    <w:rsid w:val="00994123"/>
    <w:rsid w:val="00994189"/>
    <w:rsid w:val="00994395"/>
    <w:rsid w:val="0099474A"/>
    <w:rsid w:val="00994776"/>
    <w:rsid w:val="0099492C"/>
    <w:rsid w:val="00994AA8"/>
    <w:rsid w:val="00994AF7"/>
    <w:rsid w:val="00994D43"/>
    <w:rsid w:val="00994FED"/>
    <w:rsid w:val="009950DE"/>
    <w:rsid w:val="009951C7"/>
    <w:rsid w:val="009954CD"/>
    <w:rsid w:val="009954F8"/>
    <w:rsid w:val="00995554"/>
    <w:rsid w:val="0099571F"/>
    <w:rsid w:val="009959D0"/>
    <w:rsid w:val="00995ABE"/>
    <w:rsid w:val="009961DC"/>
    <w:rsid w:val="009962FF"/>
    <w:rsid w:val="00996339"/>
    <w:rsid w:val="0099634A"/>
    <w:rsid w:val="00996546"/>
    <w:rsid w:val="009966DE"/>
    <w:rsid w:val="009968B3"/>
    <w:rsid w:val="00996918"/>
    <w:rsid w:val="00996AB4"/>
    <w:rsid w:val="00996AD1"/>
    <w:rsid w:val="00996B51"/>
    <w:rsid w:val="00996D23"/>
    <w:rsid w:val="00997319"/>
    <w:rsid w:val="0099736B"/>
    <w:rsid w:val="00997522"/>
    <w:rsid w:val="00997638"/>
    <w:rsid w:val="00997679"/>
    <w:rsid w:val="009976E0"/>
    <w:rsid w:val="00997925"/>
    <w:rsid w:val="00997B21"/>
    <w:rsid w:val="00997B82"/>
    <w:rsid w:val="00997D6A"/>
    <w:rsid w:val="009A01BA"/>
    <w:rsid w:val="009A06BF"/>
    <w:rsid w:val="009A06D2"/>
    <w:rsid w:val="009A0AA0"/>
    <w:rsid w:val="009A0B45"/>
    <w:rsid w:val="009A0B63"/>
    <w:rsid w:val="009A0C05"/>
    <w:rsid w:val="009A0C27"/>
    <w:rsid w:val="009A0CD8"/>
    <w:rsid w:val="009A0DCA"/>
    <w:rsid w:val="009A0FA8"/>
    <w:rsid w:val="009A0FBE"/>
    <w:rsid w:val="009A1146"/>
    <w:rsid w:val="009A1161"/>
    <w:rsid w:val="009A12E6"/>
    <w:rsid w:val="009A15D9"/>
    <w:rsid w:val="009A197B"/>
    <w:rsid w:val="009A1ABD"/>
    <w:rsid w:val="009A1CFC"/>
    <w:rsid w:val="009A1D35"/>
    <w:rsid w:val="009A1DF2"/>
    <w:rsid w:val="009A1EE2"/>
    <w:rsid w:val="009A1FCD"/>
    <w:rsid w:val="009A1FD6"/>
    <w:rsid w:val="009A24B3"/>
    <w:rsid w:val="009A24ED"/>
    <w:rsid w:val="009A270C"/>
    <w:rsid w:val="009A2742"/>
    <w:rsid w:val="009A275C"/>
    <w:rsid w:val="009A27B8"/>
    <w:rsid w:val="009A2BAC"/>
    <w:rsid w:val="009A2E3A"/>
    <w:rsid w:val="009A3265"/>
    <w:rsid w:val="009A33BF"/>
    <w:rsid w:val="009A33E3"/>
    <w:rsid w:val="009A347B"/>
    <w:rsid w:val="009A3639"/>
    <w:rsid w:val="009A3939"/>
    <w:rsid w:val="009A3992"/>
    <w:rsid w:val="009A39FB"/>
    <w:rsid w:val="009A3AB2"/>
    <w:rsid w:val="009A3BC7"/>
    <w:rsid w:val="009A3E9E"/>
    <w:rsid w:val="009A4013"/>
    <w:rsid w:val="009A4071"/>
    <w:rsid w:val="009A40C3"/>
    <w:rsid w:val="009A41B5"/>
    <w:rsid w:val="009A420F"/>
    <w:rsid w:val="009A4400"/>
    <w:rsid w:val="009A4934"/>
    <w:rsid w:val="009A4D40"/>
    <w:rsid w:val="009A4D96"/>
    <w:rsid w:val="009A4DC7"/>
    <w:rsid w:val="009A4EDF"/>
    <w:rsid w:val="009A5093"/>
    <w:rsid w:val="009A527F"/>
    <w:rsid w:val="009A559E"/>
    <w:rsid w:val="009A5640"/>
    <w:rsid w:val="009A57C4"/>
    <w:rsid w:val="009A57E5"/>
    <w:rsid w:val="009A59C2"/>
    <w:rsid w:val="009A5CF0"/>
    <w:rsid w:val="009A5DE2"/>
    <w:rsid w:val="009A5F78"/>
    <w:rsid w:val="009A601A"/>
    <w:rsid w:val="009A60B6"/>
    <w:rsid w:val="009A60D9"/>
    <w:rsid w:val="009A6284"/>
    <w:rsid w:val="009A640C"/>
    <w:rsid w:val="009A6935"/>
    <w:rsid w:val="009A6968"/>
    <w:rsid w:val="009A6A79"/>
    <w:rsid w:val="009A6C7B"/>
    <w:rsid w:val="009A6E79"/>
    <w:rsid w:val="009A7418"/>
    <w:rsid w:val="009A778E"/>
    <w:rsid w:val="009A77AB"/>
    <w:rsid w:val="009A7A53"/>
    <w:rsid w:val="009A7D4C"/>
    <w:rsid w:val="009A7D5F"/>
    <w:rsid w:val="009A7FF9"/>
    <w:rsid w:val="009B002A"/>
    <w:rsid w:val="009B02C6"/>
    <w:rsid w:val="009B0301"/>
    <w:rsid w:val="009B0745"/>
    <w:rsid w:val="009B0918"/>
    <w:rsid w:val="009B0953"/>
    <w:rsid w:val="009B0D3C"/>
    <w:rsid w:val="009B1081"/>
    <w:rsid w:val="009B1491"/>
    <w:rsid w:val="009B1668"/>
    <w:rsid w:val="009B1819"/>
    <w:rsid w:val="009B1AC6"/>
    <w:rsid w:val="009B1E37"/>
    <w:rsid w:val="009B1E4A"/>
    <w:rsid w:val="009B1FF4"/>
    <w:rsid w:val="009B2048"/>
    <w:rsid w:val="009B2274"/>
    <w:rsid w:val="009B2455"/>
    <w:rsid w:val="009B2677"/>
    <w:rsid w:val="009B28E0"/>
    <w:rsid w:val="009B29F0"/>
    <w:rsid w:val="009B2B1B"/>
    <w:rsid w:val="009B2C65"/>
    <w:rsid w:val="009B2F6D"/>
    <w:rsid w:val="009B2FC5"/>
    <w:rsid w:val="009B3051"/>
    <w:rsid w:val="009B327D"/>
    <w:rsid w:val="009B3371"/>
    <w:rsid w:val="009B3380"/>
    <w:rsid w:val="009B33B6"/>
    <w:rsid w:val="009B35C8"/>
    <w:rsid w:val="009B39CF"/>
    <w:rsid w:val="009B3A80"/>
    <w:rsid w:val="009B3D77"/>
    <w:rsid w:val="009B403B"/>
    <w:rsid w:val="009B4108"/>
    <w:rsid w:val="009B42D6"/>
    <w:rsid w:val="009B4409"/>
    <w:rsid w:val="009B4447"/>
    <w:rsid w:val="009B4781"/>
    <w:rsid w:val="009B4BE8"/>
    <w:rsid w:val="009B4BEE"/>
    <w:rsid w:val="009B516A"/>
    <w:rsid w:val="009B5190"/>
    <w:rsid w:val="009B51C6"/>
    <w:rsid w:val="009B5356"/>
    <w:rsid w:val="009B57EC"/>
    <w:rsid w:val="009B58C3"/>
    <w:rsid w:val="009B59D8"/>
    <w:rsid w:val="009B5A66"/>
    <w:rsid w:val="009B5AA3"/>
    <w:rsid w:val="009B5D5E"/>
    <w:rsid w:val="009B5E20"/>
    <w:rsid w:val="009B5E2E"/>
    <w:rsid w:val="009B606C"/>
    <w:rsid w:val="009B609A"/>
    <w:rsid w:val="009B6533"/>
    <w:rsid w:val="009B65B8"/>
    <w:rsid w:val="009B6650"/>
    <w:rsid w:val="009B671F"/>
    <w:rsid w:val="009B6922"/>
    <w:rsid w:val="009B6989"/>
    <w:rsid w:val="009B6C95"/>
    <w:rsid w:val="009B6D01"/>
    <w:rsid w:val="009B7028"/>
    <w:rsid w:val="009B70D2"/>
    <w:rsid w:val="009B73ED"/>
    <w:rsid w:val="009B760F"/>
    <w:rsid w:val="009B773E"/>
    <w:rsid w:val="009B7C2D"/>
    <w:rsid w:val="009B7C32"/>
    <w:rsid w:val="009B7D74"/>
    <w:rsid w:val="009B7E61"/>
    <w:rsid w:val="009C00F6"/>
    <w:rsid w:val="009C02EA"/>
    <w:rsid w:val="009C037F"/>
    <w:rsid w:val="009C0497"/>
    <w:rsid w:val="009C07B0"/>
    <w:rsid w:val="009C0881"/>
    <w:rsid w:val="009C08A1"/>
    <w:rsid w:val="009C08F7"/>
    <w:rsid w:val="009C0AE8"/>
    <w:rsid w:val="009C0C8C"/>
    <w:rsid w:val="009C1172"/>
    <w:rsid w:val="009C1560"/>
    <w:rsid w:val="009C15AE"/>
    <w:rsid w:val="009C16D0"/>
    <w:rsid w:val="009C19E3"/>
    <w:rsid w:val="009C1A21"/>
    <w:rsid w:val="009C1A77"/>
    <w:rsid w:val="009C1B68"/>
    <w:rsid w:val="009C1DD1"/>
    <w:rsid w:val="009C1E51"/>
    <w:rsid w:val="009C1E91"/>
    <w:rsid w:val="009C1EB5"/>
    <w:rsid w:val="009C20A2"/>
    <w:rsid w:val="009C2364"/>
    <w:rsid w:val="009C23B6"/>
    <w:rsid w:val="009C2500"/>
    <w:rsid w:val="009C2748"/>
    <w:rsid w:val="009C2AEC"/>
    <w:rsid w:val="009C2E62"/>
    <w:rsid w:val="009C31CD"/>
    <w:rsid w:val="009C34E0"/>
    <w:rsid w:val="009C35B5"/>
    <w:rsid w:val="009C372F"/>
    <w:rsid w:val="009C37D2"/>
    <w:rsid w:val="009C38D5"/>
    <w:rsid w:val="009C3C31"/>
    <w:rsid w:val="009C3CB7"/>
    <w:rsid w:val="009C3E51"/>
    <w:rsid w:val="009C3F33"/>
    <w:rsid w:val="009C3F68"/>
    <w:rsid w:val="009C4183"/>
    <w:rsid w:val="009C42FD"/>
    <w:rsid w:val="009C43D6"/>
    <w:rsid w:val="009C44A4"/>
    <w:rsid w:val="009C45B7"/>
    <w:rsid w:val="009C464E"/>
    <w:rsid w:val="009C492A"/>
    <w:rsid w:val="009C49BE"/>
    <w:rsid w:val="009C4BC9"/>
    <w:rsid w:val="009C4CCC"/>
    <w:rsid w:val="009C4DD9"/>
    <w:rsid w:val="009C4E08"/>
    <w:rsid w:val="009C4F44"/>
    <w:rsid w:val="009C520F"/>
    <w:rsid w:val="009C52D2"/>
    <w:rsid w:val="009C5531"/>
    <w:rsid w:val="009C55AD"/>
    <w:rsid w:val="009C55C4"/>
    <w:rsid w:val="009C568D"/>
    <w:rsid w:val="009C56C2"/>
    <w:rsid w:val="009C58D4"/>
    <w:rsid w:val="009C5935"/>
    <w:rsid w:val="009C59AB"/>
    <w:rsid w:val="009C5AC8"/>
    <w:rsid w:val="009C5B14"/>
    <w:rsid w:val="009C5B3C"/>
    <w:rsid w:val="009C5B59"/>
    <w:rsid w:val="009C5C91"/>
    <w:rsid w:val="009C5D35"/>
    <w:rsid w:val="009C5EDA"/>
    <w:rsid w:val="009C5FF6"/>
    <w:rsid w:val="009C6521"/>
    <w:rsid w:val="009C671D"/>
    <w:rsid w:val="009C6E98"/>
    <w:rsid w:val="009C6FF6"/>
    <w:rsid w:val="009C70D0"/>
    <w:rsid w:val="009C7275"/>
    <w:rsid w:val="009C7620"/>
    <w:rsid w:val="009C772E"/>
    <w:rsid w:val="009C7A61"/>
    <w:rsid w:val="009C7A72"/>
    <w:rsid w:val="009C7CB6"/>
    <w:rsid w:val="009C7E47"/>
    <w:rsid w:val="009C7EA5"/>
    <w:rsid w:val="009C7F41"/>
    <w:rsid w:val="009D0264"/>
    <w:rsid w:val="009D04FE"/>
    <w:rsid w:val="009D05B0"/>
    <w:rsid w:val="009D06CE"/>
    <w:rsid w:val="009D07BD"/>
    <w:rsid w:val="009D0E3C"/>
    <w:rsid w:val="009D0F8B"/>
    <w:rsid w:val="009D0FDB"/>
    <w:rsid w:val="009D101E"/>
    <w:rsid w:val="009D1206"/>
    <w:rsid w:val="009D13BA"/>
    <w:rsid w:val="009D1723"/>
    <w:rsid w:val="009D181F"/>
    <w:rsid w:val="009D19D7"/>
    <w:rsid w:val="009D1B66"/>
    <w:rsid w:val="009D1B7C"/>
    <w:rsid w:val="009D1BD1"/>
    <w:rsid w:val="009D1DAA"/>
    <w:rsid w:val="009D1F98"/>
    <w:rsid w:val="009D2161"/>
    <w:rsid w:val="009D23FD"/>
    <w:rsid w:val="009D2460"/>
    <w:rsid w:val="009D263D"/>
    <w:rsid w:val="009D26A2"/>
    <w:rsid w:val="009D2725"/>
    <w:rsid w:val="009D2909"/>
    <w:rsid w:val="009D2B93"/>
    <w:rsid w:val="009D2D62"/>
    <w:rsid w:val="009D2DB8"/>
    <w:rsid w:val="009D2E7C"/>
    <w:rsid w:val="009D2EB1"/>
    <w:rsid w:val="009D3346"/>
    <w:rsid w:val="009D33E5"/>
    <w:rsid w:val="009D34A3"/>
    <w:rsid w:val="009D37B7"/>
    <w:rsid w:val="009D38A2"/>
    <w:rsid w:val="009D3997"/>
    <w:rsid w:val="009D39A6"/>
    <w:rsid w:val="009D3B52"/>
    <w:rsid w:val="009D3B60"/>
    <w:rsid w:val="009D3BA0"/>
    <w:rsid w:val="009D3BB3"/>
    <w:rsid w:val="009D3D47"/>
    <w:rsid w:val="009D3DA0"/>
    <w:rsid w:val="009D3DC4"/>
    <w:rsid w:val="009D4235"/>
    <w:rsid w:val="009D43C9"/>
    <w:rsid w:val="009D4567"/>
    <w:rsid w:val="009D4C15"/>
    <w:rsid w:val="009D4C35"/>
    <w:rsid w:val="009D53C7"/>
    <w:rsid w:val="009D54D6"/>
    <w:rsid w:val="009D57BD"/>
    <w:rsid w:val="009D5A05"/>
    <w:rsid w:val="009D5C09"/>
    <w:rsid w:val="009D5C7A"/>
    <w:rsid w:val="009D5E40"/>
    <w:rsid w:val="009D5E52"/>
    <w:rsid w:val="009D5EF6"/>
    <w:rsid w:val="009D5FF9"/>
    <w:rsid w:val="009D615E"/>
    <w:rsid w:val="009D6306"/>
    <w:rsid w:val="009D665B"/>
    <w:rsid w:val="009D6676"/>
    <w:rsid w:val="009D6DDD"/>
    <w:rsid w:val="009D6EE5"/>
    <w:rsid w:val="009D725A"/>
    <w:rsid w:val="009D7426"/>
    <w:rsid w:val="009D745F"/>
    <w:rsid w:val="009D7585"/>
    <w:rsid w:val="009D75EC"/>
    <w:rsid w:val="009D7882"/>
    <w:rsid w:val="009D794E"/>
    <w:rsid w:val="009D7A88"/>
    <w:rsid w:val="009D7CEB"/>
    <w:rsid w:val="009D7D09"/>
    <w:rsid w:val="009E00F7"/>
    <w:rsid w:val="009E01F8"/>
    <w:rsid w:val="009E053E"/>
    <w:rsid w:val="009E05B4"/>
    <w:rsid w:val="009E074C"/>
    <w:rsid w:val="009E07EF"/>
    <w:rsid w:val="009E088A"/>
    <w:rsid w:val="009E0C4E"/>
    <w:rsid w:val="009E0C8B"/>
    <w:rsid w:val="009E0EBC"/>
    <w:rsid w:val="009E0FD4"/>
    <w:rsid w:val="009E106A"/>
    <w:rsid w:val="009E1133"/>
    <w:rsid w:val="009E166F"/>
    <w:rsid w:val="009E1757"/>
    <w:rsid w:val="009E1887"/>
    <w:rsid w:val="009E189F"/>
    <w:rsid w:val="009E1D42"/>
    <w:rsid w:val="009E1DFF"/>
    <w:rsid w:val="009E2032"/>
    <w:rsid w:val="009E210A"/>
    <w:rsid w:val="009E2211"/>
    <w:rsid w:val="009E237B"/>
    <w:rsid w:val="009E2427"/>
    <w:rsid w:val="009E2469"/>
    <w:rsid w:val="009E2552"/>
    <w:rsid w:val="009E2785"/>
    <w:rsid w:val="009E2832"/>
    <w:rsid w:val="009E2D24"/>
    <w:rsid w:val="009E2E0B"/>
    <w:rsid w:val="009E2E0F"/>
    <w:rsid w:val="009E31ED"/>
    <w:rsid w:val="009E352D"/>
    <w:rsid w:val="009E3999"/>
    <w:rsid w:val="009E3A5E"/>
    <w:rsid w:val="009E3B10"/>
    <w:rsid w:val="009E3DEE"/>
    <w:rsid w:val="009E40B1"/>
    <w:rsid w:val="009E41F8"/>
    <w:rsid w:val="009E4562"/>
    <w:rsid w:val="009E4635"/>
    <w:rsid w:val="009E4757"/>
    <w:rsid w:val="009E49CB"/>
    <w:rsid w:val="009E4B22"/>
    <w:rsid w:val="009E4B9B"/>
    <w:rsid w:val="009E4BB3"/>
    <w:rsid w:val="009E4C06"/>
    <w:rsid w:val="009E4E5F"/>
    <w:rsid w:val="009E4FAB"/>
    <w:rsid w:val="009E52B4"/>
    <w:rsid w:val="009E5387"/>
    <w:rsid w:val="009E5597"/>
    <w:rsid w:val="009E5776"/>
    <w:rsid w:val="009E582C"/>
    <w:rsid w:val="009E593A"/>
    <w:rsid w:val="009E5C02"/>
    <w:rsid w:val="009E5CCD"/>
    <w:rsid w:val="009E5CF9"/>
    <w:rsid w:val="009E5EC0"/>
    <w:rsid w:val="009E5F0C"/>
    <w:rsid w:val="009E614A"/>
    <w:rsid w:val="009E63E9"/>
    <w:rsid w:val="009E658B"/>
    <w:rsid w:val="009E6593"/>
    <w:rsid w:val="009E65C3"/>
    <w:rsid w:val="009E66FA"/>
    <w:rsid w:val="009E67B0"/>
    <w:rsid w:val="009E6990"/>
    <w:rsid w:val="009E6A6D"/>
    <w:rsid w:val="009E6ABF"/>
    <w:rsid w:val="009E6AEA"/>
    <w:rsid w:val="009E6AF8"/>
    <w:rsid w:val="009E6C76"/>
    <w:rsid w:val="009E6F64"/>
    <w:rsid w:val="009E7146"/>
    <w:rsid w:val="009E7263"/>
    <w:rsid w:val="009E739A"/>
    <w:rsid w:val="009E7414"/>
    <w:rsid w:val="009E7490"/>
    <w:rsid w:val="009E777F"/>
    <w:rsid w:val="009E7781"/>
    <w:rsid w:val="009E7C05"/>
    <w:rsid w:val="009E7F07"/>
    <w:rsid w:val="009E7F1D"/>
    <w:rsid w:val="009F028F"/>
    <w:rsid w:val="009F039A"/>
    <w:rsid w:val="009F075B"/>
    <w:rsid w:val="009F0929"/>
    <w:rsid w:val="009F09FC"/>
    <w:rsid w:val="009F0C4C"/>
    <w:rsid w:val="009F0D12"/>
    <w:rsid w:val="009F0DD2"/>
    <w:rsid w:val="009F0E4D"/>
    <w:rsid w:val="009F0E6E"/>
    <w:rsid w:val="009F0F8B"/>
    <w:rsid w:val="009F1070"/>
    <w:rsid w:val="009F110E"/>
    <w:rsid w:val="009F1136"/>
    <w:rsid w:val="009F1272"/>
    <w:rsid w:val="009F12A5"/>
    <w:rsid w:val="009F13BB"/>
    <w:rsid w:val="009F16EA"/>
    <w:rsid w:val="009F1979"/>
    <w:rsid w:val="009F1C0A"/>
    <w:rsid w:val="009F1C8E"/>
    <w:rsid w:val="009F2040"/>
    <w:rsid w:val="009F2074"/>
    <w:rsid w:val="009F20FC"/>
    <w:rsid w:val="009F2190"/>
    <w:rsid w:val="009F234A"/>
    <w:rsid w:val="009F246B"/>
    <w:rsid w:val="009F2666"/>
    <w:rsid w:val="009F27A4"/>
    <w:rsid w:val="009F29B9"/>
    <w:rsid w:val="009F2D3B"/>
    <w:rsid w:val="009F2FCD"/>
    <w:rsid w:val="009F30D2"/>
    <w:rsid w:val="009F30EB"/>
    <w:rsid w:val="009F32EC"/>
    <w:rsid w:val="009F37C8"/>
    <w:rsid w:val="009F38C6"/>
    <w:rsid w:val="009F38FB"/>
    <w:rsid w:val="009F3A6C"/>
    <w:rsid w:val="009F3A77"/>
    <w:rsid w:val="009F3C57"/>
    <w:rsid w:val="009F418A"/>
    <w:rsid w:val="009F450B"/>
    <w:rsid w:val="009F47F3"/>
    <w:rsid w:val="009F47F6"/>
    <w:rsid w:val="009F491D"/>
    <w:rsid w:val="009F4B30"/>
    <w:rsid w:val="009F4DAD"/>
    <w:rsid w:val="009F4E0F"/>
    <w:rsid w:val="009F4EF3"/>
    <w:rsid w:val="009F5170"/>
    <w:rsid w:val="009F53B9"/>
    <w:rsid w:val="009F5402"/>
    <w:rsid w:val="009F55C7"/>
    <w:rsid w:val="009F57C0"/>
    <w:rsid w:val="009F5974"/>
    <w:rsid w:val="009F5CBF"/>
    <w:rsid w:val="009F611C"/>
    <w:rsid w:val="009F61A5"/>
    <w:rsid w:val="009F62C2"/>
    <w:rsid w:val="009F644E"/>
    <w:rsid w:val="009F65CB"/>
    <w:rsid w:val="009F697E"/>
    <w:rsid w:val="009F6AAC"/>
    <w:rsid w:val="009F6C5B"/>
    <w:rsid w:val="009F6C87"/>
    <w:rsid w:val="009F6D74"/>
    <w:rsid w:val="009F6DE2"/>
    <w:rsid w:val="009F6E37"/>
    <w:rsid w:val="009F6E43"/>
    <w:rsid w:val="009F7040"/>
    <w:rsid w:val="009F70DC"/>
    <w:rsid w:val="009F73B9"/>
    <w:rsid w:val="009F744E"/>
    <w:rsid w:val="009F74D2"/>
    <w:rsid w:val="009F769F"/>
    <w:rsid w:val="009F775E"/>
    <w:rsid w:val="009F7799"/>
    <w:rsid w:val="009F77E6"/>
    <w:rsid w:val="009F78F2"/>
    <w:rsid w:val="009F7959"/>
    <w:rsid w:val="009F7AF6"/>
    <w:rsid w:val="009F7DD6"/>
    <w:rsid w:val="00A00133"/>
    <w:rsid w:val="00A002BA"/>
    <w:rsid w:val="00A00501"/>
    <w:rsid w:val="00A005B5"/>
    <w:rsid w:val="00A006FF"/>
    <w:rsid w:val="00A008C3"/>
    <w:rsid w:val="00A009C7"/>
    <w:rsid w:val="00A00A1D"/>
    <w:rsid w:val="00A00BB8"/>
    <w:rsid w:val="00A00CAE"/>
    <w:rsid w:val="00A00CDE"/>
    <w:rsid w:val="00A00D43"/>
    <w:rsid w:val="00A00FD2"/>
    <w:rsid w:val="00A013AF"/>
    <w:rsid w:val="00A01437"/>
    <w:rsid w:val="00A01557"/>
    <w:rsid w:val="00A015AC"/>
    <w:rsid w:val="00A01AE0"/>
    <w:rsid w:val="00A01C4A"/>
    <w:rsid w:val="00A01CB8"/>
    <w:rsid w:val="00A02082"/>
    <w:rsid w:val="00A021E1"/>
    <w:rsid w:val="00A02486"/>
    <w:rsid w:val="00A02515"/>
    <w:rsid w:val="00A02528"/>
    <w:rsid w:val="00A02591"/>
    <w:rsid w:val="00A02698"/>
    <w:rsid w:val="00A0269D"/>
    <w:rsid w:val="00A0277D"/>
    <w:rsid w:val="00A02784"/>
    <w:rsid w:val="00A02B53"/>
    <w:rsid w:val="00A02F3D"/>
    <w:rsid w:val="00A0394E"/>
    <w:rsid w:val="00A03C12"/>
    <w:rsid w:val="00A03C32"/>
    <w:rsid w:val="00A03C7B"/>
    <w:rsid w:val="00A03E32"/>
    <w:rsid w:val="00A04314"/>
    <w:rsid w:val="00A044E1"/>
    <w:rsid w:val="00A045E6"/>
    <w:rsid w:val="00A04710"/>
    <w:rsid w:val="00A0474C"/>
    <w:rsid w:val="00A04967"/>
    <w:rsid w:val="00A04B71"/>
    <w:rsid w:val="00A04DA4"/>
    <w:rsid w:val="00A04DCE"/>
    <w:rsid w:val="00A04F57"/>
    <w:rsid w:val="00A05177"/>
    <w:rsid w:val="00A05365"/>
    <w:rsid w:val="00A05C14"/>
    <w:rsid w:val="00A05CCB"/>
    <w:rsid w:val="00A05CFF"/>
    <w:rsid w:val="00A0627C"/>
    <w:rsid w:val="00A063F7"/>
    <w:rsid w:val="00A064A2"/>
    <w:rsid w:val="00A067F6"/>
    <w:rsid w:val="00A0682E"/>
    <w:rsid w:val="00A0683A"/>
    <w:rsid w:val="00A06928"/>
    <w:rsid w:val="00A06983"/>
    <w:rsid w:val="00A06B2D"/>
    <w:rsid w:val="00A06CAC"/>
    <w:rsid w:val="00A06D05"/>
    <w:rsid w:val="00A06DD9"/>
    <w:rsid w:val="00A07034"/>
    <w:rsid w:val="00A070B1"/>
    <w:rsid w:val="00A0731A"/>
    <w:rsid w:val="00A074A4"/>
    <w:rsid w:val="00A0759F"/>
    <w:rsid w:val="00A07853"/>
    <w:rsid w:val="00A0787A"/>
    <w:rsid w:val="00A078DE"/>
    <w:rsid w:val="00A0790A"/>
    <w:rsid w:val="00A07BE9"/>
    <w:rsid w:val="00A07FF2"/>
    <w:rsid w:val="00A10062"/>
    <w:rsid w:val="00A100BA"/>
    <w:rsid w:val="00A10174"/>
    <w:rsid w:val="00A102DE"/>
    <w:rsid w:val="00A1032E"/>
    <w:rsid w:val="00A10436"/>
    <w:rsid w:val="00A10794"/>
    <w:rsid w:val="00A10916"/>
    <w:rsid w:val="00A109C0"/>
    <w:rsid w:val="00A10BE9"/>
    <w:rsid w:val="00A10DE6"/>
    <w:rsid w:val="00A10E30"/>
    <w:rsid w:val="00A11711"/>
    <w:rsid w:val="00A11EB6"/>
    <w:rsid w:val="00A11EC9"/>
    <w:rsid w:val="00A11F8E"/>
    <w:rsid w:val="00A11FA2"/>
    <w:rsid w:val="00A1201E"/>
    <w:rsid w:val="00A12085"/>
    <w:rsid w:val="00A12248"/>
    <w:rsid w:val="00A123B6"/>
    <w:rsid w:val="00A12484"/>
    <w:rsid w:val="00A1263F"/>
    <w:rsid w:val="00A1270C"/>
    <w:rsid w:val="00A127AE"/>
    <w:rsid w:val="00A127CF"/>
    <w:rsid w:val="00A12922"/>
    <w:rsid w:val="00A1295F"/>
    <w:rsid w:val="00A12A18"/>
    <w:rsid w:val="00A12AD5"/>
    <w:rsid w:val="00A12AF8"/>
    <w:rsid w:val="00A12BDD"/>
    <w:rsid w:val="00A12EBB"/>
    <w:rsid w:val="00A12F5F"/>
    <w:rsid w:val="00A12F76"/>
    <w:rsid w:val="00A13112"/>
    <w:rsid w:val="00A134A6"/>
    <w:rsid w:val="00A1355A"/>
    <w:rsid w:val="00A1363F"/>
    <w:rsid w:val="00A13B1E"/>
    <w:rsid w:val="00A14287"/>
    <w:rsid w:val="00A146E6"/>
    <w:rsid w:val="00A14A24"/>
    <w:rsid w:val="00A14C99"/>
    <w:rsid w:val="00A14D8F"/>
    <w:rsid w:val="00A150B1"/>
    <w:rsid w:val="00A1555C"/>
    <w:rsid w:val="00A1558A"/>
    <w:rsid w:val="00A1570A"/>
    <w:rsid w:val="00A15764"/>
    <w:rsid w:val="00A15900"/>
    <w:rsid w:val="00A15939"/>
    <w:rsid w:val="00A15BEA"/>
    <w:rsid w:val="00A15C36"/>
    <w:rsid w:val="00A15F79"/>
    <w:rsid w:val="00A16095"/>
    <w:rsid w:val="00A16167"/>
    <w:rsid w:val="00A16434"/>
    <w:rsid w:val="00A164E6"/>
    <w:rsid w:val="00A1655B"/>
    <w:rsid w:val="00A16564"/>
    <w:rsid w:val="00A16771"/>
    <w:rsid w:val="00A169DA"/>
    <w:rsid w:val="00A16ADC"/>
    <w:rsid w:val="00A16B13"/>
    <w:rsid w:val="00A16BDE"/>
    <w:rsid w:val="00A16F18"/>
    <w:rsid w:val="00A170C1"/>
    <w:rsid w:val="00A1718E"/>
    <w:rsid w:val="00A1722F"/>
    <w:rsid w:val="00A1737F"/>
    <w:rsid w:val="00A1738A"/>
    <w:rsid w:val="00A1769E"/>
    <w:rsid w:val="00A17703"/>
    <w:rsid w:val="00A17817"/>
    <w:rsid w:val="00A179EA"/>
    <w:rsid w:val="00A17BC9"/>
    <w:rsid w:val="00A17CAB"/>
    <w:rsid w:val="00A200AF"/>
    <w:rsid w:val="00A20330"/>
    <w:rsid w:val="00A20364"/>
    <w:rsid w:val="00A203C1"/>
    <w:rsid w:val="00A20517"/>
    <w:rsid w:val="00A20600"/>
    <w:rsid w:val="00A209FC"/>
    <w:rsid w:val="00A20BB4"/>
    <w:rsid w:val="00A20BF6"/>
    <w:rsid w:val="00A20E56"/>
    <w:rsid w:val="00A21152"/>
    <w:rsid w:val="00A21307"/>
    <w:rsid w:val="00A21370"/>
    <w:rsid w:val="00A2161E"/>
    <w:rsid w:val="00A2177D"/>
    <w:rsid w:val="00A21789"/>
    <w:rsid w:val="00A21886"/>
    <w:rsid w:val="00A21A4B"/>
    <w:rsid w:val="00A21BF5"/>
    <w:rsid w:val="00A21F08"/>
    <w:rsid w:val="00A21FC6"/>
    <w:rsid w:val="00A22163"/>
    <w:rsid w:val="00A22236"/>
    <w:rsid w:val="00A227E4"/>
    <w:rsid w:val="00A22913"/>
    <w:rsid w:val="00A2292D"/>
    <w:rsid w:val="00A22939"/>
    <w:rsid w:val="00A22A17"/>
    <w:rsid w:val="00A22B72"/>
    <w:rsid w:val="00A22CF5"/>
    <w:rsid w:val="00A22E4A"/>
    <w:rsid w:val="00A22E93"/>
    <w:rsid w:val="00A22EEB"/>
    <w:rsid w:val="00A23062"/>
    <w:rsid w:val="00A23753"/>
    <w:rsid w:val="00A2380B"/>
    <w:rsid w:val="00A23CFB"/>
    <w:rsid w:val="00A241D3"/>
    <w:rsid w:val="00A2445D"/>
    <w:rsid w:val="00A244B9"/>
    <w:rsid w:val="00A245F9"/>
    <w:rsid w:val="00A2472F"/>
    <w:rsid w:val="00A24C17"/>
    <w:rsid w:val="00A24D2E"/>
    <w:rsid w:val="00A24DE8"/>
    <w:rsid w:val="00A24E74"/>
    <w:rsid w:val="00A25159"/>
    <w:rsid w:val="00A25291"/>
    <w:rsid w:val="00A25747"/>
    <w:rsid w:val="00A25775"/>
    <w:rsid w:val="00A257CE"/>
    <w:rsid w:val="00A25953"/>
    <w:rsid w:val="00A25C19"/>
    <w:rsid w:val="00A25C9B"/>
    <w:rsid w:val="00A260AB"/>
    <w:rsid w:val="00A26299"/>
    <w:rsid w:val="00A264E4"/>
    <w:rsid w:val="00A26AD7"/>
    <w:rsid w:val="00A26D2A"/>
    <w:rsid w:val="00A26D3D"/>
    <w:rsid w:val="00A26E86"/>
    <w:rsid w:val="00A26ED4"/>
    <w:rsid w:val="00A26F94"/>
    <w:rsid w:val="00A2702C"/>
    <w:rsid w:val="00A27067"/>
    <w:rsid w:val="00A27070"/>
    <w:rsid w:val="00A2766C"/>
    <w:rsid w:val="00A27986"/>
    <w:rsid w:val="00A27D60"/>
    <w:rsid w:val="00A301E0"/>
    <w:rsid w:val="00A302AC"/>
    <w:rsid w:val="00A30397"/>
    <w:rsid w:val="00A306B0"/>
    <w:rsid w:val="00A30AA9"/>
    <w:rsid w:val="00A30B9A"/>
    <w:rsid w:val="00A31317"/>
    <w:rsid w:val="00A31534"/>
    <w:rsid w:val="00A31647"/>
    <w:rsid w:val="00A316ED"/>
    <w:rsid w:val="00A31734"/>
    <w:rsid w:val="00A31AC2"/>
    <w:rsid w:val="00A31CCE"/>
    <w:rsid w:val="00A3203D"/>
    <w:rsid w:val="00A3216C"/>
    <w:rsid w:val="00A321FA"/>
    <w:rsid w:val="00A323AD"/>
    <w:rsid w:val="00A32BAA"/>
    <w:rsid w:val="00A32C85"/>
    <w:rsid w:val="00A32E13"/>
    <w:rsid w:val="00A32E60"/>
    <w:rsid w:val="00A32F32"/>
    <w:rsid w:val="00A33168"/>
    <w:rsid w:val="00A3354E"/>
    <w:rsid w:val="00A337AC"/>
    <w:rsid w:val="00A33CCB"/>
    <w:rsid w:val="00A33DB9"/>
    <w:rsid w:val="00A33EA2"/>
    <w:rsid w:val="00A340A8"/>
    <w:rsid w:val="00A3434B"/>
    <w:rsid w:val="00A343AC"/>
    <w:rsid w:val="00A3467A"/>
    <w:rsid w:val="00A3493F"/>
    <w:rsid w:val="00A349A3"/>
    <w:rsid w:val="00A34FBD"/>
    <w:rsid w:val="00A351A1"/>
    <w:rsid w:val="00A35789"/>
    <w:rsid w:val="00A35943"/>
    <w:rsid w:val="00A35BE9"/>
    <w:rsid w:val="00A35F50"/>
    <w:rsid w:val="00A360BD"/>
    <w:rsid w:val="00A361C1"/>
    <w:rsid w:val="00A3626D"/>
    <w:rsid w:val="00A36371"/>
    <w:rsid w:val="00A3659F"/>
    <w:rsid w:val="00A36873"/>
    <w:rsid w:val="00A36A67"/>
    <w:rsid w:val="00A36D5A"/>
    <w:rsid w:val="00A36D96"/>
    <w:rsid w:val="00A36E20"/>
    <w:rsid w:val="00A36FE5"/>
    <w:rsid w:val="00A37163"/>
    <w:rsid w:val="00A37336"/>
    <w:rsid w:val="00A3762D"/>
    <w:rsid w:val="00A376C5"/>
    <w:rsid w:val="00A37BEF"/>
    <w:rsid w:val="00A37F16"/>
    <w:rsid w:val="00A40236"/>
    <w:rsid w:val="00A403B6"/>
    <w:rsid w:val="00A4054F"/>
    <w:rsid w:val="00A40553"/>
    <w:rsid w:val="00A40972"/>
    <w:rsid w:val="00A40991"/>
    <w:rsid w:val="00A40DF4"/>
    <w:rsid w:val="00A40F2C"/>
    <w:rsid w:val="00A414C4"/>
    <w:rsid w:val="00A415AD"/>
    <w:rsid w:val="00A41897"/>
    <w:rsid w:val="00A41972"/>
    <w:rsid w:val="00A41CD5"/>
    <w:rsid w:val="00A41E22"/>
    <w:rsid w:val="00A41F1D"/>
    <w:rsid w:val="00A41F9E"/>
    <w:rsid w:val="00A4260B"/>
    <w:rsid w:val="00A4273F"/>
    <w:rsid w:val="00A4274D"/>
    <w:rsid w:val="00A4293A"/>
    <w:rsid w:val="00A429DB"/>
    <w:rsid w:val="00A42B86"/>
    <w:rsid w:val="00A42C0D"/>
    <w:rsid w:val="00A42C52"/>
    <w:rsid w:val="00A42E08"/>
    <w:rsid w:val="00A42EF6"/>
    <w:rsid w:val="00A42FFF"/>
    <w:rsid w:val="00A43215"/>
    <w:rsid w:val="00A4329B"/>
    <w:rsid w:val="00A434AE"/>
    <w:rsid w:val="00A43551"/>
    <w:rsid w:val="00A43787"/>
    <w:rsid w:val="00A43895"/>
    <w:rsid w:val="00A4416C"/>
    <w:rsid w:val="00A4430B"/>
    <w:rsid w:val="00A4438C"/>
    <w:rsid w:val="00A444F7"/>
    <w:rsid w:val="00A44590"/>
    <w:rsid w:val="00A445A8"/>
    <w:rsid w:val="00A44813"/>
    <w:rsid w:val="00A44D66"/>
    <w:rsid w:val="00A44E83"/>
    <w:rsid w:val="00A44F49"/>
    <w:rsid w:val="00A45494"/>
    <w:rsid w:val="00A45498"/>
    <w:rsid w:val="00A455CA"/>
    <w:rsid w:val="00A456FD"/>
    <w:rsid w:val="00A45782"/>
    <w:rsid w:val="00A4593D"/>
    <w:rsid w:val="00A45965"/>
    <w:rsid w:val="00A45AD0"/>
    <w:rsid w:val="00A45BF2"/>
    <w:rsid w:val="00A45C69"/>
    <w:rsid w:val="00A45CB6"/>
    <w:rsid w:val="00A45CC2"/>
    <w:rsid w:val="00A45D9C"/>
    <w:rsid w:val="00A45DC3"/>
    <w:rsid w:val="00A45F5A"/>
    <w:rsid w:val="00A45FFC"/>
    <w:rsid w:val="00A461BB"/>
    <w:rsid w:val="00A4625C"/>
    <w:rsid w:val="00A4646C"/>
    <w:rsid w:val="00A46470"/>
    <w:rsid w:val="00A46CE2"/>
    <w:rsid w:val="00A46D9A"/>
    <w:rsid w:val="00A46F37"/>
    <w:rsid w:val="00A46F68"/>
    <w:rsid w:val="00A47085"/>
    <w:rsid w:val="00A471F1"/>
    <w:rsid w:val="00A47250"/>
    <w:rsid w:val="00A473C1"/>
    <w:rsid w:val="00A4764E"/>
    <w:rsid w:val="00A47770"/>
    <w:rsid w:val="00A47915"/>
    <w:rsid w:val="00A47BCD"/>
    <w:rsid w:val="00A501C9"/>
    <w:rsid w:val="00A50464"/>
    <w:rsid w:val="00A50482"/>
    <w:rsid w:val="00A50556"/>
    <w:rsid w:val="00A50AAD"/>
    <w:rsid w:val="00A50DFB"/>
    <w:rsid w:val="00A513DC"/>
    <w:rsid w:val="00A51529"/>
    <w:rsid w:val="00A51568"/>
    <w:rsid w:val="00A51835"/>
    <w:rsid w:val="00A51972"/>
    <w:rsid w:val="00A51CD6"/>
    <w:rsid w:val="00A51F13"/>
    <w:rsid w:val="00A52229"/>
    <w:rsid w:val="00A524F3"/>
    <w:rsid w:val="00A5277B"/>
    <w:rsid w:val="00A52862"/>
    <w:rsid w:val="00A52BD6"/>
    <w:rsid w:val="00A52F7A"/>
    <w:rsid w:val="00A530D1"/>
    <w:rsid w:val="00A5369B"/>
    <w:rsid w:val="00A537E8"/>
    <w:rsid w:val="00A53899"/>
    <w:rsid w:val="00A53AC6"/>
    <w:rsid w:val="00A53BF3"/>
    <w:rsid w:val="00A53E43"/>
    <w:rsid w:val="00A53E6A"/>
    <w:rsid w:val="00A53E6E"/>
    <w:rsid w:val="00A541CC"/>
    <w:rsid w:val="00A54360"/>
    <w:rsid w:val="00A54566"/>
    <w:rsid w:val="00A54590"/>
    <w:rsid w:val="00A5470C"/>
    <w:rsid w:val="00A54880"/>
    <w:rsid w:val="00A54903"/>
    <w:rsid w:val="00A5494F"/>
    <w:rsid w:val="00A54A4F"/>
    <w:rsid w:val="00A54CD7"/>
    <w:rsid w:val="00A54FD7"/>
    <w:rsid w:val="00A54FFA"/>
    <w:rsid w:val="00A55794"/>
    <w:rsid w:val="00A5587B"/>
    <w:rsid w:val="00A558F7"/>
    <w:rsid w:val="00A55B2C"/>
    <w:rsid w:val="00A55DC3"/>
    <w:rsid w:val="00A55EC4"/>
    <w:rsid w:val="00A562FD"/>
    <w:rsid w:val="00A5649A"/>
    <w:rsid w:val="00A564E0"/>
    <w:rsid w:val="00A5654C"/>
    <w:rsid w:val="00A56660"/>
    <w:rsid w:val="00A56662"/>
    <w:rsid w:val="00A56A82"/>
    <w:rsid w:val="00A56B1D"/>
    <w:rsid w:val="00A56CDF"/>
    <w:rsid w:val="00A56EB3"/>
    <w:rsid w:val="00A56EB4"/>
    <w:rsid w:val="00A57180"/>
    <w:rsid w:val="00A5733C"/>
    <w:rsid w:val="00A57377"/>
    <w:rsid w:val="00A573B9"/>
    <w:rsid w:val="00A57AFF"/>
    <w:rsid w:val="00A57BF1"/>
    <w:rsid w:val="00A57D08"/>
    <w:rsid w:val="00A57EB0"/>
    <w:rsid w:val="00A6012B"/>
    <w:rsid w:val="00A602CD"/>
    <w:rsid w:val="00A605BB"/>
    <w:rsid w:val="00A60880"/>
    <w:rsid w:val="00A6098F"/>
    <w:rsid w:val="00A60A89"/>
    <w:rsid w:val="00A60B2E"/>
    <w:rsid w:val="00A60BBC"/>
    <w:rsid w:val="00A60BC0"/>
    <w:rsid w:val="00A60CF1"/>
    <w:rsid w:val="00A60D44"/>
    <w:rsid w:val="00A60DA9"/>
    <w:rsid w:val="00A60DC7"/>
    <w:rsid w:val="00A60DF8"/>
    <w:rsid w:val="00A60E17"/>
    <w:rsid w:val="00A60EB2"/>
    <w:rsid w:val="00A60EC1"/>
    <w:rsid w:val="00A60FD4"/>
    <w:rsid w:val="00A61188"/>
    <w:rsid w:val="00A61441"/>
    <w:rsid w:val="00A61720"/>
    <w:rsid w:val="00A61753"/>
    <w:rsid w:val="00A61A38"/>
    <w:rsid w:val="00A61A82"/>
    <w:rsid w:val="00A61E91"/>
    <w:rsid w:val="00A6212D"/>
    <w:rsid w:val="00A6248E"/>
    <w:rsid w:val="00A62780"/>
    <w:rsid w:val="00A62A02"/>
    <w:rsid w:val="00A62FB1"/>
    <w:rsid w:val="00A62FB6"/>
    <w:rsid w:val="00A630B9"/>
    <w:rsid w:val="00A63236"/>
    <w:rsid w:val="00A6356B"/>
    <w:rsid w:val="00A635B7"/>
    <w:rsid w:val="00A63646"/>
    <w:rsid w:val="00A6370D"/>
    <w:rsid w:val="00A6380D"/>
    <w:rsid w:val="00A63881"/>
    <w:rsid w:val="00A63BF4"/>
    <w:rsid w:val="00A63C46"/>
    <w:rsid w:val="00A63E4B"/>
    <w:rsid w:val="00A6485D"/>
    <w:rsid w:val="00A64998"/>
    <w:rsid w:val="00A64C69"/>
    <w:rsid w:val="00A64DBC"/>
    <w:rsid w:val="00A65038"/>
    <w:rsid w:val="00A650C1"/>
    <w:rsid w:val="00A650E4"/>
    <w:rsid w:val="00A65205"/>
    <w:rsid w:val="00A654F0"/>
    <w:rsid w:val="00A65557"/>
    <w:rsid w:val="00A65A69"/>
    <w:rsid w:val="00A65BEE"/>
    <w:rsid w:val="00A65C35"/>
    <w:rsid w:val="00A65C5B"/>
    <w:rsid w:val="00A65F05"/>
    <w:rsid w:val="00A65F59"/>
    <w:rsid w:val="00A661F7"/>
    <w:rsid w:val="00A66523"/>
    <w:rsid w:val="00A6663C"/>
    <w:rsid w:val="00A66B33"/>
    <w:rsid w:val="00A66B70"/>
    <w:rsid w:val="00A66BDF"/>
    <w:rsid w:val="00A66D8F"/>
    <w:rsid w:val="00A66FF9"/>
    <w:rsid w:val="00A67048"/>
    <w:rsid w:val="00A67060"/>
    <w:rsid w:val="00A670E6"/>
    <w:rsid w:val="00A676F8"/>
    <w:rsid w:val="00A67742"/>
    <w:rsid w:val="00A677D7"/>
    <w:rsid w:val="00A67AA0"/>
    <w:rsid w:val="00A67B1E"/>
    <w:rsid w:val="00A67BA3"/>
    <w:rsid w:val="00A67C30"/>
    <w:rsid w:val="00A67D24"/>
    <w:rsid w:val="00A67D32"/>
    <w:rsid w:val="00A67FA2"/>
    <w:rsid w:val="00A700CC"/>
    <w:rsid w:val="00A701CA"/>
    <w:rsid w:val="00A70855"/>
    <w:rsid w:val="00A7094B"/>
    <w:rsid w:val="00A70DD0"/>
    <w:rsid w:val="00A713AD"/>
    <w:rsid w:val="00A71546"/>
    <w:rsid w:val="00A71768"/>
    <w:rsid w:val="00A7176D"/>
    <w:rsid w:val="00A71857"/>
    <w:rsid w:val="00A718BE"/>
    <w:rsid w:val="00A71A5F"/>
    <w:rsid w:val="00A7207F"/>
    <w:rsid w:val="00A7222C"/>
    <w:rsid w:val="00A72233"/>
    <w:rsid w:val="00A726C7"/>
    <w:rsid w:val="00A7270E"/>
    <w:rsid w:val="00A7271E"/>
    <w:rsid w:val="00A7297C"/>
    <w:rsid w:val="00A7299A"/>
    <w:rsid w:val="00A729D5"/>
    <w:rsid w:val="00A72A18"/>
    <w:rsid w:val="00A72A32"/>
    <w:rsid w:val="00A72A43"/>
    <w:rsid w:val="00A72A76"/>
    <w:rsid w:val="00A72A99"/>
    <w:rsid w:val="00A72B33"/>
    <w:rsid w:val="00A72C6B"/>
    <w:rsid w:val="00A72DFE"/>
    <w:rsid w:val="00A7308F"/>
    <w:rsid w:val="00A73093"/>
    <w:rsid w:val="00A731B5"/>
    <w:rsid w:val="00A73392"/>
    <w:rsid w:val="00A735A9"/>
    <w:rsid w:val="00A736D7"/>
    <w:rsid w:val="00A73863"/>
    <w:rsid w:val="00A73872"/>
    <w:rsid w:val="00A73968"/>
    <w:rsid w:val="00A73982"/>
    <w:rsid w:val="00A73A1B"/>
    <w:rsid w:val="00A73B37"/>
    <w:rsid w:val="00A73F23"/>
    <w:rsid w:val="00A740C4"/>
    <w:rsid w:val="00A7412D"/>
    <w:rsid w:val="00A743D3"/>
    <w:rsid w:val="00A7441C"/>
    <w:rsid w:val="00A74660"/>
    <w:rsid w:val="00A74BF3"/>
    <w:rsid w:val="00A74D23"/>
    <w:rsid w:val="00A74FD6"/>
    <w:rsid w:val="00A751D2"/>
    <w:rsid w:val="00A75252"/>
    <w:rsid w:val="00A75379"/>
    <w:rsid w:val="00A75946"/>
    <w:rsid w:val="00A75A11"/>
    <w:rsid w:val="00A75B4C"/>
    <w:rsid w:val="00A75CF7"/>
    <w:rsid w:val="00A75E2B"/>
    <w:rsid w:val="00A75E4D"/>
    <w:rsid w:val="00A760F9"/>
    <w:rsid w:val="00A7635A"/>
    <w:rsid w:val="00A76666"/>
    <w:rsid w:val="00A76717"/>
    <w:rsid w:val="00A7689F"/>
    <w:rsid w:val="00A76987"/>
    <w:rsid w:val="00A76B18"/>
    <w:rsid w:val="00A76BCD"/>
    <w:rsid w:val="00A76E0D"/>
    <w:rsid w:val="00A77012"/>
    <w:rsid w:val="00A77048"/>
    <w:rsid w:val="00A77131"/>
    <w:rsid w:val="00A772AC"/>
    <w:rsid w:val="00A7792E"/>
    <w:rsid w:val="00A77A77"/>
    <w:rsid w:val="00A77C63"/>
    <w:rsid w:val="00A77D85"/>
    <w:rsid w:val="00A77EE6"/>
    <w:rsid w:val="00A77F04"/>
    <w:rsid w:val="00A77F44"/>
    <w:rsid w:val="00A77FB0"/>
    <w:rsid w:val="00A77FFB"/>
    <w:rsid w:val="00A800FD"/>
    <w:rsid w:val="00A804D8"/>
    <w:rsid w:val="00A804DA"/>
    <w:rsid w:val="00A80591"/>
    <w:rsid w:val="00A805EB"/>
    <w:rsid w:val="00A8067E"/>
    <w:rsid w:val="00A809CC"/>
    <w:rsid w:val="00A80A55"/>
    <w:rsid w:val="00A81319"/>
    <w:rsid w:val="00A813A2"/>
    <w:rsid w:val="00A81404"/>
    <w:rsid w:val="00A815C2"/>
    <w:rsid w:val="00A81646"/>
    <w:rsid w:val="00A81730"/>
    <w:rsid w:val="00A817F1"/>
    <w:rsid w:val="00A818F5"/>
    <w:rsid w:val="00A81A37"/>
    <w:rsid w:val="00A81B1B"/>
    <w:rsid w:val="00A81BD1"/>
    <w:rsid w:val="00A81D62"/>
    <w:rsid w:val="00A81E02"/>
    <w:rsid w:val="00A81F20"/>
    <w:rsid w:val="00A8200D"/>
    <w:rsid w:val="00A822E4"/>
    <w:rsid w:val="00A82650"/>
    <w:rsid w:val="00A8272A"/>
    <w:rsid w:val="00A82731"/>
    <w:rsid w:val="00A8282F"/>
    <w:rsid w:val="00A82982"/>
    <w:rsid w:val="00A82C57"/>
    <w:rsid w:val="00A82E31"/>
    <w:rsid w:val="00A83009"/>
    <w:rsid w:val="00A830B0"/>
    <w:rsid w:val="00A830E5"/>
    <w:rsid w:val="00A83396"/>
    <w:rsid w:val="00A839D2"/>
    <w:rsid w:val="00A83BAA"/>
    <w:rsid w:val="00A83EDB"/>
    <w:rsid w:val="00A841FE"/>
    <w:rsid w:val="00A8426E"/>
    <w:rsid w:val="00A84337"/>
    <w:rsid w:val="00A8452E"/>
    <w:rsid w:val="00A84812"/>
    <w:rsid w:val="00A849EF"/>
    <w:rsid w:val="00A84C81"/>
    <w:rsid w:val="00A84DB6"/>
    <w:rsid w:val="00A84E2A"/>
    <w:rsid w:val="00A84FE5"/>
    <w:rsid w:val="00A8509F"/>
    <w:rsid w:val="00A850CB"/>
    <w:rsid w:val="00A85125"/>
    <w:rsid w:val="00A8531D"/>
    <w:rsid w:val="00A85475"/>
    <w:rsid w:val="00A8556A"/>
    <w:rsid w:val="00A85630"/>
    <w:rsid w:val="00A85647"/>
    <w:rsid w:val="00A857AD"/>
    <w:rsid w:val="00A85EAA"/>
    <w:rsid w:val="00A85F90"/>
    <w:rsid w:val="00A861EF"/>
    <w:rsid w:val="00A867E9"/>
    <w:rsid w:val="00A8680C"/>
    <w:rsid w:val="00A868C5"/>
    <w:rsid w:val="00A86ADA"/>
    <w:rsid w:val="00A86E34"/>
    <w:rsid w:val="00A872E3"/>
    <w:rsid w:val="00A8731C"/>
    <w:rsid w:val="00A8768F"/>
    <w:rsid w:val="00A87B19"/>
    <w:rsid w:val="00A9017B"/>
    <w:rsid w:val="00A901F7"/>
    <w:rsid w:val="00A90233"/>
    <w:rsid w:val="00A9024F"/>
    <w:rsid w:val="00A90365"/>
    <w:rsid w:val="00A903F8"/>
    <w:rsid w:val="00A904EC"/>
    <w:rsid w:val="00A9052E"/>
    <w:rsid w:val="00A905E0"/>
    <w:rsid w:val="00A90646"/>
    <w:rsid w:val="00A90696"/>
    <w:rsid w:val="00A9082B"/>
    <w:rsid w:val="00A90886"/>
    <w:rsid w:val="00A90897"/>
    <w:rsid w:val="00A9097A"/>
    <w:rsid w:val="00A9099D"/>
    <w:rsid w:val="00A90FDC"/>
    <w:rsid w:val="00A9106E"/>
    <w:rsid w:val="00A91180"/>
    <w:rsid w:val="00A91224"/>
    <w:rsid w:val="00A913C7"/>
    <w:rsid w:val="00A914A1"/>
    <w:rsid w:val="00A91517"/>
    <w:rsid w:val="00A9166E"/>
    <w:rsid w:val="00A916CD"/>
    <w:rsid w:val="00A916E3"/>
    <w:rsid w:val="00A91AC9"/>
    <w:rsid w:val="00A91B71"/>
    <w:rsid w:val="00A91CCA"/>
    <w:rsid w:val="00A926A3"/>
    <w:rsid w:val="00A927CE"/>
    <w:rsid w:val="00A92A03"/>
    <w:rsid w:val="00A92B36"/>
    <w:rsid w:val="00A92C48"/>
    <w:rsid w:val="00A92E4C"/>
    <w:rsid w:val="00A92EA6"/>
    <w:rsid w:val="00A92FB2"/>
    <w:rsid w:val="00A93108"/>
    <w:rsid w:val="00A93182"/>
    <w:rsid w:val="00A9386E"/>
    <w:rsid w:val="00A93BA4"/>
    <w:rsid w:val="00A93C15"/>
    <w:rsid w:val="00A93C97"/>
    <w:rsid w:val="00A93CAF"/>
    <w:rsid w:val="00A93D5C"/>
    <w:rsid w:val="00A93F23"/>
    <w:rsid w:val="00A93F4F"/>
    <w:rsid w:val="00A93F71"/>
    <w:rsid w:val="00A9411A"/>
    <w:rsid w:val="00A944AB"/>
    <w:rsid w:val="00A95093"/>
    <w:rsid w:val="00A9526F"/>
    <w:rsid w:val="00A95326"/>
    <w:rsid w:val="00A9532F"/>
    <w:rsid w:val="00A9538F"/>
    <w:rsid w:val="00A954FA"/>
    <w:rsid w:val="00A9583A"/>
    <w:rsid w:val="00A958E5"/>
    <w:rsid w:val="00A958EF"/>
    <w:rsid w:val="00A95D05"/>
    <w:rsid w:val="00A95ECD"/>
    <w:rsid w:val="00A9602B"/>
    <w:rsid w:val="00A963AF"/>
    <w:rsid w:val="00A96524"/>
    <w:rsid w:val="00A96622"/>
    <w:rsid w:val="00A96825"/>
    <w:rsid w:val="00A96C13"/>
    <w:rsid w:val="00A96C32"/>
    <w:rsid w:val="00A96D1F"/>
    <w:rsid w:val="00A972F8"/>
    <w:rsid w:val="00A97A02"/>
    <w:rsid w:val="00A97B5A"/>
    <w:rsid w:val="00A97BE7"/>
    <w:rsid w:val="00A97D94"/>
    <w:rsid w:val="00A97DD9"/>
    <w:rsid w:val="00A97FA3"/>
    <w:rsid w:val="00AA0304"/>
    <w:rsid w:val="00AA0404"/>
    <w:rsid w:val="00AA060F"/>
    <w:rsid w:val="00AA09DA"/>
    <w:rsid w:val="00AA0A4E"/>
    <w:rsid w:val="00AA0D23"/>
    <w:rsid w:val="00AA0D3D"/>
    <w:rsid w:val="00AA1078"/>
    <w:rsid w:val="00AA10E4"/>
    <w:rsid w:val="00AA11B1"/>
    <w:rsid w:val="00AA135A"/>
    <w:rsid w:val="00AA18B5"/>
    <w:rsid w:val="00AA1BF4"/>
    <w:rsid w:val="00AA1E23"/>
    <w:rsid w:val="00AA1E2F"/>
    <w:rsid w:val="00AA1F1D"/>
    <w:rsid w:val="00AA1F40"/>
    <w:rsid w:val="00AA1FAA"/>
    <w:rsid w:val="00AA2076"/>
    <w:rsid w:val="00AA2191"/>
    <w:rsid w:val="00AA22F1"/>
    <w:rsid w:val="00AA241C"/>
    <w:rsid w:val="00AA262A"/>
    <w:rsid w:val="00AA2677"/>
    <w:rsid w:val="00AA27DB"/>
    <w:rsid w:val="00AA294B"/>
    <w:rsid w:val="00AA2AE9"/>
    <w:rsid w:val="00AA2B50"/>
    <w:rsid w:val="00AA2B5B"/>
    <w:rsid w:val="00AA2BE8"/>
    <w:rsid w:val="00AA2D1A"/>
    <w:rsid w:val="00AA3212"/>
    <w:rsid w:val="00AA3223"/>
    <w:rsid w:val="00AA3348"/>
    <w:rsid w:val="00AA33BB"/>
    <w:rsid w:val="00AA34A6"/>
    <w:rsid w:val="00AA3579"/>
    <w:rsid w:val="00AA3666"/>
    <w:rsid w:val="00AA3670"/>
    <w:rsid w:val="00AA3756"/>
    <w:rsid w:val="00AA3899"/>
    <w:rsid w:val="00AA3975"/>
    <w:rsid w:val="00AA3CD1"/>
    <w:rsid w:val="00AA3F19"/>
    <w:rsid w:val="00AA432C"/>
    <w:rsid w:val="00AA4354"/>
    <w:rsid w:val="00AA43C3"/>
    <w:rsid w:val="00AA45CB"/>
    <w:rsid w:val="00AA46E0"/>
    <w:rsid w:val="00AA4787"/>
    <w:rsid w:val="00AA4881"/>
    <w:rsid w:val="00AA49AA"/>
    <w:rsid w:val="00AA4AF4"/>
    <w:rsid w:val="00AA4B5D"/>
    <w:rsid w:val="00AA4B95"/>
    <w:rsid w:val="00AA4C8A"/>
    <w:rsid w:val="00AA4CF6"/>
    <w:rsid w:val="00AA4D37"/>
    <w:rsid w:val="00AA4D96"/>
    <w:rsid w:val="00AA4DBE"/>
    <w:rsid w:val="00AA4EBB"/>
    <w:rsid w:val="00AA4FDC"/>
    <w:rsid w:val="00AA5285"/>
    <w:rsid w:val="00AA53D6"/>
    <w:rsid w:val="00AA552B"/>
    <w:rsid w:val="00AA565C"/>
    <w:rsid w:val="00AA59E5"/>
    <w:rsid w:val="00AA5A7F"/>
    <w:rsid w:val="00AA5C7F"/>
    <w:rsid w:val="00AA6000"/>
    <w:rsid w:val="00AA619D"/>
    <w:rsid w:val="00AA6527"/>
    <w:rsid w:val="00AA6666"/>
    <w:rsid w:val="00AA67A7"/>
    <w:rsid w:val="00AA68F6"/>
    <w:rsid w:val="00AA69E7"/>
    <w:rsid w:val="00AA6C5A"/>
    <w:rsid w:val="00AA7211"/>
    <w:rsid w:val="00AA7250"/>
    <w:rsid w:val="00AA729C"/>
    <w:rsid w:val="00AA7338"/>
    <w:rsid w:val="00AA75F0"/>
    <w:rsid w:val="00AA7824"/>
    <w:rsid w:val="00AA7827"/>
    <w:rsid w:val="00AA79BE"/>
    <w:rsid w:val="00AA7B1B"/>
    <w:rsid w:val="00AA7C03"/>
    <w:rsid w:val="00AA7C44"/>
    <w:rsid w:val="00AA7C4F"/>
    <w:rsid w:val="00AA7EA4"/>
    <w:rsid w:val="00AB0522"/>
    <w:rsid w:val="00AB0641"/>
    <w:rsid w:val="00AB0A97"/>
    <w:rsid w:val="00AB0E74"/>
    <w:rsid w:val="00AB0EAF"/>
    <w:rsid w:val="00AB0F8A"/>
    <w:rsid w:val="00AB0FA0"/>
    <w:rsid w:val="00AB1192"/>
    <w:rsid w:val="00AB13C2"/>
    <w:rsid w:val="00AB13C8"/>
    <w:rsid w:val="00AB14C5"/>
    <w:rsid w:val="00AB152C"/>
    <w:rsid w:val="00AB1690"/>
    <w:rsid w:val="00AB170C"/>
    <w:rsid w:val="00AB1779"/>
    <w:rsid w:val="00AB179C"/>
    <w:rsid w:val="00AB1AC5"/>
    <w:rsid w:val="00AB1AE7"/>
    <w:rsid w:val="00AB1B44"/>
    <w:rsid w:val="00AB1B8E"/>
    <w:rsid w:val="00AB1E3A"/>
    <w:rsid w:val="00AB22BF"/>
    <w:rsid w:val="00AB23DA"/>
    <w:rsid w:val="00AB265A"/>
    <w:rsid w:val="00AB2752"/>
    <w:rsid w:val="00AB27FF"/>
    <w:rsid w:val="00AB2C0B"/>
    <w:rsid w:val="00AB2C77"/>
    <w:rsid w:val="00AB2D50"/>
    <w:rsid w:val="00AB2D59"/>
    <w:rsid w:val="00AB2D6B"/>
    <w:rsid w:val="00AB2FD2"/>
    <w:rsid w:val="00AB30BD"/>
    <w:rsid w:val="00AB3201"/>
    <w:rsid w:val="00AB357B"/>
    <w:rsid w:val="00AB3667"/>
    <w:rsid w:val="00AB3849"/>
    <w:rsid w:val="00AB3873"/>
    <w:rsid w:val="00AB390B"/>
    <w:rsid w:val="00AB3981"/>
    <w:rsid w:val="00AB3AA6"/>
    <w:rsid w:val="00AB3C2B"/>
    <w:rsid w:val="00AB3D10"/>
    <w:rsid w:val="00AB3E05"/>
    <w:rsid w:val="00AB3F01"/>
    <w:rsid w:val="00AB3F6B"/>
    <w:rsid w:val="00AB4197"/>
    <w:rsid w:val="00AB4220"/>
    <w:rsid w:val="00AB42C5"/>
    <w:rsid w:val="00AB44C9"/>
    <w:rsid w:val="00AB4B34"/>
    <w:rsid w:val="00AB4E1D"/>
    <w:rsid w:val="00AB4E49"/>
    <w:rsid w:val="00AB4F59"/>
    <w:rsid w:val="00AB536C"/>
    <w:rsid w:val="00AB537D"/>
    <w:rsid w:val="00AB540E"/>
    <w:rsid w:val="00AB54CD"/>
    <w:rsid w:val="00AB563F"/>
    <w:rsid w:val="00AB56E1"/>
    <w:rsid w:val="00AB570B"/>
    <w:rsid w:val="00AB586E"/>
    <w:rsid w:val="00AB58AA"/>
    <w:rsid w:val="00AB5A6C"/>
    <w:rsid w:val="00AB5DEB"/>
    <w:rsid w:val="00AB60C6"/>
    <w:rsid w:val="00AB67D7"/>
    <w:rsid w:val="00AB6917"/>
    <w:rsid w:val="00AB69EF"/>
    <w:rsid w:val="00AB6AFC"/>
    <w:rsid w:val="00AB6C1A"/>
    <w:rsid w:val="00AB6EB3"/>
    <w:rsid w:val="00AB70F6"/>
    <w:rsid w:val="00AB711E"/>
    <w:rsid w:val="00AB7442"/>
    <w:rsid w:val="00AB788B"/>
    <w:rsid w:val="00AB78B5"/>
    <w:rsid w:val="00AB7919"/>
    <w:rsid w:val="00AB7CEE"/>
    <w:rsid w:val="00AB7D2A"/>
    <w:rsid w:val="00AB7E70"/>
    <w:rsid w:val="00AB7EE1"/>
    <w:rsid w:val="00AC02C7"/>
    <w:rsid w:val="00AC02E9"/>
    <w:rsid w:val="00AC033C"/>
    <w:rsid w:val="00AC0565"/>
    <w:rsid w:val="00AC0604"/>
    <w:rsid w:val="00AC0635"/>
    <w:rsid w:val="00AC0661"/>
    <w:rsid w:val="00AC09F5"/>
    <w:rsid w:val="00AC0ADC"/>
    <w:rsid w:val="00AC0F4B"/>
    <w:rsid w:val="00AC107A"/>
    <w:rsid w:val="00AC118C"/>
    <w:rsid w:val="00AC13BC"/>
    <w:rsid w:val="00AC149F"/>
    <w:rsid w:val="00AC14F4"/>
    <w:rsid w:val="00AC14FE"/>
    <w:rsid w:val="00AC1884"/>
    <w:rsid w:val="00AC18B9"/>
    <w:rsid w:val="00AC18C2"/>
    <w:rsid w:val="00AC1A20"/>
    <w:rsid w:val="00AC1B4A"/>
    <w:rsid w:val="00AC1B5C"/>
    <w:rsid w:val="00AC215D"/>
    <w:rsid w:val="00AC24C1"/>
    <w:rsid w:val="00AC24CF"/>
    <w:rsid w:val="00AC24E7"/>
    <w:rsid w:val="00AC26DD"/>
    <w:rsid w:val="00AC29C2"/>
    <w:rsid w:val="00AC2B0C"/>
    <w:rsid w:val="00AC2B1A"/>
    <w:rsid w:val="00AC2B6E"/>
    <w:rsid w:val="00AC2E3E"/>
    <w:rsid w:val="00AC3074"/>
    <w:rsid w:val="00AC30ED"/>
    <w:rsid w:val="00AC3399"/>
    <w:rsid w:val="00AC3596"/>
    <w:rsid w:val="00AC3621"/>
    <w:rsid w:val="00AC3658"/>
    <w:rsid w:val="00AC3674"/>
    <w:rsid w:val="00AC38D4"/>
    <w:rsid w:val="00AC3AE8"/>
    <w:rsid w:val="00AC3AEB"/>
    <w:rsid w:val="00AC4307"/>
    <w:rsid w:val="00AC43D9"/>
    <w:rsid w:val="00AC43F6"/>
    <w:rsid w:val="00AC466F"/>
    <w:rsid w:val="00AC46A0"/>
    <w:rsid w:val="00AC486D"/>
    <w:rsid w:val="00AC4978"/>
    <w:rsid w:val="00AC4C8A"/>
    <w:rsid w:val="00AC4E8F"/>
    <w:rsid w:val="00AC4F7F"/>
    <w:rsid w:val="00AC5023"/>
    <w:rsid w:val="00AC5048"/>
    <w:rsid w:val="00AC5065"/>
    <w:rsid w:val="00AC50F3"/>
    <w:rsid w:val="00AC514C"/>
    <w:rsid w:val="00AC51B8"/>
    <w:rsid w:val="00AC548A"/>
    <w:rsid w:val="00AC54D6"/>
    <w:rsid w:val="00AC56DB"/>
    <w:rsid w:val="00AC583E"/>
    <w:rsid w:val="00AC5A47"/>
    <w:rsid w:val="00AC5AA0"/>
    <w:rsid w:val="00AC5B03"/>
    <w:rsid w:val="00AC5BE3"/>
    <w:rsid w:val="00AC5F22"/>
    <w:rsid w:val="00AC6085"/>
    <w:rsid w:val="00AC614F"/>
    <w:rsid w:val="00AC633E"/>
    <w:rsid w:val="00AC6497"/>
    <w:rsid w:val="00AC6737"/>
    <w:rsid w:val="00AC6768"/>
    <w:rsid w:val="00AC67F8"/>
    <w:rsid w:val="00AC69BC"/>
    <w:rsid w:val="00AC69E7"/>
    <w:rsid w:val="00AC6C85"/>
    <w:rsid w:val="00AC6C97"/>
    <w:rsid w:val="00AC6D4A"/>
    <w:rsid w:val="00AC6DCA"/>
    <w:rsid w:val="00AC7324"/>
    <w:rsid w:val="00AC7512"/>
    <w:rsid w:val="00AC751B"/>
    <w:rsid w:val="00AC75A2"/>
    <w:rsid w:val="00AC7663"/>
    <w:rsid w:val="00AC7E84"/>
    <w:rsid w:val="00AC7EC7"/>
    <w:rsid w:val="00AD0331"/>
    <w:rsid w:val="00AD0345"/>
    <w:rsid w:val="00AD04A8"/>
    <w:rsid w:val="00AD05E1"/>
    <w:rsid w:val="00AD087D"/>
    <w:rsid w:val="00AD0978"/>
    <w:rsid w:val="00AD0A8E"/>
    <w:rsid w:val="00AD0AF6"/>
    <w:rsid w:val="00AD18CF"/>
    <w:rsid w:val="00AD1983"/>
    <w:rsid w:val="00AD1A45"/>
    <w:rsid w:val="00AD1C04"/>
    <w:rsid w:val="00AD1C44"/>
    <w:rsid w:val="00AD1D5B"/>
    <w:rsid w:val="00AD1EC6"/>
    <w:rsid w:val="00AD2118"/>
    <w:rsid w:val="00AD21FE"/>
    <w:rsid w:val="00AD2229"/>
    <w:rsid w:val="00AD238F"/>
    <w:rsid w:val="00AD269C"/>
    <w:rsid w:val="00AD2AFF"/>
    <w:rsid w:val="00AD2D62"/>
    <w:rsid w:val="00AD2D96"/>
    <w:rsid w:val="00AD2F04"/>
    <w:rsid w:val="00AD2F83"/>
    <w:rsid w:val="00AD303A"/>
    <w:rsid w:val="00AD3081"/>
    <w:rsid w:val="00AD3189"/>
    <w:rsid w:val="00AD32BE"/>
    <w:rsid w:val="00AD3393"/>
    <w:rsid w:val="00AD36BB"/>
    <w:rsid w:val="00AD3778"/>
    <w:rsid w:val="00AD3EFC"/>
    <w:rsid w:val="00AD41C1"/>
    <w:rsid w:val="00AD434D"/>
    <w:rsid w:val="00AD44FA"/>
    <w:rsid w:val="00AD45F8"/>
    <w:rsid w:val="00AD4B04"/>
    <w:rsid w:val="00AD5088"/>
    <w:rsid w:val="00AD52F6"/>
    <w:rsid w:val="00AD5457"/>
    <w:rsid w:val="00AD5487"/>
    <w:rsid w:val="00AD562F"/>
    <w:rsid w:val="00AD5ABA"/>
    <w:rsid w:val="00AD5ABC"/>
    <w:rsid w:val="00AD5EE9"/>
    <w:rsid w:val="00AD5F5D"/>
    <w:rsid w:val="00AD5F95"/>
    <w:rsid w:val="00AD6067"/>
    <w:rsid w:val="00AD620D"/>
    <w:rsid w:val="00AD6294"/>
    <w:rsid w:val="00AD66BF"/>
    <w:rsid w:val="00AD67C1"/>
    <w:rsid w:val="00AD68AC"/>
    <w:rsid w:val="00AD68E6"/>
    <w:rsid w:val="00AD6940"/>
    <w:rsid w:val="00AD6BFC"/>
    <w:rsid w:val="00AD6DEF"/>
    <w:rsid w:val="00AD6E34"/>
    <w:rsid w:val="00AD6E58"/>
    <w:rsid w:val="00AD7145"/>
    <w:rsid w:val="00AD726A"/>
    <w:rsid w:val="00AD752A"/>
    <w:rsid w:val="00AD76D8"/>
    <w:rsid w:val="00AD7780"/>
    <w:rsid w:val="00AD7A3D"/>
    <w:rsid w:val="00AD7C5D"/>
    <w:rsid w:val="00AD7D1B"/>
    <w:rsid w:val="00AD7DB0"/>
    <w:rsid w:val="00AD7E39"/>
    <w:rsid w:val="00AD7ED5"/>
    <w:rsid w:val="00AD7FF2"/>
    <w:rsid w:val="00AD7FF4"/>
    <w:rsid w:val="00AE010B"/>
    <w:rsid w:val="00AE01DC"/>
    <w:rsid w:val="00AE07D1"/>
    <w:rsid w:val="00AE08DA"/>
    <w:rsid w:val="00AE09C4"/>
    <w:rsid w:val="00AE09E5"/>
    <w:rsid w:val="00AE0A57"/>
    <w:rsid w:val="00AE0AF8"/>
    <w:rsid w:val="00AE0D06"/>
    <w:rsid w:val="00AE0E3E"/>
    <w:rsid w:val="00AE0FC1"/>
    <w:rsid w:val="00AE1332"/>
    <w:rsid w:val="00AE15B0"/>
    <w:rsid w:val="00AE16D1"/>
    <w:rsid w:val="00AE1783"/>
    <w:rsid w:val="00AE1922"/>
    <w:rsid w:val="00AE1B57"/>
    <w:rsid w:val="00AE1D85"/>
    <w:rsid w:val="00AE1DF5"/>
    <w:rsid w:val="00AE24CF"/>
    <w:rsid w:val="00AE2683"/>
    <w:rsid w:val="00AE2919"/>
    <w:rsid w:val="00AE2A67"/>
    <w:rsid w:val="00AE2AF6"/>
    <w:rsid w:val="00AE2C30"/>
    <w:rsid w:val="00AE2C88"/>
    <w:rsid w:val="00AE2D13"/>
    <w:rsid w:val="00AE2D30"/>
    <w:rsid w:val="00AE2EF6"/>
    <w:rsid w:val="00AE31E2"/>
    <w:rsid w:val="00AE3359"/>
    <w:rsid w:val="00AE34B5"/>
    <w:rsid w:val="00AE3780"/>
    <w:rsid w:val="00AE3991"/>
    <w:rsid w:val="00AE3CA9"/>
    <w:rsid w:val="00AE3CD4"/>
    <w:rsid w:val="00AE3D96"/>
    <w:rsid w:val="00AE3EC2"/>
    <w:rsid w:val="00AE3EEE"/>
    <w:rsid w:val="00AE3F02"/>
    <w:rsid w:val="00AE4024"/>
    <w:rsid w:val="00AE4248"/>
    <w:rsid w:val="00AE45F8"/>
    <w:rsid w:val="00AE47D8"/>
    <w:rsid w:val="00AE481B"/>
    <w:rsid w:val="00AE49A9"/>
    <w:rsid w:val="00AE4E10"/>
    <w:rsid w:val="00AE4F52"/>
    <w:rsid w:val="00AE514D"/>
    <w:rsid w:val="00AE51B3"/>
    <w:rsid w:val="00AE51D2"/>
    <w:rsid w:val="00AE5385"/>
    <w:rsid w:val="00AE56C3"/>
    <w:rsid w:val="00AE58A5"/>
    <w:rsid w:val="00AE58FB"/>
    <w:rsid w:val="00AE5C04"/>
    <w:rsid w:val="00AE5C17"/>
    <w:rsid w:val="00AE5E33"/>
    <w:rsid w:val="00AE5EF2"/>
    <w:rsid w:val="00AE630F"/>
    <w:rsid w:val="00AE6376"/>
    <w:rsid w:val="00AE6706"/>
    <w:rsid w:val="00AE6AE2"/>
    <w:rsid w:val="00AE6E49"/>
    <w:rsid w:val="00AE6E50"/>
    <w:rsid w:val="00AE7297"/>
    <w:rsid w:val="00AE78F1"/>
    <w:rsid w:val="00AE7AAD"/>
    <w:rsid w:val="00AE7C00"/>
    <w:rsid w:val="00AE7C56"/>
    <w:rsid w:val="00AE7E0D"/>
    <w:rsid w:val="00AE7F44"/>
    <w:rsid w:val="00AF008A"/>
    <w:rsid w:val="00AF0269"/>
    <w:rsid w:val="00AF031E"/>
    <w:rsid w:val="00AF04C1"/>
    <w:rsid w:val="00AF05B7"/>
    <w:rsid w:val="00AF07BF"/>
    <w:rsid w:val="00AF093D"/>
    <w:rsid w:val="00AF0B30"/>
    <w:rsid w:val="00AF0D02"/>
    <w:rsid w:val="00AF0D44"/>
    <w:rsid w:val="00AF1253"/>
    <w:rsid w:val="00AF12A2"/>
    <w:rsid w:val="00AF12D2"/>
    <w:rsid w:val="00AF153B"/>
    <w:rsid w:val="00AF15DD"/>
    <w:rsid w:val="00AF1624"/>
    <w:rsid w:val="00AF1871"/>
    <w:rsid w:val="00AF1A32"/>
    <w:rsid w:val="00AF1BC4"/>
    <w:rsid w:val="00AF1CD2"/>
    <w:rsid w:val="00AF1E34"/>
    <w:rsid w:val="00AF202D"/>
    <w:rsid w:val="00AF211E"/>
    <w:rsid w:val="00AF26AD"/>
    <w:rsid w:val="00AF26F0"/>
    <w:rsid w:val="00AF297F"/>
    <w:rsid w:val="00AF2AB1"/>
    <w:rsid w:val="00AF2AFF"/>
    <w:rsid w:val="00AF2B80"/>
    <w:rsid w:val="00AF2F29"/>
    <w:rsid w:val="00AF303D"/>
    <w:rsid w:val="00AF3295"/>
    <w:rsid w:val="00AF3484"/>
    <w:rsid w:val="00AF3495"/>
    <w:rsid w:val="00AF35EA"/>
    <w:rsid w:val="00AF382A"/>
    <w:rsid w:val="00AF3CBB"/>
    <w:rsid w:val="00AF4217"/>
    <w:rsid w:val="00AF428D"/>
    <w:rsid w:val="00AF46DE"/>
    <w:rsid w:val="00AF47C3"/>
    <w:rsid w:val="00AF491D"/>
    <w:rsid w:val="00AF4B97"/>
    <w:rsid w:val="00AF4F32"/>
    <w:rsid w:val="00AF4F92"/>
    <w:rsid w:val="00AF506A"/>
    <w:rsid w:val="00AF518B"/>
    <w:rsid w:val="00AF5340"/>
    <w:rsid w:val="00AF5579"/>
    <w:rsid w:val="00AF56B3"/>
    <w:rsid w:val="00AF5907"/>
    <w:rsid w:val="00AF5D16"/>
    <w:rsid w:val="00AF5D32"/>
    <w:rsid w:val="00AF5D76"/>
    <w:rsid w:val="00AF5DD2"/>
    <w:rsid w:val="00AF5F9B"/>
    <w:rsid w:val="00AF6125"/>
    <w:rsid w:val="00AF6127"/>
    <w:rsid w:val="00AF6420"/>
    <w:rsid w:val="00AF652F"/>
    <w:rsid w:val="00AF6638"/>
    <w:rsid w:val="00AF6659"/>
    <w:rsid w:val="00AF667A"/>
    <w:rsid w:val="00AF67D1"/>
    <w:rsid w:val="00AF6906"/>
    <w:rsid w:val="00AF691C"/>
    <w:rsid w:val="00AF6A1D"/>
    <w:rsid w:val="00AF6C8C"/>
    <w:rsid w:val="00AF6CE9"/>
    <w:rsid w:val="00AF6FB7"/>
    <w:rsid w:val="00AF7928"/>
    <w:rsid w:val="00AF7B85"/>
    <w:rsid w:val="00AF7B88"/>
    <w:rsid w:val="00B00030"/>
    <w:rsid w:val="00B000B4"/>
    <w:rsid w:val="00B00216"/>
    <w:rsid w:val="00B00351"/>
    <w:rsid w:val="00B003CA"/>
    <w:rsid w:val="00B0043B"/>
    <w:rsid w:val="00B00550"/>
    <w:rsid w:val="00B006D7"/>
    <w:rsid w:val="00B00912"/>
    <w:rsid w:val="00B00936"/>
    <w:rsid w:val="00B00E8E"/>
    <w:rsid w:val="00B00F4E"/>
    <w:rsid w:val="00B01169"/>
    <w:rsid w:val="00B0151E"/>
    <w:rsid w:val="00B01602"/>
    <w:rsid w:val="00B0178C"/>
    <w:rsid w:val="00B01A4E"/>
    <w:rsid w:val="00B01B49"/>
    <w:rsid w:val="00B01E8C"/>
    <w:rsid w:val="00B01F12"/>
    <w:rsid w:val="00B02039"/>
    <w:rsid w:val="00B02275"/>
    <w:rsid w:val="00B02880"/>
    <w:rsid w:val="00B028B4"/>
    <w:rsid w:val="00B03098"/>
    <w:rsid w:val="00B03111"/>
    <w:rsid w:val="00B031B0"/>
    <w:rsid w:val="00B0338E"/>
    <w:rsid w:val="00B03445"/>
    <w:rsid w:val="00B036DE"/>
    <w:rsid w:val="00B038F4"/>
    <w:rsid w:val="00B03B7D"/>
    <w:rsid w:val="00B03D16"/>
    <w:rsid w:val="00B04276"/>
    <w:rsid w:val="00B04279"/>
    <w:rsid w:val="00B04315"/>
    <w:rsid w:val="00B04354"/>
    <w:rsid w:val="00B043A2"/>
    <w:rsid w:val="00B04429"/>
    <w:rsid w:val="00B048DD"/>
    <w:rsid w:val="00B04962"/>
    <w:rsid w:val="00B04A98"/>
    <w:rsid w:val="00B04AF3"/>
    <w:rsid w:val="00B04B10"/>
    <w:rsid w:val="00B04CBC"/>
    <w:rsid w:val="00B04D34"/>
    <w:rsid w:val="00B04D7D"/>
    <w:rsid w:val="00B04EF0"/>
    <w:rsid w:val="00B05136"/>
    <w:rsid w:val="00B0517F"/>
    <w:rsid w:val="00B053F0"/>
    <w:rsid w:val="00B054F5"/>
    <w:rsid w:val="00B0550A"/>
    <w:rsid w:val="00B057B6"/>
    <w:rsid w:val="00B05B19"/>
    <w:rsid w:val="00B05B64"/>
    <w:rsid w:val="00B05E8F"/>
    <w:rsid w:val="00B05F3F"/>
    <w:rsid w:val="00B060A9"/>
    <w:rsid w:val="00B060FF"/>
    <w:rsid w:val="00B063FC"/>
    <w:rsid w:val="00B06830"/>
    <w:rsid w:val="00B06B85"/>
    <w:rsid w:val="00B06CB8"/>
    <w:rsid w:val="00B06D75"/>
    <w:rsid w:val="00B06D8E"/>
    <w:rsid w:val="00B06F9B"/>
    <w:rsid w:val="00B07061"/>
    <w:rsid w:val="00B0718A"/>
    <w:rsid w:val="00B077C5"/>
    <w:rsid w:val="00B077CB"/>
    <w:rsid w:val="00B07906"/>
    <w:rsid w:val="00B07971"/>
    <w:rsid w:val="00B07EFF"/>
    <w:rsid w:val="00B07F55"/>
    <w:rsid w:val="00B100D1"/>
    <w:rsid w:val="00B100D8"/>
    <w:rsid w:val="00B10241"/>
    <w:rsid w:val="00B1043A"/>
    <w:rsid w:val="00B10645"/>
    <w:rsid w:val="00B10675"/>
    <w:rsid w:val="00B10696"/>
    <w:rsid w:val="00B10930"/>
    <w:rsid w:val="00B10E31"/>
    <w:rsid w:val="00B10FE4"/>
    <w:rsid w:val="00B1129D"/>
    <w:rsid w:val="00B114E1"/>
    <w:rsid w:val="00B11501"/>
    <w:rsid w:val="00B11542"/>
    <w:rsid w:val="00B1158F"/>
    <w:rsid w:val="00B11680"/>
    <w:rsid w:val="00B11939"/>
    <w:rsid w:val="00B11B9F"/>
    <w:rsid w:val="00B11BCB"/>
    <w:rsid w:val="00B11D4E"/>
    <w:rsid w:val="00B12165"/>
    <w:rsid w:val="00B12306"/>
    <w:rsid w:val="00B12346"/>
    <w:rsid w:val="00B12371"/>
    <w:rsid w:val="00B12559"/>
    <w:rsid w:val="00B125D1"/>
    <w:rsid w:val="00B1265C"/>
    <w:rsid w:val="00B1269F"/>
    <w:rsid w:val="00B12771"/>
    <w:rsid w:val="00B1285D"/>
    <w:rsid w:val="00B128A9"/>
    <w:rsid w:val="00B129F2"/>
    <w:rsid w:val="00B12BB4"/>
    <w:rsid w:val="00B12C1E"/>
    <w:rsid w:val="00B12E28"/>
    <w:rsid w:val="00B12E29"/>
    <w:rsid w:val="00B13084"/>
    <w:rsid w:val="00B13318"/>
    <w:rsid w:val="00B13336"/>
    <w:rsid w:val="00B136A9"/>
    <w:rsid w:val="00B136EE"/>
    <w:rsid w:val="00B1375E"/>
    <w:rsid w:val="00B13782"/>
    <w:rsid w:val="00B1385F"/>
    <w:rsid w:val="00B138BC"/>
    <w:rsid w:val="00B138E2"/>
    <w:rsid w:val="00B13911"/>
    <w:rsid w:val="00B139DA"/>
    <w:rsid w:val="00B13D10"/>
    <w:rsid w:val="00B13E09"/>
    <w:rsid w:val="00B13F45"/>
    <w:rsid w:val="00B14396"/>
    <w:rsid w:val="00B14595"/>
    <w:rsid w:val="00B145D9"/>
    <w:rsid w:val="00B14799"/>
    <w:rsid w:val="00B14801"/>
    <w:rsid w:val="00B149D4"/>
    <w:rsid w:val="00B14A82"/>
    <w:rsid w:val="00B14AEE"/>
    <w:rsid w:val="00B14C27"/>
    <w:rsid w:val="00B14CCF"/>
    <w:rsid w:val="00B14EFD"/>
    <w:rsid w:val="00B14F75"/>
    <w:rsid w:val="00B151D4"/>
    <w:rsid w:val="00B151E4"/>
    <w:rsid w:val="00B1526A"/>
    <w:rsid w:val="00B15546"/>
    <w:rsid w:val="00B160A4"/>
    <w:rsid w:val="00B16176"/>
    <w:rsid w:val="00B163B5"/>
    <w:rsid w:val="00B163D1"/>
    <w:rsid w:val="00B16807"/>
    <w:rsid w:val="00B168FC"/>
    <w:rsid w:val="00B1694B"/>
    <w:rsid w:val="00B16A47"/>
    <w:rsid w:val="00B16B76"/>
    <w:rsid w:val="00B16E80"/>
    <w:rsid w:val="00B16EBE"/>
    <w:rsid w:val="00B17026"/>
    <w:rsid w:val="00B17041"/>
    <w:rsid w:val="00B173B1"/>
    <w:rsid w:val="00B173B8"/>
    <w:rsid w:val="00B173F1"/>
    <w:rsid w:val="00B17579"/>
    <w:rsid w:val="00B1758A"/>
    <w:rsid w:val="00B17861"/>
    <w:rsid w:val="00B17C94"/>
    <w:rsid w:val="00B17E00"/>
    <w:rsid w:val="00B1DA4A"/>
    <w:rsid w:val="00B200B9"/>
    <w:rsid w:val="00B202B1"/>
    <w:rsid w:val="00B20519"/>
    <w:rsid w:val="00B206B6"/>
    <w:rsid w:val="00B20730"/>
    <w:rsid w:val="00B208DD"/>
    <w:rsid w:val="00B208F6"/>
    <w:rsid w:val="00B2098A"/>
    <w:rsid w:val="00B20A7A"/>
    <w:rsid w:val="00B20AF1"/>
    <w:rsid w:val="00B20C60"/>
    <w:rsid w:val="00B20E70"/>
    <w:rsid w:val="00B20FE3"/>
    <w:rsid w:val="00B21374"/>
    <w:rsid w:val="00B218DB"/>
    <w:rsid w:val="00B2196C"/>
    <w:rsid w:val="00B219F4"/>
    <w:rsid w:val="00B21D0E"/>
    <w:rsid w:val="00B21DEE"/>
    <w:rsid w:val="00B22114"/>
    <w:rsid w:val="00B22265"/>
    <w:rsid w:val="00B22285"/>
    <w:rsid w:val="00B2229F"/>
    <w:rsid w:val="00B222A1"/>
    <w:rsid w:val="00B223B5"/>
    <w:rsid w:val="00B22618"/>
    <w:rsid w:val="00B22633"/>
    <w:rsid w:val="00B227C6"/>
    <w:rsid w:val="00B228C6"/>
    <w:rsid w:val="00B22A3D"/>
    <w:rsid w:val="00B22AC8"/>
    <w:rsid w:val="00B22F21"/>
    <w:rsid w:val="00B2300A"/>
    <w:rsid w:val="00B233E4"/>
    <w:rsid w:val="00B23A9A"/>
    <w:rsid w:val="00B23B4C"/>
    <w:rsid w:val="00B23C7C"/>
    <w:rsid w:val="00B23CF6"/>
    <w:rsid w:val="00B23D1A"/>
    <w:rsid w:val="00B23F1E"/>
    <w:rsid w:val="00B24145"/>
    <w:rsid w:val="00B24414"/>
    <w:rsid w:val="00B24494"/>
    <w:rsid w:val="00B24655"/>
    <w:rsid w:val="00B24877"/>
    <w:rsid w:val="00B2491B"/>
    <w:rsid w:val="00B24A1D"/>
    <w:rsid w:val="00B24CE4"/>
    <w:rsid w:val="00B24DDD"/>
    <w:rsid w:val="00B2507E"/>
    <w:rsid w:val="00B253D8"/>
    <w:rsid w:val="00B25514"/>
    <w:rsid w:val="00B255B1"/>
    <w:rsid w:val="00B255F0"/>
    <w:rsid w:val="00B25618"/>
    <w:rsid w:val="00B2564E"/>
    <w:rsid w:val="00B257E0"/>
    <w:rsid w:val="00B2583E"/>
    <w:rsid w:val="00B25B88"/>
    <w:rsid w:val="00B25EE6"/>
    <w:rsid w:val="00B25EFD"/>
    <w:rsid w:val="00B25F79"/>
    <w:rsid w:val="00B2647E"/>
    <w:rsid w:val="00B26832"/>
    <w:rsid w:val="00B2690B"/>
    <w:rsid w:val="00B269D8"/>
    <w:rsid w:val="00B26A00"/>
    <w:rsid w:val="00B26A59"/>
    <w:rsid w:val="00B26B94"/>
    <w:rsid w:val="00B26E92"/>
    <w:rsid w:val="00B26EC9"/>
    <w:rsid w:val="00B27093"/>
    <w:rsid w:val="00B272AC"/>
    <w:rsid w:val="00B272B4"/>
    <w:rsid w:val="00B27894"/>
    <w:rsid w:val="00B2789E"/>
    <w:rsid w:val="00B27B08"/>
    <w:rsid w:val="00B27B7F"/>
    <w:rsid w:val="00B27B9D"/>
    <w:rsid w:val="00B27E08"/>
    <w:rsid w:val="00B301D5"/>
    <w:rsid w:val="00B30213"/>
    <w:rsid w:val="00B306E7"/>
    <w:rsid w:val="00B30B69"/>
    <w:rsid w:val="00B30B8F"/>
    <w:rsid w:val="00B30F96"/>
    <w:rsid w:val="00B311D2"/>
    <w:rsid w:val="00B31332"/>
    <w:rsid w:val="00B31468"/>
    <w:rsid w:val="00B31487"/>
    <w:rsid w:val="00B31895"/>
    <w:rsid w:val="00B31BAB"/>
    <w:rsid w:val="00B31EA0"/>
    <w:rsid w:val="00B31F6B"/>
    <w:rsid w:val="00B32442"/>
    <w:rsid w:val="00B3279C"/>
    <w:rsid w:val="00B327DB"/>
    <w:rsid w:val="00B328B4"/>
    <w:rsid w:val="00B328C7"/>
    <w:rsid w:val="00B328CF"/>
    <w:rsid w:val="00B32B31"/>
    <w:rsid w:val="00B32CC2"/>
    <w:rsid w:val="00B32D63"/>
    <w:rsid w:val="00B32F9A"/>
    <w:rsid w:val="00B33252"/>
    <w:rsid w:val="00B333DC"/>
    <w:rsid w:val="00B3345E"/>
    <w:rsid w:val="00B3378C"/>
    <w:rsid w:val="00B337EE"/>
    <w:rsid w:val="00B3386E"/>
    <w:rsid w:val="00B338DE"/>
    <w:rsid w:val="00B33B14"/>
    <w:rsid w:val="00B33B1F"/>
    <w:rsid w:val="00B33CB7"/>
    <w:rsid w:val="00B33EC2"/>
    <w:rsid w:val="00B3402F"/>
    <w:rsid w:val="00B340E7"/>
    <w:rsid w:val="00B341EF"/>
    <w:rsid w:val="00B342D5"/>
    <w:rsid w:val="00B3430A"/>
    <w:rsid w:val="00B344C9"/>
    <w:rsid w:val="00B346D1"/>
    <w:rsid w:val="00B3470F"/>
    <w:rsid w:val="00B34914"/>
    <w:rsid w:val="00B34ACC"/>
    <w:rsid w:val="00B34C4C"/>
    <w:rsid w:val="00B34C68"/>
    <w:rsid w:val="00B35078"/>
    <w:rsid w:val="00B3513C"/>
    <w:rsid w:val="00B35147"/>
    <w:rsid w:val="00B35252"/>
    <w:rsid w:val="00B35257"/>
    <w:rsid w:val="00B3527D"/>
    <w:rsid w:val="00B354D7"/>
    <w:rsid w:val="00B35648"/>
    <w:rsid w:val="00B35657"/>
    <w:rsid w:val="00B3593A"/>
    <w:rsid w:val="00B35CA0"/>
    <w:rsid w:val="00B35D07"/>
    <w:rsid w:val="00B362BF"/>
    <w:rsid w:val="00B363CA"/>
    <w:rsid w:val="00B363D7"/>
    <w:rsid w:val="00B36404"/>
    <w:rsid w:val="00B368BA"/>
    <w:rsid w:val="00B369DE"/>
    <w:rsid w:val="00B36A2B"/>
    <w:rsid w:val="00B36B11"/>
    <w:rsid w:val="00B36B3E"/>
    <w:rsid w:val="00B37013"/>
    <w:rsid w:val="00B37121"/>
    <w:rsid w:val="00B371E5"/>
    <w:rsid w:val="00B3720F"/>
    <w:rsid w:val="00B37220"/>
    <w:rsid w:val="00B37232"/>
    <w:rsid w:val="00B376F9"/>
    <w:rsid w:val="00B379DC"/>
    <w:rsid w:val="00B37A16"/>
    <w:rsid w:val="00B37D22"/>
    <w:rsid w:val="00B37D60"/>
    <w:rsid w:val="00B37E94"/>
    <w:rsid w:val="00B40055"/>
    <w:rsid w:val="00B400EB"/>
    <w:rsid w:val="00B400F5"/>
    <w:rsid w:val="00B40156"/>
    <w:rsid w:val="00B40176"/>
    <w:rsid w:val="00B40397"/>
    <w:rsid w:val="00B407F5"/>
    <w:rsid w:val="00B4096F"/>
    <w:rsid w:val="00B40DE2"/>
    <w:rsid w:val="00B40DEE"/>
    <w:rsid w:val="00B40E16"/>
    <w:rsid w:val="00B40F83"/>
    <w:rsid w:val="00B4126D"/>
    <w:rsid w:val="00B412CC"/>
    <w:rsid w:val="00B4130A"/>
    <w:rsid w:val="00B414C4"/>
    <w:rsid w:val="00B417F0"/>
    <w:rsid w:val="00B4186F"/>
    <w:rsid w:val="00B41994"/>
    <w:rsid w:val="00B419D1"/>
    <w:rsid w:val="00B419FD"/>
    <w:rsid w:val="00B41B5B"/>
    <w:rsid w:val="00B41C19"/>
    <w:rsid w:val="00B41D95"/>
    <w:rsid w:val="00B41E60"/>
    <w:rsid w:val="00B41FCC"/>
    <w:rsid w:val="00B420B2"/>
    <w:rsid w:val="00B420DC"/>
    <w:rsid w:val="00B42558"/>
    <w:rsid w:val="00B429D4"/>
    <w:rsid w:val="00B42E16"/>
    <w:rsid w:val="00B432CD"/>
    <w:rsid w:val="00B434C2"/>
    <w:rsid w:val="00B436EF"/>
    <w:rsid w:val="00B4370E"/>
    <w:rsid w:val="00B438C3"/>
    <w:rsid w:val="00B438CE"/>
    <w:rsid w:val="00B43A33"/>
    <w:rsid w:val="00B43B11"/>
    <w:rsid w:val="00B43B8B"/>
    <w:rsid w:val="00B43B9B"/>
    <w:rsid w:val="00B44762"/>
    <w:rsid w:val="00B447D3"/>
    <w:rsid w:val="00B45003"/>
    <w:rsid w:val="00B4523E"/>
    <w:rsid w:val="00B45284"/>
    <w:rsid w:val="00B45457"/>
    <w:rsid w:val="00B455F6"/>
    <w:rsid w:val="00B4565C"/>
    <w:rsid w:val="00B458F3"/>
    <w:rsid w:val="00B45B18"/>
    <w:rsid w:val="00B45D27"/>
    <w:rsid w:val="00B45D99"/>
    <w:rsid w:val="00B45DA8"/>
    <w:rsid w:val="00B45EB5"/>
    <w:rsid w:val="00B46171"/>
    <w:rsid w:val="00B464B1"/>
    <w:rsid w:val="00B464B9"/>
    <w:rsid w:val="00B46D49"/>
    <w:rsid w:val="00B46DB0"/>
    <w:rsid w:val="00B46F79"/>
    <w:rsid w:val="00B46FC5"/>
    <w:rsid w:val="00B47110"/>
    <w:rsid w:val="00B47499"/>
    <w:rsid w:val="00B47799"/>
    <w:rsid w:val="00B4789E"/>
    <w:rsid w:val="00B479A7"/>
    <w:rsid w:val="00B47ADF"/>
    <w:rsid w:val="00B47DCA"/>
    <w:rsid w:val="00B47E1F"/>
    <w:rsid w:val="00B47E31"/>
    <w:rsid w:val="00B47F51"/>
    <w:rsid w:val="00B50621"/>
    <w:rsid w:val="00B5082C"/>
    <w:rsid w:val="00B5089A"/>
    <w:rsid w:val="00B50B43"/>
    <w:rsid w:val="00B50B57"/>
    <w:rsid w:val="00B50C06"/>
    <w:rsid w:val="00B50E60"/>
    <w:rsid w:val="00B50F97"/>
    <w:rsid w:val="00B5100F"/>
    <w:rsid w:val="00B5113A"/>
    <w:rsid w:val="00B51173"/>
    <w:rsid w:val="00B51260"/>
    <w:rsid w:val="00B51346"/>
    <w:rsid w:val="00B513B2"/>
    <w:rsid w:val="00B5169D"/>
    <w:rsid w:val="00B519AE"/>
    <w:rsid w:val="00B51A4C"/>
    <w:rsid w:val="00B5205E"/>
    <w:rsid w:val="00B5207D"/>
    <w:rsid w:val="00B52082"/>
    <w:rsid w:val="00B521A2"/>
    <w:rsid w:val="00B522D4"/>
    <w:rsid w:val="00B524A8"/>
    <w:rsid w:val="00B52BAE"/>
    <w:rsid w:val="00B52E1D"/>
    <w:rsid w:val="00B52E46"/>
    <w:rsid w:val="00B52EDB"/>
    <w:rsid w:val="00B53560"/>
    <w:rsid w:val="00B53E33"/>
    <w:rsid w:val="00B53E48"/>
    <w:rsid w:val="00B53FFF"/>
    <w:rsid w:val="00B540F9"/>
    <w:rsid w:val="00B54252"/>
    <w:rsid w:val="00B54387"/>
    <w:rsid w:val="00B543EE"/>
    <w:rsid w:val="00B54683"/>
    <w:rsid w:val="00B546B6"/>
    <w:rsid w:val="00B546F8"/>
    <w:rsid w:val="00B54753"/>
    <w:rsid w:val="00B54858"/>
    <w:rsid w:val="00B54884"/>
    <w:rsid w:val="00B54890"/>
    <w:rsid w:val="00B54B51"/>
    <w:rsid w:val="00B5501F"/>
    <w:rsid w:val="00B5502A"/>
    <w:rsid w:val="00B55555"/>
    <w:rsid w:val="00B55843"/>
    <w:rsid w:val="00B55940"/>
    <w:rsid w:val="00B55A5C"/>
    <w:rsid w:val="00B55D08"/>
    <w:rsid w:val="00B55E3F"/>
    <w:rsid w:val="00B560F9"/>
    <w:rsid w:val="00B56314"/>
    <w:rsid w:val="00B563E8"/>
    <w:rsid w:val="00B564B4"/>
    <w:rsid w:val="00B56669"/>
    <w:rsid w:val="00B566EB"/>
    <w:rsid w:val="00B568AD"/>
    <w:rsid w:val="00B569EC"/>
    <w:rsid w:val="00B56B5C"/>
    <w:rsid w:val="00B56BB3"/>
    <w:rsid w:val="00B56EB5"/>
    <w:rsid w:val="00B56ECA"/>
    <w:rsid w:val="00B56F8E"/>
    <w:rsid w:val="00B57214"/>
    <w:rsid w:val="00B572E9"/>
    <w:rsid w:val="00B5747C"/>
    <w:rsid w:val="00B576AF"/>
    <w:rsid w:val="00B57715"/>
    <w:rsid w:val="00B5774C"/>
    <w:rsid w:val="00B578D4"/>
    <w:rsid w:val="00B578FA"/>
    <w:rsid w:val="00B57B72"/>
    <w:rsid w:val="00B6011D"/>
    <w:rsid w:val="00B60218"/>
    <w:rsid w:val="00B6025F"/>
    <w:rsid w:val="00B602A8"/>
    <w:rsid w:val="00B6094A"/>
    <w:rsid w:val="00B609EE"/>
    <w:rsid w:val="00B60AF5"/>
    <w:rsid w:val="00B60C12"/>
    <w:rsid w:val="00B60C6E"/>
    <w:rsid w:val="00B60F1F"/>
    <w:rsid w:val="00B610BE"/>
    <w:rsid w:val="00B61192"/>
    <w:rsid w:val="00B61240"/>
    <w:rsid w:val="00B61411"/>
    <w:rsid w:val="00B61539"/>
    <w:rsid w:val="00B618A1"/>
    <w:rsid w:val="00B618C2"/>
    <w:rsid w:val="00B61B23"/>
    <w:rsid w:val="00B61C2A"/>
    <w:rsid w:val="00B61F8F"/>
    <w:rsid w:val="00B6289C"/>
    <w:rsid w:val="00B62990"/>
    <w:rsid w:val="00B62CA5"/>
    <w:rsid w:val="00B62E5A"/>
    <w:rsid w:val="00B6315D"/>
    <w:rsid w:val="00B63247"/>
    <w:rsid w:val="00B632FF"/>
    <w:rsid w:val="00B634AA"/>
    <w:rsid w:val="00B63923"/>
    <w:rsid w:val="00B63B71"/>
    <w:rsid w:val="00B63C9A"/>
    <w:rsid w:val="00B63DF8"/>
    <w:rsid w:val="00B63F31"/>
    <w:rsid w:val="00B63F3A"/>
    <w:rsid w:val="00B64222"/>
    <w:rsid w:val="00B645A1"/>
    <w:rsid w:val="00B648D8"/>
    <w:rsid w:val="00B6496B"/>
    <w:rsid w:val="00B649D6"/>
    <w:rsid w:val="00B64A31"/>
    <w:rsid w:val="00B64AE0"/>
    <w:rsid w:val="00B64B31"/>
    <w:rsid w:val="00B64FBC"/>
    <w:rsid w:val="00B65107"/>
    <w:rsid w:val="00B65169"/>
    <w:rsid w:val="00B6545B"/>
    <w:rsid w:val="00B65A3B"/>
    <w:rsid w:val="00B65A56"/>
    <w:rsid w:val="00B65AD3"/>
    <w:rsid w:val="00B65B72"/>
    <w:rsid w:val="00B65D20"/>
    <w:rsid w:val="00B65D9B"/>
    <w:rsid w:val="00B65F3A"/>
    <w:rsid w:val="00B66020"/>
    <w:rsid w:val="00B6607D"/>
    <w:rsid w:val="00B66105"/>
    <w:rsid w:val="00B663AC"/>
    <w:rsid w:val="00B663F7"/>
    <w:rsid w:val="00B663F8"/>
    <w:rsid w:val="00B66575"/>
    <w:rsid w:val="00B66679"/>
    <w:rsid w:val="00B66792"/>
    <w:rsid w:val="00B66CE6"/>
    <w:rsid w:val="00B66EFE"/>
    <w:rsid w:val="00B66F75"/>
    <w:rsid w:val="00B67062"/>
    <w:rsid w:val="00B67101"/>
    <w:rsid w:val="00B6715C"/>
    <w:rsid w:val="00B6728A"/>
    <w:rsid w:val="00B67348"/>
    <w:rsid w:val="00B679BD"/>
    <w:rsid w:val="00B67EEF"/>
    <w:rsid w:val="00B67FC8"/>
    <w:rsid w:val="00B67FF5"/>
    <w:rsid w:val="00B70046"/>
    <w:rsid w:val="00B702BC"/>
    <w:rsid w:val="00B70397"/>
    <w:rsid w:val="00B70451"/>
    <w:rsid w:val="00B70765"/>
    <w:rsid w:val="00B708B8"/>
    <w:rsid w:val="00B70C21"/>
    <w:rsid w:val="00B70E75"/>
    <w:rsid w:val="00B70FC2"/>
    <w:rsid w:val="00B710BB"/>
    <w:rsid w:val="00B71111"/>
    <w:rsid w:val="00B71596"/>
    <w:rsid w:val="00B71BAD"/>
    <w:rsid w:val="00B7233A"/>
    <w:rsid w:val="00B72431"/>
    <w:rsid w:val="00B72737"/>
    <w:rsid w:val="00B72C8D"/>
    <w:rsid w:val="00B72DE7"/>
    <w:rsid w:val="00B72E2D"/>
    <w:rsid w:val="00B73061"/>
    <w:rsid w:val="00B730D1"/>
    <w:rsid w:val="00B73563"/>
    <w:rsid w:val="00B73584"/>
    <w:rsid w:val="00B73588"/>
    <w:rsid w:val="00B73993"/>
    <w:rsid w:val="00B73AC7"/>
    <w:rsid w:val="00B73B5B"/>
    <w:rsid w:val="00B73DAE"/>
    <w:rsid w:val="00B73FE8"/>
    <w:rsid w:val="00B74072"/>
    <w:rsid w:val="00B74417"/>
    <w:rsid w:val="00B74690"/>
    <w:rsid w:val="00B746A4"/>
    <w:rsid w:val="00B746E1"/>
    <w:rsid w:val="00B74765"/>
    <w:rsid w:val="00B74834"/>
    <w:rsid w:val="00B7499D"/>
    <w:rsid w:val="00B74AF6"/>
    <w:rsid w:val="00B74CB6"/>
    <w:rsid w:val="00B74EA0"/>
    <w:rsid w:val="00B7503C"/>
    <w:rsid w:val="00B751B7"/>
    <w:rsid w:val="00B7548C"/>
    <w:rsid w:val="00B758EA"/>
    <w:rsid w:val="00B76163"/>
    <w:rsid w:val="00B762BB"/>
    <w:rsid w:val="00B763E0"/>
    <w:rsid w:val="00B763EA"/>
    <w:rsid w:val="00B763F4"/>
    <w:rsid w:val="00B764CB"/>
    <w:rsid w:val="00B76A43"/>
    <w:rsid w:val="00B76C72"/>
    <w:rsid w:val="00B76DB1"/>
    <w:rsid w:val="00B76E13"/>
    <w:rsid w:val="00B76E7E"/>
    <w:rsid w:val="00B76E92"/>
    <w:rsid w:val="00B770B9"/>
    <w:rsid w:val="00B770D1"/>
    <w:rsid w:val="00B7729C"/>
    <w:rsid w:val="00B7741A"/>
    <w:rsid w:val="00B774AB"/>
    <w:rsid w:val="00B775D6"/>
    <w:rsid w:val="00B77635"/>
    <w:rsid w:val="00B77711"/>
    <w:rsid w:val="00B777F2"/>
    <w:rsid w:val="00B77982"/>
    <w:rsid w:val="00B77A59"/>
    <w:rsid w:val="00B77D1E"/>
    <w:rsid w:val="00B8013B"/>
    <w:rsid w:val="00B80158"/>
    <w:rsid w:val="00B8029E"/>
    <w:rsid w:val="00B80377"/>
    <w:rsid w:val="00B8045F"/>
    <w:rsid w:val="00B806BC"/>
    <w:rsid w:val="00B806D5"/>
    <w:rsid w:val="00B80728"/>
    <w:rsid w:val="00B8077D"/>
    <w:rsid w:val="00B8084B"/>
    <w:rsid w:val="00B809DD"/>
    <w:rsid w:val="00B80A23"/>
    <w:rsid w:val="00B80D5A"/>
    <w:rsid w:val="00B8118F"/>
    <w:rsid w:val="00B81453"/>
    <w:rsid w:val="00B815B2"/>
    <w:rsid w:val="00B818EB"/>
    <w:rsid w:val="00B81BC4"/>
    <w:rsid w:val="00B81C9E"/>
    <w:rsid w:val="00B81E0B"/>
    <w:rsid w:val="00B81F25"/>
    <w:rsid w:val="00B82047"/>
    <w:rsid w:val="00B8220C"/>
    <w:rsid w:val="00B82859"/>
    <w:rsid w:val="00B8288A"/>
    <w:rsid w:val="00B82914"/>
    <w:rsid w:val="00B82AEC"/>
    <w:rsid w:val="00B82B90"/>
    <w:rsid w:val="00B82BD3"/>
    <w:rsid w:val="00B82F32"/>
    <w:rsid w:val="00B82F65"/>
    <w:rsid w:val="00B832B3"/>
    <w:rsid w:val="00B832EF"/>
    <w:rsid w:val="00B833CB"/>
    <w:rsid w:val="00B83597"/>
    <w:rsid w:val="00B835DA"/>
    <w:rsid w:val="00B836D4"/>
    <w:rsid w:val="00B837F8"/>
    <w:rsid w:val="00B838FC"/>
    <w:rsid w:val="00B83A9C"/>
    <w:rsid w:val="00B83CB4"/>
    <w:rsid w:val="00B84195"/>
    <w:rsid w:val="00B842CF"/>
    <w:rsid w:val="00B84421"/>
    <w:rsid w:val="00B8452D"/>
    <w:rsid w:val="00B849DB"/>
    <w:rsid w:val="00B84D9C"/>
    <w:rsid w:val="00B84FE6"/>
    <w:rsid w:val="00B85676"/>
    <w:rsid w:val="00B8568D"/>
    <w:rsid w:val="00B85ACF"/>
    <w:rsid w:val="00B85E8E"/>
    <w:rsid w:val="00B86079"/>
    <w:rsid w:val="00B8608F"/>
    <w:rsid w:val="00B8614E"/>
    <w:rsid w:val="00B86171"/>
    <w:rsid w:val="00B861E8"/>
    <w:rsid w:val="00B86381"/>
    <w:rsid w:val="00B86718"/>
    <w:rsid w:val="00B8695C"/>
    <w:rsid w:val="00B8698E"/>
    <w:rsid w:val="00B86C20"/>
    <w:rsid w:val="00B86C63"/>
    <w:rsid w:val="00B86DB8"/>
    <w:rsid w:val="00B86E59"/>
    <w:rsid w:val="00B86E6E"/>
    <w:rsid w:val="00B86F40"/>
    <w:rsid w:val="00B86F88"/>
    <w:rsid w:val="00B8703A"/>
    <w:rsid w:val="00B87482"/>
    <w:rsid w:val="00B87515"/>
    <w:rsid w:val="00B87767"/>
    <w:rsid w:val="00B87A9B"/>
    <w:rsid w:val="00B87CD6"/>
    <w:rsid w:val="00B87D59"/>
    <w:rsid w:val="00B87F00"/>
    <w:rsid w:val="00B90114"/>
    <w:rsid w:val="00B90457"/>
    <w:rsid w:val="00B9051A"/>
    <w:rsid w:val="00B90572"/>
    <w:rsid w:val="00B90605"/>
    <w:rsid w:val="00B9098F"/>
    <w:rsid w:val="00B90B02"/>
    <w:rsid w:val="00B91190"/>
    <w:rsid w:val="00B91248"/>
    <w:rsid w:val="00B91273"/>
    <w:rsid w:val="00B912A3"/>
    <w:rsid w:val="00B91653"/>
    <w:rsid w:val="00B91953"/>
    <w:rsid w:val="00B91DC5"/>
    <w:rsid w:val="00B91DCE"/>
    <w:rsid w:val="00B91E82"/>
    <w:rsid w:val="00B922CE"/>
    <w:rsid w:val="00B922E5"/>
    <w:rsid w:val="00B924C6"/>
    <w:rsid w:val="00B92B16"/>
    <w:rsid w:val="00B92D61"/>
    <w:rsid w:val="00B930D9"/>
    <w:rsid w:val="00B9343E"/>
    <w:rsid w:val="00B93471"/>
    <w:rsid w:val="00B93551"/>
    <w:rsid w:val="00B935B4"/>
    <w:rsid w:val="00B936ED"/>
    <w:rsid w:val="00B93C3B"/>
    <w:rsid w:val="00B93F40"/>
    <w:rsid w:val="00B93FCD"/>
    <w:rsid w:val="00B94200"/>
    <w:rsid w:val="00B942F1"/>
    <w:rsid w:val="00B94383"/>
    <w:rsid w:val="00B9453A"/>
    <w:rsid w:val="00B946D3"/>
    <w:rsid w:val="00B9523D"/>
    <w:rsid w:val="00B9536D"/>
    <w:rsid w:val="00B9544F"/>
    <w:rsid w:val="00B954E7"/>
    <w:rsid w:val="00B95927"/>
    <w:rsid w:val="00B959BE"/>
    <w:rsid w:val="00B95A9E"/>
    <w:rsid w:val="00B95BEE"/>
    <w:rsid w:val="00B95FBB"/>
    <w:rsid w:val="00B96285"/>
    <w:rsid w:val="00B963B8"/>
    <w:rsid w:val="00B965D7"/>
    <w:rsid w:val="00B96A27"/>
    <w:rsid w:val="00B96C8B"/>
    <w:rsid w:val="00B97263"/>
    <w:rsid w:val="00B9733A"/>
    <w:rsid w:val="00B9765B"/>
    <w:rsid w:val="00B97861"/>
    <w:rsid w:val="00B97BC9"/>
    <w:rsid w:val="00B97C94"/>
    <w:rsid w:val="00B97DDC"/>
    <w:rsid w:val="00B97E1D"/>
    <w:rsid w:val="00B97FE5"/>
    <w:rsid w:val="00B97FF0"/>
    <w:rsid w:val="00BA003E"/>
    <w:rsid w:val="00BA02AC"/>
    <w:rsid w:val="00BA02F1"/>
    <w:rsid w:val="00BA05E6"/>
    <w:rsid w:val="00BA0697"/>
    <w:rsid w:val="00BA0839"/>
    <w:rsid w:val="00BA0B6D"/>
    <w:rsid w:val="00BA0CA7"/>
    <w:rsid w:val="00BA0F80"/>
    <w:rsid w:val="00BA1042"/>
    <w:rsid w:val="00BA1282"/>
    <w:rsid w:val="00BA1805"/>
    <w:rsid w:val="00BA184A"/>
    <w:rsid w:val="00BA18D5"/>
    <w:rsid w:val="00BA18E5"/>
    <w:rsid w:val="00BA1D6A"/>
    <w:rsid w:val="00BA1F11"/>
    <w:rsid w:val="00BA2047"/>
    <w:rsid w:val="00BA23B1"/>
    <w:rsid w:val="00BA293D"/>
    <w:rsid w:val="00BA3044"/>
    <w:rsid w:val="00BA316B"/>
    <w:rsid w:val="00BA3400"/>
    <w:rsid w:val="00BA341E"/>
    <w:rsid w:val="00BA355D"/>
    <w:rsid w:val="00BA3604"/>
    <w:rsid w:val="00BA369A"/>
    <w:rsid w:val="00BA3882"/>
    <w:rsid w:val="00BA3928"/>
    <w:rsid w:val="00BA3FCD"/>
    <w:rsid w:val="00BA40DC"/>
    <w:rsid w:val="00BA41B0"/>
    <w:rsid w:val="00BA44B6"/>
    <w:rsid w:val="00BA48B6"/>
    <w:rsid w:val="00BA48E0"/>
    <w:rsid w:val="00BA4A5A"/>
    <w:rsid w:val="00BA4B2E"/>
    <w:rsid w:val="00BA4DA8"/>
    <w:rsid w:val="00BA4E84"/>
    <w:rsid w:val="00BA4FAE"/>
    <w:rsid w:val="00BA508A"/>
    <w:rsid w:val="00BA513F"/>
    <w:rsid w:val="00BA51B8"/>
    <w:rsid w:val="00BA53CF"/>
    <w:rsid w:val="00BA5406"/>
    <w:rsid w:val="00BA559B"/>
    <w:rsid w:val="00BA5A9E"/>
    <w:rsid w:val="00BA5AB2"/>
    <w:rsid w:val="00BA5BFC"/>
    <w:rsid w:val="00BA5F1B"/>
    <w:rsid w:val="00BA6187"/>
    <w:rsid w:val="00BA6225"/>
    <w:rsid w:val="00BA6302"/>
    <w:rsid w:val="00BA6591"/>
    <w:rsid w:val="00BA6969"/>
    <w:rsid w:val="00BA6BC6"/>
    <w:rsid w:val="00BA6ED2"/>
    <w:rsid w:val="00BA6EFE"/>
    <w:rsid w:val="00BA6F97"/>
    <w:rsid w:val="00BA7553"/>
    <w:rsid w:val="00BA7613"/>
    <w:rsid w:val="00BA7796"/>
    <w:rsid w:val="00BA7988"/>
    <w:rsid w:val="00BA7AFD"/>
    <w:rsid w:val="00BA7E99"/>
    <w:rsid w:val="00BB0080"/>
    <w:rsid w:val="00BB013E"/>
    <w:rsid w:val="00BB01D1"/>
    <w:rsid w:val="00BB0471"/>
    <w:rsid w:val="00BB049C"/>
    <w:rsid w:val="00BB065D"/>
    <w:rsid w:val="00BB07D2"/>
    <w:rsid w:val="00BB0A1E"/>
    <w:rsid w:val="00BB0BAC"/>
    <w:rsid w:val="00BB0EF9"/>
    <w:rsid w:val="00BB0EFC"/>
    <w:rsid w:val="00BB0F63"/>
    <w:rsid w:val="00BB137D"/>
    <w:rsid w:val="00BB1381"/>
    <w:rsid w:val="00BB14D8"/>
    <w:rsid w:val="00BB1605"/>
    <w:rsid w:val="00BB18FF"/>
    <w:rsid w:val="00BB19B6"/>
    <w:rsid w:val="00BB19E2"/>
    <w:rsid w:val="00BB1CD4"/>
    <w:rsid w:val="00BB1FBC"/>
    <w:rsid w:val="00BB2014"/>
    <w:rsid w:val="00BB2048"/>
    <w:rsid w:val="00BB213E"/>
    <w:rsid w:val="00BB2286"/>
    <w:rsid w:val="00BB22A8"/>
    <w:rsid w:val="00BB2420"/>
    <w:rsid w:val="00BB24E1"/>
    <w:rsid w:val="00BB27B8"/>
    <w:rsid w:val="00BB2B24"/>
    <w:rsid w:val="00BB2C41"/>
    <w:rsid w:val="00BB2CA5"/>
    <w:rsid w:val="00BB2FE3"/>
    <w:rsid w:val="00BB3199"/>
    <w:rsid w:val="00BB31E4"/>
    <w:rsid w:val="00BB333A"/>
    <w:rsid w:val="00BB3465"/>
    <w:rsid w:val="00BB349C"/>
    <w:rsid w:val="00BB35C6"/>
    <w:rsid w:val="00BB3847"/>
    <w:rsid w:val="00BB39D2"/>
    <w:rsid w:val="00BB3D26"/>
    <w:rsid w:val="00BB3FBF"/>
    <w:rsid w:val="00BB3FE4"/>
    <w:rsid w:val="00BB4114"/>
    <w:rsid w:val="00BB42E3"/>
    <w:rsid w:val="00BB433F"/>
    <w:rsid w:val="00BB4356"/>
    <w:rsid w:val="00BB435D"/>
    <w:rsid w:val="00BB4382"/>
    <w:rsid w:val="00BB438A"/>
    <w:rsid w:val="00BB462F"/>
    <w:rsid w:val="00BB47FF"/>
    <w:rsid w:val="00BB4968"/>
    <w:rsid w:val="00BB51B2"/>
    <w:rsid w:val="00BB527B"/>
    <w:rsid w:val="00BB5352"/>
    <w:rsid w:val="00BB556B"/>
    <w:rsid w:val="00BB558F"/>
    <w:rsid w:val="00BB55DC"/>
    <w:rsid w:val="00BB5A4A"/>
    <w:rsid w:val="00BB5BE5"/>
    <w:rsid w:val="00BB5C1F"/>
    <w:rsid w:val="00BB609C"/>
    <w:rsid w:val="00BB612B"/>
    <w:rsid w:val="00BB6183"/>
    <w:rsid w:val="00BB66EB"/>
    <w:rsid w:val="00BB682F"/>
    <w:rsid w:val="00BB69BB"/>
    <w:rsid w:val="00BB6F28"/>
    <w:rsid w:val="00BB7066"/>
    <w:rsid w:val="00BB715B"/>
    <w:rsid w:val="00BB72F6"/>
    <w:rsid w:val="00BB7620"/>
    <w:rsid w:val="00BB7668"/>
    <w:rsid w:val="00BB78B1"/>
    <w:rsid w:val="00BB7929"/>
    <w:rsid w:val="00BB7ACF"/>
    <w:rsid w:val="00BB7D1F"/>
    <w:rsid w:val="00BB7E7F"/>
    <w:rsid w:val="00BB7FBE"/>
    <w:rsid w:val="00BC0506"/>
    <w:rsid w:val="00BC0642"/>
    <w:rsid w:val="00BC0802"/>
    <w:rsid w:val="00BC0822"/>
    <w:rsid w:val="00BC08C1"/>
    <w:rsid w:val="00BC094E"/>
    <w:rsid w:val="00BC0ACB"/>
    <w:rsid w:val="00BC0BA5"/>
    <w:rsid w:val="00BC0E7E"/>
    <w:rsid w:val="00BC10A4"/>
    <w:rsid w:val="00BC10C7"/>
    <w:rsid w:val="00BC12AA"/>
    <w:rsid w:val="00BC1414"/>
    <w:rsid w:val="00BC18D5"/>
    <w:rsid w:val="00BC1AA4"/>
    <w:rsid w:val="00BC1BA0"/>
    <w:rsid w:val="00BC1BDF"/>
    <w:rsid w:val="00BC1F35"/>
    <w:rsid w:val="00BC1FE0"/>
    <w:rsid w:val="00BC205D"/>
    <w:rsid w:val="00BC2241"/>
    <w:rsid w:val="00BC224E"/>
    <w:rsid w:val="00BC2332"/>
    <w:rsid w:val="00BC2344"/>
    <w:rsid w:val="00BC2366"/>
    <w:rsid w:val="00BC2386"/>
    <w:rsid w:val="00BC2500"/>
    <w:rsid w:val="00BC28F8"/>
    <w:rsid w:val="00BC29F1"/>
    <w:rsid w:val="00BC3152"/>
    <w:rsid w:val="00BC3313"/>
    <w:rsid w:val="00BC342A"/>
    <w:rsid w:val="00BC3497"/>
    <w:rsid w:val="00BC367E"/>
    <w:rsid w:val="00BC378A"/>
    <w:rsid w:val="00BC37E2"/>
    <w:rsid w:val="00BC3974"/>
    <w:rsid w:val="00BC39D5"/>
    <w:rsid w:val="00BC3C74"/>
    <w:rsid w:val="00BC3E21"/>
    <w:rsid w:val="00BC4042"/>
    <w:rsid w:val="00BC486F"/>
    <w:rsid w:val="00BC488E"/>
    <w:rsid w:val="00BC4A5C"/>
    <w:rsid w:val="00BC4A77"/>
    <w:rsid w:val="00BC4D05"/>
    <w:rsid w:val="00BC4E3F"/>
    <w:rsid w:val="00BC4E9D"/>
    <w:rsid w:val="00BC4F09"/>
    <w:rsid w:val="00BC5221"/>
    <w:rsid w:val="00BC5306"/>
    <w:rsid w:val="00BC534E"/>
    <w:rsid w:val="00BC576D"/>
    <w:rsid w:val="00BC57E0"/>
    <w:rsid w:val="00BC594C"/>
    <w:rsid w:val="00BC5B18"/>
    <w:rsid w:val="00BC5D0F"/>
    <w:rsid w:val="00BC5D4E"/>
    <w:rsid w:val="00BC5EE2"/>
    <w:rsid w:val="00BC5FA1"/>
    <w:rsid w:val="00BC6011"/>
    <w:rsid w:val="00BC60D6"/>
    <w:rsid w:val="00BC661B"/>
    <w:rsid w:val="00BC688E"/>
    <w:rsid w:val="00BC6B79"/>
    <w:rsid w:val="00BC6C14"/>
    <w:rsid w:val="00BC6DC7"/>
    <w:rsid w:val="00BC6E4B"/>
    <w:rsid w:val="00BC70A8"/>
    <w:rsid w:val="00BC75C5"/>
    <w:rsid w:val="00BC76B5"/>
    <w:rsid w:val="00BC76BC"/>
    <w:rsid w:val="00BC7815"/>
    <w:rsid w:val="00BC7C8C"/>
    <w:rsid w:val="00BC7E34"/>
    <w:rsid w:val="00BC7E92"/>
    <w:rsid w:val="00BC7F60"/>
    <w:rsid w:val="00BD0056"/>
    <w:rsid w:val="00BD0405"/>
    <w:rsid w:val="00BD052C"/>
    <w:rsid w:val="00BD063A"/>
    <w:rsid w:val="00BD081C"/>
    <w:rsid w:val="00BD0DDC"/>
    <w:rsid w:val="00BD0E7F"/>
    <w:rsid w:val="00BD0FC2"/>
    <w:rsid w:val="00BD11CD"/>
    <w:rsid w:val="00BD166D"/>
    <w:rsid w:val="00BD18DA"/>
    <w:rsid w:val="00BD1A1F"/>
    <w:rsid w:val="00BD1F1C"/>
    <w:rsid w:val="00BD2113"/>
    <w:rsid w:val="00BD2556"/>
    <w:rsid w:val="00BD26AD"/>
    <w:rsid w:val="00BD284F"/>
    <w:rsid w:val="00BD3304"/>
    <w:rsid w:val="00BD3C63"/>
    <w:rsid w:val="00BD3CFB"/>
    <w:rsid w:val="00BD3F27"/>
    <w:rsid w:val="00BD3FF5"/>
    <w:rsid w:val="00BD4268"/>
    <w:rsid w:val="00BD432C"/>
    <w:rsid w:val="00BD442A"/>
    <w:rsid w:val="00BD4512"/>
    <w:rsid w:val="00BD4B9C"/>
    <w:rsid w:val="00BD4D2F"/>
    <w:rsid w:val="00BD4F1C"/>
    <w:rsid w:val="00BD500D"/>
    <w:rsid w:val="00BD51CE"/>
    <w:rsid w:val="00BD5450"/>
    <w:rsid w:val="00BD5610"/>
    <w:rsid w:val="00BD5641"/>
    <w:rsid w:val="00BD56AD"/>
    <w:rsid w:val="00BD56D4"/>
    <w:rsid w:val="00BD572A"/>
    <w:rsid w:val="00BD580A"/>
    <w:rsid w:val="00BD5AF5"/>
    <w:rsid w:val="00BD5E2C"/>
    <w:rsid w:val="00BD6126"/>
    <w:rsid w:val="00BD62B9"/>
    <w:rsid w:val="00BD62F3"/>
    <w:rsid w:val="00BD685E"/>
    <w:rsid w:val="00BD6998"/>
    <w:rsid w:val="00BD6D99"/>
    <w:rsid w:val="00BD6FEA"/>
    <w:rsid w:val="00BD7276"/>
    <w:rsid w:val="00BD72F7"/>
    <w:rsid w:val="00BD7695"/>
    <w:rsid w:val="00BD7854"/>
    <w:rsid w:val="00BD791E"/>
    <w:rsid w:val="00BD7A51"/>
    <w:rsid w:val="00BD7E60"/>
    <w:rsid w:val="00BE008D"/>
    <w:rsid w:val="00BE0321"/>
    <w:rsid w:val="00BE0542"/>
    <w:rsid w:val="00BE0596"/>
    <w:rsid w:val="00BE071F"/>
    <w:rsid w:val="00BE0756"/>
    <w:rsid w:val="00BE0A19"/>
    <w:rsid w:val="00BE0A3C"/>
    <w:rsid w:val="00BE0B77"/>
    <w:rsid w:val="00BE0D13"/>
    <w:rsid w:val="00BE11DA"/>
    <w:rsid w:val="00BE15CA"/>
    <w:rsid w:val="00BE1626"/>
    <w:rsid w:val="00BE1740"/>
    <w:rsid w:val="00BE19E0"/>
    <w:rsid w:val="00BE1B87"/>
    <w:rsid w:val="00BE1D9A"/>
    <w:rsid w:val="00BE1DD6"/>
    <w:rsid w:val="00BE1EC1"/>
    <w:rsid w:val="00BE1F57"/>
    <w:rsid w:val="00BE1F5E"/>
    <w:rsid w:val="00BE20D5"/>
    <w:rsid w:val="00BE215A"/>
    <w:rsid w:val="00BE2180"/>
    <w:rsid w:val="00BE2397"/>
    <w:rsid w:val="00BE244B"/>
    <w:rsid w:val="00BE245B"/>
    <w:rsid w:val="00BE27F4"/>
    <w:rsid w:val="00BE29A3"/>
    <w:rsid w:val="00BE29FC"/>
    <w:rsid w:val="00BE2BCE"/>
    <w:rsid w:val="00BE2DC2"/>
    <w:rsid w:val="00BE308D"/>
    <w:rsid w:val="00BE320B"/>
    <w:rsid w:val="00BE34B6"/>
    <w:rsid w:val="00BE36E3"/>
    <w:rsid w:val="00BE3C71"/>
    <w:rsid w:val="00BE3DB6"/>
    <w:rsid w:val="00BE3F46"/>
    <w:rsid w:val="00BE4143"/>
    <w:rsid w:val="00BE42B9"/>
    <w:rsid w:val="00BE4385"/>
    <w:rsid w:val="00BE4718"/>
    <w:rsid w:val="00BE4734"/>
    <w:rsid w:val="00BE4746"/>
    <w:rsid w:val="00BE4ABA"/>
    <w:rsid w:val="00BE4B5F"/>
    <w:rsid w:val="00BE4C8E"/>
    <w:rsid w:val="00BE4CBF"/>
    <w:rsid w:val="00BE4D07"/>
    <w:rsid w:val="00BE4D92"/>
    <w:rsid w:val="00BE4E2A"/>
    <w:rsid w:val="00BE4EFF"/>
    <w:rsid w:val="00BE50E5"/>
    <w:rsid w:val="00BE52D0"/>
    <w:rsid w:val="00BE538E"/>
    <w:rsid w:val="00BE53CD"/>
    <w:rsid w:val="00BE5629"/>
    <w:rsid w:val="00BE5CEA"/>
    <w:rsid w:val="00BE5D07"/>
    <w:rsid w:val="00BE6350"/>
    <w:rsid w:val="00BE647B"/>
    <w:rsid w:val="00BE6483"/>
    <w:rsid w:val="00BE66F1"/>
    <w:rsid w:val="00BE6A11"/>
    <w:rsid w:val="00BE6C51"/>
    <w:rsid w:val="00BE6DE7"/>
    <w:rsid w:val="00BE6F43"/>
    <w:rsid w:val="00BE6F72"/>
    <w:rsid w:val="00BE7444"/>
    <w:rsid w:val="00BE7826"/>
    <w:rsid w:val="00BE7A1D"/>
    <w:rsid w:val="00BE7A4C"/>
    <w:rsid w:val="00BE7F92"/>
    <w:rsid w:val="00BF0633"/>
    <w:rsid w:val="00BF06C9"/>
    <w:rsid w:val="00BF070B"/>
    <w:rsid w:val="00BF0F3F"/>
    <w:rsid w:val="00BF10FE"/>
    <w:rsid w:val="00BF11E4"/>
    <w:rsid w:val="00BF12C4"/>
    <w:rsid w:val="00BF19AC"/>
    <w:rsid w:val="00BF1AC2"/>
    <w:rsid w:val="00BF1CCF"/>
    <w:rsid w:val="00BF1D06"/>
    <w:rsid w:val="00BF1D45"/>
    <w:rsid w:val="00BF1DB3"/>
    <w:rsid w:val="00BF1F31"/>
    <w:rsid w:val="00BF205C"/>
    <w:rsid w:val="00BF208A"/>
    <w:rsid w:val="00BF2218"/>
    <w:rsid w:val="00BF2429"/>
    <w:rsid w:val="00BF24D0"/>
    <w:rsid w:val="00BF2521"/>
    <w:rsid w:val="00BF269C"/>
    <w:rsid w:val="00BF27B4"/>
    <w:rsid w:val="00BF288E"/>
    <w:rsid w:val="00BF2AFE"/>
    <w:rsid w:val="00BF2C5D"/>
    <w:rsid w:val="00BF2F1C"/>
    <w:rsid w:val="00BF35F3"/>
    <w:rsid w:val="00BF38A2"/>
    <w:rsid w:val="00BF3BA7"/>
    <w:rsid w:val="00BF3DAD"/>
    <w:rsid w:val="00BF3F83"/>
    <w:rsid w:val="00BF42D0"/>
    <w:rsid w:val="00BF469D"/>
    <w:rsid w:val="00BF48D7"/>
    <w:rsid w:val="00BF4A51"/>
    <w:rsid w:val="00BF4D9B"/>
    <w:rsid w:val="00BF505F"/>
    <w:rsid w:val="00BF5235"/>
    <w:rsid w:val="00BF5413"/>
    <w:rsid w:val="00BF558C"/>
    <w:rsid w:val="00BF5709"/>
    <w:rsid w:val="00BF5B63"/>
    <w:rsid w:val="00BF5C2E"/>
    <w:rsid w:val="00BF5F01"/>
    <w:rsid w:val="00BF5FC7"/>
    <w:rsid w:val="00BF6080"/>
    <w:rsid w:val="00BF60B4"/>
    <w:rsid w:val="00BF61ED"/>
    <w:rsid w:val="00BF62F7"/>
    <w:rsid w:val="00BF6313"/>
    <w:rsid w:val="00BF63F4"/>
    <w:rsid w:val="00BF64C8"/>
    <w:rsid w:val="00BF67D9"/>
    <w:rsid w:val="00BF6908"/>
    <w:rsid w:val="00BF6A9C"/>
    <w:rsid w:val="00BF6C01"/>
    <w:rsid w:val="00BF6C46"/>
    <w:rsid w:val="00BF6E61"/>
    <w:rsid w:val="00BF6E65"/>
    <w:rsid w:val="00BF7244"/>
    <w:rsid w:val="00BF7892"/>
    <w:rsid w:val="00BF78D8"/>
    <w:rsid w:val="00BF7B6C"/>
    <w:rsid w:val="00BF7C55"/>
    <w:rsid w:val="00C001AE"/>
    <w:rsid w:val="00C001F2"/>
    <w:rsid w:val="00C00324"/>
    <w:rsid w:val="00C007DE"/>
    <w:rsid w:val="00C00896"/>
    <w:rsid w:val="00C00A17"/>
    <w:rsid w:val="00C00DDB"/>
    <w:rsid w:val="00C00E36"/>
    <w:rsid w:val="00C00EAC"/>
    <w:rsid w:val="00C00F12"/>
    <w:rsid w:val="00C01929"/>
    <w:rsid w:val="00C01964"/>
    <w:rsid w:val="00C01A32"/>
    <w:rsid w:val="00C01B96"/>
    <w:rsid w:val="00C01CB0"/>
    <w:rsid w:val="00C01E61"/>
    <w:rsid w:val="00C02267"/>
    <w:rsid w:val="00C02477"/>
    <w:rsid w:val="00C0264A"/>
    <w:rsid w:val="00C026AE"/>
    <w:rsid w:val="00C02841"/>
    <w:rsid w:val="00C02CA6"/>
    <w:rsid w:val="00C02CD1"/>
    <w:rsid w:val="00C02DAE"/>
    <w:rsid w:val="00C0309D"/>
    <w:rsid w:val="00C03179"/>
    <w:rsid w:val="00C032F1"/>
    <w:rsid w:val="00C035E5"/>
    <w:rsid w:val="00C03625"/>
    <w:rsid w:val="00C03A06"/>
    <w:rsid w:val="00C03C71"/>
    <w:rsid w:val="00C03D50"/>
    <w:rsid w:val="00C04059"/>
    <w:rsid w:val="00C0407F"/>
    <w:rsid w:val="00C04605"/>
    <w:rsid w:val="00C04859"/>
    <w:rsid w:val="00C04896"/>
    <w:rsid w:val="00C04A48"/>
    <w:rsid w:val="00C04A6B"/>
    <w:rsid w:val="00C04B87"/>
    <w:rsid w:val="00C04BC1"/>
    <w:rsid w:val="00C04D09"/>
    <w:rsid w:val="00C04DEC"/>
    <w:rsid w:val="00C04E1C"/>
    <w:rsid w:val="00C0505D"/>
    <w:rsid w:val="00C050F6"/>
    <w:rsid w:val="00C05130"/>
    <w:rsid w:val="00C051E4"/>
    <w:rsid w:val="00C052CF"/>
    <w:rsid w:val="00C0547C"/>
    <w:rsid w:val="00C05504"/>
    <w:rsid w:val="00C05671"/>
    <w:rsid w:val="00C0570E"/>
    <w:rsid w:val="00C05797"/>
    <w:rsid w:val="00C05815"/>
    <w:rsid w:val="00C059F6"/>
    <w:rsid w:val="00C05A9C"/>
    <w:rsid w:val="00C05BA9"/>
    <w:rsid w:val="00C05D1A"/>
    <w:rsid w:val="00C05DFD"/>
    <w:rsid w:val="00C05FD5"/>
    <w:rsid w:val="00C0607C"/>
    <w:rsid w:val="00C0630B"/>
    <w:rsid w:val="00C0638C"/>
    <w:rsid w:val="00C064E6"/>
    <w:rsid w:val="00C067DE"/>
    <w:rsid w:val="00C068E4"/>
    <w:rsid w:val="00C0693A"/>
    <w:rsid w:val="00C06A40"/>
    <w:rsid w:val="00C06ADF"/>
    <w:rsid w:val="00C06CBE"/>
    <w:rsid w:val="00C06F30"/>
    <w:rsid w:val="00C06F62"/>
    <w:rsid w:val="00C06F63"/>
    <w:rsid w:val="00C06F86"/>
    <w:rsid w:val="00C073DC"/>
    <w:rsid w:val="00C073FE"/>
    <w:rsid w:val="00C0758C"/>
    <w:rsid w:val="00C075F9"/>
    <w:rsid w:val="00C076F9"/>
    <w:rsid w:val="00C07700"/>
    <w:rsid w:val="00C077C4"/>
    <w:rsid w:val="00C07979"/>
    <w:rsid w:val="00C07A38"/>
    <w:rsid w:val="00C07A6E"/>
    <w:rsid w:val="00C07BCD"/>
    <w:rsid w:val="00C07ECD"/>
    <w:rsid w:val="00C1005E"/>
    <w:rsid w:val="00C101CF"/>
    <w:rsid w:val="00C1043C"/>
    <w:rsid w:val="00C105F2"/>
    <w:rsid w:val="00C10EDD"/>
    <w:rsid w:val="00C10F51"/>
    <w:rsid w:val="00C11010"/>
    <w:rsid w:val="00C11055"/>
    <w:rsid w:val="00C111C8"/>
    <w:rsid w:val="00C11328"/>
    <w:rsid w:val="00C1147B"/>
    <w:rsid w:val="00C1150C"/>
    <w:rsid w:val="00C119CE"/>
    <w:rsid w:val="00C11AE4"/>
    <w:rsid w:val="00C11B06"/>
    <w:rsid w:val="00C1208D"/>
    <w:rsid w:val="00C12155"/>
    <w:rsid w:val="00C122C1"/>
    <w:rsid w:val="00C122E5"/>
    <w:rsid w:val="00C123FC"/>
    <w:rsid w:val="00C12476"/>
    <w:rsid w:val="00C126FA"/>
    <w:rsid w:val="00C1279C"/>
    <w:rsid w:val="00C12D73"/>
    <w:rsid w:val="00C12E5A"/>
    <w:rsid w:val="00C13053"/>
    <w:rsid w:val="00C13187"/>
    <w:rsid w:val="00C13644"/>
    <w:rsid w:val="00C13691"/>
    <w:rsid w:val="00C137B6"/>
    <w:rsid w:val="00C13A6C"/>
    <w:rsid w:val="00C13A74"/>
    <w:rsid w:val="00C13AAF"/>
    <w:rsid w:val="00C13CF1"/>
    <w:rsid w:val="00C13D80"/>
    <w:rsid w:val="00C13E7C"/>
    <w:rsid w:val="00C14211"/>
    <w:rsid w:val="00C14237"/>
    <w:rsid w:val="00C1440E"/>
    <w:rsid w:val="00C147F1"/>
    <w:rsid w:val="00C14ADB"/>
    <w:rsid w:val="00C14C76"/>
    <w:rsid w:val="00C14E97"/>
    <w:rsid w:val="00C151D0"/>
    <w:rsid w:val="00C152C2"/>
    <w:rsid w:val="00C15367"/>
    <w:rsid w:val="00C1537E"/>
    <w:rsid w:val="00C1561E"/>
    <w:rsid w:val="00C156A4"/>
    <w:rsid w:val="00C15718"/>
    <w:rsid w:val="00C15C0E"/>
    <w:rsid w:val="00C15C29"/>
    <w:rsid w:val="00C15CA4"/>
    <w:rsid w:val="00C15E17"/>
    <w:rsid w:val="00C15E53"/>
    <w:rsid w:val="00C15E5F"/>
    <w:rsid w:val="00C16090"/>
    <w:rsid w:val="00C16342"/>
    <w:rsid w:val="00C164C0"/>
    <w:rsid w:val="00C164DD"/>
    <w:rsid w:val="00C1661F"/>
    <w:rsid w:val="00C168A2"/>
    <w:rsid w:val="00C16A22"/>
    <w:rsid w:val="00C16A86"/>
    <w:rsid w:val="00C16CD5"/>
    <w:rsid w:val="00C16E00"/>
    <w:rsid w:val="00C16E5D"/>
    <w:rsid w:val="00C17201"/>
    <w:rsid w:val="00C175A9"/>
    <w:rsid w:val="00C17A60"/>
    <w:rsid w:val="00C200A2"/>
    <w:rsid w:val="00C200B2"/>
    <w:rsid w:val="00C201DB"/>
    <w:rsid w:val="00C20859"/>
    <w:rsid w:val="00C20912"/>
    <w:rsid w:val="00C20A64"/>
    <w:rsid w:val="00C20BF9"/>
    <w:rsid w:val="00C20D18"/>
    <w:rsid w:val="00C20D2C"/>
    <w:rsid w:val="00C20E03"/>
    <w:rsid w:val="00C20E5D"/>
    <w:rsid w:val="00C20F4C"/>
    <w:rsid w:val="00C20FBC"/>
    <w:rsid w:val="00C2106B"/>
    <w:rsid w:val="00C213C4"/>
    <w:rsid w:val="00C213F5"/>
    <w:rsid w:val="00C2141E"/>
    <w:rsid w:val="00C214D3"/>
    <w:rsid w:val="00C21702"/>
    <w:rsid w:val="00C2172C"/>
    <w:rsid w:val="00C21856"/>
    <w:rsid w:val="00C219A2"/>
    <w:rsid w:val="00C219B5"/>
    <w:rsid w:val="00C219FE"/>
    <w:rsid w:val="00C21B3A"/>
    <w:rsid w:val="00C21D64"/>
    <w:rsid w:val="00C21E2B"/>
    <w:rsid w:val="00C21FF2"/>
    <w:rsid w:val="00C22207"/>
    <w:rsid w:val="00C22294"/>
    <w:rsid w:val="00C2234B"/>
    <w:rsid w:val="00C2241C"/>
    <w:rsid w:val="00C22421"/>
    <w:rsid w:val="00C2266E"/>
    <w:rsid w:val="00C22783"/>
    <w:rsid w:val="00C227E7"/>
    <w:rsid w:val="00C229AC"/>
    <w:rsid w:val="00C229FE"/>
    <w:rsid w:val="00C22A7E"/>
    <w:rsid w:val="00C22B11"/>
    <w:rsid w:val="00C22F46"/>
    <w:rsid w:val="00C22F78"/>
    <w:rsid w:val="00C23253"/>
    <w:rsid w:val="00C23554"/>
    <w:rsid w:val="00C23639"/>
    <w:rsid w:val="00C23777"/>
    <w:rsid w:val="00C23963"/>
    <w:rsid w:val="00C239F3"/>
    <w:rsid w:val="00C23EB2"/>
    <w:rsid w:val="00C240D7"/>
    <w:rsid w:val="00C24139"/>
    <w:rsid w:val="00C241EA"/>
    <w:rsid w:val="00C24211"/>
    <w:rsid w:val="00C242DB"/>
    <w:rsid w:val="00C24554"/>
    <w:rsid w:val="00C24605"/>
    <w:rsid w:val="00C24896"/>
    <w:rsid w:val="00C2490D"/>
    <w:rsid w:val="00C249D9"/>
    <w:rsid w:val="00C24AC0"/>
    <w:rsid w:val="00C24BA0"/>
    <w:rsid w:val="00C24C00"/>
    <w:rsid w:val="00C24C01"/>
    <w:rsid w:val="00C24D3A"/>
    <w:rsid w:val="00C24D40"/>
    <w:rsid w:val="00C24D89"/>
    <w:rsid w:val="00C24DCC"/>
    <w:rsid w:val="00C24DF1"/>
    <w:rsid w:val="00C24E32"/>
    <w:rsid w:val="00C2521F"/>
    <w:rsid w:val="00C25487"/>
    <w:rsid w:val="00C254DB"/>
    <w:rsid w:val="00C255A0"/>
    <w:rsid w:val="00C25BAB"/>
    <w:rsid w:val="00C25C40"/>
    <w:rsid w:val="00C25CC8"/>
    <w:rsid w:val="00C25D4A"/>
    <w:rsid w:val="00C25F0A"/>
    <w:rsid w:val="00C26115"/>
    <w:rsid w:val="00C26228"/>
    <w:rsid w:val="00C26295"/>
    <w:rsid w:val="00C263BA"/>
    <w:rsid w:val="00C2654D"/>
    <w:rsid w:val="00C2672F"/>
    <w:rsid w:val="00C26A05"/>
    <w:rsid w:val="00C26A1E"/>
    <w:rsid w:val="00C26B29"/>
    <w:rsid w:val="00C26C07"/>
    <w:rsid w:val="00C26ECE"/>
    <w:rsid w:val="00C26FA2"/>
    <w:rsid w:val="00C2709A"/>
    <w:rsid w:val="00C271CA"/>
    <w:rsid w:val="00C2724E"/>
    <w:rsid w:val="00C272C9"/>
    <w:rsid w:val="00C275E4"/>
    <w:rsid w:val="00C27629"/>
    <w:rsid w:val="00C2772C"/>
    <w:rsid w:val="00C27754"/>
    <w:rsid w:val="00C27A30"/>
    <w:rsid w:val="00C27A46"/>
    <w:rsid w:val="00C27B0C"/>
    <w:rsid w:val="00C27D4C"/>
    <w:rsid w:val="00C27F02"/>
    <w:rsid w:val="00C27FAD"/>
    <w:rsid w:val="00C30171"/>
    <w:rsid w:val="00C30197"/>
    <w:rsid w:val="00C301AC"/>
    <w:rsid w:val="00C30333"/>
    <w:rsid w:val="00C30645"/>
    <w:rsid w:val="00C307E5"/>
    <w:rsid w:val="00C30A6E"/>
    <w:rsid w:val="00C30C72"/>
    <w:rsid w:val="00C30CE2"/>
    <w:rsid w:val="00C30EDB"/>
    <w:rsid w:val="00C30FD5"/>
    <w:rsid w:val="00C31040"/>
    <w:rsid w:val="00C31080"/>
    <w:rsid w:val="00C310C4"/>
    <w:rsid w:val="00C3117B"/>
    <w:rsid w:val="00C31695"/>
    <w:rsid w:val="00C3193D"/>
    <w:rsid w:val="00C31C40"/>
    <w:rsid w:val="00C31F46"/>
    <w:rsid w:val="00C3200A"/>
    <w:rsid w:val="00C320D9"/>
    <w:rsid w:val="00C322A8"/>
    <w:rsid w:val="00C322D6"/>
    <w:rsid w:val="00C322DD"/>
    <w:rsid w:val="00C324B0"/>
    <w:rsid w:val="00C325C0"/>
    <w:rsid w:val="00C32945"/>
    <w:rsid w:val="00C32AAC"/>
    <w:rsid w:val="00C32BEF"/>
    <w:rsid w:val="00C32F7A"/>
    <w:rsid w:val="00C332D1"/>
    <w:rsid w:val="00C333DF"/>
    <w:rsid w:val="00C334CC"/>
    <w:rsid w:val="00C3356D"/>
    <w:rsid w:val="00C33800"/>
    <w:rsid w:val="00C33A6F"/>
    <w:rsid w:val="00C33CBF"/>
    <w:rsid w:val="00C33D39"/>
    <w:rsid w:val="00C33D72"/>
    <w:rsid w:val="00C33E18"/>
    <w:rsid w:val="00C34214"/>
    <w:rsid w:val="00C34436"/>
    <w:rsid w:val="00C34723"/>
    <w:rsid w:val="00C34751"/>
    <w:rsid w:val="00C348CF"/>
    <w:rsid w:val="00C348E0"/>
    <w:rsid w:val="00C3495D"/>
    <w:rsid w:val="00C349E0"/>
    <w:rsid w:val="00C34FCB"/>
    <w:rsid w:val="00C352E3"/>
    <w:rsid w:val="00C35315"/>
    <w:rsid w:val="00C35577"/>
    <w:rsid w:val="00C356E0"/>
    <w:rsid w:val="00C357B6"/>
    <w:rsid w:val="00C359D2"/>
    <w:rsid w:val="00C35C9F"/>
    <w:rsid w:val="00C35DA6"/>
    <w:rsid w:val="00C35E55"/>
    <w:rsid w:val="00C36057"/>
    <w:rsid w:val="00C366BE"/>
    <w:rsid w:val="00C3697D"/>
    <w:rsid w:val="00C36B51"/>
    <w:rsid w:val="00C36D9F"/>
    <w:rsid w:val="00C36DFC"/>
    <w:rsid w:val="00C36E69"/>
    <w:rsid w:val="00C36EEF"/>
    <w:rsid w:val="00C36F26"/>
    <w:rsid w:val="00C36F38"/>
    <w:rsid w:val="00C36F3E"/>
    <w:rsid w:val="00C36F6B"/>
    <w:rsid w:val="00C3707B"/>
    <w:rsid w:val="00C37208"/>
    <w:rsid w:val="00C3721D"/>
    <w:rsid w:val="00C37283"/>
    <w:rsid w:val="00C372B1"/>
    <w:rsid w:val="00C373CE"/>
    <w:rsid w:val="00C373F4"/>
    <w:rsid w:val="00C3742B"/>
    <w:rsid w:val="00C374F1"/>
    <w:rsid w:val="00C37519"/>
    <w:rsid w:val="00C375DE"/>
    <w:rsid w:val="00C37827"/>
    <w:rsid w:val="00C37856"/>
    <w:rsid w:val="00C379F1"/>
    <w:rsid w:val="00C37AED"/>
    <w:rsid w:val="00C37C55"/>
    <w:rsid w:val="00C37F86"/>
    <w:rsid w:val="00C40625"/>
    <w:rsid w:val="00C4065D"/>
    <w:rsid w:val="00C40760"/>
    <w:rsid w:val="00C40822"/>
    <w:rsid w:val="00C40E25"/>
    <w:rsid w:val="00C40EFD"/>
    <w:rsid w:val="00C410E0"/>
    <w:rsid w:val="00C412AC"/>
    <w:rsid w:val="00C414E5"/>
    <w:rsid w:val="00C416A3"/>
    <w:rsid w:val="00C41746"/>
    <w:rsid w:val="00C41749"/>
    <w:rsid w:val="00C41D6D"/>
    <w:rsid w:val="00C41F33"/>
    <w:rsid w:val="00C42037"/>
    <w:rsid w:val="00C42137"/>
    <w:rsid w:val="00C42264"/>
    <w:rsid w:val="00C424C9"/>
    <w:rsid w:val="00C42C9B"/>
    <w:rsid w:val="00C42EA9"/>
    <w:rsid w:val="00C42EE2"/>
    <w:rsid w:val="00C42F9C"/>
    <w:rsid w:val="00C434D9"/>
    <w:rsid w:val="00C43938"/>
    <w:rsid w:val="00C43A4E"/>
    <w:rsid w:val="00C43BE4"/>
    <w:rsid w:val="00C43CF0"/>
    <w:rsid w:val="00C43ED4"/>
    <w:rsid w:val="00C43FC6"/>
    <w:rsid w:val="00C4400F"/>
    <w:rsid w:val="00C442EB"/>
    <w:rsid w:val="00C44615"/>
    <w:rsid w:val="00C44AA6"/>
    <w:rsid w:val="00C44CC6"/>
    <w:rsid w:val="00C44F40"/>
    <w:rsid w:val="00C45045"/>
    <w:rsid w:val="00C45090"/>
    <w:rsid w:val="00C450AA"/>
    <w:rsid w:val="00C4515A"/>
    <w:rsid w:val="00C45570"/>
    <w:rsid w:val="00C456BC"/>
    <w:rsid w:val="00C4585B"/>
    <w:rsid w:val="00C45A4E"/>
    <w:rsid w:val="00C45AC6"/>
    <w:rsid w:val="00C45B4A"/>
    <w:rsid w:val="00C45BB5"/>
    <w:rsid w:val="00C45E42"/>
    <w:rsid w:val="00C45F12"/>
    <w:rsid w:val="00C46304"/>
    <w:rsid w:val="00C463E9"/>
    <w:rsid w:val="00C4661D"/>
    <w:rsid w:val="00C4671E"/>
    <w:rsid w:val="00C46792"/>
    <w:rsid w:val="00C46797"/>
    <w:rsid w:val="00C46C1D"/>
    <w:rsid w:val="00C46D8E"/>
    <w:rsid w:val="00C46E08"/>
    <w:rsid w:val="00C470A3"/>
    <w:rsid w:val="00C474F0"/>
    <w:rsid w:val="00C47B6F"/>
    <w:rsid w:val="00C47CB2"/>
    <w:rsid w:val="00C47F52"/>
    <w:rsid w:val="00C50157"/>
    <w:rsid w:val="00C50187"/>
    <w:rsid w:val="00C504EA"/>
    <w:rsid w:val="00C509A4"/>
    <w:rsid w:val="00C50E79"/>
    <w:rsid w:val="00C50F44"/>
    <w:rsid w:val="00C51097"/>
    <w:rsid w:val="00C51144"/>
    <w:rsid w:val="00C511D2"/>
    <w:rsid w:val="00C5122C"/>
    <w:rsid w:val="00C5136B"/>
    <w:rsid w:val="00C5152A"/>
    <w:rsid w:val="00C5153C"/>
    <w:rsid w:val="00C51687"/>
    <w:rsid w:val="00C516B4"/>
    <w:rsid w:val="00C516B5"/>
    <w:rsid w:val="00C51A94"/>
    <w:rsid w:val="00C51B6A"/>
    <w:rsid w:val="00C521B4"/>
    <w:rsid w:val="00C5227E"/>
    <w:rsid w:val="00C524C2"/>
    <w:rsid w:val="00C52B64"/>
    <w:rsid w:val="00C52B83"/>
    <w:rsid w:val="00C52C18"/>
    <w:rsid w:val="00C52CE0"/>
    <w:rsid w:val="00C52ECF"/>
    <w:rsid w:val="00C52F02"/>
    <w:rsid w:val="00C52F07"/>
    <w:rsid w:val="00C53044"/>
    <w:rsid w:val="00C530AC"/>
    <w:rsid w:val="00C533FC"/>
    <w:rsid w:val="00C53887"/>
    <w:rsid w:val="00C53A17"/>
    <w:rsid w:val="00C53A54"/>
    <w:rsid w:val="00C53B22"/>
    <w:rsid w:val="00C53F27"/>
    <w:rsid w:val="00C548A6"/>
    <w:rsid w:val="00C54900"/>
    <w:rsid w:val="00C54B6C"/>
    <w:rsid w:val="00C54B6E"/>
    <w:rsid w:val="00C55104"/>
    <w:rsid w:val="00C551E9"/>
    <w:rsid w:val="00C55275"/>
    <w:rsid w:val="00C55466"/>
    <w:rsid w:val="00C557AC"/>
    <w:rsid w:val="00C5587A"/>
    <w:rsid w:val="00C5594C"/>
    <w:rsid w:val="00C55A74"/>
    <w:rsid w:val="00C55F41"/>
    <w:rsid w:val="00C5601B"/>
    <w:rsid w:val="00C56941"/>
    <w:rsid w:val="00C56957"/>
    <w:rsid w:val="00C56BFD"/>
    <w:rsid w:val="00C5704F"/>
    <w:rsid w:val="00C57163"/>
    <w:rsid w:val="00C571C3"/>
    <w:rsid w:val="00C5726A"/>
    <w:rsid w:val="00C572B0"/>
    <w:rsid w:val="00C572C5"/>
    <w:rsid w:val="00C573B2"/>
    <w:rsid w:val="00C5756D"/>
    <w:rsid w:val="00C5764F"/>
    <w:rsid w:val="00C57902"/>
    <w:rsid w:val="00C57964"/>
    <w:rsid w:val="00C57972"/>
    <w:rsid w:val="00C57BE0"/>
    <w:rsid w:val="00C57C78"/>
    <w:rsid w:val="00C57F4E"/>
    <w:rsid w:val="00C6017D"/>
    <w:rsid w:val="00C602B3"/>
    <w:rsid w:val="00C602DE"/>
    <w:rsid w:val="00C60357"/>
    <w:rsid w:val="00C6038A"/>
    <w:rsid w:val="00C603F8"/>
    <w:rsid w:val="00C6040F"/>
    <w:rsid w:val="00C606C5"/>
    <w:rsid w:val="00C60A32"/>
    <w:rsid w:val="00C60A5D"/>
    <w:rsid w:val="00C6119A"/>
    <w:rsid w:val="00C61492"/>
    <w:rsid w:val="00C61593"/>
    <w:rsid w:val="00C619AF"/>
    <w:rsid w:val="00C61A5C"/>
    <w:rsid w:val="00C61CA3"/>
    <w:rsid w:val="00C61D29"/>
    <w:rsid w:val="00C61D8E"/>
    <w:rsid w:val="00C61E89"/>
    <w:rsid w:val="00C61F7E"/>
    <w:rsid w:val="00C62050"/>
    <w:rsid w:val="00C621A6"/>
    <w:rsid w:val="00C6221D"/>
    <w:rsid w:val="00C62299"/>
    <w:rsid w:val="00C622A6"/>
    <w:rsid w:val="00C62389"/>
    <w:rsid w:val="00C62766"/>
    <w:rsid w:val="00C627D6"/>
    <w:rsid w:val="00C627DF"/>
    <w:rsid w:val="00C62EFD"/>
    <w:rsid w:val="00C62FD0"/>
    <w:rsid w:val="00C63163"/>
    <w:rsid w:val="00C63276"/>
    <w:rsid w:val="00C632AB"/>
    <w:rsid w:val="00C63569"/>
    <w:rsid w:val="00C63734"/>
    <w:rsid w:val="00C638B9"/>
    <w:rsid w:val="00C63905"/>
    <w:rsid w:val="00C639AF"/>
    <w:rsid w:val="00C63A3E"/>
    <w:rsid w:val="00C63A47"/>
    <w:rsid w:val="00C63A80"/>
    <w:rsid w:val="00C63AC7"/>
    <w:rsid w:val="00C640C9"/>
    <w:rsid w:val="00C640DD"/>
    <w:rsid w:val="00C6467E"/>
    <w:rsid w:val="00C646ED"/>
    <w:rsid w:val="00C64933"/>
    <w:rsid w:val="00C64B20"/>
    <w:rsid w:val="00C64B81"/>
    <w:rsid w:val="00C65024"/>
    <w:rsid w:val="00C650B7"/>
    <w:rsid w:val="00C65119"/>
    <w:rsid w:val="00C65183"/>
    <w:rsid w:val="00C6545C"/>
    <w:rsid w:val="00C6570B"/>
    <w:rsid w:val="00C6570D"/>
    <w:rsid w:val="00C657AF"/>
    <w:rsid w:val="00C65888"/>
    <w:rsid w:val="00C65948"/>
    <w:rsid w:val="00C65A1D"/>
    <w:rsid w:val="00C65A66"/>
    <w:rsid w:val="00C65B7B"/>
    <w:rsid w:val="00C6615B"/>
    <w:rsid w:val="00C6635F"/>
    <w:rsid w:val="00C663AE"/>
    <w:rsid w:val="00C66491"/>
    <w:rsid w:val="00C66576"/>
    <w:rsid w:val="00C66746"/>
    <w:rsid w:val="00C66749"/>
    <w:rsid w:val="00C66799"/>
    <w:rsid w:val="00C66AE3"/>
    <w:rsid w:val="00C66C51"/>
    <w:rsid w:val="00C66CAC"/>
    <w:rsid w:val="00C66D01"/>
    <w:rsid w:val="00C67207"/>
    <w:rsid w:val="00C678FF"/>
    <w:rsid w:val="00C67AFB"/>
    <w:rsid w:val="00C67B64"/>
    <w:rsid w:val="00C67CE2"/>
    <w:rsid w:val="00C67E1A"/>
    <w:rsid w:val="00C70160"/>
    <w:rsid w:val="00C701A8"/>
    <w:rsid w:val="00C70306"/>
    <w:rsid w:val="00C7051E"/>
    <w:rsid w:val="00C70858"/>
    <w:rsid w:val="00C70881"/>
    <w:rsid w:val="00C70953"/>
    <w:rsid w:val="00C70AB5"/>
    <w:rsid w:val="00C70E25"/>
    <w:rsid w:val="00C70EDA"/>
    <w:rsid w:val="00C71419"/>
    <w:rsid w:val="00C7169B"/>
    <w:rsid w:val="00C7176B"/>
    <w:rsid w:val="00C71878"/>
    <w:rsid w:val="00C719BD"/>
    <w:rsid w:val="00C71A56"/>
    <w:rsid w:val="00C71ADE"/>
    <w:rsid w:val="00C71D32"/>
    <w:rsid w:val="00C72212"/>
    <w:rsid w:val="00C7229B"/>
    <w:rsid w:val="00C724CD"/>
    <w:rsid w:val="00C727E6"/>
    <w:rsid w:val="00C72ABB"/>
    <w:rsid w:val="00C72C92"/>
    <w:rsid w:val="00C72DDB"/>
    <w:rsid w:val="00C72E9B"/>
    <w:rsid w:val="00C72EDA"/>
    <w:rsid w:val="00C72F18"/>
    <w:rsid w:val="00C7336B"/>
    <w:rsid w:val="00C734D1"/>
    <w:rsid w:val="00C73CB2"/>
    <w:rsid w:val="00C73CDC"/>
    <w:rsid w:val="00C73D1A"/>
    <w:rsid w:val="00C73D5D"/>
    <w:rsid w:val="00C73EEB"/>
    <w:rsid w:val="00C741FD"/>
    <w:rsid w:val="00C742C9"/>
    <w:rsid w:val="00C743A0"/>
    <w:rsid w:val="00C74710"/>
    <w:rsid w:val="00C74AA3"/>
    <w:rsid w:val="00C74BD3"/>
    <w:rsid w:val="00C74CA0"/>
    <w:rsid w:val="00C74DD6"/>
    <w:rsid w:val="00C74F31"/>
    <w:rsid w:val="00C74F4D"/>
    <w:rsid w:val="00C74FBA"/>
    <w:rsid w:val="00C74FF1"/>
    <w:rsid w:val="00C75112"/>
    <w:rsid w:val="00C75331"/>
    <w:rsid w:val="00C753F1"/>
    <w:rsid w:val="00C754BA"/>
    <w:rsid w:val="00C75546"/>
    <w:rsid w:val="00C755DE"/>
    <w:rsid w:val="00C7576B"/>
    <w:rsid w:val="00C758B6"/>
    <w:rsid w:val="00C7592F"/>
    <w:rsid w:val="00C7620A"/>
    <w:rsid w:val="00C76279"/>
    <w:rsid w:val="00C76352"/>
    <w:rsid w:val="00C765D8"/>
    <w:rsid w:val="00C76854"/>
    <w:rsid w:val="00C7689D"/>
    <w:rsid w:val="00C76A55"/>
    <w:rsid w:val="00C76D09"/>
    <w:rsid w:val="00C76D26"/>
    <w:rsid w:val="00C76F89"/>
    <w:rsid w:val="00C77366"/>
    <w:rsid w:val="00C77472"/>
    <w:rsid w:val="00C77798"/>
    <w:rsid w:val="00C77A39"/>
    <w:rsid w:val="00C77BAB"/>
    <w:rsid w:val="00C77BD4"/>
    <w:rsid w:val="00C77C00"/>
    <w:rsid w:val="00C77C01"/>
    <w:rsid w:val="00C77E19"/>
    <w:rsid w:val="00C80181"/>
    <w:rsid w:val="00C8040C"/>
    <w:rsid w:val="00C80531"/>
    <w:rsid w:val="00C80562"/>
    <w:rsid w:val="00C80570"/>
    <w:rsid w:val="00C806B9"/>
    <w:rsid w:val="00C80B95"/>
    <w:rsid w:val="00C80C73"/>
    <w:rsid w:val="00C80C8A"/>
    <w:rsid w:val="00C80E1F"/>
    <w:rsid w:val="00C81061"/>
    <w:rsid w:val="00C81180"/>
    <w:rsid w:val="00C812AC"/>
    <w:rsid w:val="00C812BB"/>
    <w:rsid w:val="00C8162F"/>
    <w:rsid w:val="00C81654"/>
    <w:rsid w:val="00C81828"/>
    <w:rsid w:val="00C8183D"/>
    <w:rsid w:val="00C81950"/>
    <w:rsid w:val="00C81D9D"/>
    <w:rsid w:val="00C82407"/>
    <w:rsid w:val="00C82503"/>
    <w:rsid w:val="00C828D5"/>
    <w:rsid w:val="00C82B2A"/>
    <w:rsid w:val="00C82DD1"/>
    <w:rsid w:val="00C82DE4"/>
    <w:rsid w:val="00C8303C"/>
    <w:rsid w:val="00C8339C"/>
    <w:rsid w:val="00C838A3"/>
    <w:rsid w:val="00C83BB5"/>
    <w:rsid w:val="00C83CC3"/>
    <w:rsid w:val="00C83D2D"/>
    <w:rsid w:val="00C83E13"/>
    <w:rsid w:val="00C83F03"/>
    <w:rsid w:val="00C83FCF"/>
    <w:rsid w:val="00C845BD"/>
    <w:rsid w:val="00C845F0"/>
    <w:rsid w:val="00C847C7"/>
    <w:rsid w:val="00C84D7A"/>
    <w:rsid w:val="00C84D98"/>
    <w:rsid w:val="00C84DEA"/>
    <w:rsid w:val="00C84E24"/>
    <w:rsid w:val="00C84E91"/>
    <w:rsid w:val="00C84FFB"/>
    <w:rsid w:val="00C8503D"/>
    <w:rsid w:val="00C850FF"/>
    <w:rsid w:val="00C85222"/>
    <w:rsid w:val="00C853F4"/>
    <w:rsid w:val="00C854A7"/>
    <w:rsid w:val="00C855ED"/>
    <w:rsid w:val="00C856E5"/>
    <w:rsid w:val="00C85A4A"/>
    <w:rsid w:val="00C85B0E"/>
    <w:rsid w:val="00C85B9B"/>
    <w:rsid w:val="00C85C32"/>
    <w:rsid w:val="00C85EB4"/>
    <w:rsid w:val="00C85F86"/>
    <w:rsid w:val="00C861A7"/>
    <w:rsid w:val="00C86428"/>
    <w:rsid w:val="00C8655D"/>
    <w:rsid w:val="00C8661F"/>
    <w:rsid w:val="00C86813"/>
    <w:rsid w:val="00C868E5"/>
    <w:rsid w:val="00C868E8"/>
    <w:rsid w:val="00C869D3"/>
    <w:rsid w:val="00C86ACF"/>
    <w:rsid w:val="00C8703C"/>
    <w:rsid w:val="00C87204"/>
    <w:rsid w:val="00C8725B"/>
    <w:rsid w:val="00C874E9"/>
    <w:rsid w:val="00C8750A"/>
    <w:rsid w:val="00C8768B"/>
    <w:rsid w:val="00C878D9"/>
    <w:rsid w:val="00C8799C"/>
    <w:rsid w:val="00C87B02"/>
    <w:rsid w:val="00C87C80"/>
    <w:rsid w:val="00C87C99"/>
    <w:rsid w:val="00C87D51"/>
    <w:rsid w:val="00C87D7D"/>
    <w:rsid w:val="00C90050"/>
    <w:rsid w:val="00C9025E"/>
    <w:rsid w:val="00C902F5"/>
    <w:rsid w:val="00C9033E"/>
    <w:rsid w:val="00C90802"/>
    <w:rsid w:val="00C90A08"/>
    <w:rsid w:val="00C90C2C"/>
    <w:rsid w:val="00C90C5B"/>
    <w:rsid w:val="00C90D50"/>
    <w:rsid w:val="00C90E3D"/>
    <w:rsid w:val="00C9147A"/>
    <w:rsid w:val="00C9152E"/>
    <w:rsid w:val="00C91647"/>
    <w:rsid w:val="00C9196B"/>
    <w:rsid w:val="00C91998"/>
    <w:rsid w:val="00C91ACF"/>
    <w:rsid w:val="00C91CBC"/>
    <w:rsid w:val="00C91DB1"/>
    <w:rsid w:val="00C91DDA"/>
    <w:rsid w:val="00C91E3A"/>
    <w:rsid w:val="00C91EDF"/>
    <w:rsid w:val="00C91FB8"/>
    <w:rsid w:val="00C920C8"/>
    <w:rsid w:val="00C92296"/>
    <w:rsid w:val="00C9261D"/>
    <w:rsid w:val="00C9264B"/>
    <w:rsid w:val="00C92695"/>
    <w:rsid w:val="00C92979"/>
    <w:rsid w:val="00C929F5"/>
    <w:rsid w:val="00C92AA7"/>
    <w:rsid w:val="00C92E3A"/>
    <w:rsid w:val="00C9313A"/>
    <w:rsid w:val="00C93153"/>
    <w:rsid w:val="00C9347D"/>
    <w:rsid w:val="00C93556"/>
    <w:rsid w:val="00C9360A"/>
    <w:rsid w:val="00C93748"/>
    <w:rsid w:val="00C93AA7"/>
    <w:rsid w:val="00C93B84"/>
    <w:rsid w:val="00C93DA3"/>
    <w:rsid w:val="00C93E4C"/>
    <w:rsid w:val="00C93F40"/>
    <w:rsid w:val="00C93F4A"/>
    <w:rsid w:val="00C93F56"/>
    <w:rsid w:val="00C93FFF"/>
    <w:rsid w:val="00C94197"/>
    <w:rsid w:val="00C94282"/>
    <w:rsid w:val="00C94622"/>
    <w:rsid w:val="00C94677"/>
    <w:rsid w:val="00C948A7"/>
    <w:rsid w:val="00C94A54"/>
    <w:rsid w:val="00C94C67"/>
    <w:rsid w:val="00C94C98"/>
    <w:rsid w:val="00C94E1E"/>
    <w:rsid w:val="00C94ED4"/>
    <w:rsid w:val="00C9514B"/>
    <w:rsid w:val="00C951F9"/>
    <w:rsid w:val="00C955D6"/>
    <w:rsid w:val="00C956AB"/>
    <w:rsid w:val="00C95A81"/>
    <w:rsid w:val="00C95C33"/>
    <w:rsid w:val="00C95C53"/>
    <w:rsid w:val="00C95FB3"/>
    <w:rsid w:val="00C95FDB"/>
    <w:rsid w:val="00C96272"/>
    <w:rsid w:val="00C96448"/>
    <w:rsid w:val="00C96BCF"/>
    <w:rsid w:val="00C96EFE"/>
    <w:rsid w:val="00C96FEB"/>
    <w:rsid w:val="00C9712C"/>
    <w:rsid w:val="00C9723B"/>
    <w:rsid w:val="00C97472"/>
    <w:rsid w:val="00C978E5"/>
    <w:rsid w:val="00C97E21"/>
    <w:rsid w:val="00CA00AA"/>
    <w:rsid w:val="00CA03FF"/>
    <w:rsid w:val="00CA0415"/>
    <w:rsid w:val="00CA043D"/>
    <w:rsid w:val="00CA0754"/>
    <w:rsid w:val="00CA0960"/>
    <w:rsid w:val="00CA097F"/>
    <w:rsid w:val="00CA0B65"/>
    <w:rsid w:val="00CA0E90"/>
    <w:rsid w:val="00CA0EC0"/>
    <w:rsid w:val="00CA136F"/>
    <w:rsid w:val="00CA13F6"/>
    <w:rsid w:val="00CA15E0"/>
    <w:rsid w:val="00CA16ED"/>
    <w:rsid w:val="00CA1712"/>
    <w:rsid w:val="00CA171E"/>
    <w:rsid w:val="00CA1876"/>
    <w:rsid w:val="00CA196E"/>
    <w:rsid w:val="00CA19EC"/>
    <w:rsid w:val="00CA1D1A"/>
    <w:rsid w:val="00CA1EF3"/>
    <w:rsid w:val="00CA222A"/>
    <w:rsid w:val="00CA2285"/>
    <w:rsid w:val="00CA22AB"/>
    <w:rsid w:val="00CA240B"/>
    <w:rsid w:val="00CA26E8"/>
    <w:rsid w:val="00CA27AD"/>
    <w:rsid w:val="00CA2AC5"/>
    <w:rsid w:val="00CA2E89"/>
    <w:rsid w:val="00CA2EA1"/>
    <w:rsid w:val="00CA2F89"/>
    <w:rsid w:val="00CA3022"/>
    <w:rsid w:val="00CA32BB"/>
    <w:rsid w:val="00CA3387"/>
    <w:rsid w:val="00CA341A"/>
    <w:rsid w:val="00CA3455"/>
    <w:rsid w:val="00CA37FD"/>
    <w:rsid w:val="00CA39E8"/>
    <w:rsid w:val="00CA3A2F"/>
    <w:rsid w:val="00CA3A4A"/>
    <w:rsid w:val="00CA3BB4"/>
    <w:rsid w:val="00CA3BF2"/>
    <w:rsid w:val="00CA40C7"/>
    <w:rsid w:val="00CA4231"/>
    <w:rsid w:val="00CA44A7"/>
    <w:rsid w:val="00CA4880"/>
    <w:rsid w:val="00CA4D18"/>
    <w:rsid w:val="00CA4D93"/>
    <w:rsid w:val="00CA4DE2"/>
    <w:rsid w:val="00CA4F51"/>
    <w:rsid w:val="00CA4F52"/>
    <w:rsid w:val="00CA5119"/>
    <w:rsid w:val="00CA51CA"/>
    <w:rsid w:val="00CA51DA"/>
    <w:rsid w:val="00CA5559"/>
    <w:rsid w:val="00CA5724"/>
    <w:rsid w:val="00CA5A6E"/>
    <w:rsid w:val="00CA5B2F"/>
    <w:rsid w:val="00CA5F8C"/>
    <w:rsid w:val="00CA6374"/>
    <w:rsid w:val="00CA684A"/>
    <w:rsid w:val="00CA6BBA"/>
    <w:rsid w:val="00CA6E65"/>
    <w:rsid w:val="00CA6EC9"/>
    <w:rsid w:val="00CA7090"/>
    <w:rsid w:val="00CA7265"/>
    <w:rsid w:val="00CA7268"/>
    <w:rsid w:val="00CA7302"/>
    <w:rsid w:val="00CA736F"/>
    <w:rsid w:val="00CA76C9"/>
    <w:rsid w:val="00CA7A5A"/>
    <w:rsid w:val="00CA7C31"/>
    <w:rsid w:val="00CA7D59"/>
    <w:rsid w:val="00CA7E05"/>
    <w:rsid w:val="00CA7EE4"/>
    <w:rsid w:val="00CA7F3F"/>
    <w:rsid w:val="00CB006F"/>
    <w:rsid w:val="00CB0445"/>
    <w:rsid w:val="00CB0710"/>
    <w:rsid w:val="00CB0A90"/>
    <w:rsid w:val="00CB0BAB"/>
    <w:rsid w:val="00CB0F21"/>
    <w:rsid w:val="00CB0FD6"/>
    <w:rsid w:val="00CB10EB"/>
    <w:rsid w:val="00CB10F5"/>
    <w:rsid w:val="00CB12D8"/>
    <w:rsid w:val="00CB1374"/>
    <w:rsid w:val="00CB1388"/>
    <w:rsid w:val="00CB13F2"/>
    <w:rsid w:val="00CB172F"/>
    <w:rsid w:val="00CB17B1"/>
    <w:rsid w:val="00CB17B5"/>
    <w:rsid w:val="00CB1851"/>
    <w:rsid w:val="00CB1855"/>
    <w:rsid w:val="00CB19F8"/>
    <w:rsid w:val="00CB1E6D"/>
    <w:rsid w:val="00CB1E92"/>
    <w:rsid w:val="00CB2084"/>
    <w:rsid w:val="00CB23F2"/>
    <w:rsid w:val="00CB2521"/>
    <w:rsid w:val="00CB2CA7"/>
    <w:rsid w:val="00CB2F4F"/>
    <w:rsid w:val="00CB2F83"/>
    <w:rsid w:val="00CB2F8E"/>
    <w:rsid w:val="00CB3008"/>
    <w:rsid w:val="00CB3024"/>
    <w:rsid w:val="00CB3167"/>
    <w:rsid w:val="00CB329B"/>
    <w:rsid w:val="00CB32B4"/>
    <w:rsid w:val="00CB3671"/>
    <w:rsid w:val="00CB3800"/>
    <w:rsid w:val="00CB38A3"/>
    <w:rsid w:val="00CB39FB"/>
    <w:rsid w:val="00CB3A57"/>
    <w:rsid w:val="00CB3ED3"/>
    <w:rsid w:val="00CB45CE"/>
    <w:rsid w:val="00CB45EE"/>
    <w:rsid w:val="00CB46C0"/>
    <w:rsid w:val="00CB46EC"/>
    <w:rsid w:val="00CB472C"/>
    <w:rsid w:val="00CB494E"/>
    <w:rsid w:val="00CB4B92"/>
    <w:rsid w:val="00CB4C6C"/>
    <w:rsid w:val="00CB4F21"/>
    <w:rsid w:val="00CB4F28"/>
    <w:rsid w:val="00CB5575"/>
    <w:rsid w:val="00CB5604"/>
    <w:rsid w:val="00CB5922"/>
    <w:rsid w:val="00CB5D61"/>
    <w:rsid w:val="00CB6018"/>
    <w:rsid w:val="00CB60C8"/>
    <w:rsid w:val="00CB62D2"/>
    <w:rsid w:val="00CB6389"/>
    <w:rsid w:val="00CB6DFE"/>
    <w:rsid w:val="00CB6EA1"/>
    <w:rsid w:val="00CB711F"/>
    <w:rsid w:val="00CB7317"/>
    <w:rsid w:val="00CB733B"/>
    <w:rsid w:val="00CB7534"/>
    <w:rsid w:val="00CB78C0"/>
    <w:rsid w:val="00CB7A34"/>
    <w:rsid w:val="00CB7D17"/>
    <w:rsid w:val="00CB7ED4"/>
    <w:rsid w:val="00CB7EF9"/>
    <w:rsid w:val="00CC01E1"/>
    <w:rsid w:val="00CC0370"/>
    <w:rsid w:val="00CC0412"/>
    <w:rsid w:val="00CC06F2"/>
    <w:rsid w:val="00CC0775"/>
    <w:rsid w:val="00CC0809"/>
    <w:rsid w:val="00CC098F"/>
    <w:rsid w:val="00CC0C51"/>
    <w:rsid w:val="00CC0EBA"/>
    <w:rsid w:val="00CC10C7"/>
    <w:rsid w:val="00CC1145"/>
    <w:rsid w:val="00CC1273"/>
    <w:rsid w:val="00CC1485"/>
    <w:rsid w:val="00CC153F"/>
    <w:rsid w:val="00CC176A"/>
    <w:rsid w:val="00CC1882"/>
    <w:rsid w:val="00CC18E1"/>
    <w:rsid w:val="00CC19A1"/>
    <w:rsid w:val="00CC1A20"/>
    <w:rsid w:val="00CC1C0D"/>
    <w:rsid w:val="00CC1CC9"/>
    <w:rsid w:val="00CC1CEE"/>
    <w:rsid w:val="00CC1D35"/>
    <w:rsid w:val="00CC20E1"/>
    <w:rsid w:val="00CC2133"/>
    <w:rsid w:val="00CC22B5"/>
    <w:rsid w:val="00CC2324"/>
    <w:rsid w:val="00CC250D"/>
    <w:rsid w:val="00CC2642"/>
    <w:rsid w:val="00CC2690"/>
    <w:rsid w:val="00CC272D"/>
    <w:rsid w:val="00CC27A9"/>
    <w:rsid w:val="00CC296D"/>
    <w:rsid w:val="00CC2B5A"/>
    <w:rsid w:val="00CC2CFE"/>
    <w:rsid w:val="00CC2DCC"/>
    <w:rsid w:val="00CC3153"/>
    <w:rsid w:val="00CC315F"/>
    <w:rsid w:val="00CC3477"/>
    <w:rsid w:val="00CC3899"/>
    <w:rsid w:val="00CC390B"/>
    <w:rsid w:val="00CC39D7"/>
    <w:rsid w:val="00CC3ACE"/>
    <w:rsid w:val="00CC3B35"/>
    <w:rsid w:val="00CC3E4B"/>
    <w:rsid w:val="00CC3E88"/>
    <w:rsid w:val="00CC422B"/>
    <w:rsid w:val="00CC43D2"/>
    <w:rsid w:val="00CC45B4"/>
    <w:rsid w:val="00CC45EC"/>
    <w:rsid w:val="00CC4845"/>
    <w:rsid w:val="00CC4AA2"/>
    <w:rsid w:val="00CC4C31"/>
    <w:rsid w:val="00CC4E40"/>
    <w:rsid w:val="00CC4E7F"/>
    <w:rsid w:val="00CC4F4C"/>
    <w:rsid w:val="00CC507D"/>
    <w:rsid w:val="00CC50DE"/>
    <w:rsid w:val="00CC5179"/>
    <w:rsid w:val="00CC528F"/>
    <w:rsid w:val="00CC590F"/>
    <w:rsid w:val="00CC5A69"/>
    <w:rsid w:val="00CC5B4C"/>
    <w:rsid w:val="00CC5CA0"/>
    <w:rsid w:val="00CC5CE6"/>
    <w:rsid w:val="00CC5DCA"/>
    <w:rsid w:val="00CC5FE7"/>
    <w:rsid w:val="00CC625D"/>
    <w:rsid w:val="00CC62DD"/>
    <w:rsid w:val="00CC653C"/>
    <w:rsid w:val="00CC66C5"/>
    <w:rsid w:val="00CC674E"/>
    <w:rsid w:val="00CC6915"/>
    <w:rsid w:val="00CC6A5B"/>
    <w:rsid w:val="00CC6B6D"/>
    <w:rsid w:val="00CC6D96"/>
    <w:rsid w:val="00CC7133"/>
    <w:rsid w:val="00CC722D"/>
    <w:rsid w:val="00CC72C4"/>
    <w:rsid w:val="00CC74EE"/>
    <w:rsid w:val="00CC75DC"/>
    <w:rsid w:val="00CC76A5"/>
    <w:rsid w:val="00CC79B1"/>
    <w:rsid w:val="00CC7BFF"/>
    <w:rsid w:val="00CC7C49"/>
    <w:rsid w:val="00CC7D60"/>
    <w:rsid w:val="00CC7E96"/>
    <w:rsid w:val="00CD0005"/>
    <w:rsid w:val="00CD0274"/>
    <w:rsid w:val="00CD0602"/>
    <w:rsid w:val="00CD0735"/>
    <w:rsid w:val="00CD0938"/>
    <w:rsid w:val="00CD0AAC"/>
    <w:rsid w:val="00CD0C41"/>
    <w:rsid w:val="00CD0CAF"/>
    <w:rsid w:val="00CD0D00"/>
    <w:rsid w:val="00CD0FC8"/>
    <w:rsid w:val="00CD109D"/>
    <w:rsid w:val="00CD14BF"/>
    <w:rsid w:val="00CD152A"/>
    <w:rsid w:val="00CD1643"/>
    <w:rsid w:val="00CD186E"/>
    <w:rsid w:val="00CD19A0"/>
    <w:rsid w:val="00CD1AD3"/>
    <w:rsid w:val="00CD20BF"/>
    <w:rsid w:val="00CD2247"/>
    <w:rsid w:val="00CD2515"/>
    <w:rsid w:val="00CD279D"/>
    <w:rsid w:val="00CD2808"/>
    <w:rsid w:val="00CD2B2D"/>
    <w:rsid w:val="00CD2B39"/>
    <w:rsid w:val="00CD2F89"/>
    <w:rsid w:val="00CD30EB"/>
    <w:rsid w:val="00CD310A"/>
    <w:rsid w:val="00CD312C"/>
    <w:rsid w:val="00CD33A4"/>
    <w:rsid w:val="00CD3506"/>
    <w:rsid w:val="00CD35A9"/>
    <w:rsid w:val="00CD367A"/>
    <w:rsid w:val="00CD37BC"/>
    <w:rsid w:val="00CD3AD3"/>
    <w:rsid w:val="00CD3CF9"/>
    <w:rsid w:val="00CD3F16"/>
    <w:rsid w:val="00CD40D1"/>
    <w:rsid w:val="00CD4521"/>
    <w:rsid w:val="00CD4837"/>
    <w:rsid w:val="00CD4C78"/>
    <w:rsid w:val="00CD4CDE"/>
    <w:rsid w:val="00CD4D50"/>
    <w:rsid w:val="00CD4F63"/>
    <w:rsid w:val="00CD5076"/>
    <w:rsid w:val="00CD53CE"/>
    <w:rsid w:val="00CD5461"/>
    <w:rsid w:val="00CD54BF"/>
    <w:rsid w:val="00CD557A"/>
    <w:rsid w:val="00CD5C91"/>
    <w:rsid w:val="00CD5FB5"/>
    <w:rsid w:val="00CD619A"/>
    <w:rsid w:val="00CD62B1"/>
    <w:rsid w:val="00CD63C7"/>
    <w:rsid w:val="00CD6402"/>
    <w:rsid w:val="00CD6980"/>
    <w:rsid w:val="00CD6AB9"/>
    <w:rsid w:val="00CD6B6A"/>
    <w:rsid w:val="00CD6C1D"/>
    <w:rsid w:val="00CD6DBE"/>
    <w:rsid w:val="00CD6E19"/>
    <w:rsid w:val="00CD6F00"/>
    <w:rsid w:val="00CD6FE5"/>
    <w:rsid w:val="00CD7143"/>
    <w:rsid w:val="00CD7168"/>
    <w:rsid w:val="00CD7494"/>
    <w:rsid w:val="00CD7656"/>
    <w:rsid w:val="00CD78CB"/>
    <w:rsid w:val="00CD797D"/>
    <w:rsid w:val="00CD79A1"/>
    <w:rsid w:val="00CD7AD7"/>
    <w:rsid w:val="00CD7B59"/>
    <w:rsid w:val="00CD7F1B"/>
    <w:rsid w:val="00CE0221"/>
    <w:rsid w:val="00CE02EB"/>
    <w:rsid w:val="00CE05A9"/>
    <w:rsid w:val="00CE05CB"/>
    <w:rsid w:val="00CE07E9"/>
    <w:rsid w:val="00CE0865"/>
    <w:rsid w:val="00CE0C2C"/>
    <w:rsid w:val="00CE0E1E"/>
    <w:rsid w:val="00CE0EB8"/>
    <w:rsid w:val="00CE10EF"/>
    <w:rsid w:val="00CE1105"/>
    <w:rsid w:val="00CE1258"/>
    <w:rsid w:val="00CE1669"/>
    <w:rsid w:val="00CE18A0"/>
    <w:rsid w:val="00CE1C01"/>
    <w:rsid w:val="00CE1C4B"/>
    <w:rsid w:val="00CE1E02"/>
    <w:rsid w:val="00CE204A"/>
    <w:rsid w:val="00CE20C7"/>
    <w:rsid w:val="00CE247F"/>
    <w:rsid w:val="00CE272D"/>
    <w:rsid w:val="00CE290B"/>
    <w:rsid w:val="00CE2973"/>
    <w:rsid w:val="00CE2C75"/>
    <w:rsid w:val="00CE3247"/>
    <w:rsid w:val="00CE348F"/>
    <w:rsid w:val="00CE36B8"/>
    <w:rsid w:val="00CE3830"/>
    <w:rsid w:val="00CE3E4B"/>
    <w:rsid w:val="00CE3E6C"/>
    <w:rsid w:val="00CE3FA4"/>
    <w:rsid w:val="00CE41E2"/>
    <w:rsid w:val="00CE46DE"/>
    <w:rsid w:val="00CE4CA7"/>
    <w:rsid w:val="00CE4D19"/>
    <w:rsid w:val="00CE52B6"/>
    <w:rsid w:val="00CE53AE"/>
    <w:rsid w:val="00CE5506"/>
    <w:rsid w:val="00CE5688"/>
    <w:rsid w:val="00CE58FD"/>
    <w:rsid w:val="00CE5A2D"/>
    <w:rsid w:val="00CE5A6F"/>
    <w:rsid w:val="00CE5C36"/>
    <w:rsid w:val="00CE5CF3"/>
    <w:rsid w:val="00CE5D61"/>
    <w:rsid w:val="00CE5EB5"/>
    <w:rsid w:val="00CE60DD"/>
    <w:rsid w:val="00CE617C"/>
    <w:rsid w:val="00CE6251"/>
    <w:rsid w:val="00CE646D"/>
    <w:rsid w:val="00CE64B2"/>
    <w:rsid w:val="00CE6559"/>
    <w:rsid w:val="00CE671B"/>
    <w:rsid w:val="00CE67E5"/>
    <w:rsid w:val="00CE6ECD"/>
    <w:rsid w:val="00CE6F01"/>
    <w:rsid w:val="00CE701B"/>
    <w:rsid w:val="00CE7296"/>
    <w:rsid w:val="00CE7487"/>
    <w:rsid w:val="00CE7504"/>
    <w:rsid w:val="00CE7669"/>
    <w:rsid w:val="00CE766D"/>
    <w:rsid w:val="00CE769A"/>
    <w:rsid w:val="00CE78A7"/>
    <w:rsid w:val="00CE7947"/>
    <w:rsid w:val="00CE7C8D"/>
    <w:rsid w:val="00CE7CDE"/>
    <w:rsid w:val="00CE7CFF"/>
    <w:rsid w:val="00CE7E3F"/>
    <w:rsid w:val="00CE7F56"/>
    <w:rsid w:val="00CE7F5D"/>
    <w:rsid w:val="00CF0060"/>
    <w:rsid w:val="00CF017A"/>
    <w:rsid w:val="00CF02C4"/>
    <w:rsid w:val="00CF0441"/>
    <w:rsid w:val="00CF04BA"/>
    <w:rsid w:val="00CF04E6"/>
    <w:rsid w:val="00CF04F1"/>
    <w:rsid w:val="00CF073E"/>
    <w:rsid w:val="00CF098D"/>
    <w:rsid w:val="00CF09A6"/>
    <w:rsid w:val="00CF0EAE"/>
    <w:rsid w:val="00CF117A"/>
    <w:rsid w:val="00CF16E9"/>
    <w:rsid w:val="00CF1AF1"/>
    <w:rsid w:val="00CF1C77"/>
    <w:rsid w:val="00CF1D23"/>
    <w:rsid w:val="00CF1D9C"/>
    <w:rsid w:val="00CF1DBA"/>
    <w:rsid w:val="00CF1E4D"/>
    <w:rsid w:val="00CF1F41"/>
    <w:rsid w:val="00CF206C"/>
    <w:rsid w:val="00CF21C6"/>
    <w:rsid w:val="00CF2392"/>
    <w:rsid w:val="00CF2543"/>
    <w:rsid w:val="00CF26D5"/>
    <w:rsid w:val="00CF2AFE"/>
    <w:rsid w:val="00CF2CBA"/>
    <w:rsid w:val="00CF308A"/>
    <w:rsid w:val="00CF3172"/>
    <w:rsid w:val="00CF32B8"/>
    <w:rsid w:val="00CF34A3"/>
    <w:rsid w:val="00CF3674"/>
    <w:rsid w:val="00CF36B2"/>
    <w:rsid w:val="00CF387E"/>
    <w:rsid w:val="00CF3A81"/>
    <w:rsid w:val="00CF3D77"/>
    <w:rsid w:val="00CF4119"/>
    <w:rsid w:val="00CF415C"/>
    <w:rsid w:val="00CF439C"/>
    <w:rsid w:val="00CF4422"/>
    <w:rsid w:val="00CF44F4"/>
    <w:rsid w:val="00CF45C9"/>
    <w:rsid w:val="00CF4700"/>
    <w:rsid w:val="00CF487E"/>
    <w:rsid w:val="00CF48C6"/>
    <w:rsid w:val="00CF495C"/>
    <w:rsid w:val="00CF4B10"/>
    <w:rsid w:val="00CF4B25"/>
    <w:rsid w:val="00CF4CBD"/>
    <w:rsid w:val="00CF4D22"/>
    <w:rsid w:val="00CF5033"/>
    <w:rsid w:val="00CF5050"/>
    <w:rsid w:val="00CF5215"/>
    <w:rsid w:val="00CF52F6"/>
    <w:rsid w:val="00CF5474"/>
    <w:rsid w:val="00CF56A1"/>
    <w:rsid w:val="00CF575F"/>
    <w:rsid w:val="00CF5BEA"/>
    <w:rsid w:val="00CF5F59"/>
    <w:rsid w:val="00CF5F5B"/>
    <w:rsid w:val="00CF6346"/>
    <w:rsid w:val="00CF69FB"/>
    <w:rsid w:val="00CF6D8A"/>
    <w:rsid w:val="00CF703A"/>
    <w:rsid w:val="00CF70AD"/>
    <w:rsid w:val="00CF751E"/>
    <w:rsid w:val="00CF75DF"/>
    <w:rsid w:val="00CF766D"/>
    <w:rsid w:val="00CF7828"/>
    <w:rsid w:val="00CF7B1E"/>
    <w:rsid w:val="00CF7EED"/>
    <w:rsid w:val="00D00192"/>
    <w:rsid w:val="00D0021A"/>
    <w:rsid w:val="00D0021D"/>
    <w:rsid w:val="00D00416"/>
    <w:rsid w:val="00D00442"/>
    <w:rsid w:val="00D00708"/>
    <w:rsid w:val="00D0097B"/>
    <w:rsid w:val="00D00AC1"/>
    <w:rsid w:val="00D00E15"/>
    <w:rsid w:val="00D01233"/>
    <w:rsid w:val="00D012F9"/>
    <w:rsid w:val="00D01420"/>
    <w:rsid w:val="00D01802"/>
    <w:rsid w:val="00D01DF0"/>
    <w:rsid w:val="00D01EBC"/>
    <w:rsid w:val="00D02046"/>
    <w:rsid w:val="00D02310"/>
    <w:rsid w:val="00D0256C"/>
    <w:rsid w:val="00D0269D"/>
    <w:rsid w:val="00D026CC"/>
    <w:rsid w:val="00D0293D"/>
    <w:rsid w:val="00D029E6"/>
    <w:rsid w:val="00D02B3C"/>
    <w:rsid w:val="00D02D99"/>
    <w:rsid w:val="00D02DDB"/>
    <w:rsid w:val="00D02E1B"/>
    <w:rsid w:val="00D02E8B"/>
    <w:rsid w:val="00D02EA4"/>
    <w:rsid w:val="00D02F78"/>
    <w:rsid w:val="00D0354B"/>
    <w:rsid w:val="00D036C5"/>
    <w:rsid w:val="00D0398D"/>
    <w:rsid w:val="00D03AB7"/>
    <w:rsid w:val="00D03CE9"/>
    <w:rsid w:val="00D04041"/>
    <w:rsid w:val="00D04055"/>
    <w:rsid w:val="00D042AA"/>
    <w:rsid w:val="00D0437B"/>
    <w:rsid w:val="00D04702"/>
    <w:rsid w:val="00D0481D"/>
    <w:rsid w:val="00D04C8B"/>
    <w:rsid w:val="00D04E47"/>
    <w:rsid w:val="00D05034"/>
    <w:rsid w:val="00D05109"/>
    <w:rsid w:val="00D05362"/>
    <w:rsid w:val="00D0541F"/>
    <w:rsid w:val="00D05494"/>
    <w:rsid w:val="00D0558D"/>
    <w:rsid w:val="00D055AA"/>
    <w:rsid w:val="00D05640"/>
    <w:rsid w:val="00D056D9"/>
    <w:rsid w:val="00D056DD"/>
    <w:rsid w:val="00D05787"/>
    <w:rsid w:val="00D057DF"/>
    <w:rsid w:val="00D058E6"/>
    <w:rsid w:val="00D05B6E"/>
    <w:rsid w:val="00D05C79"/>
    <w:rsid w:val="00D05D1D"/>
    <w:rsid w:val="00D05FD7"/>
    <w:rsid w:val="00D0623E"/>
    <w:rsid w:val="00D062FF"/>
    <w:rsid w:val="00D063F0"/>
    <w:rsid w:val="00D064E4"/>
    <w:rsid w:val="00D0656E"/>
    <w:rsid w:val="00D068CC"/>
    <w:rsid w:val="00D068E0"/>
    <w:rsid w:val="00D06BE6"/>
    <w:rsid w:val="00D06DF4"/>
    <w:rsid w:val="00D06F08"/>
    <w:rsid w:val="00D0700E"/>
    <w:rsid w:val="00D0711B"/>
    <w:rsid w:val="00D071C8"/>
    <w:rsid w:val="00D073FE"/>
    <w:rsid w:val="00D07564"/>
    <w:rsid w:val="00D07574"/>
    <w:rsid w:val="00D077F0"/>
    <w:rsid w:val="00D0781F"/>
    <w:rsid w:val="00D0788C"/>
    <w:rsid w:val="00D07B74"/>
    <w:rsid w:val="00D07BA9"/>
    <w:rsid w:val="00D07BC7"/>
    <w:rsid w:val="00D07BCA"/>
    <w:rsid w:val="00D07C7D"/>
    <w:rsid w:val="00D07D18"/>
    <w:rsid w:val="00D07EF5"/>
    <w:rsid w:val="00D100FA"/>
    <w:rsid w:val="00D102F5"/>
    <w:rsid w:val="00D10361"/>
    <w:rsid w:val="00D10527"/>
    <w:rsid w:val="00D10546"/>
    <w:rsid w:val="00D1056E"/>
    <w:rsid w:val="00D10571"/>
    <w:rsid w:val="00D1057A"/>
    <w:rsid w:val="00D1058E"/>
    <w:rsid w:val="00D1058F"/>
    <w:rsid w:val="00D105E7"/>
    <w:rsid w:val="00D1079D"/>
    <w:rsid w:val="00D10AAE"/>
    <w:rsid w:val="00D10AFE"/>
    <w:rsid w:val="00D10CCE"/>
    <w:rsid w:val="00D10CDE"/>
    <w:rsid w:val="00D10F92"/>
    <w:rsid w:val="00D10FD4"/>
    <w:rsid w:val="00D110CE"/>
    <w:rsid w:val="00D111FE"/>
    <w:rsid w:val="00D113E3"/>
    <w:rsid w:val="00D113ED"/>
    <w:rsid w:val="00D11435"/>
    <w:rsid w:val="00D11713"/>
    <w:rsid w:val="00D11771"/>
    <w:rsid w:val="00D1183C"/>
    <w:rsid w:val="00D11A77"/>
    <w:rsid w:val="00D11E49"/>
    <w:rsid w:val="00D11F38"/>
    <w:rsid w:val="00D12214"/>
    <w:rsid w:val="00D124B3"/>
    <w:rsid w:val="00D125AA"/>
    <w:rsid w:val="00D12691"/>
    <w:rsid w:val="00D12834"/>
    <w:rsid w:val="00D1290C"/>
    <w:rsid w:val="00D12E31"/>
    <w:rsid w:val="00D12F26"/>
    <w:rsid w:val="00D1312A"/>
    <w:rsid w:val="00D133BB"/>
    <w:rsid w:val="00D1368B"/>
    <w:rsid w:val="00D13836"/>
    <w:rsid w:val="00D13883"/>
    <w:rsid w:val="00D13A53"/>
    <w:rsid w:val="00D13B30"/>
    <w:rsid w:val="00D1403F"/>
    <w:rsid w:val="00D140F9"/>
    <w:rsid w:val="00D1437A"/>
    <w:rsid w:val="00D14519"/>
    <w:rsid w:val="00D146D9"/>
    <w:rsid w:val="00D14776"/>
    <w:rsid w:val="00D1485E"/>
    <w:rsid w:val="00D148D6"/>
    <w:rsid w:val="00D14A64"/>
    <w:rsid w:val="00D14A79"/>
    <w:rsid w:val="00D14AE9"/>
    <w:rsid w:val="00D14EAB"/>
    <w:rsid w:val="00D14EB6"/>
    <w:rsid w:val="00D150CC"/>
    <w:rsid w:val="00D1517A"/>
    <w:rsid w:val="00D1517F"/>
    <w:rsid w:val="00D15891"/>
    <w:rsid w:val="00D15A09"/>
    <w:rsid w:val="00D15D18"/>
    <w:rsid w:val="00D15EB1"/>
    <w:rsid w:val="00D16248"/>
    <w:rsid w:val="00D16433"/>
    <w:rsid w:val="00D16706"/>
    <w:rsid w:val="00D1673D"/>
    <w:rsid w:val="00D16AFB"/>
    <w:rsid w:val="00D16BCF"/>
    <w:rsid w:val="00D16C9D"/>
    <w:rsid w:val="00D16CE0"/>
    <w:rsid w:val="00D16F6E"/>
    <w:rsid w:val="00D17398"/>
    <w:rsid w:val="00D173F9"/>
    <w:rsid w:val="00D175F0"/>
    <w:rsid w:val="00D1786A"/>
    <w:rsid w:val="00D1793C"/>
    <w:rsid w:val="00D2005A"/>
    <w:rsid w:val="00D20067"/>
    <w:rsid w:val="00D20462"/>
    <w:rsid w:val="00D205E6"/>
    <w:rsid w:val="00D207D1"/>
    <w:rsid w:val="00D2099E"/>
    <w:rsid w:val="00D20C19"/>
    <w:rsid w:val="00D20C6D"/>
    <w:rsid w:val="00D20CAC"/>
    <w:rsid w:val="00D20F5C"/>
    <w:rsid w:val="00D21155"/>
    <w:rsid w:val="00D21166"/>
    <w:rsid w:val="00D2120D"/>
    <w:rsid w:val="00D2157C"/>
    <w:rsid w:val="00D21662"/>
    <w:rsid w:val="00D216FF"/>
    <w:rsid w:val="00D21829"/>
    <w:rsid w:val="00D21919"/>
    <w:rsid w:val="00D21A99"/>
    <w:rsid w:val="00D21BEF"/>
    <w:rsid w:val="00D21CA8"/>
    <w:rsid w:val="00D21D9B"/>
    <w:rsid w:val="00D21DEA"/>
    <w:rsid w:val="00D21FB5"/>
    <w:rsid w:val="00D21FE3"/>
    <w:rsid w:val="00D22211"/>
    <w:rsid w:val="00D22424"/>
    <w:rsid w:val="00D22808"/>
    <w:rsid w:val="00D2282F"/>
    <w:rsid w:val="00D22B25"/>
    <w:rsid w:val="00D22CB2"/>
    <w:rsid w:val="00D23158"/>
    <w:rsid w:val="00D2316A"/>
    <w:rsid w:val="00D232E9"/>
    <w:rsid w:val="00D234F0"/>
    <w:rsid w:val="00D23811"/>
    <w:rsid w:val="00D2399A"/>
    <w:rsid w:val="00D24089"/>
    <w:rsid w:val="00D240BD"/>
    <w:rsid w:val="00D240E4"/>
    <w:rsid w:val="00D24282"/>
    <w:rsid w:val="00D2433B"/>
    <w:rsid w:val="00D246ED"/>
    <w:rsid w:val="00D24744"/>
    <w:rsid w:val="00D24804"/>
    <w:rsid w:val="00D24866"/>
    <w:rsid w:val="00D248CB"/>
    <w:rsid w:val="00D24A64"/>
    <w:rsid w:val="00D24D7E"/>
    <w:rsid w:val="00D253D1"/>
    <w:rsid w:val="00D2568D"/>
    <w:rsid w:val="00D25AB2"/>
    <w:rsid w:val="00D2606C"/>
    <w:rsid w:val="00D26243"/>
    <w:rsid w:val="00D263C3"/>
    <w:rsid w:val="00D264CB"/>
    <w:rsid w:val="00D266E7"/>
    <w:rsid w:val="00D271D5"/>
    <w:rsid w:val="00D27393"/>
    <w:rsid w:val="00D273AA"/>
    <w:rsid w:val="00D274DE"/>
    <w:rsid w:val="00D27516"/>
    <w:rsid w:val="00D2757A"/>
    <w:rsid w:val="00D27734"/>
    <w:rsid w:val="00D27775"/>
    <w:rsid w:val="00D278AD"/>
    <w:rsid w:val="00D27966"/>
    <w:rsid w:val="00D27BE4"/>
    <w:rsid w:val="00D27D52"/>
    <w:rsid w:val="00D27EAE"/>
    <w:rsid w:val="00D27F4A"/>
    <w:rsid w:val="00D3009C"/>
    <w:rsid w:val="00D3011C"/>
    <w:rsid w:val="00D30140"/>
    <w:rsid w:val="00D3016F"/>
    <w:rsid w:val="00D30869"/>
    <w:rsid w:val="00D3091E"/>
    <w:rsid w:val="00D30A77"/>
    <w:rsid w:val="00D30EAE"/>
    <w:rsid w:val="00D31005"/>
    <w:rsid w:val="00D31013"/>
    <w:rsid w:val="00D310F9"/>
    <w:rsid w:val="00D31164"/>
    <w:rsid w:val="00D31247"/>
    <w:rsid w:val="00D31410"/>
    <w:rsid w:val="00D314D0"/>
    <w:rsid w:val="00D31AD0"/>
    <w:rsid w:val="00D31D0D"/>
    <w:rsid w:val="00D31FCF"/>
    <w:rsid w:val="00D321EC"/>
    <w:rsid w:val="00D3249A"/>
    <w:rsid w:val="00D326CE"/>
    <w:rsid w:val="00D3276A"/>
    <w:rsid w:val="00D327E7"/>
    <w:rsid w:val="00D328C3"/>
    <w:rsid w:val="00D32CD7"/>
    <w:rsid w:val="00D32D42"/>
    <w:rsid w:val="00D330CD"/>
    <w:rsid w:val="00D33171"/>
    <w:rsid w:val="00D3318F"/>
    <w:rsid w:val="00D331AA"/>
    <w:rsid w:val="00D33358"/>
    <w:rsid w:val="00D33419"/>
    <w:rsid w:val="00D33631"/>
    <w:rsid w:val="00D338B1"/>
    <w:rsid w:val="00D33C39"/>
    <w:rsid w:val="00D33C83"/>
    <w:rsid w:val="00D347BE"/>
    <w:rsid w:val="00D34ABC"/>
    <w:rsid w:val="00D34BF7"/>
    <w:rsid w:val="00D34F72"/>
    <w:rsid w:val="00D3535B"/>
    <w:rsid w:val="00D353B6"/>
    <w:rsid w:val="00D355CD"/>
    <w:rsid w:val="00D355EC"/>
    <w:rsid w:val="00D35675"/>
    <w:rsid w:val="00D35783"/>
    <w:rsid w:val="00D358FE"/>
    <w:rsid w:val="00D35BC3"/>
    <w:rsid w:val="00D35BEA"/>
    <w:rsid w:val="00D35C69"/>
    <w:rsid w:val="00D35DC1"/>
    <w:rsid w:val="00D36374"/>
    <w:rsid w:val="00D36621"/>
    <w:rsid w:val="00D366FD"/>
    <w:rsid w:val="00D3671E"/>
    <w:rsid w:val="00D367FC"/>
    <w:rsid w:val="00D36A35"/>
    <w:rsid w:val="00D36A6C"/>
    <w:rsid w:val="00D36CEA"/>
    <w:rsid w:val="00D36DA8"/>
    <w:rsid w:val="00D36DD0"/>
    <w:rsid w:val="00D36DD1"/>
    <w:rsid w:val="00D36F3B"/>
    <w:rsid w:val="00D36FC3"/>
    <w:rsid w:val="00D37052"/>
    <w:rsid w:val="00D370F4"/>
    <w:rsid w:val="00D376AA"/>
    <w:rsid w:val="00D376E8"/>
    <w:rsid w:val="00D37727"/>
    <w:rsid w:val="00D377CC"/>
    <w:rsid w:val="00D37A3B"/>
    <w:rsid w:val="00D37A97"/>
    <w:rsid w:val="00D37B87"/>
    <w:rsid w:val="00D37C15"/>
    <w:rsid w:val="00D40040"/>
    <w:rsid w:val="00D4023E"/>
    <w:rsid w:val="00D4025D"/>
    <w:rsid w:val="00D403EE"/>
    <w:rsid w:val="00D40521"/>
    <w:rsid w:val="00D40AEC"/>
    <w:rsid w:val="00D40B49"/>
    <w:rsid w:val="00D40BE7"/>
    <w:rsid w:val="00D40DFC"/>
    <w:rsid w:val="00D40FAD"/>
    <w:rsid w:val="00D41029"/>
    <w:rsid w:val="00D41047"/>
    <w:rsid w:val="00D4114C"/>
    <w:rsid w:val="00D411A7"/>
    <w:rsid w:val="00D411FB"/>
    <w:rsid w:val="00D41231"/>
    <w:rsid w:val="00D41305"/>
    <w:rsid w:val="00D414FB"/>
    <w:rsid w:val="00D41606"/>
    <w:rsid w:val="00D417E1"/>
    <w:rsid w:val="00D418A7"/>
    <w:rsid w:val="00D41AD6"/>
    <w:rsid w:val="00D41AEB"/>
    <w:rsid w:val="00D41BD0"/>
    <w:rsid w:val="00D41DC2"/>
    <w:rsid w:val="00D42199"/>
    <w:rsid w:val="00D421A4"/>
    <w:rsid w:val="00D422AC"/>
    <w:rsid w:val="00D424D6"/>
    <w:rsid w:val="00D42568"/>
    <w:rsid w:val="00D427AE"/>
    <w:rsid w:val="00D42BD1"/>
    <w:rsid w:val="00D42DE8"/>
    <w:rsid w:val="00D42E89"/>
    <w:rsid w:val="00D42EA6"/>
    <w:rsid w:val="00D4328D"/>
    <w:rsid w:val="00D432B8"/>
    <w:rsid w:val="00D4343F"/>
    <w:rsid w:val="00D4347F"/>
    <w:rsid w:val="00D43498"/>
    <w:rsid w:val="00D43588"/>
    <w:rsid w:val="00D436A1"/>
    <w:rsid w:val="00D436FA"/>
    <w:rsid w:val="00D43B12"/>
    <w:rsid w:val="00D43CF9"/>
    <w:rsid w:val="00D441AC"/>
    <w:rsid w:val="00D44247"/>
    <w:rsid w:val="00D4427A"/>
    <w:rsid w:val="00D442FE"/>
    <w:rsid w:val="00D443B7"/>
    <w:rsid w:val="00D4449D"/>
    <w:rsid w:val="00D446A4"/>
    <w:rsid w:val="00D449DD"/>
    <w:rsid w:val="00D44E64"/>
    <w:rsid w:val="00D44ECA"/>
    <w:rsid w:val="00D45583"/>
    <w:rsid w:val="00D4571A"/>
    <w:rsid w:val="00D45A3F"/>
    <w:rsid w:val="00D45A6E"/>
    <w:rsid w:val="00D45CE5"/>
    <w:rsid w:val="00D461F7"/>
    <w:rsid w:val="00D464C4"/>
    <w:rsid w:val="00D46617"/>
    <w:rsid w:val="00D46AF6"/>
    <w:rsid w:val="00D46D3F"/>
    <w:rsid w:val="00D46E70"/>
    <w:rsid w:val="00D471C6"/>
    <w:rsid w:val="00D47286"/>
    <w:rsid w:val="00D4747B"/>
    <w:rsid w:val="00D47551"/>
    <w:rsid w:val="00D4779E"/>
    <w:rsid w:val="00D478C4"/>
    <w:rsid w:val="00D47AE0"/>
    <w:rsid w:val="00D47EBF"/>
    <w:rsid w:val="00D5002F"/>
    <w:rsid w:val="00D5007B"/>
    <w:rsid w:val="00D50109"/>
    <w:rsid w:val="00D50272"/>
    <w:rsid w:val="00D503A2"/>
    <w:rsid w:val="00D50431"/>
    <w:rsid w:val="00D50452"/>
    <w:rsid w:val="00D506FD"/>
    <w:rsid w:val="00D50812"/>
    <w:rsid w:val="00D50CD1"/>
    <w:rsid w:val="00D50DBA"/>
    <w:rsid w:val="00D50EFA"/>
    <w:rsid w:val="00D50F48"/>
    <w:rsid w:val="00D50F63"/>
    <w:rsid w:val="00D51013"/>
    <w:rsid w:val="00D51024"/>
    <w:rsid w:val="00D5131F"/>
    <w:rsid w:val="00D51713"/>
    <w:rsid w:val="00D517EA"/>
    <w:rsid w:val="00D51848"/>
    <w:rsid w:val="00D51D34"/>
    <w:rsid w:val="00D51DEE"/>
    <w:rsid w:val="00D51FDF"/>
    <w:rsid w:val="00D52226"/>
    <w:rsid w:val="00D5227E"/>
    <w:rsid w:val="00D52333"/>
    <w:rsid w:val="00D526F7"/>
    <w:rsid w:val="00D527C1"/>
    <w:rsid w:val="00D52AC8"/>
    <w:rsid w:val="00D52AFB"/>
    <w:rsid w:val="00D52CD6"/>
    <w:rsid w:val="00D53041"/>
    <w:rsid w:val="00D5320E"/>
    <w:rsid w:val="00D535AF"/>
    <w:rsid w:val="00D536BA"/>
    <w:rsid w:val="00D53731"/>
    <w:rsid w:val="00D53769"/>
    <w:rsid w:val="00D53776"/>
    <w:rsid w:val="00D537B5"/>
    <w:rsid w:val="00D53866"/>
    <w:rsid w:val="00D5395F"/>
    <w:rsid w:val="00D53EA4"/>
    <w:rsid w:val="00D53FDA"/>
    <w:rsid w:val="00D5401B"/>
    <w:rsid w:val="00D540BE"/>
    <w:rsid w:val="00D54193"/>
    <w:rsid w:val="00D5419C"/>
    <w:rsid w:val="00D542F4"/>
    <w:rsid w:val="00D5437E"/>
    <w:rsid w:val="00D5446C"/>
    <w:rsid w:val="00D5454C"/>
    <w:rsid w:val="00D5455F"/>
    <w:rsid w:val="00D545F3"/>
    <w:rsid w:val="00D5477D"/>
    <w:rsid w:val="00D547E8"/>
    <w:rsid w:val="00D54834"/>
    <w:rsid w:val="00D5491E"/>
    <w:rsid w:val="00D54964"/>
    <w:rsid w:val="00D54A65"/>
    <w:rsid w:val="00D54B22"/>
    <w:rsid w:val="00D54B4D"/>
    <w:rsid w:val="00D54D70"/>
    <w:rsid w:val="00D54DB5"/>
    <w:rsid w:val="00D5513A"/>
    <w:rsid w:val="00D55226"/>
    <w:rsid w:val="00D55422"/>
    <w:rsid w:val="00D55766"/>
    <w:rsid w:val="00D55925"/>
    <w:rsid w:val="00D5599B"/>
    <w:rsid w:val="00D55B6C"/>
    <w:rsid w:val="00D55BC6"/>
    <w:rsid w:val="00D55D59"/>
    <w:rsid w:val="00D55DF7"/>
    <w:rsid w:val="00D55E30"/>
    <w:rsid w:val="00D55E7F"/>
    <w:rsid w:val="00D55F7F"/>
    <w:rsid w:val="00D56137"/>
    <w:rsid w:val="00D561B1"/>
    <w:rsid w:val="00D561FE"/>
    <w:rsid w:val="00D56383"/>
    <w:rsid w:val="00D56671"/>
    <w:rsid w:val="00D56A4F"/>
    <w:rsid w:val="00D5708B"/>
    <w:rsid w:val="00D5721F"/>
    <w:rsid w:val="00D57389"/>
    <w:rsid w:val="00D57397"/>
    <w:rsid w:val="00D5754D"/>
    <w:rsid w:val="00D575A0"/>
    <w:rsid w:val="00D5763B"/>
    <w:rsid w:val="00D579F2"/>
    <w:rsid w:val="00D57A67"/>
    <w:rsid w:val="00D57AFC"/>
    <w:rsid w:val="00D57CF1"/>
    <w:rsid w:val="00D57EC8"/>
    <w:rsid w:val="00D57F4D"/>
    <w:rsid w:val="00D60051"/>
    <w:rsid w:val="00D60087"/>
    <w:rsid w:val="00D60189"/>
    <w:rsid w:val="00D606A2"/>
    <w:rsid w:val="00D60799"/>
    <w:rsid w:val="00D60A4B"/>
    <w:rsid w:val="00D60B93"/>
    <w:rsid w:val="00D60E86"/>
    <w:rsid w:val="00D60EA6"/>
    <w:rsid w:val="00D610A2"/>
    <w:rsid w:val="00D61552"/>
    <w:rsid w:val="00D615C2"/>
    <w:rsid w:val="00D615F2"/>
    <w:rsid w:val="00D6165F"/>
    <w:rsid w:val="00D616E1"/>
    <w:rsid w:val="00D617B5"/>
    <w:rsid w:val="00D6185E"/>
    <w:rsid w:val="00D618C8"/>
    <w:rsid w:val="00D61A0F"/>
    <w:rsid w:val="00D61D46"/>
    <w:rsid w:val="00D61E51"/>
    <w:rsid w:val="00D6200C"/>
    <w:rsid w:val="00D623A7"/>
    <w:rsid w:val="00D62445"/>
    <w:rsid w:val="00D626FA"/>
    <w:rsid w:val="00D6289B"/>
    <w:rsid w:val="00D62B21"/>
    <w:rsid w:val="00D62BE7"/>
    <w:rsid w:val="00D62D2B"/>
    <w:rsid w:val="00D62E7D"/>
    <w:rsid w:val="00D62EC7"/>
    <w:rsid w:val="00D6316E"/>
    <w:rsid w:val="00D63318"/>
    <w:rsid w:val="00D634BA"/>
    <w:rsid w:val="00D63655"/>
    <w:rsid w:val="00D63A37"/>
    <w:rsid w:val="00D63A80"/>
    <w:rsid w:val="00D63D4C"/>
    <w:rsid w:val="00D64135"/>
    <w:rsid w:val="00D641EB"/>
    <w:rsid w:val="00D64326"/>
    <w:rsid w:val="00D64473"/>
    <w:rsid w:val="00D64A2D"/>
    <w:rsid w:val="00D64D13"/>
    <w:rsid w:val="00D64D3C"/>
    <w:rsid w:val="00D64DB6"/>
    <w:rsid w:val="00D65044"/>
    <w:rsid w:val="00D652DC"/>
    <w:rsid w:val="00D65927"/>
    <w:rsid w:val="00D65C7B"/>
    <w:rsid w:val="00D65D96"/>
    <w:rsid w:val="00D65F0C"/>
    <w:rsid w:val="00D65FE7"/>
    <w:rsid w:val="00D66474"/>
    <w:rsid w:val="00D666C5"/>
    <w:rsid w:val="00D668F5"/>
    <w:rsid w:val="00D669F2"/>
    <w:rsid w:val="00D66B5E"/>
    <w:rsid w:val="00D66DAC"/>
    <w:rsid w:val="00D66DFF"/>
    <w:rsid w:val="00D66E6A"/>
    <w:rsid w:val="00D66EC4"/>
    <w:rsid w:val="00D66F43"/>
    <w:rsid w:val="00D67013"/>
    <w:rsid w:val="00D670B4"/>
    <w:rsid w:val="00D67437"/>
    <w:rsid w:val="00D675AF"/>
    <w:rsid w:val="00D676A5"/>
    <w:rsid w:val="00D67A8A"/>
    <w:rsid w:val="00D67D46"/>
    <w:rsid w:val="00D67D6E"/>
    <w:rsid w:val="00D700A8"/>
    <w:rsid w:val="00D70445"/>
    <w:rsid w:val="00D70479"/>
    <w:rsid w:val="00D7050E"/>
    <w:rsid w:val="00D70557"/>
    <w:rsid w:val="00D70663"/>
    <w:rsid w:val="00D706F6"/>
    <w:rsid w:val="00D707A6"/>
    <w:rsid w:val="00D707DA"/>
    <w:rsid w:val="00D708BA"/>
    <w:rsid w:val="00D70B9D"/>
    <w:rsid w:val="00D70BBB"/>
    <w:rsid w:val="00D70C6F"/>
    <w:rsid w:val="00D70D2B"/>
    <w:rsid w:val="00D70ECC"/>
    <w:rsid w:val="00D70EDE"/>
    <w:rsid w:val="00D70EEC"/>
    <w:rsid w:val="00D71228"/>
    <w:rsid w:val="00D71238"/>
    <w:rsid w:val="00D71344"/>
    <w:rsid w:val="00D7137A"/>
    <w:rsid w:val="00D7142D"/>
    <w:rsid w:val="00D714BE"/>
    <w:rsid w:val="00D7150D"/>
    <w:rsid w:val="00D716C8"/>
    <w:rsid w:val="00D71785"/>
    <w:rsid w:val="00D718A5"/>
    <w:rsid w:val="00D7198A"/>
    <w:rsid w:val="00D71B2B"/>
    <w:rsid w:val="00D71C3E"/>
    <w:rsid w:val="00D71CC6"/>
    <w:rsid w:val="00D71CEC"/>
    <w:rsid w:val="00D71D22"/>
    <w:rsid w:val="00D7226C"/>
    <w:rsid w:val="00D722A2"/>
    <w:rsid w:val="00D723E9"/>
    <w:rsid w:val="00D726E1"/>
    <w:rsid w:val="00D72854"/>
    <w:rsid w:val="00D72A51"/>
    <w:rsid w:val="00D72C3F"/>
    <w:rsid w:val="00D72CD0"/>
    <w:rsid w:val="00D72EBF"/>
    <w:rsid w:val="00D72EE4"/>
    <w:rsid w:val="00D7309E"/>
    <w:rsid w:val="00D731BB"/>
    <w:rsid w:val="00D735F6"/>
    <w:rsid w:val="00D73920"/>
    <w:rsid w:val="00D73CB7"/>
    <w:rsid w:val="00D73D1F"/>
    <w:rsid w:val="00D73E7B"/>
    <w:rsid w:val="00D74249"/>
    <w:rsid w:val="00D744B6"/>
    <w:rsid w:val="00D74512"/>
    <w:rsid w:val="00D74629"/>
    <w:rsid w:val="00D7484D"/>
    <w:rsid w:val="00D749FD"/>
    <w:rsid w:val="00D74AED"/>
    <w:rsid w:val="00D74B51"/>
    <w:rsid w:val="00D74BDD"/>
    <w:rsid w:val="00D74BEB"/>
    <w:rsid w:val="00D751BA"/>
    <w:rsid w:val="00D75631"/>
    <w:rsid w:val="00D75708"/>
    <w:rsid w:val="00D75905"/>
    <w:rsid w:val="00D75A02"/>
    <w:rsid w:val="00D75D09"/>
    <w:rsid w:val="00D75E5A"/>
    <w:rsid w:val="00D76107"/>
    <w:rsid w:val="00D76324"/>
    <w:rsid w:val="00D76482"/>
    <w:rsid w:val="00D766D4"/>
    <w:rsid w:val="00D76799"/>
    <w:rsid w:val="00D76A35"/>
    <w:rsid w:val="00D76B8A"/>
    <w:rsid w:val="00D76C44"/>
    <w:rsid w:val="00D76D59"/>
    <w:rsid w:val="00D7717E"/>
    <w:rsid w:val="00D77257"/>
    <w:rsid w:val="00D7742A"/>
    <w:rsid w:val="00D77731"/>
    <w:rsid w:val="00D77C17"/>
    <w:rsid w:val="00D77D97"/>
    <w:rsid w:val="00D8068C"/>
    <w:rsid w:val="00D8087D"/>
    <w:rsid w:val="00D80907"/>
    <w:rsid w:val="00D80B16"/>
    <w:rsid w:val="00D80B64"/>
    <w:rsid w:val="00D80D30"/>
    <w:rsid w:val="00D80D85"/>
    <w:rsid w:val="00D81022"/>
    <w:rsid w:val="00D811A1"/>
    <w:rsid w:val="00D8124C"/>
    <w:rsid w:val="00D81378"/>
    <w:rsid w:val="00D813F9"/>
    <w:rsid w:val="00D81515"/>
    <w:rsid w:val="00D8181E"/>
    <w:rsid w:val="00D818BB"/>
    <w:rsid w:val="00D81A7E"/>
    <w:rsid w:val="00D81BF0"/>
    <w:rsid w:val="00D81DBA"/>
    <w:rsid w:val="00D8216F"/>
    <w:rsid w:val="00D823D7"/>
    <w:rsid w:val="00D8245B"/>
    <w:rsid w:val="00D8249B"/>
    <w:rsid w:val="00D828CA"/>
    <w:rsid w:val="00D8296B"/>
    <w:rsid w:val="00D82A3D"/>
    <w:rsid w:val="00D8301F"/>
    <w:rsid w:val="00D8323C"/>
    <w:rsid w:val="00D83286"/>
    <w:rsid w:val="00D83479"/>
    <w:rsid w:val="00D835A1"/>
    <w:rsid w:val="00D836CA"/>
    <w:rsid w:val="00D8384B"/>
    <w:rsid w:val="00D83A53"/>
    <w:rsid w:val="00D83D10"/>
    <w:rsid w:val="00D83D16"/>
    <w:rsid w:val="00D83DBE"/>
    <w:rsid w:val="00D83ED8"/>
    <w:rsid w:val="00D8414A"/>
    <w:rsid w:val="00D84237"/>
    <w:rsid w:val="00D842DA"/>
    <w:rsid w:val="00D842E1"/>
    <w:rsid w:val="00D84463"/>
    <w:rsid w:val="00D844FC"/>
    <w:rsid w:val="00D846A1"/>
    <w:rsid w:val="00D8478A"/>
    <w:rsid w:val="00D847B3"/>
    <w:rsid w:val="00D84FD5"/>
    <w:rsid w:val="00D851B8"/>
    <w:rsid w:val="00D85306"/>
    <w:rsid w:val="00D855B4"/>
    <w:rsid w:val="00D85710"/>
    <w:rsid w:val="00D85A9F"/>
    <w:rsid w:val="00D85C78"/>
    <w:rsid w:val="00D85CAB"/>
    <w:rsid w:val="00D85D22"/>
    <w:rsid w:val="00D8613A"/>
    <w:rsid w:val="00D8644D"/>
    <w:rsid w:val="00D865DF"/>
    <w:rsid w:val="00D86786"/>
    <w:rsid w:val="00D86923"/>
    <w:rsid w:val="00D86B2E"/>
    <w:rsid w:val="00D86E61"/>
    <w:rsid w:val="00D86FA5"/>
    <w:rsid w:val="00D8706F"/>
    <w:rsid w:val="00D8712E"/>
    <w:rsid w:val="00D871DC"/>
    <w:rsid w:val="00D8730F"/>
    <w:rsid w:val="00D87583"/>
    <w:rsid w:val="00D87649"/>
    <w:rsid w:val="00D878B1"/>
    <w:rsid w:val="00D87953"/>
    <w:rsid w:val="00D87A62"/>
    <w:rsid w:val="00D87AF4"/>
    <w:rsid w:val="00D87C8B"/>
    <w:rsid w:val="00D87DC4"/>
    <w:rsid w:val="00D87E27"/>
    <w:rsid w:val="00D9000C"/>
    <w:rsid w:val="00D9001E"/>
    <w:rsid w:val="00D90089"/>
    <w:rsid w:val="00D903D1"/>
    <w:rsid w:val="00D903DE"/>
    <w:rsid w:val="00D905B8"/>
    <w:rsid w:val="00D906FD"/>
    <w:rsid w:val="00D90772"/>
    <w:rsid w:val="00D90842"/>
    <w:rsid w:val="00D90A4B"/>
    <w:rsid w:val="00D90E9A"/>
    <w:rsid w:val="00D91376"/>
    <w:rsid w:val="00D9168D"/>
    <w:rsid w:val="00D9171E"/>
    <w:rsid w:val="00D9187A"/>
    <w:rsid w:val="00D918D9"/>
    <w:rsid w:val="00D91A3A"/>
    <w:rsid w:val="00D91A99"/>
    <w:rsid w:val="00D91D89"/>
    <w:rsid w:val="00D91F78"/>
    <w:rsid w:val="00D92012"/>
    <w:rsid w:val="00D92045"/>
    <w:rsid w:val="00D9222F"/>
    <w:rsid w:val="00D9234E"/>
    <w:rsid w:val="00D9237B"/>
    <w:rsid w:val="00D9238B"/>
    <w:rsid w:val="00D92634"/>
    <w:rsid w:val="00D9274E"/>
    <w:rsid w:val="00D92841"/>
    <w:rsid w:val="00D92870"/>
    <w:rsid w:val="00D9293C"/>
    <w:rsid w:val="00D92B17"/>
    <w:rsid w:val="00D92E57"/>
    <w:rsid w:val="00D930A6"/>
    <w:rsid w:val="00D93205"/>
    <w:rsid w:val="00D93379"/>
    <w:rsid w:val="00D93499"/>
    <w:rsid w:val="00D935AD"/>
    <w:rsid w:val="00D935D9"/>
    <w:rsid w:val="00D93751"/>
    <w:rsid w:val="00D9380D"/>
    <w:rsid w:val="00D939B4"/>
    <w:rsid w:val="00D93A6C"/>
    <w:rsid w:val="00D93AF8"/>
    <w:rsid w:val="00D93C07"/>
    <w:rsid w:val="00D93F1D"/>
    <w:rsid w:val="00D940C8"/>
    <w:rsid w:val="00D946F9"/>
    <w:rsid w:val="00D947D7"/>
    <w:rsid w:val="00D94851"/>
    <w:rsid w:val="00D94C35"/>
    <w:rsid w:val="00D94E57"/>
    <w:rsid w:val="00D9518F"/>
    <w:rsid w:val="00D953C9"/>
    <w:rsid w:val="00D95446"/>
    <w:rsid w:val="00D954EC"/>
    <w:rsid w:val="00D9551F"/>
    <w:rsid w:val="00D95972"/>
    <w:rsid w:val="00D95B2F"/>
    <w:rsid w:val="00D95B71"/>
    <w:rsid w:val="00D95FEE"/>
    <w:rsid w:val="00D95FF2"/>
    <w:rsid w:val="00D962DC"/>
    <w:rsid w:val="00D96476"/>
    <w:rsid w:val="00D96547"/>
    <w:rsid w:val="00D96812"/>
    <w:rsid w:val="00D96B9C"/>
    <w:rsid w:val="00D96E0D"/>
    <w:rsid w:val="00D96E1A"/>
    <w:rsid w:val="00D96E9D"/>
    <w:rsid w:val="00D96FF8"/>
    <w:rsid w:val="00D9717C"/>
    <w:rsid w:val="00D9735A"/>
    <w:rsid w:val="00D97378"/>
    <w:rsid w:val="00D97414"/>
    <w:rsid w:val="00D974A5"/>
    <w:rsid w:val="00D978D5"/>
    <w:rsid w:val="00D97A40"/>
    <w:rsid w:val="00D97AF2"/>
    <w:rsid w:val="00D97F30"/>
    <w:rsid w:val="00DA000A"/>
    <w:rsid w:val="00DA02C2"/>
    <w:rsid w:val="00DA0461"/>
    <w:rsid w:val="00DA0502"/>
    <w:rsid w:val="00DA0734"/>
    <w:rsid w:val="00DA0A0F"/>
    <w:rsid w:val="00DA0C9D"/>
    <w:rsid w:val="00DA0E94"/>
    <w:rsid w:val="00DA0F7C"/>
    <w:rsid w:val="00DA10CE"/>
    <w:rsid w:val="00DA1182"/>
    <w:rsid w:val="00DA1196"/>
    <w:rsid w:val="00DA13CE"/>
    <w:rsid w:val="00DA14C6"/>
    <w:rsid w:val="00DA1769"/>
    <w:rsid w:val="00DA1938"/>
    <w:rsid w:val="00DA1A1E"/>
    <w:rsid w:val="00DA1A70"/>
    <w:rsid w:val="00DA1B55"/>
    <w:rsid w:val="00DA1DCF"/>
    <w:rsid w:val="00DA1EA3"/>
    <w:rsid w:val="00DA232A"/>
    <w:rsid w:val="00DA2599"/>
    <w:rsid w:val="00DA2667"/>
    <w:rsid w:val="00DA26C0"/>
    <w:rsid w:val="00DA2826"/>
    <w:rsid w:val="00DA295F"/>
    <w:rsid w:val="00DA298E"/>
    <w:rsid w:val="00DA2E0D"/>
    <w:rsid w:val="00DA2F6D"/>
    <w:rsid w:val="00DA303B"/>
    <w:rsid w:val="00DA3515"/>
    <w:rsid w:val="00DA372F"/>
    <w:rsid w:val="00DA3782"/>
    <w:rsid w:val="00DA37B4"/>
    <w:rsid w:val="00DA37CD"/>
    <w:rsid w:val="00DA37E1"/>
    <w:rsid w:val="00DA3821"/>
    <w:rsid w:val="00DA3A14"/>
    <w:rsid w:val="00DA3EEC"/>
    <w:rsid w:val="00DA472D"/>
    <w:rsid w:val="00DA4870"/>
    <w:rsid w:val="00DA48E8"/>
    <w:rsid w:val="00DA48F2"/>
    <w:rsid w:val="00DA4958"/>
    <w:rsid w:val="00DA4A2E"/>
    <w:rsid w:val="00DA4B7E"/>
    <w:rsid w:val="00DA4CB7"/>
    <w:rsid w:val="00DA4FD6"/>
    <w:rsid w:val="00DA5161"/>
    <w:rsid w:val="00DA51D6"/>
    <w:rsid w:val="00DA5521"/>
    <w:rsid w:val="00DA5684"/>
    <w:rsid w:val="00DA57F5"/>
    <w:rsid w:val="00DA5B39"/>
    <w:rsid w:val="00DA5B42"/>
    <w:rsid w:val="00DA5C5C"/>
    <w:rsid w:val="00DA60AC"/>
    <w:rsid w:val="00DA67E7"/>
    <w:rsid w:val="00DA6ABD"/>
    <w:rsid w:val="00DA6ADD"/>
    <w:rsid w:val="00DA6BFC"/>
    <w:rsid w:val="00DA6F5A"/>
    <w:rsid w:val="00DA726D"/>
    <w:rsid w:val="00DA72F8"/>
    <w:rsid w:val="00DA7344"/>
    <w:rsid w:val="00DA772A"/>
    <w:rsid w:val="00DA77C2"/>
    <w:rsid w:val="00DA7836"/>
    <w:rsid w:val="00DA79CF"/>
    <w:rsid w:val="00DA7BF1"/>
    <w:rsid w:val="00DA7F61"/>
    <w:rsid w:val="00DA7F74"/>
    <w:rsid w:val="00DB009E"/>
    <w:rsid w:val="00DB00C0"/>
    <w:rsid w:val="00DB01DB"/>
    <w:rsid w:val="00DB050C"/>
    <w:rsid w:val="00DB0550"/>
    <w:rsid w:val="00DB06A6"/>
    <w:rsid w:val="00DB06ED"/>
    <w:rsid w:val="00DB0778"/>
    <w:rsid w:val="00DB0860"/>
    <w:rsid w:val="00DB0CC2"/>
    <w:rsid w:val="00DB0E45"/>
    <w:rsid w:val="00DB0F23"/>
    <w:rsid w:val="00DB0F4D"/>
    <w:rsid w:val="00DB11C3"/>
    <w:rsid w:val="00DB14C0"/>
    <w:rsid w:val="00DB14FC"/>
    <w:rsid w:val="00DB1933"/>
    <w:rsid w:val="00DB1A15"/>
    <w:rsid w:val="00DB1AE0"/>
    <w:rsid w:val="00DB1B2E"/>
    <w:rsid w:val="00DB1B71"/>
    <w:rsid w:val="00DB1B98"/>
    <w:rsid w:val="00DB1BFF"/>
    <w:rsid w:val="00DB1C7F"/>
    <w:rsid w:val="00DB1D43"/>
    <w:rsid w:val="00DB1F6F"/>
    <w:rsid w:val="00DB25ED"/>
    <w:rsid w:val="00DB2C18"/>
    <w:rsid w:val="00DB2D71"/>
    <w:rsid w:val="00DB2F40"/>
    <w:rsid w:val="00DB3134"/>
    <w:rsid w:val="00DB37F2"/>
    <w:rsid w:val="00DB3887"/>
    <w:rsid w:val="00DB3E77"/>
    <w:rsid w:val="00DB3F23"/>
    <w:rsid w:val="00DB4089"/>
    <w:rsid w:val="00DB4098"/>
    <w:rsid w:val="00DB4159"/>
    <w:rsid w:val="00DB417E"/>
    <w:rsid w:val="00DB4385"/>
    <w:rsid w:val="00DB4E40"/>
    <w:rsid w:val="00DB4E83"/>
    <w:rsid w:val="00DB4E93"/>
    <w:rsid w:val="00DB5037"/>
    <w:rsid w:val="00DB5039"/>
    <w:rsid w:val="00DB51FA"/>
    <w:rsid w:val="00DB5236"/>
    <w:rsid w:val="00DB546D"/>
    <w:rsid w:val="00DB57E1"/>
    <w:rsid w:val="00DB5987"/>
    <w:rsid w:val="00DB5AC1"/>
    <w:rsid w:val="00DB6111"/>
    <w:rsid w:val="00DB6127"/>
    <w:rsid w:val="00DB639F"/>
    <w:rsid w:val="00DB64CB"/>
    <w:rsid w:val="00DB657D"/>
    <w:rsid w:val="00DB659D"/>
    <w:rsid w:val="00DB670C"/>
    <w:rsid w:val="00DB6D8E"/>
    <w:rsid w:val="00DB7003"/>
    <w:rsid w:val="00DB70F3"/>
    <w:rsid w:val="00DB7107"/>
    <w:rsid w:val="00DB717E"/>
    <w:rsid w:val="00DB71D7"/>
    <w:rsid w:val="00DB7440"/>
    <w:rsid w:val="00DB76D4"/>
    <w:rsid w:val="00DB7735"/>
    <w:rsid w:val="00DB779F"/>
    <w:rsid w:val="00DB7C90"/>
    <w:rsid w:val="00DC0395"/>
    <w:rsid w:val="00DC069F"/>
    <w:rsid w:val="00DC06EC"/>
    <w:rsid w:val="00DC08E7"/>
    <w:rsid w:val="00DC0978"/>
    <w:rsid w:val="00DC0A58"/>
    <w:rsid w:val="00DC128F"/>
    <w:rsid w:val="00DC142A"/>
    <w:rsid w:val="00DC14BE"/>
    <w:rsid w:val="00DC1826"/>
    <w:rsid w:val="00DC1880"/>
    <w:rsid w:val="00DC1D59"/>
    <w:rsid w:val="00DC21BB"/>
    <w:rsid w:val="00DC2806"/>
    <w:rsid w:val="00DC286B"/>
    <w:rsid w:val="00DC295A"/>
    <w:rsid w:val="00DC297A"/>
    <w:rsid w:val="00DC2A08"/>
    <w:rsid w:val="00DC2B9E"/>
    <w:rsid w:val="00DC2BD5"/>
    <w:rsid w:val="00DC2FE5"/>
    <w:rsid w:val="00DC33B1"/>
    <w:rsid w:val="00DC349D"/>
    <w:rsid w:val="00DC36B1"/>
    <w:rsid w:val="00DC36C3"/>
    <w:rsid w:val="00DC36FD"/>
    <w:rsid w:val="00DC3700"/>
    <w:rsid w:val="00DC370A"/>
    <w:rsid w:val="00DC3873"/>
    <w:rsid w:val="00DC3C46"/>
    <w:rsid w:val="00DC3C70"/>
    <w:rsid w:val="00DC4072"/>
    <w:rsid w:val="00DC419F"/>
    <w:rsid w:val="00DC49ED"/>
    <w:rsid w:val="00DC4B62"/>
    <w:rsid w:val="00DC4B7F"/>
    <w:rsid w:val="00DC4CF9"/>
    <w:rsid w:val="00DC51FB"/>
    <w:rsid w:val="00DC5212"/>
    <w:rsid w:val="00DC5307"/>
    <w:rsid w:val="00DC5379"/>
    <w:rsid w:val="00DC55B3"/>
    <w:rsid w:val="00DC59DD"/>
    <w:rsid w:val="00DC5D82"/>
    <w:rsid w:val="00DC601A"/>
    <w:rsid w:val="00DC6073"/>
    <w:rsid w:val="00DC62B2"/>
    <w:rsid w:val="00DC63A0"/>
    <w:rsid w:val="00DC6648"/>
    <w:rsid w:val="00DC67B2"/>
    <w:rsid w:val="00DC6A8C"/>
    <w:rsid w:val="00DC6CC6"/>
    <w:rsid w:val="00DC6F46"/>
    <w:rsid w:val="00DC6F89"/>
    <w:rsid w:val="00DC756A"/>
    <w:rsid w:val="00DC7588"/>
    <w:rsid w:val="00DC75C7"/>
    <w:rsid w:val="00DC75D5"/>
    <w:rsid w:val="00DC799F"/>
    <w:rsid w:val="00DC7A55"/>
    <w:rsid w:val="00DC7F0B"/>
    <w:rsid w:val="00DD0197"/>
    <w:rsid w:val="00DD0245"/>
    <w:rsid w:val="00DD02EB"/>
    <w:rsid w:val="00DD0431"/>
    <w:rsid w:val="00DD0615"/>
    <w:rsid w:val="00DD07CF"/>
    <w:rsid w:val="00DD089F"/>
    <w:rsid w:val="00DD09BD"/>
    <w:rsid w:val="00DD0D9C"/>
    <w:rsid w:val="00DD0DB4"/>
    <w:rsid w:val="00DD0DE4"/>
    <w:rsid w:val="00DD0DFB"/>
    <w:rsid w:val="00DD0F11"/>
    <w:rsid w:val="00DD1204"/>
    <w:rsid w:val="00DD1290"/>
    <w:rsid w:val="00DD1609"/>
    <w:rsid w:val="00DD164F"/>
    <w:rsid w:val="00DD1AEF"/>
    <w:rsid w:val="00DD1CB7"/>
    <w:rsid w:val="00DD1E9F"/>
    <w:rsid w:val="00DD2297"/>
    <w:rsid w:val="00DD23F8"/>
    <w:rsid w:val="00DD2459"/>
    <w:rsid w:val="00DD254F"/>
    <w:rsid w:val="00DD283D"/>
    <w:rsid w:val="00DD2AED"/>
    <w:rsid w:val="00DD2CCC"/>
    <w:rsid w:val="00DD2E57"/>
    <w:rsid w:val="00DD2EE1"/>
    <w:rsid w:val="00DD2F71"/>
    <w:rsid w:val="00DD3003"/>
    <w:rsid w:val="00DD3108"/>
    <w:rsid w:val="00DD321E"/>
    <w:rsid w:val="00DD34EA"/>
    <w:rsid w:val="00DD354E"/>
    <w:rsid w:val="00DD3B48"/>
    <w:rsid w:val="00DD3E0F"/>
    <w:rsid w:val="00DD3EBE"/>
    <w:rsid w:val="00DD40FE"/>
    <w:rsid w:val="00DD4180"/>
    <w:rsid w:val="00DD42A1"/>
    <w:rsid w:val="00DD451C"/>
    <w:rsid w:val="00DD4741"/>
    <w:rsid w:val="00DD4A78"/>
    <w:rsid w:val="00DD4F0D"/>
    <w:rsid w:val="00DD556F"/>
    <w:rsid w:val="00DD56DB"/>
    <w:rsid w:val="00DD5B50"/>
    <w:rsid w:val="00DD5C6B"/>
    <w:rsid w:val="00DD5EDF"/>
    <w:rsid w:val="00DD62A2"/>
    <w:rsid w:val="00DD6447"/>
    <w:rsid w:val="00DD6B32"/>
    <w:rsid w:val="00DD6C3A"/>
    <w:rsid w:val="00DD6C45"/>
    <w:rsid w:val="00DD6D78"/>
    <w:rsid w:val="00DD6E5C"/>
    <w:rsid w:val="00DD7318"/>
    <w:rsid w:val="00DD752B"/>
    <w:rsid w:val="00DD7577"/>
    <w:rsid w:val="00DD75F4"/>
    <w:rsid w:val="00DD773C"/>
    <w:rsid w:val="00DD778E"/>
    <w:rsid w:val="00DD7888"/>
    <w:rsid w:val="00DD78DB"/>
    <w:rsid w:val="00DD7B7C"/>
    <w:rsid w:val="00DD7C66"/>
    <w:rsid w:val="00DD7CA3"/>
    <w:rsid w:val="00DD7D72"/>
    <w:rsid w:val="00DD7F39"/>
    <w:rsid w:val="00DE0047"/>
    <w:rsid w:val="00DE0075"/>
    <w:rsid w:val="00DE00E8"/>
    <w:rsid w:val="00DE0117"/>
    <w:rsid w:val="00DE02DA"/>
    <w:rsid w:val="00DE0617"/>
    <w:rsid w:val="00DE0B63"/>
    <w:rsid w:val="00DE0E71"/>
    <w:rsid w:val="00DE115A"/>
    <w:rsid w:val="00DE134F"/>
    <w:rsid w:val="00DE1735"/>
    <w:rsid w:val="00DE1900"/>
    <w:rsid w:val="00DE1957"/>
    <w:rsid w:val="00DE1969"/>
    <w:rsid w:val="00DE1A5B"/>
    <w:rsid w:val="00DE1D20"/>
    <w:rsid w:val="00DE1D25"/>
    <w:rsid w:val="00DE201C"/>
    <w:rsid w:val="00DE23D8"/>
    <w:rsid w:val="00DE2481"/>
    <w:rsid w:val="00DE2558"/>
    <w:rsid w:val="00DE25BA"/>
    <w:rsid w:val="00DE273B"/>
    <w:rsid w:val="00DE2915"/>
    <w:rsid w:val="00DE2C42"/>
    <w:rsid w:val="00DE2CDC"/>
    <w:rsid w:val="00DE2D06"/>
    <w:rsid w:val="00DE2D09"/>
    <w:rsid w:val="00DE2EDB"/>
    <w:rsid w:val="00DE2F3F"/>
    <w:rsid w:val="00DE2F94"/>
    <w:rsid w:val="00DE3103"/>
    <w:rsid w:val="00DE31BC"/>
    <w:rsid w:val="00DE3313"/>
    <w:rsid w:val="00DE3509"/>
    <w:rsid w:val="00DE3DDB"/>
    <w:rsid w:val="00DE3E55"/>
    <w:rsid w:val="00DE3FEF"/>
    <w:rsid w:val="00DE4586"/>
    <w:rsid w:val="00DE46AD"/>
    <w:rsid w:val="00DE4A65"/>
    <w:rsid w:val="00DE4F98"/>
    <w:rsid w:val="00DE5031"/>
    <w:rsid w:val="00DE5482"/>
    <w:rsid w:val="00DE5B25"/>
    <w:rsid w:val="00DE5E28"/>
    <w:rsid w:val="00DE5F06"/>
    <w:rsid w:val="00DE5F91"/>
    <w:rsid w:val="00DE60D8"/>
    <w:rsid w:val="00DE61FB"/>
    <w:rsid w:val="00DE640B"/>
    <w:rsid w:val="00DE68D1"/>
    <w:rsid w:val="00DE6BF9"/>
    <w:rsid w:val="00DE7021"/>
    <w:rsid w:val="00DE733C"/>
    <w:rsid w:val="00DE7665"/>
    <w:rsid w:val="00DE7712"/>
    <w:rsid w:val="00DE7787"/>
    <w:rsid w:val="00DE783D"/>
    <w:rsid w:val="00DE78BA"/>
    <w:rsid w:val="00DE7C49"/>
    <w:rsid w:val="00DE7D59"/>
    <w:rsid w:val="00DE7DC4"/>
    <w:rsid w:val="00DE7DFA"/>
    <w:rsid w:val="00DE7E8D"/>
    <w:rsid w:val="00DE7F41"/>
    <w:rsid w:val="00DE7F9C"/>
    <w:rsid w:val="00DF0374"/>
    <w:rsid w:val="00DF03BD"/>
    <w:rsid w:val="00DF055E"/>
    <w:rsid w:val="00DF06E4"/>
    <w:rsid w:val="00DF0C1A"/>
    <w:rsid w:val="00DF0C2A"/>
    <w:rsid w:val="00DF0ECB"/>
    <w:rsid w:val="00DF111E"/>
    <w:rsid w:val="00DF1276"/>
    <w:rsid w:val="00DF1300"/>
    <w:rsid w:val="00DF19DC"/>
    <w:rsid w:val="00DF1A60"/>
    <w:rsid w:val="00DF1C6C"/>
    <w:rsid w:val="00DF200F"/>
    <w:rsid w:val="00DF207D"/>
    <w:rsid w:val="00DF2216"/>
    <w:rsid w:val="00DF261B"/>
    <w:rsid w:val="00DF27E6"/>
    <w:rsid w:val="00DF2BA0"/>
    <w:rsid w:val="00DF2EB0"/>
    <w:rsid w:val="00DF2F3B"/>
    <w:rsid w:val="00DF2F5C"/>
    <w:rsid w:val="00DF2FB4"/>
    <w:rsid w:val="00DF3025"/>
    <w:rsid w:val="00DF31B9"/>
    <w:rsid w:val="00DF321E"/>
    <w:rsid w:val="00DF34A5"/>
    <w:rsid w:val="00DF352D"/>
    <w:rsid w:val="00DF357D"/>
    <w:rsid w:val="00DF3861"/>
    <w:rsid w:val="00DF3B01"/>
    <w:rsid w:val="00DF3CD9"/>
    <w:rsid w:val="00DF3CF8"/>
    <w:rsid w:val="00DF415E"/>
    <w:rsid w:val="00DF43A9"/>
    <w:rsid w:val="00DF47C8"/>
    <w:rsid w:val="00DF48B1"/>
    <w:rsid w:val="00DF4B3C"/>
    <w:rsid w:val="00DF4FF5"/>
    <w:rsid w:val="00DF5050"/>
    <w:rsid w:val="00DF54BD"/>
    <w:rsid w:val="00DF57C3"/>
    <w:rsid w:val="00DF5900"/>
    <w:rsid w:val="00DF5BDD"/>
    <w:rsid w:val="00DF5C70"/>
    <w:rsid w:val="00DF5DED"/>
    <w:rsid w:val="00DF61B6"/>
    <w:rsid w:val="00DF6205"/>
    <w:rsid w:val="00DF621E"/>
    <w:rsid w:val="00DF6260"/>
    <w:rsid w:val="00DF6370"/>
    <w:rsid w:val="00DF6379"/>
    <w:rsid w:val="00DF653D"/>
    <w:rsid w:val="00DF6559"/>
    <w:rsid w:val="00DF675C"/>
    <w:rsid w:val="00DF698D"/>
    <w:rsid w:val="00DF6AAA"/>
    <w:rsid w:val="00DF6B18"/>
    <w:rsid w:val="00DF6B83"/>
    <w:rsid w:val="00DF6E47"/>
    <w:rsid w:val="00DF7229"/>
    <w:rsid w:val="00DF798D"/>
    <w:rsid w:val="00DF7DD9"/>
    <w:rsid w:val="00E0034D"/>
    <w:rsid w:val="00E0067F"/>
    <w:rsid w:val="00E00837"/>
    <w:rsid w:val="00E0085F"/>
    <w:rsid w:val="00E00BF6"/>
    <w:rsid w:val="00E00C99"/>
    <w:rsid w:val="00E00D19"/>
    <w:rsid w:val="00E00F3E"/>
    <w:rsid w:val="00E010A1"/>
    <w:rsid w:val="00E0130A"/>
    <w:rsid w:val="00E0131A"/>
    <w:rsid w:val="00E0138E"/>
    <w:rsid w:val="00E01429"/>
    <w:rsid w:val="00E014EA"/>
    <w:rsid w:val="00E0150F"/>
    <w:rsid w:val="00E0153E"/>
    <w:rsid w:val="00E01995"/>
    <w:rsid w:val="00E01B5B"/>
    <w:rsid w:val="00E01D5D"/>
    <w:rsid w:val="00E01EDA"/>
    <w:rsid w:val="00E020CA"/>
    <w:rsid w:val="00E021E7"/>
    <w:rsid w:val="00E02291"/>
    <w:rsid w:val="00E02353"/>
    <w:rsid w:val="00E02383"/>
    <w:rsid w:val="00E02483"/>
    <w:rsid w:val="00E02637"/>
    <w:rsid w:val="00E02BDE"/>
    <w:rsid w:val="00E02CF5"/>
    <w:rsid w:val="00E02D42"/>
    <w:rsid w:val="00E02EF3"/>
    <w:rsid w:val="00E030E3"/>
    <w:rsid w:val="00E032AE"/>
    <w:rsid w:val="00E036B1"/>
    <w:rsid w:val="00E03826"/>
    <w:rsid w:val="00E039C5"/>
    <w:rsid w:val="00E03DF3"/>
    <w:rsid w:val="00E03E48"/>
    <w:rsid w:val="00E03E4A"/>
    <w:rsid w:val="00E044E4"/>
    <w:rsid w:val="00E045C0"/>
    <w:rsid w:val="00E04715"/>
    <w:rsid w:val="00E047C2"/>
    <w:rsid w:val="00E04C0F"/>
    <w:rsid w:val="00E04E5D"/>
    <w:rsid w:val="00E04F85"/>
    <w:rsid w:val="00E05150"/>
    <w:rsid w:val="00E05174"/>
    <w:rsid w:val="00E054B7"/>
    <w:rsid w:val="00E058FE"/>
    <w:rsid w:val="00E05976"/>
    <w:rsid w:val="00E059E2"/>
    <w:rsid w:val="00E05B5C"/>
    <w:rsid w:val="00E05BE0"/>
    <w:rsid w:val="00E05D5E"/>
    <w:rsid w:val="00E05E61"/>
    <w:rsid w:val="00E05FB8"/>
    <w:rsid w:val="00E0615B"/>
    <w:rsid w:val="00E0631F"/>
    <w:rsid w:val="00E06486"/>
    <w:rsid w:val="00E064B4"/>
    <w:rsid w:val="00E066A7"/>
    <w:rsid w:val="00E067D5"/>
    <w:rsid w:val="00E06841"/>
    <w:rsid w:val="00E06B0B"/>
    <w:rsid w:val="00E06D1B"/>
    <w:rsid w:val="00E06FAD"/>
    <w:rsid w:val="00E07021"/>
    <w:rsid w:val="00E07023"/>
    <w:rsid w:val="00E07045"/>
    <w:rsid w:val="00E07429"/>
    <w:rsid w:val="00E0771D"/>
    <w:rsid w:val="00E0777A"/>
    <w:rsid w:val="00E0779F"/>
    <w:rsid w:val="00E078E5"/>
    <w:rsid w:val="00E0795A"/>
    <w:rsid w:val="00E079BE"/>
    <w:rsid w:val="00E079CA"/>
    <w:rsid w:val="00E07A1D"/>
    <w:rsid w:val="00E07C67"/>
    <w:rsid w:val="00E07D0C"/>
    <w:rsid w:val="00E07DE3"/>
    <w:rsid w:val="00E07E14"/>
    <w:rsid w:val="00E07E5B"/>
    <w:rsid w:val="00E07F4B"/>
    <w:rsid w:val="00E07F63"/>
    <w:rsid w:val="00E10189"/>
    <w:rsid w:val="00E108B8"/>
    <w:rsid w:val="00E109BD"/>
    <w:rsid w:val="00E10AE0"/>
    <w:rsid w:val="00E10BBD"/>
    <w:rsid w:val="00E10C81"/>
    <w:rsid w:val="00E10DA8"/>
    <w:rsid w:val="00E10EA3"/>
    <w:rsid w:val="00E10F1F"/>
    <w:rsid w:val="00E10F4F"/>
    <w:rsid w:val="00E11060"/>
    <w:rsid w:val="00E11068"/>
    <w:rsid w:val="00E110CE"/>
    <w:rsid w:val="00E1122B"/>
    <w:rsid w:val="00E1143C"/>
    <w:rsid w:val="00E1177D"/>
    <w:rsid w:val="00E1178E"/>
    <w:rsid w:val="00E1185A"/>
    <w:rsid w:val="00E118C3"/>
    <w:rsid w:val="00E118E4"/>
    <w:rsid w:val="00E11EAB"/>
    <w:rsid w:val="00E11F0D"/>
    <w:rsid w:val="00E11F9D"/>
    <w:rsid w:val="00E12097"/>
    <w:rsid w:val="00E120BA"/>
    <w:rsid w:val="00E12306"/>
    <w:rsid w:val="00E124C1"/>
    <w:rsid w:val="00E124C2"/>
    <w:rsid w:val="00E12A3F"/>
    <w:rsid w:val="00E12A6F"/>
    <w:rsid w:val="00E12D50"/>
    <w:rsid w:val="00E12DBD"/>
    <w:rsid w:val="00E12F82"/>
    <w:rsid w:val="00E13243"/>
    <w:rsid w:val="00E133F1"/>
    <w:rsid w:val="00E139FB"/>
    <w:rsid w:val="00E13B4F"/>
    <w:rsid w:val="00E13DB1"/>
    <w:rsid w:val="00E13DEE"/>
    <w:rsid w:val="00E13EEA"/>
    <w:rsid w:val="00E14094"/>
    <w:rsid w:val="00E14300"/>
    <w:rsid w:val="00E143B6"/>
    <w:rsid w:val="00E143E1"/>
    <w:rsid w:val="00E147AE"/>
    <w:rsid w:val="00E14864"/>
    <w:rsid w:val="00E14868"/>
    <w:rsid w:val="00E149ED"/>
    <w:rsid w:val="00E14A9A"/>
    <w:rsid w:val="00E14ADA"/>
    <w:rsid w:val="00E14ADB"/>
    <w:rsid w:val="00E14D82"/>
    <w:rsid w:val="00E14D9B"/>
    <w:rsid w:val="00E151B9"/>
    <w:rsid w:val="00E155C5"/>
    <w:rsid w:val="00E15684"/>
    <w:rsid w:val="00E15754"/>
    <w:rsid w:val="00E157C1"/>
    <w:rsid w:val="00E15852"/>
    <w:rsid w:val="00E15B0F"/>
    <w:rsid w:val="00E15BDC"/>
    <w:rsid w:val="00E15C2B"/>
    <w:rsid w:val="00E15D20"/>
    <w:rsid w:val="00E15DE9"/>
    <w:rsid w:val="00E15F93"/>
    <w:rsid w:val="00E15FAB"/>
    <w:rsid w:val="00E16029"/>
    <w:rsid w:val="00E161A0"/>
    <w:rsid w:val="00E16265"/>
    <w:rsid w:val="00E16291"/>
    <w:rsid w:val="00E1677B"/>
    <w:rsid w:val="00E16955"/>
    <w:rsid w:val="00E16A6C"/>
    <w:rsid w:val="00E16CFF"/>
    <w:rsid w:val="00E16D0F"/>
    <w:rsid w:val="00E16D5A"/>
    <w:rsid w:val="00E16FBC"/>
    <w:rsid w:val="00E17021"/>
    <w:rsid w:val="00E17042"/>
    <w:rsid w:val="00E173A4"/>
    <w:rsid w:val="00E173BD"/>
    <w:rsid w:val="00E173EC"/>
    <w:rsid w:val="00E17433"/>
    <w:rsid w:val="00E1749A"/>
    <w:rsid w:val="00E17527"/>
    <w:rsid w:val="00E17902"/>
    <w:rsid w:val="00E17990"/>
    <w:rsid w:val="00E179C9"/>
    <w:rsid w:val="00E17A32"/>
    <w:rsid w:val="00E17B62"/>
    <w:rsid w:val="00E17B8A"/>
    <w:rsid w:val="00E20152"/>
    <w:rsid w:val="00E201E4"/>
    <w:rsid w:val="00E20273"/>
    <w:rsid w:val="00E20367"/>
    <w:rsid w:val="00E20537"/>
    <w:rsid w:val="00E20D57"/>
    <w:rsid w:val="00E21075"/>
    <w:rsid w:val="00E210A8"/>
    <w:rsid w:val="00E212BE"/>
    <w:rsid w:val="00E21334"/>
    <w:rsid w:val="00E21628"/>
    <w:rsid w:val="00E21774"/>
    <w:rsid w:val="00E2180D"/>
    <w:rsid w:val="00E21864"/>
    <w:rsid w:val="00E21E02"/>
    <w:rsid w:val="00E21F9A"/>
    <w:rsid w:val="00E22144"/>
    <w:rsid w:val="00E22AAC"/>
    <w:rsid w:val="00E22DE6"/>
    <w:rsid w:val="00E22E02"/>
    <w:rsid w:val="00E22ED0"/>
    <w:rsid w:val="00E23203"/>
    <w:rsid w:val="00E2332B"/>
    <w:rsid w:val="00E234D3"/>
    <w:rsid w:val="00E23531"/>
    <w:rsid w:val="00E23A4B"/>
    <w:rsid w:val="00E23E2F"/>
    <w:rsid w:val="00E23F13"/>
    <w:rsid w:val="00E24292"/>
    <w:rsid w:val="00E24792"/>
    <w:rsid w:val="00E2492D"/>
    <w:rsid w:val="00E24B9C"/>
    <w:rsid w:val="00E24CE9"/>
    <w:rsid w:val="00E24CF4"/>
    <w:rsid w:val="00E24D26"/>
    <w:rsid w:val="00E24D78"/>
    <w:rsid w:val="00E2507A"/>
    <w:rsid w:val="00E255D4"/>
    <w:rsid w:val="00E25813"/>
    <w:rsid w:val="00E25A77"/>
    <w:rsid w:val="00E25AF0"/>
    <w:rsid w:val="00E25B5A"/>
    <w:rsid w:val="00E26052"/>
    <w:rsid w:val="00E26097"/>
    <w:rsid w:val="00E26494"/>
    <w:rsid w:val="00E26618"/>
    <w:rsid w:val="00E26A00"/>
    <w:rsid w:val="00E26C15"/>
    <w:rsid w:val="00E26C6A"/>
    <w:rsid w:val="00E273A7"/>
    <w:rsid w:val="00E273B5"/>
    <w:rsid w:val="00E2766B"/>
    <w:rsid w:val="00E27D9F"/>
    <w:rsid w:val="00E27DE3"/>
    <w:rsid w:val="00E27FA9"/>
    <w:rsid w:val="00E3002E"/>
    <w:rsid w:val="00E30079"/>
    <w:rsid w:val="00E3008E"/>
    <w:rsid w:val="00E30221"/>
    <w:rsid w:val="00E302B1"/>
    <w:rsid w:val="00E302E6"/>
    <w:rsid w:val="00E305A6"/>
    <w:rsid w:val="00E306C5"/>
    <w:rsid w:val="00E30D81"/>
    <w:rsid w:val="00E30E54"/>
    <w:rsid w:val="00E30F77"/>
    <w:rsid w:val="00E30FAF"/>
    <w:rsid w:val="00E312B6"/>
    <w:rsid w:val="00E31763"/>
    <w:rsid w:val="00E31935"/>
    <w:rsid w:val="00E31D71"/>
    <w:rsid w:val="00E31DFF"/>
    <w:rsid w:val="00E32389"/>
    <w:rsid w:val="00E324A9"/>
    <w:rsid w:val="00E32537"/>
    <w:rsid w:val="00E3282B"/>
    <w:rsid w:val="00E329AA"/>
    <w:rsid w:val="00E32B52"/>
    <w:rsid w:val="00E32C3A"/>
    <w:rsid w:val="00E32CE6"/>
    <w:rsid w:val="00E32E52"/>
    <w:rsid w:val="00E330D3"/>
    <w:rsid w:val="00E3331C"/>
    <w:rsid w:val="00E33482"/>
    <w:rsid w:val="00E336DD"/>
    <w:rsid w:val="00E339A6"/>
    <w:rsid w:val="00E33C23"/>
    <w:rsid w:val="00E33C66"/>
    <w:rsid w:val="00E33EA2"/>
    <w:rsid w:val="00E33F5D"/>
    <w:rsid w:val="00E33F73"/>
    <w:rsid w:val="00E340D3"/>
    <w:rsid w:val="00E341BB"/>
    <w:rsid w:val="00E341F9"/>
    <w:rsid w:val="00E3424B"/>
    <w:rsid w:val="00E34574"/>
    <w:rsid w:val="00E34AF9"/>
    <w:rsid w:val="00E34BA5"/>
    <w:rsid w:val="00E34C62"/>
    <w:rsid w:val="00E34CA9"/>
    <w:rsid w:val="00E34EF5"/>
    <w:rsid w:val="00E34FA5"/>
    <w:rsid w:val="00E34FBE"/>
    <w:rsid w:val="00E3509F"/>
    <w:rsid w:val="00E350D2"/>
    <w:rsid w:val="00E3544E"/>
    <w:rsid w:val="00E355FD"/>
    <w:rsid w:val="00E356DA"/>
    <w:rsid w:val="00E35804"/>
    <w:rsid w:val="00E35A73"/>
    <w:rsid w:val="00E35B8C"/>
    <w:rsid w:val="00E35BD4"/>
    <w:rsid w:val="00E35C16"/>
    <w:rsid w:val="00E35D75"/>
    <w:rsid w:val="00E35F7A"/>
    <w:rsid w:val="00E35FAD"/>
    <w:rsid w:val="00E3613A"/>
    <w:rsid w:val="00E36269"/>
    <w:rsid w:val="00E364D4"/>
    <w:rsid w:val="00E3653A"/>
    <w:rsid w:val="00E3676B"/>
    <w:rsid w:val="00E368BC"/>
    <w:rsid w:val="00E36972"/>
    <w:rsid w:val="00E36979"/>
    <w:rsid w:val="00E369AD"/>
    <w:rsid w:val="00E36A76"/>
    <w:rsid w:val="00E36CBA"/>
    <w:rsid w:val="00E36F83"/>
    <w:rsid w:val="00E3712E"/>
    <w:rsid w:val="00E37464"/>
    <w:rsid w:val="00E37AB3"/>
    <w:rsid w:val="00E37BDF"/>
    <w:rsid w:val="00E37C28"/>
    <w:rsid w:val="00E37C42"/>
    <w:rsid w:val="00E37CD7"/>
    <w:rsid w:val="00E37CF6"/>
    <w:rsid w:val="00E37D44"/>
    <w:rsid w:val="00E37DB6"/>
    <w:rsid w:val="00E37E71"/>
    <w:rsid w:val="00E401C4"/>
    <w:rsid w:val="00E408F6"/>
    <w:rsid w:val="00E409A5"/>
    <w:rsid w:val="00E40AF7"/>
    <w:rsid w:val="00E40C54"/>
    <w:rsid w:val="00E40DFB"/>
    <w:rsid w:val="00E40FD6"/>
    <w:rsid w:val="00E40FFA"/>
    <w:rsid w:val="00E414CD"/>
    <w:rsid w:val="00E419A5"/>
    <w:rsid w:val="00E41B25"/>
    <w:rsid w:val="00E421AD"/>
    <w:rsid w:val="00E422D7"/>
    <w:rsid w:val="00E4284F"/>
    <w:rsid w:val="00E429F8"/>
    <w:rsid w:val="00E42D3B"/>
    <w:rsid w:val="00E42E98"/>
    <w:rsid w:val="00E42EA1"/>
    <w:rsid w:val="00E42F6C"/>
    <w:rsid w:val="00E42FF0"/>
    <w:rsid w:val="00E430B9"/>
    <w:rsid w:val="00E43259"/>
    <w:rsid w:val="00E432A5"/>
    <w:rsid w:val="00E4340B"/>
    <w:rsid w:val="00E43AD0"/>
    <w:rsid w:val="00E43E3F"/>
    <w:rsid w:val="00E443D2"/>
    <w:rsid w:val="00E4440B"/>
    <w:rsid w:val="00E444D8"/>
    <w:rsid w:val="00E446EF"/>
    <w:rsid w:val="00E44A06"/>
    <w:rsid w:val="00E44A64"/>
    <w:rsid w:val="00E44ABA"/>
    <w:rsid w:val="00E44D96"/>
    <w:rsid w:val="00E4516C"/>
    <w:rsid w:val="00E45553"/>
    <w:rsid w:val="00E45772"/>
    <w:rsid w:val="00E4587B"/>
    <w:rsid w:val="00E45A24"/>
    <w:rsid w:val="00E45E1E"/>
    <w:rsid w:val="00E46507"/>
    <w:rsid w:val="00E46669"/>
    <w:rsid w:val="00E46679"/>
    <w:rsid w:val="00E46735"/>
    <w:rsid w:val="00E46760"/>
    <w:rsid w:val="00E46B08"/>
    <w:rsid w:val="00E46D0E"/>
    <w:rsid w:val="00E46FA8"/>
    <w:rsid w:val="00E47101"/>
    <w:rsid w:val="00E47121"/>
    <w:rsid w:val="00E47149"/>
    <w:rsid w:val="00E47264"/>
    <w:rsid w:val="00E47391"/>
    <w:rsid w:val="00E474EC"/>
    <w:rsid w:val="00E4762B"/>
    <w:rsid w:val="00E47666"/>
    <w:rsid w:val="00E47757"/>
    <w:rsid w:val="00E479B9"/>
    <w:rsid w:val="00E479CB"/>
    <w:rsid w:val="00E47AAE"/>
    <w:rsid w:val="00E47BF0"/>
    <w:rsid w:val="00E47C23"/>
    <w:rsid w:val="00E47E0E"/>
    <w:rsid w:val="00E47E43"/>
    <w:rsid w:val="00E47F31"/>
    <w:rsid w:val="00E5014F"/>
    <w:rsid w:val="00E50397"/>
    <w:rsid w:val="00E50562"/>
    <w:rsid w:val="00E505BB"/>
    <w:rsid w:val="00E5078C"/>
    <w:rsid w:val="00E50808"/>
    <w:rsid w:val="00E50888"/>
    <w:rsid w:val="00E508C8"/>
    <w:rsid w:val="00E50EDA"/>
    <w:rsid w:val="00E51015"/>
    <w:rsid w:val="00E51053"/>
    <w:rsid w:val="00E512EB"/>
    <w:rsid w:val="00E51303"/>
    <w:rsid w:val="00E51331"/>
    <w:rsid w:val="00E51380"/>
    <w:rsid w:val="00E513B5"/>
    <w:rsid w:val="00E514A1"/>
    <w:rsid w:val="00E515F7"/>
    <w:rsid w:val="00E516C3"/>
    <w:rsid w:val="00E516CF"/>
    <w:rsid w:val="00E516DD"/>
    <w:rsid w:val="00E5179B"/>
    <w:rsid w:val="00E51852"/>
    <w:rsid w:val="00E51AE7"/>
    <w:rsid w:val="00E51D22"/>
    <w:rsid w:val="00E520CE"/>
    <w:rsid w:val="00E52497"/>
    <w:rsid w:val="00E52522"/>
    <w:rsid w:val="00E52553"/>
    <w:rsid w:val="00E52596"/>
    <w:rsid w:val="00E5261E"/>
    <w:rsid w:val="00E526CF"/>
    <w:rsid w:val="00E527EC"/>
    <w:rsid w:val="00E52853"/>
    <w:rsid w:val="00E52F2D"/>
    <w:rsid w:val="00E531BE"/>
    <w:rsid w:val="00E5322D"/>
    <w:rsid w:val="00E53284"/>
    <w:rsid w:val="00E534EB"/>
    <w:rsid w:val="00E5354D"/>
    <w:rsid w:val="00E535E9"/>
    <w:rsid w:val="00E537E4"/>
    <w:rsid w:val="00E539AF"/>
    <w:rsid w:val="00E53BE7"/>
    <w:rsid w:val="00E53C7E"/>
    <w:rsid w:val="00E53D95"/>
    <w:rsid w:val="00E53E3C"/>
    <w:rsid w:val="00E53EA7"/>
    <w:rsid w:val="00E53F19"/>
    <w:rsid w:val="00E54743"/>
    <w:rsid w:val="00E547FB"/>
    <w:rsid w:val="00E54900"/>
    <w:rsid w:val="00E54A3F"/>
    <w:rsid w:val="00E54C45"/>
    <w:rsid w:val="00E54CC8"/>
    <w:rsid w:val="00E54CFE"/>
    <w:rsid w:val="00E54E4B"/>
    <w:rsid w:val="00E550A5"/>
    <w:rsid w:val="00E55379"/>
    <w:rsid w:val="00E553D1"/>
    <w:rsid w:val="00E553D2"/>
    <w:rsid w:val="00E55446"/>
    <w:rsid w:val="00E5553F"/>
    <w:rsid w:val="00E55984"/>
    <w:rsid w:val="00E55B47"/>
    <w:rsid w:val="00E55B7F"/>
    <w:rsid w:val="00E55C91"/>
    <w:rsid w:val="00E55E4C"/>
    <w:rsid w:val="00E55E60"/>
    <w:rsid w:val="00E5603A"/>
    <w:rsid w:val="00E5603D"/>
    <w:rsid w:val="00E5604C"/>
    <w:rsid w:val="00E560EC"/>
    <w:rsid w:val="00E561C3"/>
    <w:rsid w:val="00E562A6"/>
    <w:rsid w:val="00E56772"/>
    <w:rsid w:val="00E568A4"/>
    <w:rsid w:val="00E56DD1"/>
    <w:rsid w:val="00E56F23"/>
    <w:rsid w:val="00E570F8"/>
    <w:rsid w:val="00E57142"/>
    <w:rsid w:val="00E574B6"/>
    <w:rsid w:val="00E57769"/>
    <w:rsid w:val="00E57870"/>
    <w:rsid w:val="00E57ADA"/>
    <w:rsid w:val="00E57E89"/>
    <w:rsid w:val="00E57E98"/>
    <w:rsid w:val="00E602CB"/>
    <w:rsid w:val="00E60381"/>
    <w:rsid w:val="00E603E6"/>
    <w:rsid w:val="00E604F5"/>
    <w:rsid w:val="00E60649"/>
    <w:rsid w:val="00E6071F"/>
    <w:rsid w:val="00E608DC"/>
    <w:rsid w:val="00E60D64"/>
    <w:rsid w:val="00E60EE3"/>
    <w:rsid w:val="00E60F03"/>
    <w:rsid w:val="00E60F0D"/>
    <w:rsid w:val="00E60FAA"/>
    <w:rsid w:val="00E6121F"/>
    <w:rsid w:val="00E6154F"/>
    <w:rsid w:val="00E615CA"/>
    <w:rsid w:val="00E616DD"/>
    <w:rsid w:val="00E617CA"/>
    <w:rsid w:val="00E61D25"/>
    <w:rsid w:val="00E61F5C"/>
    <w:rsid w:val="00E620FB"/>
    <w:rsid w:val="00E62186"/>
    <w:rsid w:val="00E622CC"/>
    <w:rsid w:val="00E6231B"/>
    <w:rsid w:val="00E625ED"/>
    <w:rsid w:val="00E6272F"/>
    <w:rsid w:val="00E62816"/>
    <w:rsid w:val="00E62AE8"/>
    <w:rsid w:val="00E62C33"/>
    <w:rsid w:val="00E62E36"/>
    <w:rsid w:val="00E6328F"/>
    <w:rsid w:val="00E632A9"/>
    <w:rsid w:val="00E63429"/>
    <w:rsid w:val="00E63803"/>
    <w:rsid w:val="00E638CC"/>
    <w:rsid w:val="00E6392D"/>
    <w:rsid w:val="00E63944"/>
    <w:rsid w:val="00E63CBA"/>
    <w:rsid w:val="00E63D0D"/>
    <w:rsid w:val="00E63E55"/>
    <w:rsid w:val="00E63FB3"/>
    <w:rsid w:val="00E640EF"/>
    <w:rsid w:val="00E64715"/>
    <w:rsid w:val="00E647BC"/>
    <w:rsid w:val="00E649AD"/>
    <w:rsid w:val="00E64BF8"/>
    <w:rsid w:val="00E64CD9"/>
    <w:rsid w:val="00E64FA6"/>
    <w:rsid w:val="00E65002"/>
    <w:rsid w:val="00E651A0"/>
    <w:rsid w:val="00E651B4"/>
    <w:rsid w:val="00E651B9"/>
    <w:rsid w:val="00E655B1"/>
    <w:rsid w:val="00E65738"/>
    <w:rsid w:val="00E65ADE"/>
    <w:rsid w:val="00E6604C"/>
    <w:rsid w:val="00E66086"/>
    <w:rsid w:val="00E661BF"/>
    <w:rsid w:val="00E6621F"/>
    <w:rsid w:val="00E66396"/>
    <w:rsid w:val="00E66453"/>
    <w:rsid w:val="00E664AC"/>
    <w:rsid w:val="00E664E1"/>
    <w:rsid w:val="00E6676F"/>
    <w:rsid w:val="00E66AEE"/>
    <w:rsid w:val="00E66D62"/>
    <w:rsid w:val="00E66ED0"/>
    <w:rsid w:val="00E66EDC"/>
    <w:rsid w:val="00E67020"/>
    <w:rsid w:val="00E67346"/>
    <w:rsid w:val="00E6769F"/>
    <w:rsid w:val="00E678EB"/>
    <w:rsid w:val="00E67CF8"/>
    <w:rsid w:val="00E67EDC"/>
    <w:rsid w:val="00E67F29"/>
    <w:rsid w:val="00E67F5D"/>
    <w:rsid w:val="00E70279"/>
    <w:rsid w:val="00E70283"/>
    <w:rsid w:val="00E70408"/>
    <w:rsid w:val="00E7041A"/>
    <w:rsid w:val="00E70484"/>
    <w:rsid w:val="00E7099C"/>
    <w:rsid w:val="00E709B2"/>
    <w:rsid w:val="00E70A6C"/>
    <w:rsid w:val="00E70AF9"/>
    <w:rsid w:val="00E70B8D"/>
    <w:rsid w:val="00E70CA1"/>
    <w:rsid w:val="00E70DAA"/>
    <w:rsid w:val="00E70E5E"/>
    <w:rsid w:val="00E70F14"/>
    <w:rsid w:val="00E7121F"/>
    <w:rsid w:val="00E71330"/>
    <w:rsid w:val="00E71399"/>
    <w:rsid w:val="00E71531"/>
    <w:rsid w:val="00E717F2"/>
    <w:rsid w:val="00E7195F"/>
    <w:rsid w:val="00E719F0"/>
    <w:rsid w:val="00E71BDB"/>
    <w:rsid w:val="00E71C03"/>
    <w:rsid w:val="00E71C85"/>
    <w:rsid w:val="00E71D0D"/>
    <w:rsid w:val="00E71D65"/>
    <w:rsid w:val="00E71E5C"/>
    <w:rsid w:val="00E72024"/>
    <w:rsid w:val="00E7208B"/>
    <w:rsid w:val="00E72180"/>
    <w:rsid w:val="00E72605"/>
    <w:rsid w:val="00E7271D"/>
    <w:rsid w:val="00E727BC"/>
    <w:rsid w:val="00E72B09"/>
    <w:rsid w:val="00E72B99"/>
    <w:rsid w:val="00E72BA5"/>
    <w:rsid w:val="00E72D93"/>
    <w:rsid w:val="00E72DE4"/>
    <w:rsid w:val="00E72E95"/>
    <w:rsid w:val="00E72FB4"/>
    <w:rsid w:val="00E7351E"/>
    <w:rsid w:val="00E73541"/>
    <w:rsid w:val="00E735FC"/>
    <w:rsid w:val="00E7376C"/>
    <w:rsid w:val="00E73929"/>
    <w:rsid w:val="00E73CE1"/>
    <w:rsid w:val="00E741FD"/>
    <w:rsid w:val="00E743E5"/>
    <w:rsid w:val="00E7475E"/>
    <w:rsid w:val="00E74812"/>
    <w:rsid w:val="00E748E3"/>
    <w:rsid w:val="00E74F94"/>
    <w:rsid w:val="00E750AB"/>
    <w:rsid w:val="00E75193"/>
    <w:rsid w:val="00E7526A"/>
    <w:rsid w:val="00E753D9"/>
    <w:rsid w:val="00E75C1D"/>
    <w:rsid w:val="00E75F97"/>
    <w:rsid w:val="00E76153"/>
    <w:rsid w:val="00E76281"/>
    <w:rsid w:val="00E762B4"/>
    <w:rsid w:val="00E7639A"/>
    <w:rsid w:val="00E767E8"/>
    <w:rsid w:val="00E76985"/>
    <w:rsid w:val="00E76D1A"/>
    <w:rsid w:val="00E76E47"/>
    <w:rsid w:val="00E76EC9"/>
    <w:rsid w:val="00E77030"/>
    <w:rsid w:val="00E770BD"/>
    <w:rsid w:val="00E7744A"/>
    <w:rsid w:val="00E774C3"/>
    <w:rsid w:val="00E776A5"/>
    <w:rsid w:val="00E77CBF"/>
    <w:rsid w:val="00E80512"/>
    <w:rsid w:val="00E805F0"/>
    <w:rsid w:val="00E806E1"/>
    <w:rsid w:val="00E80709"/>
    <w:rsid w:val="00E80743"/>
    <w:rsid w:val="00E8086A"/>
    <w:rsid w:val="00E80A46"/>
    <w:rsid w:val="00E80E03"/>
    <w:rsid w:val="00E81030"/>
    <w:rsid w:val="00E8117B"/>
    <w:rsid w:val="00E8122D"/>
    <w:rsid w:val="00E81336"/>
    <w:rsid w:val="00E81C00"/>
    <w:rsid w:val="00E81D00"/>
    <w:rsid w:val="00E820A8"/>
    <w:rsid w:val="00E82176"/>
    <w:rsid w:val="00E822CC"/>
    <w:rsid w:val="00E82501"/>
    <w:rsid w:val="00E8255B"/>
    <w:rsid w:val="00E825C4"/>
    <w:rsid w:val="00E82718"/>
    <w:rsid w:val="00E82A92"/>
    <w:rsid w:val="00E82B79"/>
    <w:rsid w:val="00E82EBD"/>
    <w:rsid w:val="00E8364E"/>
    <w:rsid w:val="00E83EF2"/>
    <w:rsid w:val="00E84121"/>
    <w:rsid w:val="00E84308"/>
    <w:rsid w:val="00E844E3"/>
    <w:rsid w:val="00E8453F"/>
    <w:rsid w:val="00E84A88"/>
    <w:rsid w:val="00E84BCA"/>
    <w:rsid w:val="00E84C5F"/>
    <w:rsid w:val="00E84CA1"/>
    <w:rsid w:val="00E84CC4"/>
    <w:rsid w:val="00E84D2B"/>
    <w:rsid w:val="00E84D8E"/>
    <w:rsid w:val="00E8515F"/>
    <w:rsid w:val="00E852AB"/>
    <w:rsid w:val="00E8549E"/>
    <w:rsid w:val="00E854A4"/>
    <w:rsid w:val="00E855A6"/>
    <w:rsid w:val="00E858AD"/>
    <w:rsid w:val="00E85B29"/>
    <w:rsid w:val="00E85BD7"/>
    <w:rsid w:val="00E85CA0"/>
    <w:rsid w:val="00E85DAB"/>
    <w:rsid w:val="00E85FA1"/>
    <w:rsid w:val="00E85FB3"/>
    <w:rsid w:val="00E860EE"/>
    <w:rsid w:val="00E86157"/>
    <w:rsid w:val="00E861A3"/>
    <w:rsid w:val="00E86346"/>
    <w:rsid w:val="00E86563"/>
    <w:rsid w:val="00E865B1"/>
    <w:rsid w:val="00E868A7"/>
    <w:rsid w:val="00E86B04"/>
    <w:rsid w:val="00E86F6E"/>
    <w:rsid w:val="00E87018"/>
    <w:rsid w:val="00E8736E"/>
    <w:rsid w:val="00E874E4"/>
    <w:rsid w:val="00E8779B"/>
    <w:rsid w:val="00E87935"/>
    <w:rsid w:val="00E8793E"/>
    <w:rsid w:val="00E87B5A"/>
    <w:rsid w:val="00E87BE8"/>
    <w:rsid w:val="00E903BD"/>
    <w:rsid w:val="00E9044E"/>
    <w:rsid w:val="00E905B4"/>
    <w:rsid w:val="00E90963"/>
    <w:rsid w:val="00E90970"/>
    <w:rsid w:val="00E90B52"/>
    <w:rsid w:val="00E90D27"/>
    <w:rsid w:val="00E90DE2"/>
    <w:rsid w:val="00E911BD"/>
    <w:rsid w:val="00E91A1D"/>
    <w:rsid w:val="00E91BAD"/>
    <w:rsid w:val="00E91C50"/>
    <w:rsid w:val="00E91ED6"/>
    <w:rsid w:val="00E91FD9"/>
    <w:rsid w:val="00E9206A"/>
    <w:rsid w:val="00E923A2"/>
    <w:rsid w:val="00E92450"/>
    <w:rsid w:val="00E924FC"/>
    <w:rsid w:val="00E92931"/>
    <w:rsid w:val="00E92C02"/>
    <w:rsid w:val="00E92C0D"/>
    <w:rsid w:val="00E92E92"/>
    <w:rsid w:val="00E92F06"/>
    <w:rsid w:val="00E93161"/>
    <w:rsid w:val="00E93285"/>
    <w:rsid w:val="00E93318"/>
    <w:rsid w:val="00E93334"/>
    <w:rsid w:val="00E93771"/>
    <w:rsid w:val="00E937AB"/>
    <w:rsid w:val="00E93D3C"/>
    <w:rsid w:val="00E93E2B"/>
    <w:rsid w:val="00E93FE7"/>
    <w:rsid w:val="00E94223"/>
    <w:rsid w:val="00E94241"/>
    <w:rsid w:val="00E94688"/>
    <w:rsid w:val="00E949D5"/>
    <w:rsid w:val="00E94BB4"/>
    <w:rsid w:val="00E94CE3"/>
    <w:rsid w:val="00E94D1A"/>
    <w:rsid w:val="00E94D82"/>
    <w:rsid w:val="00E94D95"/>
    <w:rsid w:val="00E94E46"/>
    <w:rsid w:val="00E94FCC"/>
    <w:rsid w:val="00E95038"/>
    <w:rsid w:val="00E95082"/>
    <w:rsid w:val="00E952E6"/>
    <w:rsid w:val="00E954D1"/>
    <w:rsid w:val="00E95774"/>
    <w:rsid w:val="00E957F8"/>
    <w:rsid w:val="00E9598E"/>
    <w:rsid w:val="00E95A35"/>
    <w:rsid w:val="00E95EDC"/>
    <w:rsid w:val="00E961E9"/>
    <w:rsid w:val="00E962EC"/>
    <w:rsid w:val="00E9646B"/>
    <w:rsid w:val="00E96524"/>
    <w:rsid w:val="00E96628"/>
    <w:rsid w:val="00E969DA"/>
    <w:rsid w:val="00E96B79"/>
    <w:rsid w:val="00E96D53"/>
    <w:rsid w:val="00E96E1B"/>
    <w:rsid w:val="00E96EF9"/>
    <w:rsid w:val="00E971D0"/>
    <w:rsid w:val="00E97359"/>
    <w:rsid w:val="00E97409"/>
    <w:rsid w:val="00E97873"/>
    <w:rsid w:val="00E97D59"/>
    <w:rsid w:val="00E97D65"/>
    <w:rsid w:val="00E97FD8"/>
    <w:rsid w:val="00EA02C9"/>
    <w:rsid w:val="00EA07A4"/>
    <w:rsid w:val="00EA093E"/>
    <w:rsid w:val="00EA0C06"/>
    <w:rsid w:val="00EA0D67"/>
    <w:rsid w:val="00EA0E2D"/>
    <w:rsid w:val="00EA0F5B"/>
    <w:rsid w:val="00EA101F"/>
    <w:rsid w:val="00EA1121"/>
    <w:rsid w:val="00EA11DA"/>
    <w:rsid w:val="00EA1342"/>
    <w:rsid w:val="00EA148B"/>
    <w:rsid w:val="00EA1491"/>
    <w:rsid w:val="00EA14FB"/>
    <w:rsid w:val="00EA1650"/>
    <w:rsid w:val="00EA1757"/>
    <w:rsid w:val="00EA1A93"/>
    <w:rsid w:val="00EA1B44"/>
    <w:rsid w:val="00EA1C29"/>
    <w:rsid w:val="00EA1D55"/>
    <w:rsid w:val="00EA1DD3"/>
    <w:rsid w:val="00EA1F5D"/>
    <w:rsid w:val="00EA2168"/>
    <w:rsid w:val="00EA23C4"/>
    <w:rsid w:val="00EA2527"/>
    <w:rsid w:val="00EA2A89"/>
    <w:rsid w:val="00EA2AC7"/>
    <w:rsid w:val="00EA2C48"/>
    <w:rsid w:val="00EA2EFA"/>
    <w:rsid w:val="00EA30ED"/>
    <w:rsid w:val="00EA317F"/>
    <w:rsid w:val="00EA31C4"/>
    <w:rsid w:val="00EA338D"/>
    <w:rsid w:val="00EA33F3"/>
    <w:rsid w:val="00EA3405"/>
    <w:rsid w:val="00EA371F"/>
    <w:rsid w:val="00EA3756"/>
    <w:rsid w:val="00EA37D6"/>
    <w:rsid w:val="00EA3A09"/>
    <w:rsid w:val="00EA3A32"/>
    <w:rsid w:val="00EA3F01"/>
    <w:rsid w:val="00EA3FFB"/>
    <w:rsid w:val="00EA40E0"/>
    <w:rsid w:val="00EA4263"/>
    <w:rsid w:val="00EA4561"/>
    <w:rsid w:val="00EA4633"/>
    <w:rsid w:val="00EA4643"/>
    <w:rsid w:val="00EA46C2"/>
    <w:rsid w:val="00EA4802"/>
    <w:rsid w:val="00EA4852"/>
    <w:rsid w:val="00EA499C"/>
    <w:rsid w:val="00EA49DC"/>
    <w:rsid w:val="00EA4A9B"/>
    <w:rsid w:val="00EA4E9A"/>
    <w:rsid w:val="00EA4F92"/>
    <w:rsid w:val="00EA508C"/>
    <w:rsid w:val="00EA5239"/>
    <w:rsid w:val="00EA5760"/>
    <w:rsid w:val="00EA623C"/>
    <w:rsid w:val="00EA629C"/>
    <w:rsid w:val="00EA6373"/>
    <w:rsid w:val="00EA6405"/>
    <w:rsid w:val="00EA6485"/>
    <w:rsid w:val="00EA656B"/>
    <w:rsid w:val="00EA66F0"/>
    <w:rsid w:val="00EA6CDB"/>
    <w:rsid w:val="00EA6CE9"/>
    <w:rsid w:val="00EA721F"/>
    <w:rsid w:val="00EA74D7"/>
    <w:rsid w:val="00EA7574"/>
    <w:rsid w:val="00EA795A"/>
    <w:rsid w:val="00EA7A14"/>
    <w:rsid w:val="00EB00CB"/>
    <w:rsid w:val="00EB025F"/>
    <w:rsid w:val="00EB0445"/>
    <w:rsid w:val="00EB046F"/>
    <w:rsid w:val="00EB049E"/>
    <w:rsid w:val="00EB0567"/>
    <w:rsid w:val="00EB0580"/>
    <w:rsid w:val="00EB059C"/>
    <w:rsid w:val="00EB0676"/>
    <w:rsid w:val="00EB07C3"/>
    <w:rsid w:val="00EB0829"/>
    <w:rsid w:val="00EB08E1"/>
    <w:rsid w:val="00EB0C42"/>
    <w:rsid w:val="00EB0DD0"/>
    <w:rsid w:val="00EB0F9F"/>
    <w:rsid w:val="00EB1399"/>
    <w:rsid w:val="00EB145D"/>
    <w:rsid w:val="00EB157B"/>
    <w:rsid w:val="00EB1C49"/>
    <w:rsid w:val="00EB1DF9"/>
    <w:rsid w:val="00EB2087"/>
    <w:rsid w:val="00EB2196"/>
    <w:rsid w:val="00EB22F0"/>
    <w:rsid w:val="00EB23BC"/>
    <w:rsid w:val="00EB2471"/>
    <w:rsid w:val="00EB266A"/>
    <w:rsid w:val="00EB267C"/>
    <w:rsid w:val="00EB2682"/>
    <w:rsid w:val="00EB284B"/>
    <w:rsid w:val="00EB2867"/>
    <w:rsid w:val="00EB29AE"/>
    <w:rsid w:val="00EB2C22"/>
    <w:rsid w:val="00EB2C5C"/>
    <w:rsid w:val="00EB2DEC"/>
    <w:rsid w:val="00EB3049"/>
    <w:rsid w:val="00EB3149"/>
    <w:rsid w:val="00EB3220"/>
    <w:rsid w:val="00EB32F3"/>
    <w:rsid w:val="00EB3435"/>
    <w:rsid w:val="00EB3773"/>
    <w:rsid w:val="00EB38F9"/>
    <w:rsid w:val="00EB3A63"/>
    <w:rsid w:val="00EB3A74"/>
    <w:rsid w:val="00EB3AE9"/>
    <w:rsid w:val="00EB4148"/>
    <w:rsid w:val="00EB4265"/>
    <w:rsid w:val="00EB46B1"/>
    <w:rsid w:val="00EB49BB"/>
    <w:rsid w:val="00EB4AFF"/>
    <w:rsid w:val="00EB4B06"/>
    <w:rsid w:val="00EB4D58"/>
    <w:rsid w:val="00EB4EE5"/>
    <w:rsid w:val="00EB5069"/>
    <w:rsid w:val="00EB506A"/>
    <w:rsid w:val="00EB50D0"/>
    <w:rsid w:val="00EB528C"/>
    <w:rsid w:val="00EB5366"/>
    <w:rsid w:val="00EB541E"/>
    <w:rsid w:val="00EB5764"/>
    <w:rsid w:val="00EB57BE"/>
    <w:rsid w:val="00EB57C0"/>
    <w:rsid w:val="00EB57CD"/>
    <w:rsid w:val="00EB580B"/>
    <w:rsid w:val="00EB5989"/>
    <w:rsid w:val="00EB5AF4"/>
    <w:rsid w:val="00EB5F28"/>
    <w:rsid w:val="00EB6155"/>
    <w:rsid w:val="00EB61B8"/>
    <w:rsid w:val="00EB67F3"/>
    <w:rsid w:val="00EB6A6A"/>
    <w:rsid w:val="00EB6AD8"/>
    <w:rsid w:val="00EB7064"/>
    <w:rsid w:val="00EB7106"/>
    <w:rsid w:val="00EB738E"/>
    <w:rsid w:val="00EB7448"/>
    <w:rsid w:val="00EB74FD"/>
    <w:rsid w:val="00EB75C0"/>
    <w:rsid w:val="00EB76AD"/>
    <w:rsid w:val="00EB77C5"/>
    <w:rsid w:val="00EB79A6"/>
    <w:rsid w:val="00EB79D8"/>
    <w:rsid w:val="00EB7AEC"/>
    <w:rsid w:val="00EB7C5A"/>
    <w:rsid w:val="00EB7C9A"/>
    <w:rsid w:val="00EB7CBC"/>
    <w:rsid w:val="00EB7F45"/>
    <w:rsid w:val="00EC018B"/>
    <w:rsid w:val="00EC023C"/>
    <w:rsid w:val="00EC0354"/>
    <w:rsid w:val="00EC0987"/>
    <w:rsid w:val="00EC0990"/>
    <w:rsid w:val="00EC0A92"/>
    <w:rsid w:val="00EC0BC5"/>
    <w:rsid w:val="00EC0D1D"/>
    <w:rsid w:val="00EC0E15"/>
    <w:rsid w:val="00EC0F61"/>
    <w:rsid w:val="00EC10A7"/>
    <w:rsid w:val="00EC11BF"/>
    <w:rsid w:val="00EC12C5"/>
    <w:rsid w:val="00EC13EC"/>
    <w:rsid w:val="00EC141D"/>
    <w:rsid w:val="00EC1495"/>
    <w:rsid w:val="00EC1874"/>
    <w:rsid w:val="00EC1908"/>
    <w:rsid w:val="00EC1CBC"/>
    <w:rsid w:val="00EC1DA1"/>
    <w:rsid w:val="00EC1F08"/>
    <w:rsid w:val="00EC1FFB"/>
    <w:rsid w:val="00EC2017"/>
    <w:rsid w:val="00EC20A5"/>
    <w:rsid w:val="00EC22A1"/>
    <w:rsid w:val="00EC2552"/>
    <w:rsid w:val="00EC2782"/>
    <w:rsid w:val="00EC2835"/>
    <w:rsid w:val="00EC28F1"/>
    <w:rsid w:val="00EC28F8"/>
    <w:rsid w:val="00EC2E0B"/>
    <w:rsid w:val="00EC2E78"/>
    <w:rsid w:val="00EC3300"/>
    <w:rsid w:val="00EC3515"/>
    <w:rsid w:val="00EC3929"/>
    <w:rsid w:val="00EC3A18"/>
    <w:rsid w:val="00EC3A2C"/>
    <w:rsid w:val="00EC3C94"/>
    <w:rsid w:val="00EC3D34"/>
    <w:rsid w:val="00EC3DB7"/>
    <w:rsid w:val="00EC3E8C"/>
    <w:rsid w:val="00EC418A"/>
    <w:rsid w:val="00EC41B0"/>
    <w:rsid w:val="00EC41E7"/>
    <w:rsid w:val="00EC4278"/>
    <w:rsid w:val="00EC4883"/>
    <w:rsid w:val="00EC4921"/>
    <w:rsid w:val="00EC4A52"/>
    <w:rsid w:val="00EC4ADE"/>
    <w:rsid w:val="00EC4C1A"/>
    <w:rsid w:val="00EC4F6D"/>
    <w:rsid w:val="00EC5223"/>
    <w:rsid w:val="00EC5288"/>
    <w:rsid w:val="00EC5596"/>
    <w:rsid w:val="00EC55AC"/>
    <w:rsid w:val="00EC561F"/>
    <w:rsid w:val="00EC56FF"/>
    <w:rsid w:val="00EC5783"/>
    <w:rsid w:val="00EC5848"/>
    <w:rsid w:val="00EC58B2"/>
    <w:rsid w:val="00EC595E"/>
    <w:rsid w:val="00EC597D"/>
    <w:rsid w:val="00EC5CE8"/>
    <w:rsid w:val="00EC5E15"/>
    <w:rsid w:val="00EC5EFE"/>
    <w:rsid w:val="00EC5F2F"/>
    <w:rsid w:val="00EC6232"/>
    <w:rsid w:val="00EC66C1"/>
    <w:rsid w:val="00EC6A73"/>
    <w:rsid w:val="00EC6ED6"/>
    <w:rsid w:val="00EC72C6"/>
    <w:rsid w:val="00EC72F8"/>
    <w:rsid w:val="00EC73EE"/>
    <w:rsid w:val="00EC745C"/>
    <w:rsid w:val="00EC765C"/>
    <w:rsid w:val="00EC790D"/>
    <w:rsid w:val="00EC7ABE"/>
    <w:rsid w:val="00EC7B14"/>
    <w:rsid w:val="00ED0369"/>
    <w:rsid w:val="00ED05A0"/>
    <w:rsid w:val="00ED0807"/>
    <w:rsid w:val="00ED0937"/>
    <w:rsid w:val="00ED0A16"/>
    <w:rsid w:val="00ED0A7B"/>
    <w:rsid w:val="00ED0CEB"/>
    <w:rsid w:val="00ED0D68"/>
    <w:rsid w:val="00ED0EE8"/>
    <w:rsid w:val="00ED0EF6"/>
    <w:rsid w:val="00ED104A"/>
    <w:rsid w:val="00ED11DA"/>
    <w:rsid w:val="00ED1765"/>
    <w:rsid w:val="00ED178D"/>
    <w:rsid w:val="00ED1A1D"/>
    <w:rsid w:val="00ED1D1C"/>
    <w:rsid w:val="00ED2039"/>
    <w:rsid w:val="00ED23D7"/>
    <w:rsid w:val="00ED23EE"/>
    <w:rsid w:val="00ED26C8"/>
    <w:rsid w:val="00ED2784"/>
    <w:rsid w:val="00ED27D8"/>
    <w:rsid w:val="00ED29C4"/>
    <w:rsid w:val="00ED2D3E"/>
    <w:rsid w:val="00ED2E18"/>
    <w:rsid w:val="00ED2FC1"/>
    <w:rsid w:val="00ED33C4"/>
    <w:rsid w:val="00ED3889"/>
    <w:rsid w:val="00ED3933"/>
    <w:rsid w:val="00ED3995"/>
    <w:rsid w:val="00ED39A4"/>
    <w:rsid w:val="00ED3A4F"/>
    <w:rsid w:val="00ED3A66"/>
    <w:rsid w:val="00ED3B69"/>
    <w:rsid w:val="00ED3D95"/>
    <w:rsid w:val="00ED3E4C"/>
    <w:rsid w:val="00ED3E59"/>
    <w:rsid w:val="00ED3EE7"/>
    <w:rsid w:val="00ED3F43"/>
    <w:rsid w:val="00ED4113"/>
    <w:rsid w:val="00ED41C5"/>
    <w:rsid w:val="00ED42A0"/>
    <w:rsid w:val="00ED44D9"/>
    <w:rsid w:val="00ED457A"/>
    <w:rsid w:val="00ED48E4"/>
    <w:rsid w:val="00ED48FC"/>
    <w:rsid w:val="00ED4A6B"/>
    <w:rsid w:val="00ED4AD4"/>
    <w:rsid w:val="00ED4CCF"/>
    <w:rsid w:val="00ED4EAD"/>
    <w:rsid w:val="00ED4FF2"/>
    <w:rsid w:val="00ED51A9"/>
    <w:rsid w:val="00ED51BD"/>
    <w:rsid w:val="00ED552B"/>
    <w:rsid w:val="00ED59A8"/>
    <w:rsid w:val="00ED59D1"/>
    <w:rsid w:val="00ED5F33"/>
    <w:rsid w:val="00ED6060"/>
    <w:rsid w:val="00ED61D7"/>
    <w:rsid w:val="00ED6448"/>
    <w:rsid w:val="00ED6842"/>
    <w:rsid w:val="00ED6BB6"/>
    <w:rsid w:val="00ED6C8C"/>
    <w:rsid w:val="00ED71E2"/>
    <w:rsid w:val="00ED71F2"/>
    <w:rsid w:val="00ED722E"/>
    <w:rsid w:val="00ED731F"/>
    <w:rsid w:val="00ED7501"/>
    <w:rsid w:val="00ED76D9"/>
    <w:rsid w:val="00ED7B2C"/>
    <w:rsid w:val="00ED7BBD"/>
    <w:rsid w:val="00ED7E9E"/>
    <w:rsid w:val="00ED7EC6"/>
    <w:rsid w:val="00ED7F1B"/>
    <w:rsid w:val="00EE0211"/>
    <w:rsid w:val="00EE023E"/>
    <w:rsid w:val="00EE0296"/>
    <w:rsid w:val="00EE040A"/>
    <w:rsid w:val="00EE0A4A"/>
    <w:rsid w:val="00EE0DE8"/>
    <w:rsid w:val="00EE0F60"/>
    <w:rsid w:val="00EE0FDF"/>
    <w:rsid w:val="00EE12E7"/>
    <w:rsid w:val="00EE12F6"/>
    <w:rsid w:val="00EE139B"/>
    <w:rsid w:val="00EE16B7"/>
    <w:rsid w:val="00EE19C0"/>
    <w:rsid w:val="00EE1A19"/>
    <w:rsid w:val="00EE1BF6"/>
    <w:rsid w:val="00EE24D7"/>
    <w:rsid w:val="00EE258D"/>
    <w:rsid w:val="00EE2959"/>
    <w:rsid w:val="00EE2ADB"/>
    <w:rsid w:val="00EE2CFF"/>
    <w:rsid w:val="00EE2D71"/>
    <w:rsid w:val="00EE2F69"/>
    <w:rsid w:val="00EE3108"/>
    <w:rsid w:val="00EE37ED"/>
    <w:rsid w:val="00EE3DF3"/>
    <w:rsid w:val="00EE4078"/>
    <w:rsid w:val="00EE4354"/>
    <w:rsid w:val="00EE43B8"/>
    <w:rsid w:val="00EE4575"/>
    <w:rsid w:val="00EE45F4"/>
    <w:rsid w:val="00EE49F3"/>
    <w:rsid w:val="00EE518E"/>
    <w:rsid w:val="00EE5674"/>
    <w:rsid w:val="00EE56C5"/>
    <w:rsid w:val="00EE5952"/>
    <w:rsid w:val="00EE5B95"/>
    <w:rsid w:val="00EE5D07"/>
    <w:rsid w:val="00EE60A6"/>
    <w:rsid w:val="00EE63D8"/>
    <w:rsid w:val="00EE648B"/>
    <w:rsid w:val="00EE66A2"/>
    <w:rsid w:val="00EE6A68"/>
    <w:rsid w:val="00EE6DE7"/>
    <w:rsid w:val="00EE70D9"/>
    <w:rsid w:val="00EE7168"/>
    <w:rsid w:val="00EE72B9"/>
    <w:rsid w:val="00EE7377"/>
    <w:rsid w:val="00EE7429"/>
    <w:rsid w:val="00EE75CC"/>
    <w:rsid w:val="00EE76FC"/>
    <w:rsid w:val="00EE78BD"/>
    <w:rsid w:val="00EE78F1"/>
    <w:rsid w:val="00EE7A1B"/>
    <w:rsid w:val="00EE7A41"/>
    <w:rsid w:val="00EE7FCC"/>
    <w:rsid w:val="00EF007D"/>
    <w:rsid w:val="00EF0248"/>
    <w:rsid w:val="00EF0506"/>
    <w:rsid w:val="00EF072C"/>
    <w:rsid w:val="00EF08BB"/>
    <w:rsid w:val="00EF09AE"/>
    <w:rsid w:val="00EF0BF6"/>
    <w:rsid w:val="00EF0C0D"/>
    <w:rsid w:val="00EF0CFD"/>
    <w:rsid w:val="00EF0D76"/>
    <w:rsid w:val="00EF0E88"/>
    <w:rsid w:val="00EF1089"/>
    <w:rsid w:val="00EF1549"/>
    <w:rsid w:val="00EF162B"/>
    <w:rsid w:val="00EF1976"/>
    <w:rsid w:val="00EF1A9F"/>
    <w:rsid w:val="00EF1CA6"/>
    <w:rsid w:val="00EF1E7C"/>
    <w:rsid w:val="00EF1F68"/>
    <w:rsid w:val="00EF2022"/>
    <w:rsid w:val="00EF2198"/>
    <w:rsid w:val="00EF2368"/>
    <w:rsid w:val="00EF28DE"/>
    <w:rsid w:val="00EF2A37"/>
    <w:rsid w:val="00EF2CC1"/>
    <w:rsid w:val="00EF2D8E"/>
    <w:rsid w:val="00EF2FE2"/>
    <w:rsid w:val="00EF30EB"/>
    <w:rsid w:val="00EF3206"/>
    <w:rsid w:val="00EF328A"/>
    <w:rsid w:val="00EF333C"/>
    <w:rsid w:val="00EF3485"/>
    <w:rsid w:val="00EF3492"/>
    <w:rsid w:val="00EF34AE"/>
    <w:rsid w:val="00EF36FE"/>
    <w:rsid w:val="00EF3A96"/>
    <w:rsid w:val="00EF3BAC"/>
    <w:rsid w:val="00EF3BC9"/>
    <w:rsid w:val="00EF3CD7"/>
    <w:rsid w:val="00EF3CF1"/>
    <w:rsid w:val="00EF3D2D"/>
    <w:rsid w:val="00EF3EE6"/>
    <w:rsid w:val="00EF426E"/>
    <w:rsid w:val="00EF4324"/>
    <w:rsid w:val="00EF47DB"/>
    <w:rsid w:val="00EF49B2"/>
    <w:rsid w:val="00EF4A08"/>
    <w:rsid w:val="00EF4AED"/>
    <w:rsid w:val="00EF4BF4"/>
    <w:rsid w:val="00EF4D17"/>
    <w:rsid w:val="00EF4DA9"/>
    <w:rsid w:val="00EF505E"/>
    <w:rsid w:val="00EF51C4"/>
    <w:rsid w:val="00EF5455"/>
    <w:rsid w:val="00EF57A1"/>
    <w:rsid w:val="00EF5BFB"/>
    <w:rsid w:val="00EF5C61"/>
    <w:rsid w:val="00EF5EAA"/>
    <w:rsid w:val="00EF5F13"/>
    <w:rsid w:val="00EF612E"/>
    <w:rsid w:val="00EF6320"/>
    <w:rsid w:val="00EF643C"/>
    <w:rsid w:val="00EF656A"/>
    <w:rsid w:val="00EF658A"/>
    <w:rsid w:val="00EF6932"/>
    <w:rsid w:val="00EF6A1F"/>
    <w:rsid w:val="00EF6D2F"/>
    <w:rsid w:val="00EF6D56"/>
    <w:rsid w:val="00EF7054"/>
    <w:rsid w:val="00EF70C2"/>
    <w:rsid w:val="00EF710F"/>
    <w:rsid w:val="00EF728C"/>
    <w:rsid w:val="00EF765D"/>
    <w:rsid w:val="00EF77A2"/>
    <w:rsid w:val="00EF7907"/>
    <w:rsid w:val="00F00176"/>
    <w:rsid w:val="00F002E2"/>
    <w:rsid w:val="00F003FC"/>
    <w:rsid w:val="00F007A5"/>
    <w:rsid w:val="00F00963"/>
    <w:rsid w:val="00F00BD2"/>
    <w:rsid w:val="00F00DC7"/>
    <w:rsid w:val="00F00EAC"/>
    <w:rsid w:val="00F00EB9"/>
    <w:rsid w:val="00F01038"/>
    <w:rsid w:val="00F0144C"/>
    <w:rsid w:val="00F0162C"/>
    <w:rsid w:val="00F0168F"/>
    <w:rsid w:val="00F016A8"/>
    <w:rsid w:val="00F016E9"/>
    <w:rsid w:val="00F01940"/>
    <w:rsid w:val="00F01B3F"/>
    <w:rsid w:val="00F01D02"/>
    <w:rsid w:val="00F020C1"/>
    <w:rsid w:val="00F0213B"/>
    <w:rsid w:val="00F0239B"/>
    <w:rsid w:val="00F025AB"/>
    <w:rsid w:val="00F029C7"/>
    <w:rsid w:val="00F02ADC"/>
    <w:rsid w:val="00F02B5A"/>
    <w:rsid w:val="00F02FD0"/>
    <w:rsid w:val="00F030E3"/>
    <w:rsid w:val="00F03157"/>
    <w:rsid w:val="00F031DA"/>
    <w:rsid w:val="00F032A0"/>
    <w:rsid w:val="00F0330E"/>
    <w:rsid w:val="00F03345"/>
    <w:rsid w:val="00F0337A"/>
    <w:rsid w:val="00F034C6"/>
    <w:rsid w:val="00F0361F"/>
    <w:rsid w:val="00F037C0"/>
    <w:rsid w:val="00F039AD"/>
    <w:rsid w:val="00F03A95"/>
    <w:rsid w:val="00F03E28"/>
    <w:rsid w:val="00F03E84"/>
    <w:rsid w:val="00F040E5"/>
    <w:rsid w:val="00F04360"/>
    <w:rsid w:val="00F04394"/>
    <w:rsid w:val="00F04436"/>
    <w:rsid w:val="00F0444A"/>
    <w:rsid w:val="00F045AB"/>
    <w:rsid w:val="00F047EC"/>
    <w:rsid w:val="00F04A97"/>
    <w:rsid w:val="00F04D61"/>
    <w:rsid w:val="00F04E33"/>
    <w:rsid w:val="00F04E5B"/>
    <w:rsid w:val="00F04F73"/>
    <w:rsid w:val="00F05613"/>
    <w:rsid w:val="00F05720"/>
    <w:rsid w:val="00F0584B"/>
    <w:rsid w:val="00F05F54"/>
    <w:rsid w:val="00F05F92"/>
    <w:rsid w:val="00F06040"/>
    <w:rsid w:val="00F06124"/>
    <w:rsid w:val="00F0626E"/>
    <w:rsid w:val="00F0627E"/>
    <w:rsid w:val="00F06546"/>
    <w:rsid w:val="00F06764"/>
    <w:rsid w:val="00F068B3"/>
    <w:rsid w:val="00F069F2"/>
    <w:rsid w:val="00F06A20"/>
    <w:rsid w:val="00F06A45"/>
    <w:rsid w:val="00F06C25"/>
    <w:rsid w:val="00F06C51"/>
    <w:rsid w:val="00F06E9D"/>
    <w:rsid w:val="00F070F1"/>
    <w:rsid w:val="00F073EA"/>
    <w:rsid w:val="00F0758F"/>
    <w:rsid w:val="00F076F4"/>
    <w:rsid w:val="00F0775C"/>
    <w:rsid w:val="00F079EE"/>
    <w:rsid w:val="00F07C98"/>
    <w:rsid w:val="00F1016E"/>
    <w:rsid w:val="00F101C7"/>
    <w:rsid w:val="00F10527"/>
    <w:rsid w:val="00F1063A"/>
    <w:rsid w:val="00F108F5"/>
    <w:rsid w:val="00F10ADD"/>
    <w:rsid w:val="00F10AF2"/>
    <w:rsid w:val="00F10B6A"/>
    <w:rsid w:val="00F10C31"/>
    <w:rsid w:val="00F10C7A"/>
    <w:rsid w:val="00F10D4D"/>
    <w:rsid w:val="00F11141"/>
    <w:rsid w:val="00F113A5"/>
    <w:rsid w:val="00F113E6"/>
    <w:rsid w:val="00F11413"/>
    <w:rsid w:val="00F11584"/>
    <w:rsid w:val="00F115C6"/>
    <w:rsid w:val="00F116AF"/>
    <w:rsid w:val="00F117EB"/>
    <w:rsid w:val="00F11AFD"/>
    <w:rsid w:val="00F11BDC"/>
    <w:rsid w:val="00F11FCD"/>
    <w:rsid w:val="00F11FEA"/>
    <w:rsid w:val="00F122FF"/>
    <w:rsid w:val="00F1237E"/>
    <w:rsid w:val="00F1247F"/>
    <w:rsid w:val="00F1253D"/>
    <w:rsid w:val="00F12678"/>
    <w:rsid w:val="00F12851"/>
    <w:rsid w:val="00F129F7"/>
    <w:rsid w:val="00F12AAD"/>
    <w:rsid w:val="00F12AE7"/>
    <w:rsid w:val="00F12C83"/>
    <w:rsid w:val="00F12CD7"/>
    <w:rsid w:val="00F12EB2"/>
    <w:rsid w:val="00F13050"/>
    <w:rsid w:val="00F13056"/>
    <w:rsid w:val="00F13086"/>
    <w:rsid w:val="00F13901"/>
    <w:rsid w:val="00F13AAF"/>
    <w:rsid w:val="00F13B55"/>
    <w:rsid w:val="00F13CFA"/>
    <w:rsid w:val="00F13DAC"/>
    <w:rsid w:val="00F13E22"/>
    <w:rsid w:val="00F14312"/>
    <w:rsid w:val="00F143F9"/>
    <w:rsid w:val="00F144A9"/>
    <w:rsid w:val="00F145A2"/>
    <w:rsid w:val="00F14C41"/>
    <w:rsid w:val="00F14D95"/>
    <w:rsid w:val="00F14F7B"/>
    <w:rsid w:val="00F150A5"/>
    <w:rsid w:val="00F151D3"/>
    <w:rsid w:val="00F154FE"/>
    <w:rsid w:val="00F1593F"/>
    <w:rsid w:val="00F15AB6"/>
    <w:rsid w:val="00F15B83"/>
    <w:rsid w:val="00F16007"/>
    <w:rsid w:val="00F1620F"/>
    <w:rsid w:val="00F164B9"/>
    <w:rsid w:val="00F16A88"/>
    <w:rsid w:val="00F16C36"/>
    <w:rsid w:val="00F16C73"/>
    <w:rsid w:val="00F16F8F"/>
    <w:rsid w:val="00F1706C"/>
    <w:rsid w:val="00F17138"/>
    <w:rsid w:val="00F1747A"/>
    <w:rsid w:val="00F17674"/>
    <w:rsid w:val="00F17797"/>
    <w:rsid w:val="00F179E9"/>
    <w:rsid w:val="00F179ED"/>
    <w:rsid w:val="00F17A10"/>
    <w:rsid w:val="00F17AFD"/>
    <w:rsid w:val="00F17B6C"/>
    <w:rsid w:val="00F17DE5"/>
    <w:rsid w:val="00F20235"/>
    <w:rsid w:val="00F20322"/>
    <w:rsid w:val="00F203CA"/>
    <w:rsid w:val="00F20996"/>
    <w:rsid w:val="00F20A94"/>
    <w:rsid w:val="00F20AC4"/>
    <w:rsid w:val="00F21030"/>
    <w:rsid w:val="00F210D7"/>
    <w:rsid w:val="00F213D2"/>
    <w:rsid w:val="00F21694"/>
    <w:rsid w:val="00F2173D"/>
    <w:rsid w:val="00F221D4"/>
    <w:rsid w:val="00F221FD"/>
    <w:rsid w:val="00F22277"/>
    <w:rsid w:val="00F22419"/>
    <w:rsid w:val="00F22470"/>
    <w:rsid w:val="00F22747"/>
    <w:rsid w:val="00F22A49"/>
    <w:rsid w:val="00F22F1E"/>
    <w:rsid w:val="00F23205"/>
    <w:rsid w:val="00F23346"/>
    <w:rsid w:val="00F23435"/>
    <w:rsid w:val="00F23916"/>
    <w:rsid w:val="00F23DD8"/>
    <w:rsid w:val="00F23E72"/>
    <w:rsid w:val="00F2400D"/>
    <w:rsid w:val="00F2415B"/>
    <w:rsid w:val="00F2415D"/>
    <w:rsid w:val="00F24458"/>
    <w:rsid w:val="00F245A2"/>
    <w:rsid w:val="00F2466D"/>
    <w:rsid w:val="00F246F6"/>
    <w:rsid w:val="00F2481A"/>
    <w:rsid w:val="00F24BF0"/>
    <w:rsid w:val="00F24D67"/>
    <w:rsid w:val="00F24F61"/>
    <w:rsid w:val="00F24FA6"/>
    <w:rsid w:val="00F256D6"/>
    <w:rsid w:val="00F25714"/>
    <w:rsid w:val="00F25876"/>
    <w:rsid w:val="00F2596A"/>
    <w:rsid w:val="00F25A13"/>
    <w:rsid w:val="00F25A7F"/>
    <w:rsid w:val="00F25BB2"/>
    <w:rsid w:val="00F25C3A"/>
    <w:rsid w:val="00F25C53"/>
    <w:rsid w:val="00F25CC8"/>
    <w:rsid w:val="00F260B1"/>
    <w:rsid w:val="00F263FF"/>
    <w:rsid w:val="00F2643B"/>
    <w:rsid w:val="00F2652F"/>
    <w:rsid w:val="00F2660E"/>
    <w:rsid w:val="00F26770"/>
    <w:rsid w:val="00F26F37"/>
    <w:rsid w:val="00F2715D"/>
    <w:rsid w:val="00F27184"/>
    <w:rsid w:val="00F272BF"/>
    <w:rsid w:val="00F277D1"/>
    <w:rsid w:val="00F279DA"/>
    <w:rsid w:val="00F27BA0"/>
    <w:rsid w:val="00F27BFE"/>
    <w:rsid w:val="00F30303"/>
    <w:rsid w:val="00F3044C"/>
    <w:rsid w:val="00F30CC1"/>
    <w:rsid w:val="00F312C2"/>
    <w:rsid w:val="00F3153E"/>
    <w:rsid w:val="00F31786"/>
    <w:rsid w:val="00F3178D"/>
    <w:rsid w:val="00F317CF"/>
    <w:rsid w:val="00F31B28"/>
    <w:rsid w:val="00F31B29"/>
    <w:rsid w:val="00F31C9C"/>
    <w:rsid w:val="00F31DC9"/>
    <w:rsid w:val="00F31FE5"/>
    <w:rsid w:val="00F31FEC"/>
    <w:rsid w:val="00F322CD"/>
    <w:rsid w:val="00F3235E"/>
    <w:rsid w:val="00F323FC"/>
    <w:rsid w:val="00F32499"/>
    <w:rsid w:val="00F326BE"/>
    <w:rsid w:val="00F32820"/>
    <w:rsid w:val="00F329AE"/>
    <w:rsid w:val="00F32C24"/>
    <w:rsid w:val="00F32D03"/>
    <w:rsid w:val="00F32E1D"/>
    <w:rsid w:val="00F32E87"/>
    <w:rsid w:val="00F330AF"/>
    <w:rsid w:val="00F336F6"/>
    <w:rsid w:val="00F338D3"/>
    <w:rsid w:val="00F339B7"/>
    <w:rsid w:val="00F33AC3"/>
    <w:rsid w:val="00F33B1E"/>
    <w:rsid w:val="00F340DF"/>
    <w:rsid w:val="00F34153"/>
    <w:rsid w:val="00F341FF"/>
    <w:rsid w:val="00F342BD"/>
    <w:rsid w:val="00F34ABF"/>
    <w:rsid w:val="00F34F30"/>
    <w:rsid w:val="00F34F4A"/>
    <w:rsid w:val="00F35005"/>
    <w:rsid w:val="00F350FB"/>
    <w:rsid w:val="00F352BC"/>
    <w:rsid w:val="00F35441"/>
    <w:rsid w:val="00F35815"/>
    <w:rsid w:val="00F35ADB"/>
    <w:rsid w:val="00F35B86"/>
    <w:rsid w:val="00F3601B"/>
    <w:rsid w:val="00F36210"/>
    <w:rsid w:val="00F36259"/>
    <w:rsid w:val="00F36288"/>
    <w:rsid w:val="00F36352"/>
    <w:rsid w:val="00F36558"/>
    <w:rsid w:val="00F36AB2"/>
    <w:rsid w:val="00F36AC9"/>
    <w:rsid w:val="00F36B7B"/>
    <w:rsid w:val="00F36BF2"/>
    <w:rsid w:val="00F36D40"/>
    <w:rsid w:val="00F36E19"/>
    <w:rsid w:val="00F36F84"/>
    <w:rsid w:val="00F37067"/>
    <w:rsid w:val="00F3711D"/>
    <w:rsid w:val="00F37378"/>
    <w:rsid w:val="00F377FA"/>
    <w:rsid w:val="00F37893"/>
    <w:rsid w:val="00F37AEE"/>
    <w:rsid w:val="00F37BEE"/>
    <w:rsid w:val="00F37C44"/>
    <w:rsid w:val="00F37CEB"/>
    <w:rsid w:val="00F37F0E"/>
    <w:rsid w:val="00F37FF8"/>
    <w:rsid w:val="00F4010C"/>
    <w:rsid w:val="00F40484"/>
    <w:rsid w:val="00F405CB"/>
    <w:rsid w:val="00F4065D"/>
    <w:rsid w:val="00F4076D"/>
    <w:rsid w:val="00F409A1"/>
    <w:rsid w:val="00F40C81"/>
    <w:rsid w:val="00F40CCD"/>
    <w:rsid w:val="00F40E70"/>
    <w:rsid w:val="00F40EC6"/>
    <w:rsid w:val="00F41075"/>
    <w:rsid w:val="00F410BD"/>
    <w:rsid w:val="00F41113"/>
    <w:rsid w:val="00F416DE"/>
    <w:rsid w:val="00F41A61"/>
    <w:rsid w:val="00F41B17"/>
    <w:rsid w:val="00F41B40"/>
    <w:rsid w:val="00F41C7D"/>
    <w:rsid w:val="00F41EF7"/>
    <w:rsid w:val="00F421C5"/>
    <w:rsid w:val="00F42352"/>
    <w:rsid w:val="00F425E4"/>
    <w:rsid w:val="00F42753"/>
    <w:rsid w:val="00F4278E"/>
    <w:rsid w:val="00F427BC"/>
    <w:rsid w:val="00F428B5"/>
    <w:rsid w:val="00F42C46"/>
    <w:rsid w:val="00F42DBC"/>
    <w:rsid w:val="00F42DFB"/>
    <w:rsid w:val="00F42E50"/>
    <w:rsid w:val="00F430DB"/>
    <w:rsid w:val="00F43683"/>
    <w:rsid w:val="00F43715"/>
    <w:rsid w:val="00F43B0A"/>
    <w:rsid w:val="00F43D57"/>
    <w:rsid w:val="00F43DB1"/>
    <w:rsid w:val="00F43EAE"/>
    <w:rsid w:val="00F44337"/>
    <w:rsid w:val="00F443A5"/>
    <w:rsid w:val="00F443C8"/>
    <w:rsid w:val="00F44477"/>
    <w:rsid w:val="00F447B7"/>
    <w:rsid w:val="00F447C9"/>
    <w:rsid w:val="00F44869"/>
    <w:rsid w:val="00F449D8"/>
    <w:rsid w:val="00F44B56"/>
    <w:rsid w:val="00F44C96"/>
    <w:rsid w:val="00F44CA2"/>
    <w:rsid w:val="00F44EDC"/>
    <w:rsid w:val="00F450EF"/>
    <w:rsid w:val="00F4513B"/>
    <w:rsid w:val="00F451CB"/>
    <w:rsid w:val="00F45B14"/>
    <w:rsid w:val="00F45B70"/>
    <w:rsid w:val="00F45D2E"/>
    <w:rsid w:val="00F45DFE"/>
    <w:rsid w:val="00F45E99"/>
    <w:rsid w:val="00F45FAE"/>
    <w:rsid w:val="00F461A0"/>
    <w:rsid w:val="00F4626B"/>
    <w:rsid w:val="00F46318"/>
    <w:rsid w:val="00F4656F"/>
    <w:rsid w:val="00F46C30"/>
    <w:rsid w:val="00F46C85"/>
    <w:rsid w:val="00F46D40"/>
    <w:rsid w:val="00F46FE0"/>
    <w:rsid w:val="00F47047"/>
    <w:rsid w:val="00F47052"/>
    <w:rsid w:val="00F47329"/>
    <w:rsid w:val="00F473CA"/>
    <w:rsid w:val="00F475CF"/>
    <w:rsid w:val="00F477B4"/>
    <w:rsid w:val="00F4788D"/>
    <w:rsid w:val="00F47B2B"/>
    <w:rsid w:val="00F47C2C"/>
    <w:rsid w:val="00F47DD6"/>
    <w:rsid w:val="00F500C8"/>
    <w:rsid w:val="00F505BD"/>
    <w:rsid w:val="00F50910"/>
    <w:rsid w:val="00F50A36"/>
    <w:rsid w:val="00F511F5"/>
    <w:rsid w:val="00F51861"/>
    <w:rsid w:val="00F518EF"/>
    <w:rsid w:val="00F519EC"/>
    <w:rsid w:val="00F51A90"/>
    <w:rsid w:val="00F51B45"/>
    <w:rsid w:val="00F51EB4"/>
    <w:rsid w:val="00F51F9E"/>
    <w:rsid w:val="00F51FFB"/>
    <w:rsid w:val="00F521B1"/>
    <w:rsid w:val="00F52321"/>
    <w:rsid w:val="00F5249B"/>
    <w:rsid w:val="00F529EC"/>
    <w:rsid w:val="00F52A34"/>
    <w:rsid w:val="00F52A9F"/>
    <w:rsid w:val="00F52AC8"/>
    <w:rsid w:val="00F52AD8"/>
    <w:rsid w:val="00F52CE9"/>
    <w:rsid w:val="00F52ECC"/>
    <w:rsid w:val="00F52F0B"/>
    <w:rsid w:val="00F532CB"/>
    <w:rsid w:val="00F532D3"/>
    <w:rsid w:val="00F533F8"/>
    <w:rsid w:val="00F534F4"/>
    <w:rsid w:val="00F53785"/>
    <w:rsid w:val="00F5384F"/>
    <w:rsid w:val="00F538AA"/>
    <w:rsid w:val="00F5390E"/>
    <w:rsid w:val="00F53955"/>
    <w:rsid w:val="00F539BA"/>
    <w:rsid w:val="00F53A2B"/>
    <w:rsid w:val="00F53C4D"/>
    <w:rsid w:val="00F53F09"/>
    <w:rsid w:val="00F544DA"/>
    <w:rsid w:val="00F54B6C"/>
    <w:rsid w:val="00F54C2E"/>
    <w:rsid w:val="00F54EAF"/>
    <w:rsid w:val="00F550EB"/>
    <w:rsid w:val="00F552C1"/>
    <w:rsid w:val="00F552E5"/>
    <w:rsid w:val="00F558D7"/>
    <w:rsid w:val="00F55BA3"/>
    <w:rsid w:val="00F55DA6"/>
    <w:rsid w:val="00F55DF1"/>
    <w:rsid w:val="00F55FFE"/>
    <w:rsid w:val="00F5603E"/>
    <w:rsid w:val="00F5604F"/>
    <w:rsid w:val="00F565F3"/>
    <w:rsid w:val="00F56613"/>
    <w:rsid w:val="00F56750"/>
    <w:rsid w:val="00F56975"/>
    <w:rsid w:val="00F56976"/>
    <w:rsid w:val="00F56B29"/>
    <w:rsid w:val="00F56B5F"/>
    <w:rsid w:val="00F56C07"/>
    <w:rsid w:val="00F56F9B"/>
    <w:rsid w:val="00F570F2"/>
    <w:rsid w:val="00F571C5"/>
    <w:rsid w:val="00F57294"/>
    <w:rsid w:val="00F573DE"/>
    <w:rsid w:val="00F57412"/>
    <w:rsid w:val="00F57445"/>
    <w:rsid w:val="00F5751D"/>
    <w:rsid w:val="00F57A7A"/>
    <w:rsid w:val="00F57DA8"/>
    <w:rsid w:val="00F57E1E"/>
    <w:rsid w:val="00F57E56"/>
    <w:rsid w:val="00F60015"/>
    <w:rsid w:val="00F60121"/>
    <w:rsid w:val="00F601FB"/>
    <w:rsid w:val="00F6029F"/>
    <w:rsid w:val="00F6033E"/>
    <w:rsid w:val="00F60610"/>
    <w:rsid w:val="00F606EA"/>
    <w:rsid w:val="00F60785"/>
    <w:rsid w:val="00F607D5"/>
    <w:rsid w:val="00F60806"/>
    <w:rsid w:val="00F60A47"/>
    <w:rsid w:val="00F60C52"/>
    <w:rsid w:val="00F60CE4"/>
    <w:rsid w:val="00F60F6B"/>
    <w:rsid w:val="00F61125"/>
    <w:rsid w:val="00F6131A"/>
    <w:rsid w:val="00F6135E"/>
    <w:rsid w:val="00F61459"/>
    <w:rsid w:val="00F61737"/>
    <w:rsid w:val="00F6173B"/>
    <w:rsid w:val="00F61E98"/>
    <w:rsid w:val="00F61EA1"/>
    <w:rsid w:val="00F620AB"/>
    <w:rsid w:val="00F62521"/>
    <w:rsid w:val="00F6292A"/>
    <w:rsid w:val="00F62992"/>
    <w:rsid w:val="00F62BCA"/>
    <w:rsid w:val="00F62BE5"/>
    <w:rsid w:val="00F62CA2"/>
    <w:rsid w:val="00F62CEB"/>
    <w:rsid w:val="00F62ED2"/>
    <w:rsid w:val="00F6301C"/>
    <w:rsid w:val="00F63250"/>
    <w:rsid w:val="00F632DE"/>
    <w:rsid w:val="00F6349C"/>
    <w:rsid w:val="00F638BF"/>
    <w:rsid w:val="00F63A4F"/>
    <w:rsid w:val="00F63B1F"/>
    <w:rsid w:val="00F63B82"/>
    <w:rsid w:val="00F63E44"/>
    <w:rsid w:val="00F640DB"/>
    <w:rsid w:val="00F64188"/>
    <w:rsid w:val="00F64361"/>
    <w:rsid w:val="00F6443E"/>
    <w:rsid w:val="00F64870"/>
    <w:rsid w:val="00F64BA2"/>
    <w:rsid w:val="00F64C3E"/>
    <w:rsid w:val="00F64CBC"/>
    <w:rsid w:val="00F64DC8"/>
    <w:rsid w:val="00F64F19"/>
    <w:rsid w:val="00F64F80"/>
    <w:rsid w:val="00F64F98"/>
    <w:rsid w:val="00F65225"/>
    <w:rsid w:val="00F652AC"/>
    <w:rsid w:val="00F65308"/>
    <w:rsid w:val="00F655E5"/>
    <w:rsid w:val="00F657AC"/>
    <w:rsid w:val="00F659A3"/>
    <w:rsid w:val="00F65AD1"/>
    <w:rsid w:val="00F65B6B"/>
    <w:rsid w:val="00F65B71"/>
    <w:rsid w:val="00F65D4D"/>
    <w:rsid w:val="00F65E9D"/>
    <w:rsid w:val="00F65F5A"/>
    <w:rsid w:val="00F65FCF"/>
    <w:rsid w:val="00F66178"/>
    <w:rsid w:val="00F66237"/>
    <w:rsid w:val="00F6642C"/>
    <w:rsid w:val="00F664A4"/>
    <w:rsid w:val="00F665BC"/>
    <w:rsid w:val="00F66854"/>
    <w:rsid w:val="00F66921"/>
    <w:rsid w:val="00F66ACA"/>
    <w:rsid w:val="00F66EB5"/>
    <w:rsid w:val="00F67367"/>
    <w:rsid w:val="00F67534"/>
    <w:rsid w:val="00F6792D"/>
    <w:rsid w:val="00F67B72"/>
    <w:rsid w:val="00F67C46"/>
    <w:rsid w:val="00F67DAB"/>
    <w:rsid w:val="00F67E12"/>
    <w:rsid w:val="00F700D2"/>
    <w:rsid w:val="00F70129"/>
    <w:rsid w:val="00F703B0"/>
    <w:rsid w:val="00F7043F"/>
    <w:rsid w:val="00F70649"/>
    <w:rsid w:val="00F70733"/>
    <w:rsid w:val="00F7083F"/>
    <w:rsid w:val="00F70A43"/>
    <w:rsid w:val="00F70C7E"/>
    <w:rsid w:val="00F70DAA"/>
    <w:rsid w:val="00F70EEE"/>
    <w:rsid w:val="00F710D8"/>
    <w:rsid w:val="00F712FE"/>
    <w:rsid w:val="00F7161B"/>
    <w:rsid w:val="00F716C9"/>
    <w:rsid w:val="00F71B18"/>
    <w:rsid w:val="00F71D5A"/>
    <w:rsid w:val="00F7215F"/>
    <w:rsid w:val="00F725C1"/>
    <w:rsid w:val="00F72677"/>
    <w:rsid w:val="00F727D2"/>
    <w:rsid w:val="00F727D5"/>
    <w:rsid w:val="00F7286A"/>
    <w:rsid w:val="00F72877"/>
    <w:rsid w:val="00F728EC"/>
    <w:rsid w:val="00F72AA7"/>
    <w:rsid w:val="00F72AFC"/>
    <w:rsid w:val="00F72C72"/>
    <w:rsid w:val="00F72D03"/>
    <w:rsid w:val="00F72D0F"/>
    <w:rsid w:val="00F72D36"/>
    <w:rsid w:val="00F72E78"/>
    <w:rsid w:val="00F72F6F"/>
    <w:rsid w:val="00F7329F"/>
    <w:rsid w:val="00F733B8"/>
    <w:rsid w:val="00F73419"/>
    <w:rsid w:val="00F7375D"/>
    <w:rsid w:val="00F73844"/>
    <w:rsid w:val="00F73988"/>
    <w:rsid w:val="00F73C71"/>
    <w:rsid w:val="00F73DD1"/>
    <w:rsid w:val="00F73E08"/>
    <w:rsid w:val="00F73E0A"/>
    <w:rsid w:val="00F73FAA"/>
    <w:rsid w:val="00F7405D"/>
    <w:rsid w:val="00F74079"/>
    <w:rsid w:val="00F741A1"/>
    <w:rsid w:val="00F741FA"/>
    <w:rsid w:val="00F74A78"/>
    <w:rsid w:val="00F74C1F"/>
    <w:rsid w:val="00F74DFB"/>
    <w:rsid w:val="00F75580"/>
    <w:rsid w:val="00F755CF"/>
    <w:rsid w:val="00F75904"/>
    <w:rsid w:val="00F75956"/>
    <w:rsid w:val="00F75E38"/>
    <w:rsid w:val="00F75EC1"/>
    <w:rsid w:val="00F75F28"/>
    <w:rsid w:val="00F75F9A"/>
    <w:rsid w:val="00F7601F"/>
    <w:rsid w:val="00F7604F"/>
    <w:rsid w:val="00F761C6"/>
    <w:rsid w:val="00F764C0"/>
    <w:rsid w:val="00F768E5"/>
    <w:rsid w:val="00F7696D"/>
    <w:rsid w:val="00F769DF"/>
    <w:rsid w:val="00F76D05"/>
    <w:rsid w:val="00F76DE2"/>
    <w:rsid w:val="00F76E90"/>
    <w:rsid w:val="00F76EF9"/>
    <w:rsid w:val="00F76FBE"/>
    <w:rsid w:val="00F77179"/>
    <w:rsid w:val="00F7719A"/>
    <w:rsid w:val="00F7728F"/>
    <w:rsid w:val="00F772E6"/>
    <w:rsid w:val="00F774FE"/>
    <w:rsid w:val="00F77BE7"/>
    <w:rsid w:val="00F77C9B"/>
    <w:rsid w:val="00F77E2A"/>
    <w:rsid w:val="00F77F1B"/>
    <w:rsid w:val="00F77F75"/>
    <w:rsid w:val="00F8029E"/>
    <w:rsid w:val="00F80640"/>
    <w:rsid w:val="00F80966"/>
    <w:rsid w:val="00F80AF4"/>
    <w:rsid w:val="00F80E83"/>
    <w:rsid w:val="00F811E5"/>
    <w:rsid w:val="00F811FD"/>
    <w:rsid w:val="00F8129C"/>
    <w:rsid w:val="00F813B8"/>
    <w:rsid w:val="00F81419"/>
    <w:rsid w:val="00F8150E"/>
    <w:rsid w:val="00F815ED"/>
    <w:rsid w:val="00F81726"/>
    <w:rsid w:val="00F81976"/>
    <w:rsid w:val="00F81AEF"/>
    <w:rsid w:val="00F81C19"/>
    <w:rsid w:val="00F81FEE"/>
    <w:rsid w:val="00F821F9"/>
    <w:rsid w:val="00F8220F"/>
    <w:rsid w:val="00F82626"/>
    <w:rsid w:val="00F826EB"/>
    <w:rsid w:val="00F82829"/>
    <w:rsid w:val="00F82A47"/>
    <w:rsid w:val="00F82A6A"/>
    <w:rsid w:val="00F82D7C"/>
    <w:rsid w:val="00F83039"/>
    <w:rsid w:val="00F83099"/>
    <w:rsid w:val="00F830DB"/>
    <w:rsid w:val="00F8345C"/>
    <w:rsid w:val="00F83629"/>
    <w:rsid w:val="00F83730"/>
    <w:rsid w:val="00F83A14"/>
    <w:rsid w:val="00F83AE7"/>
    <w:rsid w:val="00F83D4E"/>
    <w:rsid w:val="00F83E0D"/>
    <w:rsid w:val="00F83E97"/>
    <w:rsid w:val="00F84210"/>
    <w:rsid w:val="00F8430D"/>
    <w:rsid w:val="00F8455D"/>
    <w:rsid w:val="00F846C4"/>
    <w:rsid w:val="00F8478B"/>
    <w:rsid w:val="00F847DE"/>
    <w:rsid w:val="00F848C0"/>
    <w:rsid w:val="00F84AA9"/>
    <w:rsid w:val="00F84AF2"/>
    <w:rsid w:val="00F84C71"/>
    <w:rsid w:val="00F84E43"/>
    <w:rsid w:val="00F84F6B"/>
    <w:rsid w:val="00F850BF"/>
    <w:rsid w:val="00F85170"/>
    <w:rsid w:val="00F85284"/>
    <w:rsid w:val="00F852B6"/>
    <w:rsid w:val="00F853CD"/>
    <w:rsid w:val="00F85491"/>
    <w:rsid w:val="00F8563D"/>
    <w:rsid w:val="00F85837"/>
    <w:rsid w:val="00F85949"/>
    <w:rsid w:val="00F85C05"/>
    <w:rsid w:val="00F85CD1"/>
    <w:rsid w:val="00F85EE1"/>
    <w:rsid w:val="00F85F09"/>
    <w:rsid w:val="00F85FAF"/>
    <w:rsid w:val="00F86191"/>
    <w:rsid w:val="00F86503"/>
    <w:rsid w:val="00F865C1"/>
    <w:rsid w:val="00F86865"/>
    <w:rsid w:val="00F86988"/>
    <w:rsid w:val="00F86A29"/>
    <w:rsid w:val="00F86AB3"/>
    <w:rsid w:val="00F86B5D"/>
    <w:rsid w:val="00F86C05"/>
    <w:rsid w:val="00F86DAC"/>
    <w:rsid w:val="00F870CE"/>
    <w:rsid w:val="00F8713F"/>
    <w:rsid w:val="00F87326"/>
    <w:rsid w:val="00F8772E"/>
    <w:rsid w:val="00F879C9"/>
    <w:rsid w:val="00F90023"/>
    <w:rsid w:val="00F900B6"/>
    <w:rsid w:val="00F900D9"/>
    <w:rsid w:val="00F900EF"/>
    <w:rsid w:val="00F90250"/>
    <w:rsid w:val="00F90446"/>
    <w:rsid w:val="00F9044A"/>
    <w:rsid w:val="00F90577"/>
    <w:rsid w:val="00F905CC"/>
    <w:rsid w:val="00F906EE"/>
    <w:rsid w:val="00F90875"/>
    <w:rsid w:val="00F90978"/>
    <w:rsid w:val="00F90983"/>
    <w:rsid w:val="00F90BCC"/>
    <w:rsid w:val="00F90E05"/>
    <w:rsid w:val="00F90E6C"/>
    <w:rsid w:val="00F90EAE"/>
    <w:rsid w:val="00F910A7"/>
    <w:rsid w:val="00F910F3"/>
    <w:rsid w:val="00F91128"/>
    <w:rsid w:val="00F913CE"/>
    <w:rsid w:val="00F917B8"/>
    <w:rsid w:val="00F918AC"/>
    <w:rsid w:val="00F91952"/>
    <w:rsid w:val="00F91D21"/>
    <w:rsid w:val="00F91D4A"/>
    <w:rsid w:val="00F92037"/>
    <w:rsid w:val="00F92343"/>
    <w:rsid w:val="00F923BD"/>
    <w:rsid w:val="00F92537"/>
    <w:rsid w:val="00F9277B"/>
    <w:rsid w:val="00F92BB3"/>
    <w:rsid w:val="00F92BCC"/>
    <w:rsid w:val="00F92F83"/>
    <w:rsid w:val="00F92FD2"/>
    <w:rsid w:val="00F93001"/>
    <w:rsid w:val="00F9317F"/>
    <w:rsid w:val="00F93491"/>
    <w:rsid w:val="00F93887"/>
    <w:rsid w:val="00F93A64"/>
    <w:rsid w:val="00F93B1F"/>
    <w:rsid w:val="00F93CCE"/>
    <w:rsid w:val="00F93D82"/>
    <w:rsid w:val="00F93EBD"/>
    <w:rsid w:val="00F93FED"/>
    <w:rsid w:val="00F940B9"/>
    <w:rsid w:val="00F94162"/>
    <w:rsid w:val="00F9445F"/>
    <w:rsid w:val="00F9452B"/>
    <w:rsid w:val="00F945D0"/>
    <w:rsid w:val="00F94600"/>
    <w:rsid w:val="00F94895"/>
    <w:rsid w:val="00F949BC"/>
    <w:rsid w:val="00F94BA6"/>
    <w:rsid w:val="00F94E32"/>
    <w:rsid w:val="00F94F9C"/>
    <w:rsid w:val="00F951A8"/>
    <w:rsid w:val="00F9545A"/>
    <w:rsid w:val="00F9548E"/>
    <w:rsid w:val="00F954CB"/>
    <w:rsid w:val="00F956EA"/>
    <w:rsid w:val="00F95DA8"/>
    <w:rsid w:val="00F95E9E"/>
    <w:rsid w:val="00F95F22"/>
    <w:rsid w:val="00F960ED"/>
    <w:rsid w:val="00F961AF"/>
    <w:rsid w:val="00F961CC"/>
    <w:rsid w:val="00F96207"/>
    <w:rsid w:val="00F96458"/>
    <w:rsid w:val="00F9659E"/>
    <w:rsid w:val="00F96777"/>
    <w:rsid w:val="00F96DD9"/>
    <w:rsid w:val="00F97063"/>
    <w:rsid w:val="00F9715A"/>
    <w:rsid w:val="00F9731A"/>
    <w:rsid w:val="00F97610"/>
    <w:rsid w:val="00F97808"/>
    <w:rsid w:val="00F97FC4"/>
    <w:rsid w:val="00F97FEB"/>
    <w:rsid w:val="00FA0183"/>
    <w:rsid w:val="00FA01DE"/>
    <w:rsid w:val="00FA03F2"/>
    <w:rsid w:val="00FA04B0"/>
    <w:rsid w:val="00FA04C7"/>
    <w:rsid w:val="00FA04E9"/>
    <w:rsid w:val="00FA07B1"/>
    <w:rsid w:val="00FA07C7"/>
    <w:rsid w:val="00FA07EB"/>
    <w:rsid w:val="00FA0843"/>
    <w:rsid w:val="00FA0CEE"/>
    <w:rsid w:val="00FA0EF1"/>
    <w:rsid w:val="00FA0F00"/>
    <w:rsid w:val="00FA10AA"/>
    <w:rsid w:val="00FA10ED"/>
    <w:rsid w:val="00FA1223"/>
    <w:rsid w:val="00FA1520"/>
    <w:rsid w:val="00FA1536"/>
    <w:rsid w:val="00FA171F"/>
    <w:rsid w:val="00FA17D8"/>
    <w:rsid w:val="00FA1813"/>
    <w:rsid w:val="00FA1843"/>
    <w:rsid w:val="00FA1FB2"/>
    <w:rsid w:val="00FA2051"/>
    <w:rsid w:val="00FA2312"/>
    <w:rsid w:val="00FA23AE"/>
    <w:rsid w:val="00FA24CC"/>
    <w:rsid w:val="00FA2638"/>
    <w:rsid w:val="00FA27A3"/>
    <w:rsid w:val="00FA2883"/>
    <w:rsid w:val="00FA2955"/>
    <w:rsid w:val="00FA2B1B"/>
    <w:rsid w:val="00FA2D10"/>
    <w:rsid w:val="00FA2D4B"/>
    <w:rsid w:val="00FA2D57"/>
    <w:rsid w:val="00FA2FAA"/>
    <w:rsid w:val="00FA3087"/>
    <w:rsid w:val="00FA32F4"/>
    <w:rsid w:val="00FA33E0"/>
    <w:rsid w:val="00FA3485"/>
    <w:rsid w:val="00FA3630"/>
    <w:rsid w:val="00FA3958"/>
    <w:rsid w:val="00FA3DC7"/>
    <w:rsid w:val="00FA3E0F"/>
    <w:rsid w:val="00FA40C8"/>
    <w:rsid w:val="00FA413E"/>
    <w:rsid w:val="00FA4296"/>
    <w:rsid w:val="00FA4318"/>
    <w:rsid w:val="00FA4361"/>
    <w:rsid w:val="00FA43FF"/>
    <w:rsid w:val="00FA447C"/>
    <w:rsid w:val="00FA488B"/>
    <w:rsid w:val="00FA48B9"/>
    <w:rsid w:val="00FA4BC5"/>
    <w:rsid w:val="00FA4E97"/>
    <w:rsid w:val="00FA4F8F"/>
    <w:rsid w:val="00FA4FAC"/>
    <w:rsid w:val="00FA4FF6"/>
    <w:rsid w:val="00FA5188"/>
    <w:rsid w:val="00FA54B2"/>
    <w:rsid w:val="00FA553C"/>
    <w:rsid w:val="00FA5879"/>
    <w:rsid w:val="00FA61BD"/>
    <w:rsid w:val="00FA629F"/>
    <w:rsid w:val="00FA639E"/>
    <w:rsid w:val="00FA6523"/>
    <w:rsid w:val="00FA6539"/>
    <w:rsid w:val="00FA684F"/>
    <w:rsid w:val="00FA6964"/>
    <w:rsid w:val="00FA6993"/>
    <w:rsid w:val="00FA6A02"/>
    <w:rsid w:val="00FA6BC7"/>
    <w:rsid w:val="00FA6D12"/>
    <w:rsid w:val="00FA6EAC"/>
    <w:rsid w:val="00FA71D0"/>
    <w:rsid w:val="00FA7205"/>
    <w:rsid w:val="00FA724E"/>
    <w:rsid w:val="00FA73E6"/>
    <w:rsid w:val="00FA7ABF"/>
    <w:rsid w:val="00FA7C65"/>
    <w:rsid w:val="00FA7D2C"/>
    <w:rsid w:val="00FA7E18"/>
    <w:rsid w:val="00FA7E38"/>
    <w:rsid w:val="00FB01E7"/>
    <w:rsid w:val="00FB0449"/>
    <w:rsid w:val="00FB04A1"/>
    <w:rsid w:val="00FB050B"/>
    <w:rsid w:val="00FB05F5"/>
    <w:rsid w:val="00FB07C8"/>
    <w:rsid w:val="00FB097D"/>
    <w:rsid w:val="00FB0A35"/>
    <w:rsid w:val="00FB0B7A"/>
    <w:rsid w:val="00FB0DA8"/>
    <w:rsid w:val="00FB11FA"/>
    <w:rsid w:val="00FB1B22"/>
    <w:rsid w:val="00FB2270"/>
    <w:rsid w:val="00FB2371"/>
    <w:rsid w:val="00FB25D0"/>
    <w:rsid w:val="00FB293F"/>
    <w:rsid w:val="00FB2ABA"/>
    <w:rsid w:val="00FB2D86"/>
    <w:rsid w:val="00FB2DB9"/>
    <w:rsid w:val="00FB2F50"/>
    <w:rsid w:val="00FB2FB3"/>
    <w:rsid w:val="00FB2FB4"/>
    <w:rsid w:val="00FB3081"/>
    <w:rsid w:val="00FB3330"/>
    <w:rsid w:val="00FB33EB"/>
    <w:rsid w:val="00FB35E0"/>
    <w:rsid w:val="00FB3A25"/>
    <w:rsid w:val="00FB3B92"/>
    <w:rsid w:val="00FB3E2B"/>
    <w:rsid w:val="00FB3ECA"/>
    <w:rsid w:val="00FB40DE"/>
    <w:rsid w:val="00FB4710"/>
    <w:rsid w:val="00FB4729"/>
    <w:rsid w:val="00FB474F"/>
    <w:rsid w:val="00FB49BD"/>
    <w:rsid w:val="00FB4AEE"/>
    <w:rsid w:val="00FB4BA4"/>
    <w:rsid w:val="00FB4BCF"/>
    <w:rsid w:val="00FB4C63"/>
    <w:rsid w:val="00FB4CEA"/>
    <w:rsid w:val="00FB50D4"/>
    <w:rsid w:val="00FB5216"/>
    <w:rsid w:val="00FB525F"/>
    <w:rsid w:val="00FB546B"/>
    <w:rsid w:val="00FB557B"/>
    <w:rsid w:val="00FB56E8"/>
    <w:rsid w:val="00FB5704"/>
    <w:rsid w:val="00FB57D7"/>
    <w:rsid w:val="00FB58EF"/>
    <w:rsid w:val="00FB58F7"/>
    <w:rsid w:val="00FB5CB4"/>
    <w:rsid w:val="00FB5DBE"/>
    <w:rsid w:val="00FB5F12"/>
    <w:rsid w:val="00FB65B9"/>
    <w:rsid w:val="00FB6670"/>
    <w:rsid w:val="00FB66BC"/>
    <w:rsid w:val="00FB68AD"/>
    <w:rsid w:val="00FB6A39"/>
    <w:rsid w:val="00FB6C93"/>
    <w:rsid w:val="00FB6D46"/>
    <w:rsid w:val="00FB6E31"/>
    <w:rsid w:val="00FB6EAE"/>
    <w:rsid w:val="00FB6F47"/>
    <w:rsid w:val="00FB74A4"/>
    <w:rsid w:val="00FB75DD"/>
    <w:rsid w:val="00FB75E4"/>
    <w:rsid w:val="00FB774F"/>
    <w:rsid w:val="00FB7855"/>
    <w:rsid w:val="00FB7A62"/>
    <w:rsid w:val="00FC024A"/>
    <w:rsid w:val="00FC0517"/>
    <w:rsid w:val="00FC06E1"/>
    <w:rsid w:val="00FC0D0C"/>
    <w:rsid w:val="00FC0D39"/>
    <w:rsid w:val="00FC116C"/>
    <w:rsid w:val="00FC11FD"/>
    <w:rsid w:val="00FC12BB"/>
    <w:rsid w:val="00FC147E"/>
    <w:rsid w:val="00FC148E"/>
    <w:rsid w:val="00FC149B"/>
    <w:rsid w:val="00FC16D5"/>
    <w:rsid w:val="00FC17A9"/>
    <w:rsid w:val="00FC1967"/>
    <w:rsid w:val="00FC1A62"/>
    <w:rsid w:val="00FC1CCF"/>
    <w:rsid w:val="00FC2077"/>
    <w:rsid w:val="00FC22B9"/>
    <w:rsid w:val="00FC234A"/>
    <w:rsid w:val="00FC23B4"/>
    <w:rsid w:val="00FC248C"/>
    <w:rsid w:val="00FC28EF"/>
    <w:rsid w:val="00FC2A2D"/>
    <w:rsid w:val="00FC2A81"/>
    <w:rsid w:val="00FC31FD"/>
    <w:rsid w:val="00FC3558"/>
    <w:rsid w:val="00FC3A79"/>
    <w:rsid w:val="00FC3B44"/>
    <w:rsid w:val="00FC3B97"/>
    <w:rsid w:val="00FC3ECA"/>
    <w:rsid w:val="00FC3F84"/>
    <w:rsid w:val="00FC4010"/>
    <w:rsid w:val="00FC42D3"/>
    <w:rsid w:val="00FC4466"/>
    <w:rsid w:val="00FC44E4"/>
    <w:rsid w:val="00FC4AC1"/>
    <w:rsid w:val="00FC4ACB"/>
    <w:rsid w:val="00FC4B20"/>
    <w:rsid w:val="00FC4D41"/>
    <w:rsid w:val="00FC4DA6"/>
    <w:rsid w:val="00FC4E32"/>
    <w:rsid w:val="00FC5285"/>
    <w:rsid w:val="00FC52FF"/>
    <w:rsid w:val="00FC5353"/>
    <w:rsid w:val="00FC53BF"/>
    <w:rsid w:val="00FC53E7"/>
    <w:rsid w:val="00FC55F6"/>
    <w:rsid w:val="00FC5876"/>
    <w:rsid w:val="00FC5887"/>
    <w:rsid w:val="00FC58F6"/>
    <w:rsid w:val="00FC5E93"/>
    <w:rsid w:val="00FC5EC4"/>
    <w:rsid w:val="00FC6067"/>
    <w:rsid w:val="00FC61AC"/>
    <w:rsid w:val="00FC64C3"/>
    <w:rsid w:val="00FC677E"/>
    <w:rsid w:val="00FC6C9B"/>
    <w:rsid w:val="00FC6CFF"/>
    <w:rsid w:val="00FC6E4F"/>
    <w:rsid w:val="00FC71F0"/>
    <w:rsid w:val="00FC72E5"/>
    <w:rsid w:val="00FC7694"/>
    <w:rsid w:val="00FC77CD"/>
    <w:rsid w:val="00FC7ACF"/>
    <w:rsid w:val="00FC7F7C"/>
    <w:rsid w:val="00FC7F88"/>
    <w:rsid w:val="00FC7FB5"/>
    <w:rsid w:val="00FD0357"/>
    <w:rsid w:val="00FD0511"/>
    <w:rsid w:val="00FD0C2F"/>
    <w:rsid w:val="00FD0E8C"/>
    <w:rsid w:val="00FD14E5"/>
    <w:rsid w:val="00FD188B"/>
    <w:rsid w:val="00FD18E9"/>
    <w:rsid w:val="00FD1954"/>
    <w:rsid w:val="00FD1B53"/>
    <w:rsid w:val="00FD1B99"/>
    <w:rsid w:val="00FD215D"/>
    <w:rsid w:val="00FD21DC"/>
    <w:rsid w:val="00FD23A6"/>
    <w:rsid w:val="00FD24D8"/>
    <w:rsid w:val="00FD255A"/>
    <w:rsid w:val="00FD2989"/>
    <w:rsid w:val="00FD2A7E"/>
    <w:rsid w:val="00FD2B8E"/>
    <w:rsid w:val="00FD2BC2"/>
    <w:rsid w:val="00FD2C57"/>
    <w:rsid w:val="00FD2CCB"/>
    <w:rsid w:val="00FD3319"/>
    <w:rsid w:val="00FD361F"/>
    <w:rsid w:val="00FD366A"/>
    <w:rsid w:val="00FD37EE"/>
    <w:rsid w:val="00FD3952"/>
    <w:rsid w:val="00FD3C53"/>
    <w:rsid w:val="00FD3F31"/>
    <w:rsid w:val="00FD40BC"/>
    <w:rsid w:val="00FD458B"/>
    <w:rsid w:val="00FD45A0"/>
    <w:rsid w:val="00FD46CD"/>
    <w:rsid w:val="00FD49B3"/>
    <w:rsid w:val="00FD49EC"/>
    <w:rsid w:val="00FD4C2D"/>
    <w:rsid w:val="00FD4C9B"/>
    <w:rsid w:val="00FD5586"/>
    <w:rsid w:val="00FD5836"/>
    <w:rsid w:val="00FD5843"/>
    <w:rsid w:val="00FD5A30"/>
    <w:rsid w:val="00FD5DAB"/>
    <w:rsid w:val="00FD5F84"/>
    <w:rsid w:val="00FD6050"/>
    <w:rsid w:val="00FD61C0"/>
    <w:rsid w:val="00FD6341"/>
    <w:rsid w:val="00FD6552"/>
    <w:rsid w:val="00FD6641"/>
    <w:rsid w:val="00FD69E2"/>
    <w:rsid w:val="00FD6A37"/>
    <w:rsid w:val="00FD6BA6"/>
    <w:rsid w:val="00FD6EE8"/>
    <w:rsid w:val="00FD7622"/>
    <w:rsid w:val="00FD771A"/>
    <w:rsid w:val="00FD7956"/>
    <w:rsid w:val="00FD7A4A"/>
    <w:rsid w:val="00FD7A4D"/>
    <w:rsid w:val="00FD7D25"/>
    <w:rsid w:val="00FD7F05"/>
    <w:rsid w:val="00FD7FE5"/>
    <w:rsid w:val="00FE0108"/>
    <w:rsid w:val="00FE019D"/>
    <w:rsid w:val="00FE0237"/>
    <w:rsid w:val="00FE0547"/>
    <w:rsid w:val="00FE06A4"/>
    <w:rsid w:val="00FE06E8"/>
    <w:rsid w:val="00FE06EC"/>
    <w:rsid w:val="00FE086D"/>
    <w:rsid w:val="00FE0A4D"/>
    <w:rsid w:val="00FE0A69"/>
    <w:rsid w:val="00FE0B22"/>
    <w:rsid w:val="00FE0B74"/>
    <w:rsid w:val="00FE0B9F"/>
    <w:rsid w:val="00FE0CD7"/>
    <w:rsid w:val="00FE0E05"/>
    <w:rsid w:val="00FE1978"/>
    <w:rsid w:val="00FE198E"/>
    <w:rsid w:val="00FE1F0A"/>
    <w:rsid w:val="00FE1FD9"/>
    <w:rsid w:val="00FE24D7"/>
    <w:rsid w:val="00FE24D9"/>
    <w:rsid w:val="00FE25B0"/>
    <w:rsid w:val="00FE26D4"/>
    <w:rsid w:val="00FE2ACE"/>
    <w:rsid w:val="00FE2B36"/>
    <w:rsid w:val="00FE2D28"/>
    <w:rsid w:val="00FE2E1E"/>
    <w:rsid w:val="00FE3139"/>
    <w:rsid w:val="00FE33A1"/>
    <w:rsid w:val="00FE33E3"/>
    <w:rsid w:val="00FE3926"/>
    <w:rsid w:val="00FE3927"/>
    <w:rsid w:val="00FE3DFB"/>
    <w:rsid w:val="00FE4193"/>
    <w:rsid w:val="00FE44E1"/>
    <w:rsid w:val="00FE48EB"/>
    <w:rsid w:val="00FE56D7"/>
    <w:rsid w:val="00FE5886"/>
    <w:rsid w:val="00FE5BC9"/>
    <w:rsid w:val="00FE5C37"/>
    <w:rsid w:val="00FE5CF4"/>
    <w:rsid w:val="00FE5E10"/>
    <w:rsid w:val="00FE60C2"/>
    <w:rsid w:val="00FE635E"/>
    <w:rsid w:val="00FE68E5"/>
    <w:rsid w:val="00FE6979"/>
    <w:rsid w:val="00FE6C04"/>
    <w:rsid w:val="00FE6CBA"/>
    <w:rsid w:val="00FE7106"/>
    <w:rsid w:val="00FE7186"/>
    <w:rsid w:val="00FE71B4"/>
    <w:rsid w:val="00FE7542"/>
    <w:rsid w:val="00FE75B6"/>
    <w:rsid w:val="00FE793A"/>
    <w:rsid w:val="00FE7DAF"/>
    <w:rsid w:val="00FE7E52"/>
    <w:rsid w:val="00FE7FF6"/>
    <w:rsid w:val="00FF011F"/>
    <w:rsid w:val="00FF041D"/>
    <w:rsid w:val="00FF0617"/>
    <w:rsid w:val="00FF08B1"/>
    <w:rsid w:val="00FF096E"/>
    <w:rsid w:val="00FF0984"/>
    <w:rsid w:val="00FF0AC8"/>
    <w:rsid w:val="00FF0E56"/>
    <w:rsid w:val="00FF11A8"/>
    <w:rsid w:val="00FF13D6"/>
    <w:rsid w:val="00FF1463"/>
    <w:rsid w:val="00FF1477"/>
    <w:rsid w:val="00FF14FA"/>
    <w:rsid w:val="00FF1614"/>
    <w:rsid w:val="00FF172C"/>
    <w:rsid w:val="00FF1736"/>
    <w:rsid w:val="00FF197A"/>
    <w:rsid w:val="00FF198E"/>
    <w:rsid w:val="00FF1C4A"/>
    <w:rsid w:val="00FF1E6B"/>
    <w:rsid w:val="00FF235F"/>
    <w:rsid w:val="00FF24CF"/>
    <w:rsid w:val="00FF25F9"/>
    <w:rsid w:val="00FF2880"/>
    <w:rsid w:val="00FF2B19"/>
    <w:rsid w:val="00FF2C5C"/>
    <w:rsid w:val="00FF2E5B"/>
    <w:rsid w:val="00FF2F6D"/>
    <w:rsid w:val="00FF31CC"/>
    <w:rsid w:val="00FF3838"/>
    <w:rsid w:val="00FF38F8"/>
    <w:rsid w:val="00FF398F"/>
    <w:rsid w:val="00FF3AED"/>
    <w:rsid w:val="00FF3CF2"/>
    <w:rsid w:val="00FF3F46"/>
    <w:rsid w:val="00FF3FBC"/>
    <w:rsid w:val="00FF43AD"/>
    <w:rsid w:val="00FF48BE"/>
    <w:rsid w:val="00FF49F2"/>
    <w:rsid w:val="00FF4A27"/>
    <w:rsid w:val="00FF4C3F"/>
    <w:rsid w:val="00FF4D22"/>
    <w:rsid w:val="00FF4EC2"/>
    <w:rsid w:val="00FF52D3"/>
    <w:rsid w:val="00FF5346"/>
    <w:rsid w:val="00FF53D8"/>
    <w:rsid w:val="00FF5655"/>
    <w:rsid w:val="00FF5A2F"/>
    <w:rsid w:val="00FF5E3A"/>
    <w:rsid w:val="00FF5F31"/>
    <w:rsid w:val="00FF6007"/>
    <w:rsid w:val="00FF61FB"/>
    <w:rsid w:val="00FF62B4"/>
    <w:rsid w:val="00FF6447"/>
    <w:rsid w:val="00FF6B81"/>
    <w:rsid w:val="00FF702D"/>
    <w:rsid w:val="00FF70A1"/>
    <w:rsid w:val="00FF7388"/>
    <w:rsid w:val="00FF7677"/>
    <w:rsid w:val="00FF77FF"/>
    <w:rsid w:val="00FF7994"/>
    <w:rsid w:val="00FF7BB0"/>
    <w:rsid w:val="00FF7BB3"/>
    <w:rsid w:val="00FF7C16"/>
    <w:rsid w:val="00FF7D77"/>
    <w:rsid w:val="00FF7F9E"/>
    <w:rsid w:val="010652B8"/>
    <w:rsid w:val="01117B39"/>
    <w:rsid w:val="0123D7D8"/>
    <w:rsid w:val="0141B35A"/>
    <w:rsid w:val="015D10E4"/>
    <w:rsid w:val="0184E7A9"/>
    <w:rsid w:val="01DEF718"/>
    <w:rsid w:val="0210DCC0"/>
    <w:rsid w:val="02220249"/>
    <w:rsid w:val="022A4138"/>
    <w:rsid w:val="02699640"/>
    <w:rsid w:val="02AFB3D5"/>
    <w:rsid w:val="02B902E9"/>
    <w:rsid w:val="02C1C110"/>
    <w:rsid w:val="02C6D340"/>
    <w:rsid w:val="02EF7C0C"/>
    <w:rsid w:val="02F13674"/>
    <w:rsid w:val="035C7E7E"/>
    <w:rsid w:val="035DB1D7"/>
    <w:rsid w:val="0385052C"/>
    <w:rsid w:val="03C6C359"/>
    <w:rsid w:val="03EDF331"/>
    <w:rsid w:val="0405E88E"/>
    <w:rsid w:val="04083D0F"/>
    <w:rsid w:val="040FEC78"/>
    <w:rsid w:val="041A76DF"/>
    <w:rsid w:val="04366992"/>
    <w:rsid w:val="0443863A"/>
    <w:rsid w:val="044B59A7"/>
    <w:rsid w:val="0456DD16"/>
    <w:rsid w:val="046D7BC8"/>
    <w:rsid w:val="047BCBFE"/>
    <w:rsid w:val="04A7B61A"/>
    <w:rsid w:val="04ABBA06"/>
    <w:rsid w:val="04B7A9A1"/>
    <w:rsid w:val="04D7A53E"/>
    <w:rsid w:val="04DEEBCE"/>
    <w:rsid w:val="05063F88"/>
    <w:rsid w:val="0511062B"/>
    <w:rsid w:val="05397F3D"/>
    <w:rsid w:val="056AA5BE"/>
    <w:rsid w:val="057073E6"/>
    <w:rsid w:val="05945E50"/>
    <w:rsid w:val="05C00883"/>
    <w:rsid w:val="05DFA207"/>
    <w:rsid w:val="05FAF991"/>
    <w:rsid w:val="062CAC74"/>
    <w:rsid w:val="062D50BB"/>
    <w:rsid w:val="06562169"/>
    <w:rsid w:val="06716561"/>
    <w:rsid w:val="06817D40"/>
    <w:rsid w:val="06834BBD"/>
    <w:rsid w:val="0689B10D"/>
    <w:rsid w:val="06C6235E"/>
    <w:rsid w:val="07206F67"/>
    <w:rsid w:val="073C14A6"/>
    <w:rsid w:val="07416B90"/>
    <w:rsid w:val="0760ACCD"/>
    <w:rsid w:val="078D7554"/>
    <w:rsid w:val="07B99EE3"/>
    <w:rsid w:val="07D59A90"/>
    <w:rsid w:val="07E04F0D"/>
    <w:rsid w:val="07E3EF43"/>
    <w:rsid w:val="07EF7CFC"/>
    <w:rsid w:val="07F6325A"/>
    <w:rsid w:val="08724D00"/>
    <w:rsid w:val="088503AF"/>
    <w:rsid w:val="0896C105"/>
    <w:rsid w:val="08CD6186"/>
    <w:rsid w:val="08D7B3B3"/>
    <w:rsid w:val="095EBD90"/>
    <w:rsid w:val="0963F463"/>
    <w:rsid w:val="098076BF"/>
    <w:rsid w:val="098D4332"/>
    <w:rsid w:val="09B72018"/>
    <w:rsid w:val="09DBA0B3"/>
    <w:rsid w:val="09DE4D5C"/>
    <w:rsid w:val="09F46E06"/>
    <w:rsid w:val="0A0E8EBC"/>
    <w:rsid w:val="0A1E88F3"/>
    <w:rsid w:val="0A3EEA03"/>
    <w:rsid w:val="0A4B4874"/>
    <w:rsid w:val="0A8B0EAE"/>
    <w:rsid w:val="0B0816F1"/>
    <w:rsid w:val="0B377363"/>
    <w:rsid w:val="0B8E5FFB"/>
    <w:rsid w:val="0BAB15AF"/>
    <w:rsid w:val="0BAEC399"/>
    <w:rsid w:val="0C1EA015"/>
    <w:rsid w:val="0C3DBAB3"/>
    <w:rsid w:val="0C3F9570"/>
    <w:rsid w:val="0CD1C44D"/>
    <w:rsid w:val="0CE2C068"/>
    <w:rsid w:val="0CEB4A6E"/>
    <w:rsid w:val="0CF81265"/>
    <w:rsid w:val="0D253C88"/>
    <w:rsid w:val="0D3AFD0E"/>
    <w:rsid w:val="0D7C28C0"/>
    <w:rsid w:val="0D7CD76F"/>
    <w:rsid w:val="0DF27335"/>
    <w:rsid w:val="0E32C3A6"/>
    <w:rsid w:val="0E3A4C05"/>
    <w:rsid w:val="0E4CD819"/>
    <w:rsid w:val="0EDBF5AE"/>
    <w:rsid w:val="0EEF7FD6"/>
    <w:rsid w:val="0F1BC93A"/>
    <w:rsid w:val="0F240C7D"/>
    <w:rsid w:val="0F7C4DB7"/>
    <w:rsid w:val="0F8AFDDE"/>
    <w:rsid w:val="0FB7A6E4"/>
    <w:rsid w:val="0FCE2429"/>
    <w:rsid w:val="101627E5"/>
    <w:rsid w:val="1023BC5C"/>
    <w:rsid w:val="10284EE8"/>
    <w:rsid w:val="1070FF85"/>
    <w:rsid w:val="10A31BE5"/>
    <w:rsid w:val="10A8D94A"/>
    <w:rsid w:val="10DA1D8E"/>
    <w:rsid w:val="10EB5DD5"/>
    <w:rsid w:val="110CD138"/>
    <w:rsid w:val="111DF0F6"/>
    <w:rsid w:val="11635A4B"/>
    <w:rsid w:val="11DFF2C6"/>
    <w:rsid w:val="11EFFCF1"/>
    <w:rsid w:val="12025140"/>
    <w:rsid w:val="12AA7D0D"/>
    <w:rsid w:val="12BC3658"/>
    <w:rsid w:val="13245FBA"/>
    <w:rsid w:val="133212AF"/>
    <w:rsid w:val="1340BDD0"/>
    <w:rsid w:val="136DE472"/>
    <w:rsid w:val="1380D284"/>
    <w:rsid w:val="13844D47"/>
    <w:rsid w:val="138A203C"/>
    <w:rsid w:val="13934275"/>
    <w:rsid w:val="13944C0E"/>
    <w:rsid w:val="13F53EDD"/>
    <w:rsid w:val="140366AD"/>
    <w:rsid w:val="1442216A"/>
    <w:rsid w:val="144F1790"/>
    <w:rsid w:val="1475946C"/>
    <w:rsid w:val="1483C5A7"/>
    <w:rsid w:val="148726B4"/>
    <w:rsid w:val="148EE346"/>
    <w:rsid w:val="14A82A3C"/>
    <w:rsid w:val="14E53836"/>
    <w:rsid w:val="14EC61AE"/>
    <w:rsid w:val="14ECCCE9"/>
    <w:rsid w:val="155D490E"/>
    <w:rsid w:val="15774966"/>
    <w:rsid w:val="15844656"/>
    <w:rsid w:val="15D7409F"/>
    <w:rsid w:val="15FA1CE0"/>
    <w:rsid w:val="16095C5F"/>
    <w:rsid w:val="162A3D9D"/>
    <w:rsid w:val="1692DDE1"/>
    <w:rsid w:val="16A9F831"/>
    <w:rsid w:val="171390EE"/>
    <w:rsid w:val="171AE936"/>
    <w:rsid w:val="17389D89"/>
    <w:rsid w:val="17718921"/>
    <w:rsid w:val="17B90080"/>
    <w:rsid w:val="17CD65C8"/>
    <w:rsid w:val="182E7C3C"/>
    <w:rsid w:val="1850A1DF"/>
    <w:rsid w:val="1892AE2A"/>
    <w:rsid w:val="18ABBAC6"/>
    <w:rsid w:val="18C0A454"/>
    <w:rsid w:val="18CDBFC5"/>
    <w:rsid w:val="18DFCA58"/>
    <w:rsid w:val="18EB93D0"/>
    <w:rsid w:val="1913DA80"/>
    <w:rsid w:val="196560EB"/>
    <w:rsid w:val="19708B98"/>
    <w:rsid w:val="19C58AAB"/>
    <w:rsid w:val="19CAAE79"/>
    <w:rsid w:val="19F46D0A"/>
    <w:rsid w:val="1A3447F1"/>
    <w:rsid w:val="1A383ECB"/>
    <w:rsid w:val="1A876431"/>
    <w:rsid w:val="1ACD1C8D"/>
    <w:rsid w:val="1AD0E8CA"/>
    <w:rsid w:val="1AE27572"/>
    <w:rsid w:val="1AEEBC37"/>
    <w:rsid w:val="1B091E63"/>
    <w:rsid w:val="1B189F41"/>
    <w:rsid w:val="1B486171"/>
    <w:rsid w:val="1B5B6D59"/>
    <w:rsid w:val="1BBB2CD9"/>
    <w:rsid w:val="1BFC791C"/>
    <w:rsid w:val="1C41540F"/>
    <w:rsid w:val="1C745593"/>
    <w:rsid w:val="1C9E508D"/>
    <w:rsid w:val="1CCAA5A2"/>
    <w:rsid w:val="1CF29761"/>
    <w:rsid w:val="1CFBD9EC"/>
    <w:rsid w:val="1D024037"/>
    <w:rsid w:val="1D26D610"/>
    <w:rsid w:val="1D462620"/>
    <w:rsid w:val="1D5260BB"/>
    <w:rsid w:val="1D6632FC"/>
    <w:rsid w:val="1D6742B8"/>
    <w:rsid w:val="1DAFD38A"/>
    <w:rsid w:val="1DC37940"/>
    <w:rsid w:val="1DCC9F19"/>
    <w:rsid w:val="1DEB74DA"/>
    <w:rsid w:val="1E0033D9"/>
    <w:rsid w:val="1E2B4E7F"/>
    <w:rsid w:val="1E337DD4"/>
    <w:rsid w:val="1F093A3C"/>
    <w:rsid w:val="1F1BFAE4"/>
    <w:rsid w:val="1F1C38B8"/>
    <w:rsid w:val="1F1F422A"/>
    <w:rsid w:val="1F3B1B3C"/>
    <w:rsid w:val="1F3F1E55"/>
    <w:rsid w:val="1F425866"/>
    <w:rsid w:val="1F482393"/>
    <w:rsid w:val="1F52D8BF"/>
    <w:rsid w:val="1F57403E"/>
    <w:rsid w:val="1FA26218"/>
    <w:rsid w:val="1FBF4F50"/>
    <w:rsid w:val="1FD8849C"/>
    <w:rsid w:val="20663D77"/>
    <w:rsid w:val="2099EC1D"/>
    <w:rsid w:val="209F6EF4"/>
    <w:rsid w:val="20A4027B"/>
    <w:rsid w:val="20E076A3"/>
    <w:rsid w:val="20FD98AE"/>
    <w:rsid w:val="210D0710"/>
    <w:rsid w:val="211DFEBA"/>
    <w:rsid w:val="213A5501"/>
    <w:rsid w:val="215F4FCD"/>
    <w:rsid w:val="217E7A0B"/>
    <w:rsid w:val="2185D549"/>
    <w:rsid w:val="218FBA7C"/>
    <w:rsid w:val="21A1B615"/>
    <w:rsid w:val="21B04C69"/>
    <w:rsid w:val="21F52645"/>
    <w:rsid w:val="22139566"/>
    <w:rsid w:val="223E95D4"/>
    <w:rsid w:val="227BB948"/>
    <w:rsid w:val="2290FDF3"/>
    <w:rsid w:val="22A4A3B1"/>
    <w:rsid w:val="22CD98AA"/>
    <w:rsid w:val="232B8ADD"/>
    <w:rsid w:val="233118B1"/>
    <w:rsid w:val="2349A6FA"/>
    <w:rsid w:val="23500B30"/>
    <w:rsid w:val="236031DE"/>
    <w:rsid w:val="23677925"/>
    <w:rsid w:val="238B77F7"/>
    <w:rsid w:val="23925B7C"/>
    <w:rsid w:val="23A93EDF"/>
    <w:rsid w:val="23DFD359"/>
    <w:rsid w:val="23EBF8F1"/>
    <w:rsid w:val="2404DFF8"/>
    <w:rsid w:val="2440DCA7"/>
    <w:rsid w:val="24552A30"/>
    <w:rsid w:val="245AAB71"/>
    <w:rsid w:val="249EAB44"/>
    <w:rsid w:val="24A73295"/>
    <w:rsid w:val="24BD9F76"/>
    <w:rsid w:val="24CB43FB"/>
    <w:rsid w:val="24E7602C"/>
    <w:rsid w:val="24EAC570"/>
    <w:rsid w:val="25110278"/>
    <w:rsid w:val="253AF070"/>
    <w:rsid w:val="254314D7"/>
    <w:rsid w:val="25888EEE"/>
    <w:rsid w:val="25A73F7B"/>
    <w:rsid w:val="265AF68A"/>
    <w:rsid w:val="266185E6"/>
    <w:rsid w:val="2679D61F"/>
    <w:rsid w:val="268E010F"/>
    <w:rsid w:val="26B1B1EE"/>
    <w:rsid w:val="26B69051"/>
    <w:rsid w:val="27129A3E"/>
    <w:rsid w:val="2725222C"/>
    <w:rsid w:val="274B62C5"/>
    <w:rsid w:val="2760CAF4"/>
    <w:rsid w:val="2768A020"/>
    <w:rsid w:val="278CC3A2"/>
    <w:rsid w:val="27929E4C"/>
    <w:rsid w:val="27941B76"/>
    <w:rsid w:val="27A0F06D"/>
    <w:rsid w:val="27B346A4"/>
    <w:rsid w:val="27CB011B"/>
    <w:rsid w:val="27CC6642"/>
    <w:rsid w:val="27D32244"/>
    <w:rsid w:val="27F04242"/>
    <w:rsid w:val="280D12A6"/>
    <w:rsid w:val="2829E7A0"/>
    <w:rsid w:val="2848EB1D"/>
    <w:rsid w:val="2896F425"/>
    <w:rsid w:val="28D37747"/>
    <w:rsid w:val="28D9E80F"/>
    <w:rsid w:val="28F8AC46"/>
    <w:rsid w:val="28FB2604"/>
    <w:rsid w:val="29102954"/>
    <w:rsid w:val="2932A73D"/>
    <w:rsid w:val="29333B9A"/>
    <w:rsid w:val="29A3FAAE"/>
    <w:rsid w:val="29C26478"/>
    <w:rsid w:val="2A23DABD"/>
    <w:rsid w:val="2A260A05"/>
    <w:rsid w:val="2A270717"/>
    <w:rsid w:val="2A282CD0"/>
    <w:rsid w:val="2A3F326A"/>
    <w:rsid w:val="2A6107BA"/>
    <w:rsid w:val="2A659FBA"/>
    <w:rsid w:val="2ABF22C8"/>
    <w:rsid w:val="2B5962AD"/>
    <w:rsid w:val="2C2D9B4C"/>
    <w:rsid w:val="2C77936C"/>
    <w:rsid w:val="2C7BE173"/>
    <w:rsid w:val="2CF8EA21"/>
    <w:rsid w:val="2D1E336A"/>
    <w:rsid w:val="2D748978"/>
    <w:rsid w:val="2DA2F830"/>
    <w:rsid w:val="2DEED1B2"/>
    <w:rsid w:val="2E18F0BC"/>
    <w:rsid w:val="2E1E34DE"/>
    <w:rsid w:val="2E49AEFC"/>
    <w:rsid w:val="2E4B94EC"/>
    <w:rsid w:val="2E541C05"/>
    <w:rsid w:val="2EE3E6F0"/>
    <w:rsid w:val="2EE4B6B7"/>
    <w:rsid w:val="2F17A475"/>
    <w:rsid w:val="2F26FE62"/>
    <w:rsid w:val="2F2A55E5"/>
    <w:rsid w:val="2F40FE63"/>
    <w:rsid w:val="2F4C81B7"/>
    <w:rsid w:val="2F8ABB0B"/>
    <w:rsid w:val="2FA06CF0"/>
    <w:rsid w:val="2FB75F07"/>
    <w:rsid w:val="2FCAC73F"/>
    <w:rsid w:val="30031F14"/>
    <w:rsid w:val="300A9112"/>
    <w:rsid w:val="3043F11B"/>
    <w:rsid w:val="30938213"/>
    <w:rsid w:val="30C5EB97"/>
    <w:rsid w:val="3104BC3C"/>
    <w:rsid w:val="31069781"/>
    <w:rsid w:val="310F662D"/>
    <w:rsid w:val="312BB9B2"/>
    <w:rsid w:val="315B483C"/>
    <w:rsid w:val="31617639"/>
    <w:rsid w:val="3163305B"/>
    <w:rsid w:val="319A7409"/>
    <w:rsid w:val="31F32A3A"/>
    <w:rsid w:val="31F5AA6A"/>
    <w:rsid w:val="321DDBBE"/>
    <w:rsid w:val="325950A5"/>
    <w:rsid w:val="3299EEBF"/>
    <w:rsid w:val="329FCFE4"/>
    <w:rsid w:val="32AA122A"/>
    <w:rsid w:val="32B3EADB"/>
    <w:rsid w:val="32D4CE14"/>
    <w:rsid w:val="330E5792"/>
    <w:rsid w:val="331A3769"/>
    <w:rsid w:val="33271256"/>
    <w:rsid w:val="334D8A0F"/>
    <w:rsid w:val="3355CF2F"/>
    <w:rsid w:val="3356A921"/>
    <w:rsid w:val="33587924"/>
    <w:rsid w:val="3373D473"/>
    <w:rsid w:val="338E57B5"/>
    <w:rsid w:val="339BE8EF"/>
    <w:rsid w:val="33A7D846"/>
    <w:rsid w:val="33AD40C2"/>
    <w:rsid w:val="33BC3B24"/>
    <w:rsid w:val="33CB77DC"/>
    <w:rsid w:val="33D98BB7"/>
    <w:rsid w:val="33DAACCE"/>
    <w:rsid w:val="33DE5A32"/>
    <w:rsid w:val="33EFCD5B"/>
    <w:rsid w:val="33FEE7EE"/>
    <w:rsid w:val="340B760A"/>
    <w:rsid w:val="34291BC3"/>
    <w:rsid w:val="3435719A"/>
    <w:rsid w:val="34837234"/>
    <w:rsid w:val="34A03709"/>
    <w:rsid w:val="34EA7449"/>
    <w:rsid w:val="3515045E"/>
    <w:rsid w:val="35495F22"/>
    <w:rsid w:val="357C2737"/>
    <w:rsid w:val="3587971B"/>
    <w:rsid w:val="35BA6E04"/>
    <w:rsid w:val="360B2B4C"/>
    <w:rsid w:val="367FDD5F"/>
    <w:rsid w:val="36DC98B9"/>
    <w:rsid w:val="36F71D5C"/>
    <w:rsid w:val="36F97726"/>
    <w:rsid w:val="36FF81CC"/>
    <w:rsid w:val="3738E5D7"/>
    <w:rsid w:val="375DD525"/>
    <w:rsid w:val="375E8D27"/>
    <w:rsid w:val="3769C568"/>
    <w:rsid w:val="377E2D52"/>
    <w:rsid w:val="3788DD0A"/>
    <w:rsid w:val="378A639C"/>
    <w:rsid w:val="37C9B96D"/>
    <w:rsid w:val="37D92125"/>
    <w:rsid w:val="37DAE582"/>
    <w:rsid w:val="37EB15FB"/>
    <w:rsid w:val="38A16A6B"/>
    <w:rsid w:val="38D072B4"/>
    <w:rsid w:val="39275E68"/>
    <w:rsid w:val="392BD19E"/>
    <w:rsid w:val="394B4B2C"/>
    <w:rsid w:val="399428CB"/>
    <w:rsid w:val="3998CE28"/>
    <w:rsid w:val="399D3708"/>
    <w:rsid w:val="39A5FB1A"/>
    <w:rsid w:val="39AB27AA"/>
    <w:rsid w:val="39DA96AB"/>
    <w:rsid w:val="39DB3DFA"/>
    <w:rsid w:val="39DBA39C"/>
    <w:rsid w:val="39F8676C"/>
    <w:rsid w:val="3A3EFCB6"/>
    <w:rsid w:val="3A59E392"/>
    <w:rsid w:val="3A61609C"/>
    <w:rsid w:val="3A986F80"/>
    <w:rsid w:val="3AA68620"/>
    <w:rsid w:val="3AA77E23"/>
    <w:rsid w:val="3AAE7947"/>
    <w:rsid w:val="3AD695A0"/>
    <w:rsid w:val="3B2AFFCF"/>
    <w:rsid w:val="3B4467B2"/>
    <w:rsid w:val="3B4FC414"/>
    <w:rsid w:val="3B53C8A7"/>
    <w:rsid w:val="3B5F548E"/>
    <w:rsid w:val="3B6A84AA"/>
    <w:rsid w:val="3B6CF71D"/>
    <w:rsid w:val="3BF0FC26"/>
    <w:rsid w:val="3C020ECE"/>
    <w:rsid w:val="3C06E0AF"/>
    <w:rsid w:val="3C2B87EA"/>
    <w:rsid w:val="3C54D503"/>
    <w:rsid w:val="3C58AF78"/>
    <w:rsid w:val="3C98A4ED"/>
    <w:rsid w:val="3C9E6FF5"/>
    <w:rsid w:val="3CC06B9C"/>
    <w:rsid w:val="3CE1FC92"/>
    <w:rsid w:val="3D094BC6"/>
    <w:rsid w:val="3D942BA7"/>
    <w:rsid w:val="3DF6B4CC"/>
    <w:rsid w:val="3E0EA418"/>
    <w:rsid w:val="3E1E1073"/>
    <w:rsid w:val="3E29FE10"/>
    <w:rsid w:val="3E2DB8BF"/>
    <w:rsid w:val="3E6CCDCB"/>
    <w:rsid w:val="3F47C2D9"/>
    <w:rsid w:val="3F4A7426"/>
    <w:rsid w:val="3F7EBBA4"/>
    <w:rsid w:val="3FB1A684"/>
    <w:rsid w:val="3FBAEB1F"/>
    <w:rsid w:val="4080113F"/>
    <w:rsid w:val="4084CB51"/>
    <w:rsid w:val="40A3DF8A"/>
    <w:rsid w:val="40FE5187"/>
    <w:rsid w:val="414E6C89"/>
    <w:rsid w:val="417F033F"/>
    <w:rsid w:val="41A08C0F"/>
    <w:rsid w:val="427BBFF4"/>
    <w:rsid w:val="427C4CB4"/>
    <w:rsid w:val="4286F863"/>
    <w:rsid w:val="4294F6ED"/>
    <w:rsid w:val="42A768E7"/>
    <w:rsid w:val="42B087BC"/>
    <w:rsid w:val="42DB02BF"/>
    <w:rsid w:val="42DE1891"/>
    <w:rsid w:val="42F14AD2"/>
    <w:rsid w:val="4304E756"/>
    <w:rsid w:val="430688F3"/>
    <w:rsid w:val="4338AD60"/>
    <w:rsid w:val="4339E87F"/>
    <w:rsid w:val="436E670D"/>
    <w:rsid w:val="43761C0A"/>
    <w:rsid w:val="43807CD2"/>
    <w:rsid w:val="43A39B67"/>
    <w:rsid w:val="43DEB4D1"/>
    <w:rsid w:val="4400A663"/>
    <w:rsid w:val="440CD1A6"/>
    <w:rsid w:val="441EE81F"/>
    <w:rsid w:val="442F3C2D"/>
    <w:rsid w:val="4446FA22"/>
    <w:rsid w:val="44A64390"/>
    <w:rsid w:val="44C5E67D"/>
    <w:rsid w:val="44FA64F1"/>
    <w:rsid w:val="4502EC63"/>
    <w:rsid w:val="45262FFA"/>
    <w:rsid w:val="453471B0"/>
    <w:rsid w:val="453EEEAE"/>
    <w:rsid w:val="456160C8"/>
    <w:rsid w:val="4578C2BD"/>
    <w:rsid w:val="457A8532"/>
    <w:rsid w:val="45A751C3"/>
    <w:rsid w:val="45D44634"/>
    <w:rsid w:val="45EB7481"/>
    <w:rsid w:val="461EF160"/>
    <w:rsid w:val="466E44BF"/>
    <w:rsid w:val="46899052"/>
    <w:rsid w:val="46917DD8"/>
    <w:rsid w:val="46962933"/>
    <w:rsid w:val="46A4A092"/>
    <w:rsid w:val="46EE9C33"/>
    <w:rsid w:val="46F93FB2"/>
    <w:rsid w:val="472781FF"/>
    <w:rsid w:val="47324FC6"/>
    <w:rsid w:val="47362918"/>
    <w:rsid w:val="4744B2DE"/>
    <w:rsid w:val="478F21BD"/>
    <w:rsid w:val="479BEC79"/>
    <w:rsid w:val="479DFB05"/>
    <w:rsid w:val="47A7AD8A"/>
    <w:rsid w:val="47B48130"/>
    <w:rsid w:val="47B6D4C6"/>
    <w:rsid w:val="482D4E39"/>
    <w:rsid w:val="4846DCA3"/>
    <w:rsid w:val="487634D7"/>
    <w:rsid w:val="487BAB48"/>
    <w:rsid w:val="489D9511"/>
    <w:rsid w:val="48CD0F35"/>
    <w:rsid w:val="48DD35C1"/>
    <w:rsid w:val="48E87F5C"/>
    <w:rsid w:val="48FAB154"/>
    <w:rsid w:val="491991C8"/>
    <w:rsid w:val="494DF3B1"/>
    <w:rsid w:val="49A78A3D"/>
    <w:rsid w:val="49E34831"/>
    <w:rsid w:val="4A0A75A6"/>
    <w:rsid w:val="4A0EF879"/>
    <w:rsid w:val="4A22EEAB"/>
    <w:rsid w:val="4A3E04BD"/>
    <w:rsid w:val="4A40564C"/>
    <w:rsid w:val="4A4D2FFF"/>
    <w:rsid w:val="4A6AE93E"/>
    <w:rsid w:val="4A85D7FF"/>
    <w:rsid w:val="4A8932D7"/>
    <w:rsid w:val="4AAC2AB6"/>
    <w:rsid w:val="4AD1B734"/>
    <w:rsid w:val="4AF5A3A1"/>
    <w:rsid w:val="4AF6A9C6"/>
    <w:rsid w:val="4B366245"/>
    <w:rsid w:val="4B597EE9"/>
    <w:rsid w:val="4B75EB23"/>
    <w:rsid w:val="4B92A766"/>
    <w:rsid w:val="4BB8C6C0"/>
    <w:rsid w:val="4BDFF9BE"/>
    <w:rsid w:val="4C2D3206"/>
    <w:rsid w:val="4C2DE7E9"/>
    <w:rsid w:val="4C305B00"/>
    <w:rsid w:val="4C520AE5"/>
    <w:rsid w:val="4C715AA7"/>
    <w:rsid w:val="4CBBEF9B"/>
    <w:rsid w:val="4CF3DB04"/>
    <w:rsid w:val="4CFF8DC5"/>
    <w:rsid w:val="4D11E64F"/>
    <w:rsid w:val="4D16341B"/>
    <w:rsid w:val="4D6D3027"/>
    <w:rsid w:val="4D8E28D9"/>
    <w:rsid w:val="4DBE729B"/>
    <w:rsid w:val="4DE13CD3"/>
    <w:rsid w:val="4E451668"/>
    <w:rsid w:val="4E5BA25A"/>
    <w:rsid w:val="4E7D5D46"/>
    <w:rsid w:val="4E8EC331"/>
    <w:rsid w:val="4EDAE798"/>
    <w:rsid w:val="4EDF7220"/>
    <w:rsid w:val="4F031634"/>
    <w:rsid w:val="4F8CBE82"/>
    <w:rsid w:val="4FA09BE7"/>
    <w:rsid w:val="4FB01ADB"/>
    <w:rsid w:val="4FF32BD0"/>
    <w:rsid w:val="50185F29"/>
    <w:rsid w:val="5036E45B"/>
    <w:rsid w:val="503BE51F"/>
    <w:rsid w:val="503E1700"/>
    <w:rsid w:val="5048CCD5"/>
    <w:rsid w:val="5068E2A1"/>
    <w:rsid w:val="5076F947"/>
    <w:rsid w:val="50D6FC4B"/>
    <w:rsid w:val="50DCEB00"/>
    <w:rsid w:val="50E3E072"/>
    <w:rsid w:val="51112A5A"/>
    <w:rsid w:val="5127E379"/>
    <w:rsid w:val="512A4373"/>
    <w:rsid w:val="518C6E1E"/>
    <w:rsid w:val="51A3F4D5"/>
    <w:rsid w:val="51A62DEF"/>
    <w:rsid w:val="51C804DE"/>
    <w:rsid w:val="51F44212"/>
    <w:rsid w:val="520FF855"/>
    <w:rsid w:val="521B992F"/>
    <w:rsid w:val="527007D7"/>
    <w:rsid w:val="52B01F23"/>
    <w:rsid w:val="52C1A015"/>
    <w:rsid w:val="5315BAC8"/>
    <w:rsid w:val="53337998"/>
    <w:rsid w:val="533FFE97"/>
    <w:rsid w:val="534EEC66"/>
    <w:rsid w:val="536FB99A"/>
    <w:rsid w:val="539D2C61"/>
    <w:rsid w:val="53A9FBEA"/>
    <w:rsid w:val="53ADBB8E"/>
    <w:rsid w:val="53BF4DD6"/>
    <w:rsid w:val="53D65C78"/>
    <w:rsid w:val="5403AED2"/>
    <w:rsid w:val="54043688"/>
    <w:rsid w:val="54148BC2"/>
    <w:rsid w:val="5424D905"/>
    <w:rsid w:val="542B3203"/>
    <w:rsid w:val="543788CB"/>
    <w:rsid w:val="54387EB4"/>
    <w:rsid w:val="543A0378"/>
    <w:rsid w:val="547F84DA"/>
    <w:rsid w:val="54B8D18C"/>
    <w:rsid w:val="55026497"/>
    <w:rsid w:val="554F4C6D"/>
    <w:rsid w:val="556C3177"/>
    <w:rsid w:val="556D6F1F"/>
    <w:rsid w:val="557636FA"/>
    <w:rsid w:val="559CD5DD"/>
    <w:rsid w:val="55B05C23"/>
    <w:rsid w:val="55E41C78"/>
    <w:rsid w:val="55E6FE7D"/>
    <w:rsid w:val="55EAA8FF"/>
    <w:rsid w:val="55F3E888"/>
    <w:rsid w:val="560D4C7F"/>
    <w:rsid w:val="566650F8"/>
    <w:rsid w:val="56A520FD"/>
    <w:rsid w:val="56F16CE9"/>
    <w:rsid w:val="571670E7"/>
    <w:rsid w:val="571C951D"/>
    <w:rsid w:val="5722840C"/>
    <w:rsid w:val="573E6F67"/>
    <w:rsid w:val="576F461A"/>
    <w:rsid w:val="5799D1A5"/>
    <w:rsid w:val="57E08983"/>
    <w:rsid w:val="57EA3C51"/>
    <w:rsid w:val="581A7B95"/>
    <w:rsid w:val="582CB3D0"/>
    <w:rsid w:val="584797AE"/>
    <w:rsid w:val="586A2C3B"/>
    <w:rsid w:val="58AA6BB5"/>
    <w:rsid w:val="58BB0CD2"/>
    <w:rsid w:val="58E548E9"/>
    <w:rsid w:val="58F8B36C"/>
    <w:rsid w:val="5945F3F8"/>
    <w:rsid w:val="594C2EB2"/>
    <w:rsid w:val="598C8271"/>
    <w:rsid w:val="599420BF"/>
    <w:rsid w:val="599F81D5"/>
    <w:rsid w:val="59A83BD3"/>
    <w:rsid w:val="59B305FC"/>
    <w:rsid w:val="59DF4264"/>
    <w:rsid w:val="59E35647"/>
    <w:rsid w:val="5A011130"/>
    <w:rsid w:val="5A47E566"/>
    <w:rsid w:val="5A597503"/>
    <w:rsid w:val="5A90CA6F"/>
    <w:rsid w:val="5A9CFB6C"/>
    <w:rsid w:val="5AB10198"/>
    <w:rsid w:val="5AB9AD64"/>
    <w:rsid w:val="5AC7A2DF"/>
    <w:rsid w:val="5AC82FF0"/>
    <w:rsid w:val="5B2C2E1A"/>
    <w:rsid w:val="5BD9EB04"/>
    <w:rsid w:val="5BDBBA5A"/>
    <w:rsid w:val="5BFD7A37"/>
    <w:rsid w:val="5C0F08D3"/>
    <w:rsid w:val="5C1F9DA7"/>
    <w:rsid w:val="5C204BCD"/>
    <w:rsid w:val="5C3186EA"/>
    <w:rsid w:val="5C476077"/>
    <w:rsid w:val="5C4DFF02"/>
    <w:rsid w:val="5C725AB9"/>
    <w:rsid w:val="5C7E6FA0"/>
    <w:rsid w:val="5C85928F"/>
    <w:rsid w:val="5C90FCB8"/>
    <w:rsid w:val="5C9B1CF5"/>
    <w:rsid w:val="5CB4DEBF"/>
    <w:rsid w:val="5CB71580"/>
    <w:rsid w:val="5CD23C2D"/>
    <w:rsid w:val="5D16FA28"/>
    <w:rsid w:val="5D5F7C82"/>
    <w:rsid w:val="5DB27446"/>
    <w:rsid w:val="5DC41F00"/>
    <w:rsid w:val="5DD65E89"/>
    <w:rsid w:val="5DE99C92"/>
    <w:rsid w:val="5DF17DBC"/>
    <w:rsid w:val="5E38E66C"/>
    <w:rsid w:val="5E9E6956"/>
    <w:rsid w:val="5EE53304"/>
    <w:rsid w:val="5F2B9618"/>
    <w:rsid w:val="5F3DE436"/>
    <w:rsid w:val="5F6471FB"/>
    <w:rsid w:val="5F680FB3"/>
    <w:rsid w:val="5F712DEE"/>
    <w:rsid w:val="5F7B8131"/>
    <w:rsid w:val="5F80AE9C"/>
    <w:rsid w:val="5F8642A0"/>
    <w:rsid w:val="5F9AE58D"/>
    <w:rsid w:val="5FB83CF3"/>
    <w:rsid w:val="5FE23D3F"/>
    <w:rsid w:val="60195231"/>
    <w:rsid w:val="604AE047"/>
    <w:rsid w:val="60645DFC"/>
    <w:rsid w:val="606D7EFF"/>
    <w:rsid w:val="609EE3CD"/>
    <w:rsid w:val="60B766DB"/>
    <w:rsid w:val="60FBD992"/>
    <w:rsid w:val="60FF6AC5"/>
    <w:rsid w:val="612C603A"/>
    <w:rsid w:val="614F5CEC"/>
    <w:rsid w:val="61ABE44D"/>
    <w:rsid w:val="61BA6C6C"/>
    <w:rsid w:val="61C7B72B"/>
    <w:rsid w:val="61E217B5"/>
    <w:rsid w:val="61F2B17B"/>
    <w:rsid w:val="623E76F9"/>
    <w:rsid w:val="625C5C9B"/>
    <w:rsid w:val="627A2D76"/>
    <w:rsid w:val="6289DDAA"/>
    <w:rsid w:val="62B4C7FB"/>
    <w:rsid w:val="62B9A864"/>
    <w:rsid w:val="62DCA632"/>
    <w:rsid w:val="63774ADB"/>
    <w:rsid w:val="63948B61"/>
    <w:rsid w:val="63F5468C"/>
    <w:rsid w:val="6407E217"/>
    <w:rsid w:val="64A4A6CD"/>
    <w:rsid w:val="64A827F0"/>
    <w:rsid w:val="64C371CD"/>
    <w:rsid w:val="64EC4313"/>
    <w:rsid w:val="64F354C9"/>
    <w:rsid w:val="651C232A"/>
    <w:rsid w:val="65333B2F"/>
    <w:rsid w:val="65515EFD"/>
    <w:rsid w:val="659D276D"/>
    <w:rsid w:val="65D7D091"/>
    <w:rsid w:val="660DB59C"/>
    <w:rsid w:val="66271541"/>
    <w:rsid w:val="6643F851"/>
    <w:rsid w:val="666AB400"/>
    <w:rsid w:val="66823883"/>
    <w:rsid w:val="669CCF8E"/>
    <w:rsid w:val="66A677ED"/>
    <w:rsid w:val="66C3E976"/>
    <w:rsid w:val="66C7F1E2"/>
    <w:rsid w:val="66C937F3"/>
    <w:rsid w:val="66E117E0"/>
    <w:rsid w:val="66F54CD8"/>
    <w:rsid w:val="6724A826"/>
    <w:rsid w:val="6731B1A1"/>
    <w:rsid w:val="673953C1"/>
    <w:rsid w:val="677C9B97"/>
    <w:rsid w:val="67A56369"/>
    <w:rsid w:val="67CF5E73"/>
    <w:rsid w:val="67D270FF"/>
    <w:rsid w:val="67DA61F5"/>
    <w:rsid w:val="67F2AF53"/>
    <w:rsid w:val="681D3BB0"/>
    <w:rsid w:val="683FEE90"/>
    <w:rsid w:val="68539125"/>
    <w:rsid w:val="6882CBF5"/>
    <w:rsid w:val="692B3F8C"/>
    <w:rsid w:val="69313588"/>
    <w:rsid w:val="697AD0DF"/>
    <w:rsid w:val="69A0BC17"/>
    <w:rsid w:val="69B43012"/>
    <w:rsid w:val="69CAC3C1"/>
    <w:rsid w:val="69E42B34"/>
    <w:rsid w:val="6A4467E8"/>
    <w:rsid w:val="6A4D5788"/>
    <w:rsid w:val="6A5875D9"/>
    <w:rsid w:val="6A67409D"/>
    <w:rsid w:val="6A8E9398"/>
    <w:rsid w:val="6AA4DEF1"/>
    <w:rsid w:val="6B1AC5B8"/>
    <w:rsid w:val="6B406601"/>
    <w:rsid w:val="6B7EFFCE"/>
    <w:rsid w:val="6B862DDB"/>
    <w:rsid w:val="6B91368F"/>
    <w:rsid w:val="6BB171C4"/>
    <w:rsid w:val="6BDAD8E5"/>
    <w:rsid w:val="6C29ECFA"/>
    <w:rsid w:val="6C2DEADF"/>
    <w:rsid w:val="6C5CD4E7"/>
    <w:rsid w:val="6C680950"/>
    <w:rsid w:val="6C690627"/>
    <w:rsid w:val="6D0865D4"/>
    <w:rsid w:val="6D80471C"/>
    <w:rsid w:val="6D86834B"/>
    <w:rsid w:val="6D969FED"/>
    <w:rsid w:val="6DC2EEB9"/>
    <w:rsid w:val="6DCA607A"/>
    <w:rsid w:val="6E68A7ED"/>
    <w:rsid w:val="6E7FDABD"/>
    <w:rsid w:val="6EA97B62"/>
    <w:rsid w:val="6F06686D"/>
    <w:rsid w:val="6F3DF9E2"/>
    <w:rsid w:val="6F44D3B8"/>
    <w:rsid w:val="6F5022A8"/>
    <w:rsid w:val="6FDA6B26"/>
    <w:rsid w:val="6FF2993F"/>
    <w:rsid w:val="7006ECA6"/>
    <w:rsid w:val="701B40A3"/>
    <w:rsid w:val="702C9026"/>
    <w:rsid w:val="70582F6D"/>
    <w:rsid w:val="70B99DCF"/>
    <w:rsid w:val="70BAC45C"/>
    <w:rsid w:val="71082658"/>
    <w:rsid w:val="712EEA7C"/>
    <w:rsid w:val="712F535E"/>
    <w:rsid w:val="7185954A"/>
    <w:rsid w:val="718D736D"/>
    <w:rsid w:val="719A1C27"/>
    <w:rsid w:val="71A689A9"/>
    <w:rsid w:val="71D24762"/>
    <w:rsid w:val="71E14B0E"/>
    <w:rsid w:val="72048BF6"/>
    <w:rsid w:val="720A2C36"/>
    <w:rsid w:val="7239F17F"/>
    <w:rsid w:val="724F9798"/>
    <w:rsid w:val="72868AE6"/>
    <w:rsid w:val="72932107"/>
    <w:rsid w:val="72A25388"/>
    <w:rsid w:val="72CC1C5E"/>
    <w:rsid w:val="72E4C0A1"/>
    <w:rsid w:val="73832017"/>
    <w:rsid w:val="739A8E0C"/>
    <w:rsid w:val="73C71606"/>
    <w:rsid w:val="73D507BF"/>
    <w:rsid w:val="73D51D9B"/>
    <w:rsid w:val="73FB67A3"/>
    <w:rsid w:val="740A6B31"/>
    <w:rsid w:val="743A1775"/>
    <w:rsid w:val="745DA0AB"/>
    <w:rsid w:val="745F4A6D"/>
    <w:rsid w:val="7482725E"/>
    <w:rsid w:val="748E50FF"/>
    <w:rsid w:val="74F35D37"/>
    <w:rsid w:val="74FC86CA"/>
    <w:rsid w:val="75260985"/>
    <w:rsid w:val="7570FA86"/>
    <w:rsid w:val="7573EE53"/>
    <w:rsid w:val="75884D71"/>
    <w:rsid w:val="75973804"/>
    <w:rsid w:val="759F8496"/>
    <w:rsid w:val="75C8E6C4"/>
    <w:rsid w:val="7601BA76"/>
    <w:rsid w:val="76185AB0"/>
    <w:rsid w:val="76332D04"/>
    <w:rsid w:val="763F412D"/>
    <w:rsid w:val="76572BE1"/>
    <w:rsid w:val="76718BAA"/>
    <w:rsid w:val="7686504F"/>
    <w:rsid w:val="7698572B"/>
    <w:rsid w:val="76A45FCB"/>
    <w:rsid w:val="76B73E4D"/>
    <w:rsid w:val="76CB9772"/>
    <w:rsid w:val="76E6EE39"/>
    <w:rsid w:val="76FFCB17"/>
    <w:rsid w:val="772163ED"/>
    <w:rsid w:val="7731BE73"/>
    <w:rsid w:val="77D8C6D5"/>
    <w:rsid w:val="77E82BE2"/>
    <w:rsid w:val="77F02D47"/>
    <w:rsid w:val="77FCE576"/>
    <w:rsid w:val="7801BA35"/>
    <w:rsid w:val="784426F3"/>
    <w:rsid w:val="788A3291"/>
    <w:rsid w:val="78C881D4"/>
    <w:rsid w:val="78F1B0DC"/>
    <w:rsid w:val="78F946FA"/>
    <w:rsid w:val="790A4539"/>
    <w:rsid w:val="7914A235"/>
    <w:rsid w:val="798EAFCD"/>
    <w:rsid w:val="79AC548B"/>
    <w:rsid w:val="79D7E397"/>
    <w:rsid w:val="7A03FB27"/>
    <w:rsid w:val="7A548413"/>
    <w:rsid w:val="7A6914FE"/>
    <w:rsid w:val="7AB07296"/>
    <w:rsid w:val="7AB387FC"/>
    <w:rsid w:val="7AD1DC7B"/>
    <w:rsid w:val="7ADFB2B5"/>
    <w:rsid w:val="7B000C32"/>
    <w:rsid w:val="7B0D19AC"/>
    <w:rsid w:val="7B6DD02F"/>
    <w:rsid w:val="7B773D6F"/>
    <w:rsid w:val="7B9777C0"/>
    <w:rsid w:val="7BA05806"/>
    <w:rsid w:val="7BB0F113"/>
    <w:rsid w:val="7BC0BF24"/>
    <w:rsid w:val="7BC44CB1"/>
    <w:rsid w:val="7C0DDFB2"/>
    <w:rsid w:val="7C1049D1"/>
    <w:rsid w:val="7C337F2A"/>
    <w:rsid w:val="7C444F3C"/>
    <w:rsid w:val="7C6DB63C"/>
    <w:rsid w:val="7C818642"/>
    <w:rsid w:val="7C8E282E"/>
    <w:rsid w:val="7CD94401"/>
    <w:rsid w:val="7CFAC74C"/>
    <w:rsid w:val="7D198199"/>
    <w:rsid w:val="7D48AA5C"/>
    <w:rsid w:val="7D4950F5"/>
    <w:rsid w:val="7D56E376"/>
    <w:rsid w:val="7D5BA27F"/>
    <w:rsid w:val="7D5FC746"/>
    <w:rsid w:val="7E0FE2F0"/>
    <w:rsid w:val="7E42A848"/>
    <w:rsid w:val="7E4BA758"/>
    <w:rsid w:val="7E701732"/>
    <w:rsid w:val="7E984D76"/>
    <w:rsid w:val="7EB5D5D2"/>
    <w:rsid w:val="7ECFB3F6"/>
    <w:rsid w:val="7EF6B24D"/>
    <w:rsid w:val="7F595851"/>
    <w:rsid w:val="7F78F8A4"/>
    <w:rsid w:val="7FED1453"/>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EB925E"/>
  <w15:docId w15:val="{2437F604-C0AC-4793-91DF-1E65955FC7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3575"/>
    <w:pPr>
      <w:spacing w:after="0" w:line="240" w:lineRule="auto"/>
    </w:pPr>
    <w:rPr>
      <w:rFonts w:ascii="Times New Roman" w:eastAsia="Times New Roman" w:hAnsi="Times New Roman" w:cs="Times New Roman"/>
      <w:sz w:val="24"/>
      <w:szCs w:val="24"/>
      <w:lang w:val="en-US"/>
    </w:rPr>
  </w:style>
  <w:style w:type="paragraph" w:styleId="Titre10">
    <w:name w:val="heading 1"/>
    <w:basedOn w:val="Normal"/>
    <w:next w:val="Normal"/>
    <w:link w:val="Titre1Car"/>
    <w:qFormat/>
    <w:rsid w:val="0093077D"/>
    <w:pPr>
      <w:keepNext/>
      <w:keepLines/>
      <w:spacing w:before="240" w:line="259" w:lineRule="auto"/>
      <w:outlineLvl w:val="0"/>
    </w:pPr>
    <w:rPr>
      <w:rFonts w:asciiTheme="majorHAnsi" w:eastAsiaTheme="majorEastAsia" w:hAnsiTheme="majorHAnsi" w:cstheme="majorBidi"/>
      <w:b/>
      <w:sz w:val="32"/>
      <w:szCs w:val="32"/>
      <w:lang w:val="fr-FR"/>
    </w:rPr>
  </w:style>
  <w:style w:type="paragraph" w:styleId="Titre20">
    <w:name w:val="heading 2"/>
    <w:basedOn w:val="Normal"/>
    <w:next w:val="Normal"/>
    <w:link w:val="Titre2Car"/>
    <w:uiPriority w:val="9"/>
    <w:unhideWhenUsed/>
    <w:qFormat/>
    <w:rsid w:val="008B01C0"/>
    <w:pPr>
      <w:keepNext/>
      <w:keepLines/>
      <w:spacing w:before="40" w:line="259" w:lineRule="auto"/>
      <w:outlineLvl w:val="1"/>
    </w:pPr>
    <w:rPr>
      <w:rFonts w:asciiTheme="majorHAnsi" w:eastAsiaTheme="majorEastAsia" w:hAnsiTheme="majorHAnsi" w:cstheme="majorBidi"/>
      <w:color w:val="806A00" w:themeColor="accent1" w:themeShade="80"/>
      <w:sz w:val="26"/>
      <w:szCs w:val="26"/>
      <w:lang w:val="fr-FR"/>
    </w:rPr>
  </w:style>
  <w:style w:type="paragraph" w:styleId="Titre30">
    <w:name w:val="heading 3"/>
    <w:basedOn w:val="Normal"/>
    <w:next w:val="Normal"/>
    <w:link w:val="Titre3Car"/>
    <w:uiPriority w:val="9"/>
    <w:unhideWhenUsed/>
    <w:qFormat/>
    <w:rsid w:val="0075298E"/>
    <w:pPr>
      <w:keepNext/>
      <w:keepLines/>
      <w:numPr>
        <w:numId w:val="1"/>
      </w:numPr>
      <w:spacing w:before="40" w:line="259" w:lineRule="auto"/>
      <w:outlineLvl w:val="2"/>
    </w:pPr>
    <w:rPr>
      <w:rFonts w:asciiTheme="majorHAnsi" w:eastAsiaTheme="majorEastAsia" w:hAnsiTheme="majorHAnsi" w:cstheme="majorBidi"/>
      <w:color w:val="7F6900" w:themeColor="accent1" w:themeShade="7F"/>
      <w:lang w:val="fr-FR"/>
    </w:rPr>
  </w:style>
  <w:style w:type="paragraph" w:styleId="Titre40">
    <w:name w:val="heading 4"/>
    <w:basedOn w:val="Normal"/>
    <w:next w:val="Normal"/>
    <w:link w:val="Titre4Car"/>
    <w:uiPriority w:val="9"/>
    <w:unhideWhenUsed/>
    <w:qFormat/>
    <w:rsid w:val="005051DE"/>
    <w:pPr>
      <w:keepNext/>
      <w:keepLines/>
      <w:spacing w:before="40" w:line="259" w:lineRule="auto"/>
      <w:ind w:left="2124"/>
      <w:outlineLvl w:val="3"/>
    </w:pPr>
    <w:rPr>
      <w:rFonts w:asciiTheme="majorHAnsi" w:eastAsiaTheme="majorEastAsia" w:hAnsiTheme="majorHAnsi" w:cstheme="majorBidi"/>
      <w:i/>
      <w:iCs/>
      <w:color w:val="BF9E00" w:themeColor="accent1" w:themeShade="BF"/>
      <w:sz w:val="22"/>
      <w:szCs w:val="22"/>
      <w:lang w:val="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0"/>
    <w:rsid w:val="0075298E"/>
    <w:rPr>
      <w:rFonts w:asciiTheme="majorHAnsi" w:eastAsiaTheme="majorEastAsia" w:hAnsiTheme="majorHAnsi" w:cstheme="majorBidi"/>
      <w:b/>
      <w:sz w:val="32"/>
      <w:szCs w:val="32"/>
    </w:rPr>
  </w:style>
  <w:style w:type="character" w:customStyle="1" w:styleId="Titre2Car">
    <w:name w:val="Titre 2 Car"/>
    <w:basedOn w:val="Policepardfaut"/>
    <w:link w:val="Titre20"/>
    <w:uiPriority w:val="9"/>
    <w:rsid w:val="0075298E"/>
    <w:rPr>
      <w:rFonts w:asciiTheme="majorHAnsi" w:eastAsiaTheme="majorEastAsia" w:hAnsiTheme="majorHAnsi" w:cstheme="majorBidi"/>
      <w:color w:val="806A00" w:themeColor="accent1" w:themeShade="80"/>
      <w:sz w:val="26"/>
      <w:szCs w:val="26"/>
    </w:rPr>
  </w:style>
  <w:style w:type="paragraph" w:styleId="En-ttedetabledesmatires">
    <w:name w:val="TOC Heading"/>
    <w:basedOn w:val="Titre10"/>
    <w:next w:val="Normal"/>
    <w:uiPriority w:val="39"/>
    <w:unhideWhenUsed/>
    <w:qFormat/>
    <w:rsid w:val="004C745D"/>
    <w:pPr>
      <w:outlineLvl w:val="9"/>
    </w:pPr>
    <w:rPr>
      <w:lang w:eastAsia="fr-FR"/>
    </w:rPr>
  </w:style>
  <w:style w:type="paragraph" w:styleId="TM1">
    <w:name w:val="toc 1"/>
    <w:basedOn w:val="Normal"/>
    <w:next w:val="Normal"/>
    <w:autoRedefine/>
    <w:uiPriority w:val="39"/>
    <w:unhideWhenUsed/>
    <w:rsid w:val="006C3AE1"/>
    <w:pPr>
      <w:tabs>
        <w:tab w:val="left" w:pos="284"/>
        <w:tab w:val="right" w:leader="dot" w:pos="9060"/>
      </w:tabs>
      <w:spacing w:after="100" w:line="259" w:lineRule="auto"/>
    </w:pPr>
    <w:rPr>
      <w:rFonts w:ascii="Source Sans Pro" w:eastAsiaTheme="minorHAnsi" w:hAnsi="Source Sans Pro" w:cstheme="minorBidi"/>
      <w:noProof/>
      <w:sz w:val="22"/>
      <w:szCs w:val="22"/>
      <w:lang w:val="fr-FR"/>
    </w:rPr>
  </w:style>
  <w:style w:type="paragraph" w:styleId="TM2">
    <w:name w:val="toc 2"/>
    <w:basedOn w:val="Normal"/>
    <w:next w:val="Normal"/>
    <w:autoRedefine/>
    <w:uiPriority w:val="39"/>
    <w:unhideWhenUsed/>
    <w:rsid w:val="00937A61"/>
    <w:pPr>
      <w:tabs>
        <w:tab w:val="left" w:pos="284"/>
        <w:tab w:val="left" w:pos="1077"/>
        <w:tab w:val="right" w:leader="dot" w:pos="9062"/>
      </w:tabs>
      <w:spacing w:after="100" w:line="259" w:lineRule="auto"/>
      <w:ind w:left="284"/>
    </w:pPr>
    <w:rPr>
      <w:rFonts w:ascii="Source Sans Pro" w:eastAsiaTheme="minorHAnsi" w:hAnsi="Source Sans Pro" w:cstheme="minorBidi"/>
      <w:b/>
      <w:bCs/>
      <w:noProof/>
      <w:sz w:val="22"/>
      <w:szCs w:val="22"/>
      <w:lang w:val="fr-FR"/>
    </w:rPr>
  </w:style>
  <w:style w:type="character" w:styleId="Lienhypertexte">
    <w:name w:val="Hyperlink"/>
    <w:basedOn w:val="Policepardfaut"/>
    <w:uiPriority w:val="99"/>
    <w:unhideWhenUsed/>
    <w:rsid w:val="004C745D"/>
    <w:rPr>
      <w:color w:val="FFD400" w:themeColor="hyperlink"/>
      <w:u w:val="single"/>
    </w:rPr>
  </w:style>
  <w:style w:type="character" w:customStyle="1" w:styleId="Titre3Car">
    <w:name w:val="Titre 3 Car"/>
    <w:basedOn w:val="Policepardfaut"/>
    <w:link w:val="Titre30"/>
    <w:uiPriority w:val="9"/>
    <w:rsid w:val="0075298E"/>
    <w:rPr>
      <w:rFonts w:asciiTheme="majorHAnsi" w:eastAsiaTheme="majorEastAsia" w:hAnsiTheme="majorHAnsi" w:cstheme="majorBidi"/>
      <w:color w:val="7F6900" w:themeColor="accent1" w:themeShade="7F"/>
      <w:sz w:val="24"/>
      <w:szCs w:val="24"/>
    </w:rPr>
  </w:style>
  <w:style w:type="paragraph" w:styleId="TM3">
    <w:name w:val="toc 3"/>
    <w:basedOn w:val="Normal"/>
    <w:next w:val="Normal"/>
    <w:autoRedefine/>
    <w:uiPriority w:val="39"/>
    <w:unhideWhenUsed/>
    <w:rsid w:val="004D4019"/>
    <w:pPr>
      <w:tabs>
        <w:tab w:val="left" w:pos="880"/>
        <w:tab w:val="left" w:pos="1320"/>
        <w:tab w:val="right" w:leader="dot" w:pos="9062"/>
      </w:tabs>
      <w:spacing w:after="100" w:line="259" w:lineRule="auto"/>
      <w:ind w:left="1077"/>
    </w:pPr>
    <w:rPr>
      <w:rFonts w:asciiTheme="minorHAnsi" w:eastAsiaTheme="minorHAnsi" w:hAnsiTheme="minorHAnsi" w:cstheme="minorBidi"/>
      <w:sz w:val="22"/>
      <w:szCs w:val="22"/>
      <w:lang w:val="fr-FR"/>
    </w:rPr>
  </w:style>
  <w:style w:type="paragraph" w:styleId="Paragraphedeliste">
    <w:name w:val="List Paragraph"/>
    <w:aliases w:val="Listes,Liste à puce - SC,Paragraphe de liste1,Paragraphe de liste11,Paragraphe de liste num,Paragraphe de liste 1,normal,Paragraphe de liste2,Normal avec puces tirets,Paragraphe 2,Titre 1 Car1,armelle Car,texte de base,Numbered list"/>
    <w:basedOn w:val="Normal"/>
    <w:link w:val="ParagraphedelisteCar"/>
    <w:uiPriority w:val="34"/>
    <w:qFormat/>
    <w:rsid w:val="0050160B"/>
    <w:pPr>
      <w:spacing w:after="160" w:line="259" w:lineRule="auto"/>
      <w:ind w:left="720"/>
      <w:contextualSpacing/>
    </w:pPr>
    <w:rPr>
      <w:rFonts w:asciiTheme="minorHAnsi" w:eastAsiaTheme="minorHAnsi" w:hAnsiTheme="minorHAnsi" w:cstheme="minorBidi"/>
      <w:sz w:val="22"/>
      <w:szCs w:val="22"/>
      <w:lang w:val="fr-FR"/>
    </w:rPr>
  </w:style>
  <w:style w:type="character" w:customStyle="1" w:styleId="ParagraphedelisteCar">
    <w:name w:val="Paragraphe de liste Car"/>
    <w:aliases w:val="Listes Car,Liste à puce - SC Car,Paragraphe de liste1 Car,Paragraphe de liste11 Car,Paragraphe de liste num Car,Paragraphe de liste 1 Car,normal Car,Paragraphe de liste2 Car,Normal avec puces tirets Car,Paragraphe 2 Car"/>
    <w:basedOn w:val="Policepardfaut"/>
    <w:link w:val="Paragraphedeliste"/>
    <w:uiPriority w:val="34"/>
    <w:qFormat/>
    <w:rsid w:val="004F09C6"/>
  </w:style>
  <w:style w:type="character" w:customStyle="1" w:styleId="Mentionnonrsolue1">
    <w:name w:val="Mention non résolue1"/>
    <w:basedOn w:val="Policepardfaut"/>
    <w:uiPriority w:val="99"/>
    <w:semiHidden/>
    <w:unhideWhenUsed/>
    <w:rsid w:val="007D6058"/>
    <w:rPr>
      <w:color w:val="605E5C"/>
      <w:shd w:val="clear" w:color="auto" w:fill="E1DFDD"/>
    </w:rPr>
  </w:style>
  <w:style w:type="paragraph" w:styleId="En-tte">
    <w:name w:val="header"/>
    <w:basedOn w:val="Normal"/>
    <w:link w:val="En-tteCar"/>
    <w:uiPriority w:val="99"/>
    <w:unhideWhenUsed/>
    <w:rsid w:val="00315947"/>
    <w:pPr>
      <w:tabs>
        <w:tab w:val="center" w:pos="4536"/>
        <w:tab w:val="right" w:pos="9072"/>
      </w:tabs>
    </w:pPr>
    <w:rPr>
      <w:rFonts w:asciiTheme="minorHAnsi" w:eastAsiaTheme="minorHAnsi" w:hAnsiTheme="minorHAnsi" w:cstheme="minorBidi"/>
      <w:sz w:val="22"/>
      <w:szCs w:val="22"/>
      <w:lang w:val="fr-FR"/>
    </w:rPr>
  </w:style>
  <w:style w:type="character" w:customStyle="1" w:styleId="En-tteCar">
    <w:name w:val="En-tête Car"/>
    <w:basedOn w:val="Policepardfaut"/>
    <w:link w:val="En-tte"/>
    <w:uiPriority w:val="99"/>
    <w:rsid w:val="00315947"/>
  </w:style>
  <w:style w:type="paragraph" w:styleId="Pieddepage">
    <w:name w:val="footer"/>
    <w:basedOn w:val="Normal"/>
    <w:link w:val="PieddepageCar"/>
    <w:uiPriority w:val="99"/>
    <w:unhideWhenUsed/>
    <w:rsid w:val="00315947"/>
    <w:pPr>
      <w:tabs>
        <w:tab w:val="center" w:pos="4536"/>
        <w:tab w:val="right" w:pos="9072"/>
      </w:tabs>
    </w:pPr>
    <w:rPr>
      <w:rFonts w:asciiTheme="minorHAnsi" w:eastAsiaTheme="minorHAnsi" w:hAnsiTheme="minorHAnsi" w:cstheme="minorBidi"/>
      <w:sz w:val="22"/>
      <w:szCs w:val="22"/>
      <w:lang w:val="fr-FR"/>
    </w:rPr>
  </w:style>
  <w:style w:type="character" w:customStyle="1" w:styleId="PieddepageCar">
    <w:name w:val="Pied de page Car"/>
    <w:basedOn w:val="Policepardfaut"/>
    <w:link w:val="Pieddepage"/>
    <w:uiPriority w:val="99"/>
    <w:rsid w:val="00315947"/>
  </w:style>
  <w:style w:type="table" w:styleId="Grilledutableau">
    <w:name w:val="Table Grid"/>
    <w:basedOn w:val="TableauNormal"/>
    <w:uiPriority w:val="39"/>
    <w:rsid w:val="003730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CE78A7"/>
    <w:rPr>
      <w:b/>
      <w:bCs/>
    </w:rPr>
  </w:style>
  <w:style w:type="character" w:styleId="Marquedecommentaire">
    <w:name w:val="annotation reference"/>
    <w:basedOn w:val="Policepardfaut"/>
    <w:uiPriority w:val="99"/>
    <w:semiHidden/>
    <w:unhideWhenUsed/>
    <w:rsid w:val="008A6AC9"/>
    <w:rPr>
      <w:sz w:val="16"/>
      <w:szCs w:val="16"/>
    </w:rPr>
  </w:style>
  <w:style w:type="paragraph" w:styleId="Commentaire">
    <w:name w:val="annotation text"/>
    <w:basedOn w:val="Normal"/>
    <w:link w:val="CommentaireCar"/>
    <w:uiPriority w:val="99"/>
    <w:unhideWhenUsed/>
    <w:rsid w:val="008A6AC9"/>
    <w:pPr>
      <w:spacing w:after="160"/>
    </w:pPr>
    <w:rPr>
      <w:rFonts w:asciiTheme="minorHAnsi" w:eastAsiaTheme="minorHAnsi" w:hAnsiTheme="minorHAnsi" w:cstheme="minorBidi"/>
      <w:sz w:val="20"/>
      <w:szCs w:val="20"/>
      <w:lang w:val="fr-FR"/>
    </w:rPr>
  </w:style>
  <w:style w:type="character" w:customStyle="1" w:styleId="CommentaireCar">
    <w:name w:val="Commentaire Car"/>
    <w:basedOn w:val="Policepardfaut"/>
    <w:link w:val="Commentaire"/>
    <w:uiPriority w:val="99"/>
    <w:rsid w:val="008A6AC9"/>
    <w:rPr>
      <w:sz w:val="20"/>
      <w:szCs w:val="20"/>
    </w:rPr>
  </w:style>
  <w:style w:type="paragraph" w:styleId="Objetducommentaire">
    <w:name w:val="annotation subject"/>
    <w:basedOn w:val="Commentaire"/>
    <w:next w:val="Commentaire"/>
    <w:link w:val="ObjetducommentaireCar"/>
    <w:uiPriority w:val="99"/>
    <w:semiHidden/>
    <w:unhideWhenUsed/>
    <w:rsid w:val="008A6AC9"/>
    <w:rPr>
      <w:b/>
      <w:bCs/>
    </w:rPr>
  </w:style>
  <w:style w:type="character" w:customStyle="1" w:styleId="ObjetducommentaireCar">
    <w:name w:val="Objet du commentaire Car"/>
    <w:basedOn w:val="CommentaireCar"/>
    <w:link w:val="Objetducommentaire"/>
    <w:uiPriority w:val="99"/>
    <w:semiHidden/>
    <w:rsid w:val="008A6AC9"/>
    <w:rPr>
      <w:b/>
      <w:bCs/>
      <w:sz w:val="20"/>
      <w:szCs w:val="20"/>
    </w:rPr>
  </w:style>
  <w:style w:type="paragraph" w:styleId="Notedebasdepage">
    <w:name w:val="footnote text"/>
    <w:aliases w:val="Footnote Text Char1,Footnote Text Char Char,Fußnotentext Char Char Char,Fußnotentext Char1 Char Char Char,Fußnotentext Char Char Char Char Char,Fußnotentext Char1 Char Char Char Char Char"/>
    <w:basedOn w:val="Normal"/>
    <w:link w:val="NotedebasdepageCar"/>
    <w:uiPriority w:val="99"/>
    <w:unhideWhenUsed/>
    <w:qFormat/>
    <w:rsid w:val="008B01C0"/>
    <w:rPr>
      <w:rFonts w:asciiTheme="minorHAnsi" w:eastAsiaTheme="minorHAnsi" w:hAnsiTheme="minorHAnsi" w:cstheme="minorBidi"/>
      <w:sz w:val="20"/>
      <w:szCs w:val="20"/>
      <w:lang w:val="fr-FR"/>
    </w:rPr>
  </w:style>
  <w:style w:type="character" w:customStyle="1" w:styleId="NotedebasdepageCar">
    <w:name w:val="Note de bas de page Car"/>
    <w:aliases w:val="Footnote Text Char1 Car,Footnote Text Char Char Car,Fußnotentext Char Char Char Car,Fußnotentext Char1 Char Char Char Car,Fußnotentext Char Char Char Char Char Car,Fußnotentext Char1 Char Char Char Char Char Car"/>
    <w:basedOn w:val="Policepardfaut"/>
    <w:link w:val="Notedebasdepage"/>
    <w:uiPriority w:val="99"/>
    <w:rsid w:val="0085775C"/>
    <w:rPr>
      <w:sz w:val="20"/>
      <w:szCs w:val="20"/>
    </w:rPr>
  </w:style>
  <w:style w:type="character" w:styleId="Appelnotedebasdep">
    <w:name w:val="footnote reference"/>
    <w:aliases w:val="HAppel note de bas de p."/>
    <w:basedOn w:val="Policepardfaut"/>
    <w:uiPriority w:val="99"/>
    <w:unhideWhenUsed/>
    <w:qFormat/>
    <w:rsid w:val="008B01C0"/>
    <w:rPr>
      <w:vertAlign w:val="superscript"/>
    </w:rPr>
  </w:style>
  <w:style w:type="character" w:customStyle="1" w:styleId="citation">
    <w:name w:val="citation"/>
    <w:basedOn w:val="Policepardfaut"/>
    <w:rsid w:val="007F36CD"/>
  </w:style>
  <w:style w:type="paragraph" w:styleId="Lgende">
    <w:name w:val="caption"/>
    <w:basedOn w:val="Normal"/>
    <w:next w:val="Normal"/>
    <w:uiPriority w:val="35"/>
    <w:unhideWhenUsed/>
    <w:qFormat/>
    <w:rsid w:val="004A0581"/>
    <w:pPr>
      <w:spacing w:after="200"/>
    </w:pPr>
    <w:rPr>
      <w:rFonts w:asciiTheme="minorHAnsi" w:eastAsiaTheme="minorHAnsi" w:hAnsiTheme="minorHAnsi" w:cstheme="minorBidi"/>
      <w:i/>
      <w:iCs/>
      <w:color w:val="784558" w:themeColor="text2"/>
      <w:sz w:val="18"/>
      <w:szCs w:val="18"/>
      <w:lang w:val="fr-FR"/>
    </w:rPr>
  </w:style>
  <w:style w:type="paragraph" w:styleId="NormalWeb">
    <w:name w:val="Normal (Web)"/>
    <w:basedOn w:val="Normal"/>
    <w:uiPriority w:val="99"/>
    <w:unhideWhenUsed/>
    <w:rsid w:val="00340A67"/>
    <w:pPr>
      <w:spacing w:before="100" w:beforeAutospacing="1" w:after="100" w:afterAutospacing="1"/>
    </w:pPr>
    <w:rPr>
      <w:lang w:val="fr-FR" w:eastAsia="fr-FR"/>
    </w:rPr>
  </w:style>
  <w:style w:type="paragraph" w:customStyle="1" w:styleId="max-6">
    <w:name w:val="max-6"/>
    <w:basedOn w:val="Normal"/>
    <w:rsid w:val="006D313A"/>
    <w:pPr>
      <w:spacing w:before="100" w:beforeAutospacing="1" w:after="100" w:afterAutospacing="1"/>
    </w:pPr>
    <w:rPr>
      <w:lang w:val="fr-FR" w:eastAsia="fr-FR"/>
    </w:rPr>
  </w:style>
  <w:style w:type="character" w:styleId="Textedelespacerserv">
    <w:name w:val="Placeholder Text"/>
    <w:basedOn w:val="Policepardfaut"/>
    <w:uiPriority w:val="99"/>
    <w:semiHidden/>
    <w:rsid w:val="0026611C"/>
    <w:rPr>
      <w:color w:val="808080"/>
    </w:rPr>
  </w:style>
  <w:style w:type="paragraph" w:styleId="Notedefin">
    <w:name w:val="endnote text"/>
    <w:basedOn w:val="Normal"/>
    <w:link w:val="NotedefinCar"/>
    <w:uiPriority w:val="99"/>
    <w:semiHidden/>
    <w:unhideWhenUsed/>
    <w:rsid w:val="00CF75DF"/>
    <w:rPr>
      <w:rFonts w:asciiTheme="minorHAnsi" w:eastAsiaTheme="minorHAnsi" w:hAnsiTheme="minorHAnsi" w:cstheme="minorBidi"/>
      <w:sz w:val="20"/>
      <w:szCs w:val="20"/>
      <w:lang w:val="fr-FR"/>
    </w:rPr>
  </w:style>
  <w:style w:type="character" w:customStyle="1" w:styleId="NotedefinCar">
    <w:name w:val="Note de fin Car"/>
    <w:basedOn w:val="Policepardfaut"/>
    <w:link w:val="Notedefin"/>
    <w:uiPriority w:val="99"/>
    <w:semiHidden/>
    <w:rsid w:val="00CF75DF"/>
    <w:rPr>
      <w:sz w:val="20"/>
      <w:szCs w:val="20"/>
    </w:rPr>
  </w:style>
  <w:style w:type="character" w:styleId="Appeldenotedefin">
    <w:name w:val="endnote reference"/>
    <w:basedOn w:val="Policepardfaut"/>
    <w:uiPriority w:val="99"/>
    <w:semiHidden/>
    <w:unhideWhenUsed/>
    <w:rsid w:val="00CF75DF"/>
    <w:rPr>
      <w:vertAlign w:val="superscript"/>
    </w:rPr>
  </w:style>
  <w:style w:type="character" w:styleId="Lienhypertextesuivivisit">
    <w:name w:val="FollowedHyperlink"/>
    <w:basedOn w:val="Policepardfaut"/>
    <w:uiPriority w:val="99"/>
    <w:semiHidden/>
    <w:unhideWhenUsed/>
    <w:rsid w:val="00A12922"/>
    <w:rPr>
      <w:color w:val="FFD400" w:themeColor="followedHyperlink"/>
      <w:u w:val="single"/>
    </w:rPr>
  </w:style>
  <w:style w:type="paragraph" w:customStyle="1" w:styleId="paragraph">
    <w:name w:val="paragraph"/>
    <w:basedOn w:val="Normal"/>
    <w:rsid w:val="003A6809"/>
    <w:pPr>
      <w:spacing w:before="100" w:beforeAutospacing="1" w:after="100" w:afterAutospacing="1"/>
    </w:pPr>
    <w:rPr>
      <w:rFonts w:ascii="Calibri" w:eastAsiaTheme="minorHAnsi" w:hAnsi="Calibri"/>
      <w:sz w:val="22"/>
      <w:szCs w:val="22"/>
      <w:lang w:val="fr-FR" w:eastAsia="fr-FR"/>
    </w:rPr>
  </w:style>
  <w:style w:type="character" w:customStyle="1" w:styleId="normaltextrun">
    <w:name w:val="normaltextrun"/>
    <w:basedOn w:val="Policepardfaut"/>
    <w:rsid w:val="003A6809"/>
  </w:style>
  <w:style w:type="character" w:customStyle="1" w:styleId="eop">
    <w:name w:val="eop"/>
    <w:basedOn w:val="Policepardfaut"/>
    <w:rsid w:val="003A6809"/>
  </w:style>
  <w:style w:type="paragraph" w:styleId="Textedebulles">
    <w:name w:val="Balloon Text"/>
    <w:basedOn w:val="Normal"/>
    <w:link w:val="TextedebullesCar"/>
    <w:uiPriority w:val="99"/>
    <w:semiHidden/>
    <w:unhideWhenUsed/>
    <w:rsid w:val="000C0896"/>
    <w:rPr>
      <w:rFonts w:ascii="Segoe UI" w:eastAsiaTheme="minorHAnsi" w:hAnsi="Segoe UI" w:cs="Segoe UI"/>
      <w:sz w:val="18"/>
      <w:szCs w:val="18"/>
      <w:lang w:val="fr-FR"/>
    </w:rPr>
  </w:style>
  <w:style w:type="character" w:customStyle="1" w:styleId="TextedebullesCar">
    <w:name w:val="Texte de bulles Car"/>
    <w:basedOn w:val="Policepardfaut"/>
    <w:link w:val="Textedebulles"/>
    <w:uiPriority w:val="99"/>
    <w:semiHidden/>
    <w:rsid w:val="000C0896"/>
    <w:rPr>
      <w:rFonts w:ascii="Segoe UI" w:hAnsi="Segoe UI" w:cs="Segoe UI"/>
      <w:sz w:val="18"/>
      <w:szCs w:val="18"/>
    </w:rPr>
  </w:style>
  <w:style w:type="paragraph" w:customStyle="1" w:styleId="Default">
    <w:name w:val="Default"/>
    <w:basedOn w:val="Normal"/>
    <w:rsid w:val="00BC0E7E"/>
    <w:pPr>
      <w:autoSpaceDE w:val="0"/>
      <w:autoSpaceDN w:val="0"/>
    </w:pPr>
    <w:rPr>
      <w:rFonts w:ascii="Calibri" w:eastAsiaTheme="minorHAnsi" w:hAnsi="Calibri" w:cs="Calibri"/>
      <w:color w:val="000000"/>
      <w:lang w:val="fr-FR"/>
    </w:rPr>
  </w:style>
  <w:style w:type="paragraph" w:styleId="Rvision">
    <w:name w:val="Revision"/>
    <w:hidden/>
    <w:uiPriority w:val="99"/>
    <w:semiHidden/>
    <w:rsid w:val="003F1AAF"/>
    <w:pPr>
      <w:spacing w:after="0" w:line="240" w:lineRule="auto"/>
    </w:pPr>
  </w:style>
  <w:style w:type="character" w:styleId="Accentuation">
    <w:name w:val="Emphasis"/>
    <w:basedOn w:val="Policepardfaut"/>
    <w:uiPriority w:val="20"/>
    <w:qFormat/>
    <w:rsid w:val="00F1620F"/>
    <w:rPr>
      <w:i/>
      <w:iCs/>
    </w:rPr>
  </w:style>
  <w:style w:type="paragraph" w:styleId="Corpsdetexte">
    <w:name w:val="Body Text"/>
    <w:basedOn w:val="Normal"/>
    <w:link w:val="CorpsdetexteCar"/>
    <w:qFormat/>
    <w:rsid w:val="009F1272"/>
    <w:pPr>
      <w:spacing w:after="200" w:line="200" w:lineRule="atLeast"/>
    </w:pPr>
    <w:rPr>
      <w:rFonts w:ascii="Arial" w:eastAsia="Arial" w:hAnsi="Arial" w:cs="Arial"/>
      <w:sz w:val="20"/>
      <w:szCs w:val="20"/>
      <w:lang w:val="en-GB"/>
    </w:rPr>
  </w:style>
  <w:style w:type="character" w:customStyle="1" w:styleId="CorpsdetexteCar">
    <w:name w:val="Corps de texte Car"/>
    <w:basedOn w:val="Policepardfaut"/>
    <w:link w:val="Corpsdetexte"/>
    <w:rsid w:val="009F1272"/>
    <w:rPr>
      <w:rFonts w:ascii="Arial" w:eastAsia="Arial" w:hAnsi="Arial" w:cs="Arial"/>
      <w:sz w:val="20"/>
      <w:szCs w:val="20"/>
      <w:lang w:val="en-GB"/>
    </w:rPr>
  </w:style>
  <w:style w:type="character" w:customStyle="1" w:styleId="Mention1">
    <w:name w:val="Mention1"/>
    <w:basedOn w:val="Policepardfaut"/>
    <w:uiPriority w:val="99"/>
    <w:unhideWhenUsed/>
    <w:rPr>
      <w:color w:val="2B579A"/>
      <w:shd w:val="clear" w:color="auto" w:fill="E6E6E6"/>
    </w:rPr>
  </w:style>
  <w:style w:type="character" w:customStyle="1" w:styleId="Titre4Car">
    <w:name w:val="Titre 4 Car"/>
    <w:basedOn w:val="Policepardfaut"/>
    <w:link w:val="Titre40"/>
    <w:uiPriority w:val="9"/>
    <w:rsid w:val="005051DE"/>
    <w:rPr>
      <w:rFonts w:asciiTheme="majorHAnsi" w:eastAsiaTheme="majorEastAsia" w:hAnsiTheme="majorHAnsi" w:cstheme="majorBidi"/>
      <w:i/>
      <w:iCs/>
      <w:color w:val="BF9E00" w:themeColor="accent1" w:themeShade="BF"/>
    </w:rPr>
  </w:style>
  <w:style w:type="paragraph" w:styleId="Titre">
    <w:name w:val="Title"/>
    <w:basedOn w:val="Normal"/>
    <w:next w:val="Normal"/>
    <w:link w:val="TitreCar"/>
    <w:uiPriority w:val="10"/>
    <w:qFormat/>
    <w:rsid w:val="005051DE"/>
    <w:pPr>
      <w:contextualSpacing/>
    </w:pPr>
    <w:rPr>
      <w:rFonts w:asciiTheme="majorHAnsi" w:eastAsiaTheme="majorEastAsia" w:hAnsiTheme="majorHAnsi" w:cstheme="majorBidi"/>
      <w:spacing w:val="-10"/>
      <w:kern w:val="28"/>
      <w:sz w:val="56"/>
      <w:szCs w:val="56"/>
      <w:lang w:val="fr-FR"/>
    </w:rPr>
  </w:style>
  <w:style w:type="character" w:customStyle="1" w:styleId="TitreCar">
    <w:name w:val="Titre Car"/>
    <w:basedOn w:val="Policepardfaut"/>
    <w:link w:val="Titre"/>
    <w:uiPriority w:val="10"/>
    <w:rsid w:val="005051DE"/>
    <w:rPr>
      <w:rFonts w:asciiTheme="majorHAnsi" w:eastAsiaTheme="majorEastAsia" w:hAnsiTheme="majorHAnsi" w:cstheme="majorBidi"/>
      <w:spacing w:val="-10"/>
      <w:kern w:val="28"/>
      <w:sz w:val="56"/>
      <w:szCs w:val="56"/>
    </w:rPr>
  </w:style>
  <w:style w:type="paragraph" w:customStyle="1" w:styleId="Style1">
    <w:name w:val="Style1"/>
    <w:basedOn w:val="Paragraphedeliste"/>
    <w:link w:val="Style1Car"/>
    <w:qFormat/>
    <w:rsid w:val="008B01C0"/>
    <w:pPr>
      <w:numPr>
        <w:numId w:val="2"/>
      </w:numPr>
      <w:tabs>
        <w:tab w:val="left" w:pos="2010"/>
      </w:tabs>
    </w:pPr>
    <w:rPr>
      <w:rFonts w:cstheme="minorHAnsi"/>
      <w:i/>
      <w:iCs/>
      <w:color w:val="E9D9CE" w:themeColor="accent5"/>
      <w:sz w:val="16"/>
      <w:szCs w:val="24"/>
    </w:rPr>
  </w:style>
  <w:style w:type="character" w:customStyle="1" w:styleId="Style1Car">
    <w:name w:val="Style1 Car"/>
    <w:basedOn w:val="ParagraphedelisteCar"/>
    <w:link w:val="Style1"/>
    <w:rsid w:val="000457D4"/>
    <w:rPr>
      <w:rFonts w:cstheme="minorHAnsi"/>
      <w:i/>
      <w:iCs/>
      <w:color w:val="E9D9CE" w:themeColor="accent5"/>
      <w:sz w:val="16"/>
      <w:szCs w:val="24"/>
    </w:rPr>
  </w:style>
  <w:style w:type="character" w:customStyle="1" w:styleId="Style1Char">
    <w:name w:val="Style1 Char"/>
    <w:basedOn w:val="Policepardfaut"/>
    <w:rsid w:val="002F5293"/>
    <w:rPr>
      <w:rFonts w:cstheme="minorHAnsi"/>
      <w:i/>
      <w:iCs/>
      <w:color w:val="E9D9CE" w:themeColor="accent5"/>
      <w:sz w:val="16"/>
      <w:szCs w:val="24"/>
    </w:rPr>
  </w:style>
  <w:style w:type="character" w:styleId="Mentionnonrsolue">
    <w:name w:val="Unresolved Mention"/>
    <w:basedOn w:val="Policepardfaut"/>
    <w:uiPriority w:val="99"/>
    <w:unhideWhenUsed/>
    <w:rsid w:val="00D503A2"/>
    <w:rPr>
      <w:color w:val="605E5C"/>
      <w:shd w:val="clear" w:color="auto" w:fill="E1DFDD"/>
    </w:rPr>
  </w:style>
  <w:style w:type="character" w:styleId="Mention">
    <w:name w:val="Mention"/>
    <w:basedOn w:val="Policepardfaut"/>
    <w:uiPriority w:val="99"/>
    <w:unhideWhenUsed/>
    <w:rsid w:val="0085484D"/>
    <w:rPr>
      <w:color w:val="2B579A"/>
      <w:shd w:val="clear" w:color="auto" w:fill="E1DFDD"/>
    </w:rPr>
  </w:style>
  <w:style w:type="paragraph" w:customStyle="1" w:styleId="pf0">
    <w:name w:val="pf0"/>
    <w:basedOn w:val="Normal"/>
    <w:rsid w:val="004F653F"/>
    <w:pPr>
      <w:spacing w:before="100" w:beforeAutospacing="1" w:after="100" w:afterAutospacing="1"/>
    </w:pPr>
    <w:rPr>
      <w:lang w:val="fr-FR" w:eastAsia="fr-FR"/>
    </w:rPr>
  </w:style>
  <w:style w:type="character" w:customStyle="1" w:styleId="cf01">
    <w:name w:val="cf01"/>
    <w:basedOn w:val="Policepardfaut"/>
    <w:rsid w:val="004F653F"/>
    <w:rPr>
      <w:rFonts w:ascii="Segoe UI" w:hAnsi="Segoe UI" w:cs="Segoe UI" w:hint="default"/>
      <w:sz w:val="18"/>
      <w:szCs w:val="18"/>
    </w:rPr>
  </w:style>
  <w:style w:type="numbering" w:customStyle="1" w:styleId="PUCES">
    <w:name w:val="PUCES"/>
    <w:uiPriority w:val="99"/>
    <w:rsid w:val="003947DB"/>
    <w:pPr>
      <w:numPr>
        <w:numId w:val="3"/>
      </w:numPr>
    </w:pPr>
  </w:style>
  <w:style w:type="character" w:customStyle="1" w:styleId="ui-provider">
    <w:name w:val="ui-provider"/>
    <w:basedOn w:val="Policepardfaut"/>
    <w:rsid w:val="00533A46"/>
  </w:style>
  <w:style w:type="paragraph" w:styleId="TM4">
    <w:name w:val="toc 4"/>
    <w:basedOn w:val="Normal"/>
    <w:next w:val="Normal"/>
    <w:autoRedefine/>
    <w:uiPriority w:val="39"/>
    <w:semiHidden/>
    <w:unhideWhenUsed/>
    <w:rsid w:val="00533A46"/>
    <w:pPr>
      <w:spacing w:after="100" w:line="259" w:lineRule="auto"/>
      <w:ind w:left="1416"/>
    </w:pPr>
    <w:rPr>
      <w:rFonts w:asciiTheme="minorHAnsi" w:eastAsiaTheme="minorHAnsi" w:hAnsiTheme="minorHAnsi" w:cstheme="minorBidi"/>
      <w:sz w:val="22"/>
      <w:szCs w:val="22"/>
      <w:lang w:val="fr-FR"/>
    </w:rPr>
  </w:style>
  <w:style w:type="character" w:customStyle="1" w:styleId="spellingerror">
    <w:name w:val="spellingerror"/>
    <w:basedOn w:val="Policepardfaut"/>
    <w:rsid w:val="00FA1520"/>
  </w:style>
  <w:style w:type="paragraph" w:customStyle="1" w:styleId="default0">
    <w:name w:val="default"/>
    <w:basedOn w:val="Normal"/>
    <w:rsid w:val="00BB24E1"/>
    <w:pPr>
      <w:spacing w:before="100" w:beforeAutospacing="1" w:after="100" w:afterAutospacing="1"/>
    </w:pPr>
    <w:rPr>
      <w:lang w:val="fr-FR" w:eastAsia="fr-FR"/>
    </w:rPr>
  </w:style>
  <w:style w:type="paragraph" w:customStyle="1" w:styleId="TITRE1">
    <w:name w:val="TITRE 1"/>
    <w:basedOn w:val="Titre10"/>
    <w:next w:val="Normal"/>
    <w:link w:val="TITRE1Car0"/>
    <w:qFormat/>
    <w:rsid w:val="001C002D"/>
    <w:pPr>
      <w:keepNext w:val="0"/>
      <w:keepLines w:val="0"/>
      <w:numPr>
        <w:numId w:val="5"/>
      </w:numPr>
      <w:spacing w:before="120" w:after="120" w:line="0" w:lineRule="atLeast"/>
      <w:jc w:val="both"/>
    </w:pPr>
    <w:rPr>
      <w:rFonts w:ascii="Century Gothic" w:eastAsia="Arial" w:hAnsi="Century Gothic"/>
      <w:caps/>
      <w:color w:val="F3987A"/>
      <w:szCs w:val="24"/>
    </w:rPr>
  </w:style>
  <w:style w:type="paragraph" w:customStyle="1" w:styleId="TITRE2">
    <w:name w:val="TITRE 2"/>
    <w:basedOn w:val="Titre20"/>
    <w:next w:val="Normal"/>
    <w:link w:val="TITRE2Car0"/>
    <w:qFormat/>
    <w:rsid w:val="001C002D"/>
    <w:pPr>
      <w:keepNext w:val="0"/>
      <w:keepLines w:val="0"/>
      <w:numPr>
        <w:ilvl w:val="1"/>
        <w:numId w:val="5"/>
      </w:numPr>
      <w:spacing w:before="120" w:after="120" w:line="0" w:lineRule="atLeast"/>
      <w:jc w:val="both"/>
    </w:pPr>
    <w:rPr>
      <w:rFonts w:ascii="Century Gothic" w:eastAsia="Arial" w:hAnsi="Century Gothic" w:cstheme="minorBidi"/>
      <w:b/>
      <w:color w:val="EAC16C"/>
      <w:sz w:val="22"/>
      <w:szCs w:val="20"/>
    </w:rPr>
  </w:style>
  <w:style w:type="paragraph" w:customStyle="1" w:styleId="TITRE3">
    <w:name w:val="TITRE 3"/>
    <w:basedOn w:val="Titre30"/>
    <w:next w:val="Normal"/>
    <w:qFormat/>
    <w:rsid w:val="001C002D"/>
    <w:pPr>
      <w:numPr>
        <w:ilvl w:val="2"/>
        <w:numId w:val="5"/>
      </w:numPr>
      <w:spacing w:before="120" w:line="0" w:lineRule="atLeast"/>
      <w:ind w:left="1701" w:hanging="709"/>
      <w:jc w:val="both"/>
    </w:pPr>
    <w:rPr>
      <w:rFonts w:ascii="Century Gothic" w:hAnsi="Century Gothic"/>
      <w:b/>
      <w:bCs/>
      <w:color w:val="5CA0CA"/>
      <w:sz w:val="20"/>
      <w:szCs w:val="18"/>
    </w:rPr>
  </w:style>
  <w:style w:type="paragraph" w:customStyle="1" w:styleId="TITRE4">
    <w:name w:val="TITRE 4"/>
    <w:basedOn w:val="Titre40"/>
    <w:qFormat/>
    <w:rsid w:val="001C002D"/>
    <w:pPr>
      <w:numPr>
        <w:ilvl w:val="3"/>
        <w:numId w:val="5"/>
      </w:numPr>
      <w:spacing w:before="0" w:line="0" w:lineRule="atLeast"/>
      <w:ind w:left="2269" w:hanging="851"/>
      <w:jc w:val="both"/>
    </w:pPr>
    <w:rPr>
      <w:rFonts w:ascii="Century Gothic" w:hAnsi="Century Gothic"/>
      <w:b/>
      <w:bCs/>
      <w:i w:val="0"/>
      <w:color w:val="96C0E8"/>
      <w:sz w:val="20"/>
      <w:szCs w:val="18"/>
    </w:rPr>
  </w:style>
  <w:style w:type="character" w:customStyle="1" w:styleId="TITRE2Car0">
    <w:name w:val="TITRE 2 Car"/>
    <w:basedOn w:val="Policepardfaut"/>
    <w:link w:val="TITRE2"/>
    <w:rsid w:val="001C002D"/>
    <w:rPr>
      <w:rFonts w:ascii="Century Gothic" w:eastAsia="Arial" w:hAnsi="Century Gothic"/>
      <w:b/>
      <w:color w:val="EAC16C"/>
      <w:szCs w:val="20"/>
    </w:rPr>
  </w:style>
  <w:style w:type="paragraph" w:customStyle="1" w:styleId="AIP2Bodytextregular">
    <w:name w:val="AI P2 Body text regular"/>
    <w:basedOn w:val="Corpsdetexte"/>
    <w:qFormat/>
    <w:rsid w:val="0056679E"/>
    <w:pPr>
      <w:widowControl w:val="0"/>
      <w:autoSpaceDE w:val="0"/>
      <w:autoSpaceDN w:val="0"/>
      <w:spacing w:after="113" w:line="280" w:lineRule="exact"/>
      <w:ind w:left="1117" w:right="1298"/>
    </w:pPr>
    <w:rPr>
      <w:rFonts w:ascii="Source Sans Pro" w:hAnsi="Source Sans Pro"/>
      <w:color w:val="656668"/>
      <w:sz w:val="18"/>
      <w:szCs w:val="18"/>
      <w:lang w:eastAsia="en-GB" w:bidi="en-GB"/>
    </w:rPr>
  </w:style>
  <w:style w:type="character" w:customStyle="1" w:styleId="TITRE1Car0">
    <w:name w:val="TITRE 1 Car"/>
    <w:basedOn w:val="Titre1Car"/>
    <w:link w:val="TITRE1"/>
    <w:rsid w:val="00671DEC"/>
    <w:rPr>
      <w:rFonts w:ascii="Century Gothic" w:eastAsia="Arial" w:hAnsi="Century Gothic" w:cstheme="majorBidi"/>
      <w:b/>
      <w:caps/>
      <w:color w:val="F3987A"/>
      <w:sz w:val="32"/>
      <w:szCs w:val="24"/>
    </w:rPr>
  </w:style>
  <w:style w:type="paragraph" w:customStyle="1" w:styleId="Consignes">
    <w:name w:val="Consignes"/>
    <w:basedOn w:val="Normal"/>
    <w:qFormat/>
    <w:rsid w:val="00706AFF"/>
    <w:pPr>
      <w:spacing w:after="160" w:line="256" w:lineRule="auto"/>
      <w:jc w:val="both"/>
    </w:pPr>
    <w:rPr>
      <w:rFonts w:ascii="Palatino Linotype" w:eastAsiaTheme="minorEastAsia" w:hAnsi="Palatino Linotype" w:cstheme="minorBidi"/>
      <w:i/>
      <w:color w:val="7030A0"/>
      <w:szCs w:val="22"/>
      <w:lang w:val="fr-FR"/>
    </w:rPr>
  </w:style>
  <w:style w:type="paragraph" w:customStyle="1" w:styleId="Documenttype">
    <w:name w:val="| Document type"/>
    <w:link w:val="DocumenttypeCar"/>
    <w:uiPriority w:val="3"/>
    <w:qFormat/>
    <w:rsid w:val="00710353"/>
    <w:pPr>
      <w:framePr w:wrap="around" w:vAnchor="page" w:hAnchor="page" w:x="852" w:y="2836"/>
      <w:spacing w:after="0" w:line="240" w:lineRule="auto"/>
      <w:suppressOverlap/>
    </w:pPr>
    <w:rPr>
      <w:rFonts w:eastAsia="Calibri" w:cstheme="minorHAnsi"/>
      <w:bCs/>
      <w:caps/>
      <w:color w:val="7F7F7F" w:themeColor="text1" w:themeTint="80"/>
      <w:spacing w:val="41"/>
      <w:sz w:val="28"/>
      <w:szCs w:val="28"/>
      <w:shd w:val="clear" w:color="auto" w:fill="FFFFFF" w:themeFill="background1"/>
      <w:lang w:eastAsia="fr-FR"/>
    </w:rPr>
  </w:style>
  <w:style w:type="character" w:customStyle="1" w:styleId="DocumenttypeCar">
    <w:name w:val="| Document type Car"/>
    <w:link w:val="Documenttype"/>
    <w:uiPriority w:val="3"/>
    <w:rsid w:val="00710353"/>
    <w:rPr>
      <w:rFonts w:eastAsia="Calibri" w:cstheme="minorHAnsi"/>
      <w:bCs/>
      <w:caps/>
      <w:color w:val="7F7F7F" w:themeColor="text1" w:themeTint="80"/>
      <w:spacing w:val="41"/>
      <w:sz w:val="28"/>
      <w:szCs w:val="28"/>
      <w:lang w:eastAsia="fr-FR"/>
    </w:rPr>
  </w:style>
  <w:style w:type="paragraph" w:customStyle="1" w:styleId="Documentnom">
    <w:name w:val="| Document nom"/>
    <w:link w:val="DocumentnomCar"/>
    <w:uiPriority w:val="3"/>
    <w:qFormat/>
    <w:rsid w:val="00710353"/>
    <w:pPr>
      <w:framePr w:wrap="around" w:vAnchor="page" w:hAnchor="page" w:x="852" w:y="3120"/>
      <w:suppressAutoHyphens/>
      <w:spacing w:after="0" w:line="204" w:lineRule="auto"/>
      <w:suppressOverlap/>
    </w:pPr>
    <w:rPr>
      <w:rFonts w:eastAsia="Calibri" w:cstheme="majorHAnsi"/>
      <w:b/>
      <w:bCs/>
      <w:spacing w:val="10"/>
      <w:sz w:val="76"/>
      <w:szCs w:val="76"/>
      <w:lang w:eastAsia="fr-FR"/>
    </w:rPr>
  </w:style>
  <w:style w:type="paragraph" w:customStyle="1" w:styleId="Documentsous-titre">
    <w:name w:val="| Document sous-titre"/>
    <w:link w:val="Documentsous-titreCar"/>
    <w:uiPriority w:val="3"/>
    <w:qFormat/>
    <w:rsid w:val="00710353"/>
    <w:pPr>
      <w:framePr w:wrap="around" w:vAnchor="page" w:hAnchor="page" w:x="852" w:y="3120"/>
      <w:spacing w:after="0" w:line="240" w:lineRule="auto"/>
      <w:suppressOverlap/>
    </w:pPr>
    <w:rPr>
      <w:rFonts w:eastAsia="Calibri" w:cstheme="majorHAnsi"/>
      <w:i/>
      <w:iCs/>
      <w:color w:val="8A2C24" w:themeColor="accent2"/>
      <w:spacing w:val="14"/>
      <w:sz w:val="36"/>
      <w:szCs w:val="36"/>
      <w:lang w:eastAsia="fr-FR"/>
    </w:rPr>
  </w:style>
  <w:style w:type="character" w:customStyle="1" w:styleId="DocumentnomCar">
    <w:name w:val="| Document nom Car"/>
    <w:link w:val="Documentnom"/>
    <w:uiPriority w:val="3"/>
    <w:rsid w:val="00710353"/>
    <w:rPr>
      <w:rFonts w:eastAsia="Calibri" w:cstheme="majorHAnsi"/>
      <w:b/>
      <w:bCs/>
      <w:spacing w:val="10"/>
      <w:sz w:val="76"/>
      <w:szCs w:val="76"/>
      <w:lang w:eastAsia="fr-FR"/>
    </w:rPr>
  </w:style>
  <w:style w:type="character" w:customStyle="1" w:styleId="Documentsous-titreCar">
    <w:name w:val="| Document sous-titre Car"/>
    <w:link w:val="Documentsous-titre"/>
    <w:uiPriority w:val="3"/>
    <w:rsid w:val="00710353"/>
    <w:rPr>
      <w:rFonts w:eastAsia="Calibri" w:cstheme="majorHAnsi"/>
      <w:i/>
      <w:iCs/>
      <w:color w:val="8A2C24" w:themeColor="accent2"/>
      <w:spacing w:val="14"/>
      <w:sz w:val="36"/>
      <w:szCs w:val="36"/>
      <w:lang w:eastAsia="fr-FR"/>
    </w:rPr>
  </w:style>
  <w:style w:type="paragraph" w:customStyle="1" w:styleId="Documentdate">
    <w:name w:val="| Document date"/>
    <w:link w:val="DocumentdateCar"/>
    <w:uiPriority w:val="3"/>
    <w:qFormat/>
    <w:rsid w:val="00710353"/>
    <w:pPr>
      <w:framePr w:wrap="around" w:vAnchor="page" w:hAnchor="page" w:x="852" w:y="2836"/>
      <w:spacing w:before="120" w:after="120" w:line="240" w:lineRule="auto"/>
      <w:suppressOverlap/>
    </w:pPr>
    <w:rPr>
      <w:rFonts w:eastAsia="Calibri" w:cstheme="minorHAnsi"/>
      <w:caps/>
      <w:color w:val="7F7F7F" w:themeColor="text1" w:themeTint="80"/>
      <w:spacing w:val="20"/>
      <w:sz w:val="24"/>
      <w:szCs w:val="24"/>
      <w:lang w:eastAsia="fr-FR"/>
    </w:rPr>
  </w:style>
  <w:style w:type="character" w:customStyle="1" w:styleId="DocumentdateCar">
    <w:name w:val="| Document date Car"/>
    <w:link w:val="Documentdate"/>
    <w:uiPriority w:val="3"/>
    <w:rsid w:val="00710353"/>
    <w:rPr>
      <w:rFonts w:eastAsia="Calibri" w:cstheme="minorHAnsi"/>
      <w:caps/>
      <w:color w:val="7F7F7F" w:themeColor="text1" w:themeTint="80"/>
      <w:spacing w:val="20"/>
      <w:sz w:val="24"/>
      <w:szCs w:val="24"/>
      <w:lang w:eastAsia="fr-FR"/>
    </w:rPr>
  </w:style>
  <w:style w:type="paragraph" w:customStyle="1" w:styleId="Textesparateursoulign">
    <w:name w:val="– Texte séparateur souligné"/>
    <w:next w:val="Normal"/>
    <w:link w:val="TextesparateursoulignCar"/>
    <w:uiPriority w:val="1"/>
    <w:qFormat/>
    <w:rsid w:val="00710353"/>
    <w:pPr>
      <w:pBdr>
        <w:bottom w:val="single" w:sz="18" w:space="2" w:color="000000" w:themeColor="text1"/>
      </w:pBdr>
      <w:spacing w:before="360" w:after="120" w:line="240" w:lineRule="auto"/>
    </w:pPr>
    <w:rPr>
      <w:rFonts w:asciiTheme="majorHAnsi" w:eastAsia="Calibri" w:hAnsiTheme="majorHAnsi" w:cstheme="majorHAnsi"/>
      <w:caps/>
      <w:color w:val="000000"/>
      <w:spacing w:val="10"/>
      <w:sz w:val="21"/>
      <w:szCs w:val="21"/>
      <w:lang w:eastAsia="fr-FR"/>
    </w:rPr>
  </w:style>
  <w:style w:type="character" w:customStyle="1" w:styleId="TextesparateursoulignCar">
    <w:name w:val="– Texte séparateur souligné Car"/>
    <w:link w:val="Textesparateursoulign"/>
    <w:uiPriority w:val="1"/>
    <w:rsid w:val="00710353"/>
    <w:rPr>
      <w:rFonts w:asciiTheme="majorHAnsi" w:eastAsia="Calibri" w:hAnsiTheme="majorHAnsi" w:cstheme="majorHAnsi"/>
      <w:caps/>
      <w:color w:val="000000"/>
      <w:spacing w:val="10"/>
      <w:sz w:val="21"/>
      <w:szCs w:val="21"/>
      <w:lang w:eastAsia="fr-FR"/>
    </w:rPr>
  </w:style>
  <w:style w:type="paragraph" w:customStyle="1" w:styleId="Documentgrostitre">
    <w:name w:val="| Document gros titre"/>
    <w:next w:val="Normal"/>
    <w:link w:val="DocumentgrostitreCar"/>
    <w:uiPriority w:val="3"/>
    <w:qFormat/>
    <w:rsid w:val="00557DD6"/>
    <w:pPr>
      <w:suppressAutoHyphens/>
      <w:spacing w:after="0" w:line="240" w:lineRule="auto"/>
    </w:pPr>
    <w:rPr>
      <w:rFonts w:eastAsia="Calibri" w:cstheme="majorHAnsi"/>
      <w:caps/>
      <w:color w:val="000000"/>
      <w:spacing w:val="30"/>
      <w:sz w:val="44"/>
      <w:szCs w:val="44"/>
      <w:lang w:eastAsia="fr-FR"/>
      <w14:shadow w14:blurRad="50800" w14:dist="114300" w14:dir="5400000" w14:sx="4000" w14:sy="4000" w14:kx="0" w14:ky="0" w14:algn="ctr">
        <w14:schemeClr w14:val="accent1"/>
      </w14:shadow>
    </w:rPr>
  </w:style>
  <w:style w:type="character" w:customStyle="1" w:styleId="DocumentgrostitreCar">
    <w:name w:val="| Document gros titre Car"/>
    <w:link w:val="Documentgrostitre"/>
    <w:uiPriority w:val="3"/>
    <w:rsid w:val="00557DD6"/>
    <w:rPr>
      <w:rFonts w:eastAsia="Calibri" w:cstheme="majorHAnsi"/>
      <w:caps/>
      <w:color w:val="000000"/>
      <w:spacing w:val="30"/>
      <w:sz w:val="44"/>
      <w:szCs w:val="44"/>
      <w:lang w:eastAsia="fr-FR"/>
      <w14:shadow w14:blurRad="50800" w14:dist="114300" w14:dir="5400000" w14:sx="4000" w14:sy="4000" w14:kx="0" w14:ky="0" w14:algn="ctr">
        <w14:schemeClr w14:val="accent1"/>
      </w14:shadow>
    </w:rPr>
  </w:style>
  <w:style w:type="paragraph" w:customStyle="1" w:styleId="Style2">
    <w:name w:val="Style2"/>
    <w:basedOn w:val="Titre10"/>
    <w:link w:val="Style2Car"/>
    <w:qFormat/>
    <w:rsid w:val="00D70557"/>
    <w:rPr>
      <w:rFonts w:ascii="Source Sans Pro" w:hAnsi="Source Sans Pro"/>
    </w:rPr>
  </w:style>
  <w:style w:type="paragraph" w:customStyle="1" w:styleId="Style3">
    <w:name w:val="Style3"/>
    <w:basedOn w:val="Style1"/>
    <w:link w:val="Style3Car"/>
    <w:qFormat/>
    <w:rsid w:val="00A65A69"/>
    <w:pPr>
      <w:numPr>
        <w:numId w:val="0"/>
      </w:numPr>
      <w:tabs>
        <w:tab w:val="clear" w:pos="2010"/>
        <w:tab w:val="left" w:pos="426"/>
      </w:tabs>
      <w:ind w:left="6314" w:hanging="6314"/>
    </w:pPr>
    <w:rPr>
      <w:rFonts w:ascii="Source Sans Pro" w:eastAsiaTheme="majorEastAsia" w:hAnsi="Source Sans Pro" w:cstheme="majorBidi"/>
      <w:b/>
      <w:i w:val="0"/>
      <w:iCs w:val="0"/>
      <w:color w:val="auto"/>
      <w:sz w:val="28"/>
      <w:szCs w:val="28"/>
    </w:rPr>
  </w:style>
  <w:style w:type="character" w:customStyle="1" w:styleId="Style2Car">
    <w:name w:val="Style2 Car"/>
    <w:basedOn w:val="Titre1Car"/>
    <w:link w:val="Style2"/>
    <w:rsid w:val="00D70557"/>
    <w:rPr>
      <w:rFonts w:ascii="Source Sans Pro" w:eastAsiaTheme="majorEastAsia" w:hAnsi="Source Sans Pro" w:cstheme="majorBidi"/>
      <w:b/>
      <w:sz w:val="32"/>
      <w:szCs w:val="32"/>
    </w:rPr>
  </w:style>
  <w:style w:type="paragraph" w:customStyle="1" w:styleId="Style4">
    <w:name w:val="Style4"/>
    <w:basedOn w:val="Style1"/>
    <w:link w:val="Style4Car"/>
    <w:qFormat/>
    <w:rsid w:val="00B774AB"/>
    <w:pPr>
      <w:numPr>
        <w:numId w:val="0"/>
      </w:numPr>
      <w:tabs>
        <w:tab w:val="clear" w:pos="2010"/>
        <w:tab w:val="left" w:pos="284"/>
      </w:tabs>
      <w:spacing w:after="0" w:line="240" w:lineRule="auto"/>
      <w:ind w:right="709"/>
    </w:pPr>
    <w:rPr>
      <w:rFonts w:ascii="Source Sans Pro" w:hAnsi="Source Sans Pro"/>
      <w:color w:val="800000"/>
      <w:sz w:val="26"/>
      <w:szCs w:val="26"/>
    </w:rPr>
  </w:style>
  <w:style w:type="character" w:customStyle="1" w:styleId="Style3Car">
    <w:name w:val="Style3 Car"/>
    <w:basedOn w:val="Style1Car"/>
    <w:link w:val="Style3"/>
    <w:rsid w:val="00A65A69"/>
    <w:rPr>
      <w:rFonts w:ascii="Source Sans Pro" w:eastAsiaTheme="majorEastAsia" w:hAnsi="Source Sans Pro" w:cstheme="majorBidi"/>
      <w:b/>
      <w:i w:val="0"/>
      <w:iCs w:val="0"/>
      <w:color w:val="E9D9CE" w:themeColor="accent5"/>
      <w:sz w:val="28"/>
      <w:szCs w:val="28"/>
    </w:rPr>
  </w:style>
  <w:style w:type="paragraph" w:customStyle="1" w:styleId="Texteencadr">
    <w:name w:val="– Texte encadré"/>
    <w:basedOn w:val="Normal"/>
    <w:rsid w:val="0039295E"/>
    <w:pPr>
      <w:numPr>
        <w:numId w:val="6"/>
      </w:numPr>
      <w:spacing w:after="160" w:line="259" w:lineRule="auto"/>
      <w:ind w:left="432" w:hanging="432"/>
    </w:pPr>
    <w:rPr>
      <w:rFonts w:asciiTheme="minorHAnsi" w:eastAsiaTheme="minorHAnsi" w:hAnsiTheme="minorHAnsi" w:cstheme="minorBidi"/>
      <w:sz w:val="22"/>
      <w:szCs w:val="22"/>
      <w:lang w:val="fr-FR"/>
    </w:rPr>
  </w:style>
  <w:style w:type="character" w:customStyle="1" w:styleId="Style4Car">
    <w:name w:val="Style4 Car"/>
    <w:basedOn w:val="Style1Car"/>
    <w:link w:val="Style4"/>
    <w:rsid w:val="00B774AB"/>
    <w:rPr>
      <w:rFonts w:ascii="Source Sans Pro" w:hAnsi="Source Sans Pro" w:cstheme="minorHAnsi"/>
      <w:i/>
      <w:iCs/>
      <w:color w:val="800000"/>
      <w:sz w:val="26"/>
      <w:szCs w:val="26"/>
    </w:rPr>
  </w:style>
  <w:style w:type="paragraph" w:customStyle="1" w:styleId="Pucesniveau1">
    <w:name w:val="+ Puces niveau 1"/>
    <w:link w:val="Pucesniveau1Car"/>
    <w:qFormat/>
    <w:rsid w:val="00A53E6E"/>
    <w:pPr>
      <w:spacing w:before="80" w:after="80" w:line="240" w:lineRule="auto"/>
      <w:jc w:val="both"/>
    </w:pPr>
    <w:rPr>
      <w:rFonts w:eastAsia="Calibri" w:cstheme="minorHAnsi"/>
      <w:sz w:val="20"/>
      <w:szCs w:val="20"/>
      <w:lang w:eastAsia="fr-FR"/>
    </w:rPr>
  </w:style>
  <w:style w:type="character" w:customStyle="1" w:styleId="Pucesniveau1Car">
    <w:name w:val="+ Puces niveau 1 Car"/>
    <w:link w:val="Pucesniveau1"/>
    <w:rsid w:val="00A53E6E"/>
    <w:rPr>
      <w:rFonts w:eastAsia="Calibri" w:cstheme="minorHAnsi"/>
      <w:sz w:val="20"/>
      <w:szCs w:val="20"/>
      <w:lang w:eastAsia="fr-FR"/>
    </w:rPr>
  </w:style>
  <w:style w:type="paragraph" w:customStyle="1" w:styleId="Pucesniveau2">
    <w:name w:val="+ Puces niveau 2"/>
    <w:uiPriority w:val="1"/>
    <w:qFormat/>
    <w:rsid w:val="008A7019"/>
    <w:pPr>
      <w:tabs>
        <w:tab w:val="num" w:pos="425"/>
      </w:tabs>
      <w:spacing w:before="80" w:after="80" w:line="240" w:lineRule="auto"/>
      <w:ind w:left="425" w:hanging="198"/>
      <w:jc w:val="both"/>
    </w:pPr>
    <w:rPr>
      <w:rFonts w:eastAsia="Calibri" w:cstheme="minorHAnsi"/>
      <w:color w:val="7F7F7F" w:themeColor="text1" w:themeTint="80"/>
      <w:sz w:val="18"/>
      <w:szCs w:val="18"/>
      <w:lang w:eastAsia="fr-FR"/>
    </w:rPr>
  </w:style>
  <w:style w:type="paragraph" w:customStyle="1" w:styleId="Pucesniveau3">
    <w:name w:val="+ Puces niveau 3"/>
    <w:uiPriority w:val="1"/>
    <w:qFormat/>
    <w:rsid w:val="008A7019"/>
    <w:pPr>
      <w:tabs>
        <w:tab w:val="num" w:pos="595"/>
      </w:tabs>
      <w:spacing w:before="80" w:after="40" w:line="240" w:lineRule="auto"/>
      <w:ind w:left="595" w:hanging="141"/>
      <w:jc w:val="both"/>
    </w:pPr>
    <w:rPr>
      <w:rFonts w:eastAsia="Calibri" w:cstheme="minorHAnsi"/>
      <w:color w:val="7F7F7F" w:themeColor="text1" w:themeTint="80"/>
      <w:sz w:val="18"/>
      <w:szCs w:val="18"/>
      <w:lang w:eastAsia="fr-FR"/>
    </w:rPr>
  </w:style>
  <w:style w:type="paragraph" w:customStyle="1" w:styleId="Citation0">
    <w:name w:val="– Citation"/>
    <w:basedOn w:val="Normal"/>
    <w:link w:val="CitationCar"/>
    <w:uiPriority w:val="1"/>
    <w:qFormat/>
    <w:rsid w:val="00435A74"/>
    <w:pPr>
      <w:spacing w:before="120" w:after="80" w:line="264" w:lineRule="auto"/>
    </w:pPr>
    <w:rPr>
      <w:rFonts w:asciiTheme="minorHAnsi" w:eastAsia="Calibri" w:hAnsiTheme="minorHAnsi" w:cstheme="minorHAnsi"/>
      <w:i/>
      <w:iCs/>
      <w:color w:val="000000" w:themeColor="text1"/>
      <w:sz w:val="20"/>
      <w:szCs w:val="20"/>
      <w:lang w:val="fr-FR" w:eastAsia="fr-FR"/>
    </w:rPr>
  </w:style>
  <w:style w:type="character" w:customStyle="1" w:styleId="CitationCar">
    <w:name w:val="– Citation Car"/>
    <w:basedOn w:val="Policepardfaut"/>
    <w:link w:val="Citation0"/>
    <w:uiPriority w:val="1"/>
    <w:rsid w:val="00435A74"/>
    <w:rPr>
      <w:rFonts w:eastAsia="Calibri" w:cstheme="minorHAnsi"/>
      <w:i/>
      <w:iCs/>
      <w:color w:val="000000" w:themeColor="text1"/>
      <w:sz w:val="20"/>
      <w:szCs w:val="20"/>
      <w:lang w:eastAsia="fr-FR"/>
    </w:rPr>
  </w:style>
  <w:style w:type="character" w:customStyle="1" w:styleId="scxp47660910">
    <w:name w:val="scxp47660910"/>
    <w:basedOn w:val="Policepardfaut"/>
    <w:rsid w:val="005E0AB6"/>
  </w:style>
  <w:style w:type="character" w:customStyle="1" w:styleId="textrun">
    <w:name w:val="textrun"/>
    <w:basedOn w:val="Policepardfaut"/>
    <w:rsid w:val="008577C7"/>
  </w:style>
  <w:style w:type="character" w:customStyle="1" w:styleId="scxp180035681">
    <w:name w:val="scxp180035681"/>
    <w:basedOn w:val="Policepardfaut"/>
    <w:rsid w:val="0083108B"/>
  </w:style>
  <w:style w:type="character" w:customStyle="1" w:styleId="contextualspellingandgrammarerrorzoomed">
    <w:name w:val="contextualspellingandgrammarerrorzoomed"/>
    <w:basedOn w:val="Policepardfaut"/>
    <w:rsid w:val="0083108B"/>
  </w:style>
  <w:style w:type="table" w:styleId="TableauGrille1Clair-Accentuation3">
    <w:name w:val="Grid Table 1 Light Accent 3"/>
    <w:basedOn w:val="TableauNormal"/>
    <w:uiPriority w:val="46"/>
    <w:rsid w:val="00B14801"/>
    <w:pPr>
      <w:spacing w:after="0" w:line="240" w:lineRule="auto"/>
    </w:pPr>
    <w:tblPr>
      <w:tblStyleRowBandSize w:val="1"/>
      <w:tblStyleColBandSize w:val="1"/>
      <w:tblBorders>
        <w:top w:val="single" w:sz="4" w:space="0" w:color="F2CAA0" w:themeColor="accent3" w:themeTint="66"/>
        <w:left w:val="single" w:sz="4" w:space="0" w:color="F2CAA0" w:themeColor="accent3" w:themeTint="66"/>
        <w:bottom w:val="single" w:sz="4" w:space="0" w:color="F2CAA0" w:themeColor="accent3" w:themeTint="66"/>
        <w:right w:val="single" w:sz="4" w:space="0" w:color="F2CAA0" w:themeColor="accent3" w:themeTint="66"/>
        <w:insideH w:val="single" w:sz="4" w:space="0" w:color="F2CAA0" w:themeColor="accent3" w:themeTint="66"/>
        <w:insideV w:val="single" w:sz="4" w:space="0" w:color="F2CAA0" w:themeColor="accent3" w:themeTint="66"/>
      </w:tblBorders>
    </w:tblPr>
    <w:tblStylePr w:type="firstRow">
      <w:rPr>
        <w:b/>
        <w:bCs/>
      </w:rPr>
      <w:tblPr/>
      <w:tcPr>
        <w:tcBorders>
          <w:bottom w:val="single" w:sz="12" w:space="0" w:color="EBAF71" w:themeColor="accent3" w:themeTint="99"/>
        </w:tcBorders>
      </w:tcPr>
    </w:tblStylePr>
    <w:tblStylePr w:type="lastRow">
      <w:rPr>
        <w:b/>
        <w:bCs/>
      </w:rPr>
      <w:tblPr/>
      <w:tcPr>
        <w:tcBorders>
          <w:top w:val="double" w:sz="2" w:space="0" w:color="EBAF71" w:themeColor="accent3" w:themeTint="99"/>
        </w:tcBorders>
      </w:tcPr>
    </w:tblStylePr>
    <w:tblStylePr w:type="firstCol">
      <w:rPr>
        <w:b/>
        <w:bCs/>
      </w:rPr>
    </w:tblStylePr>
    <w:tblStylePr w:type="lastCol">
      <w:rPr>
        <w:b/>
        <w:bCs/>
      </w:rPr>
    </w:tblStylePr>
  </w:style>
  <w:style w:type="table" w:styleId="TableauListe1Clair-Accentuation4">
    <w:name w:val="List Table 1 Light Accent 4"/>
    <w:basedOn w:val="TableauNormal"/>
    <w:uiPriority w:val="46"/>
    <w:rsid w:val="00B14801"/>
    <w:pPr>
      <w:spacing w:after="0" w:line="240" w:lineRule="auto"/>
    </w:pPr>
    <w:tblPr>
      <w:tblStyleRowBandSize w:val="1"/>
      <w:tblStyleColBandSize w:val="1"/>
    </w:tblPr>
    <w:tblStylePr w:type="firstRow">
      <w:rPr>
        <w:b/>
        <w:bCs/>
      </w:rPr>
      <w:tblPr/>
      <w:tcPr>
        <w:tcBorders>
          <w:bottom w:val="single" w:sz="4" w:space="0" w:color="EED0AB" w:themeColor="accent4" w:themeTint="99"/>
        </w:tcBorders>
      </w:tcPr>
    </w:tblStylePr>
    <w:tblStylePr w:type="lastRow">
      <w:rPr>
        <w:b/>
        <w:bCs/>
      </w:rPr>
      <w:tblPr/>
      <w:tcPr>
        <w:tcBorders>
          <w:top w:val="single" w:sz="4" w:space="0" w:color="EED0AB" w:themeColor="accent4" w:themeTint="99"/>
        </w:tcBorders>
      </w:tcPr>
    </w:tblStylePr>
    <w:tblStylePr w:type="firstCol">
      <w:rPr>
        <w:b/>
        <w:bCs/>
      </w:rPr>
    </w:tblStylePr>
    <w:tblStylePr w:type="lastCol">
      <w:rPr>
        <w:b/>
        <w:bCs/>
      </w:rPr>
    </w:tblStylePr>
    <w:tblStylePr w:type="band1Vert">
      <w:tblPr/>
      <w:tcPr>
        <w:shd w:val="clear" w:color="auto" w:fill="F9EFE2" w:themeFill="accent4" w:themeFillTint="33"/>
      </w:tcPr>
    </w:tblStylePr>
    <w:tblStylePr w:type="band1Horz">
      <w:tblPr/>
      <w:tcPr>
        <w:shd w:val="clear" w:color="auto" w:fill="F9EFE2" w:themeFill="accent4" w:themeFillTint="33"/>
      </w:tcPr>
    </w:tblStylePr>
  </w:style>
  <w:style w:type="character" w:customStyle="1" w:styleId="cf11">
    <w:name w:val="cf11"/>
    <w:basedOn w:val="Policepardfaut"/>
    <w:rsid w:val="00D61E51"/>
    <w:rPr>
      <w:rFonts w:ascii="Segoe UI" w:hAnsi="Segoe UI" w:cs="Segoe UI" w:hint="default"/>
      <w:sz w:val="18"/>
      <w:szCs w:val="18"/>
    </w:rPr>
  </w:style>
  <w:style w:type="character" w:customStyle="1" w:styleId="bcx0">
    <w:name w:val="bcx0"/>
    <w:basedOn w:val="Policepardfaut"/>
    <w:rsid w:val="00314C7C"/>
  </w:style>
  <w:style w:type="character" w:customStyle="1" w:styleId="scxp247974014">
    <w:name w:val="scxp247974014"/>
    <w:basedOn w:val="Policepardfaut"/>
    <w:rsid w:val="00314C7C"/>
  </w:style>
  <w:style w:type="table" w:styleId="TableauGrille1Clair-Accentuation2">
    <w:name w:val="Grid Table 1 Light Accent 2"/>
    <w:basedOn w:val="TableauNormal"/>
    <w:uiPriority w:val="46"/>
    <w:rsid w:val="00723B2C"/>
    <w:pPr>
      <w:spacing w:after="0" w:line="240" w:lineRule="auto"/>
    </w:pPr>
    <w:tblPr>
      <w:tblStyleRowBandSize w:val="1"/>
      <w:tblStyleColBandSize w:val="1"/>
      <w:tblBorders>
        <w:top w:val="single" w:sz="4" w:space="0" w:color="E39A94" w:themeColor="accent2" w:themeTint="66"/>
        <w:left w:val="single" w:sz="4" w:space="0" w:color="E39A94" w:themeColor="accent2" w:themeTint="66"/>
        <w:bottom w:val="single" w:sz="4" w:space="0" w:color="E39A94" w:themeColor="accent2" w:themeTint="66"/>
        <w:right w:val="single" w:sz="4" w:space="0" w:color="E39A94" w:themeColor="accent2" w:themeTint="66"/>
        <w:insideH w:val="single" w:sz="4" w:space="0" w:color="E39A94" w:themeColor="accent2" w:themeTint="66"/>
        <w:insideV w:val="single" w:sz="4" w:space="0" w:color="E39A94" w:themeColor="accent2" w:themeTint="66"/>
      </w:tblBorders>
    </w:tblPr>
    <w:tblStylePr w:type="firstRow">
      <w:rPr>
        <w:b/>
        <w:bCs/>
      </w:rPr>
      <w:tblPr/>
      <w:tcPr>
        <w:tcBorders>
          <w:bottom w:val="single" w:sz="12" w:space="0" w:color="D5685F" w:themeColor="accent2" w:themeTint="99"/>
        </w:tcBorders>
      </w:tcPr>
    </w:tblStylePr>
    <w:tblStylePr w:type="lastRow">
      <w:rPr>
        <w:b/>
        <w:bCs/>
      </w:rPr>
      <w:tblPr/>
      <w:tcPr>
        <w:tcBorders>
          <w:top w:val="double" w:sz="2" w:space="0" w:color="D5685F" w:themeColor="accent2" w:themeTint="99"/>
        </w:tcBorders>
      </w:tcPr>
    </w:tblStylePr>
    <w:tblStylePr w:type="firstCol">
      <w:rPr>
        <w:b/>
        <w:bCs/>
      </w:rPr>
    </w:tblStylePr>
    <w:tblStylePr w:type="lastCol">
      <w:rPr>
        <w:b/>
        <w:bCs/>
      </w:rPr>
    </w:tblStylePr>
  </w:style>
  <w:style w:type="table" w:customStyle="1" w:styleId="Grilledutableau1">
    <w:name w:val="Grille du tableau1"/>
    <w:basedOn w:val="TableauNormal"/>
    <w:uiPriority w:val="59"/>
    <w:rsid w:val="009A41B5"/>
    <w:pPr>
      <w:spacing w:after="0" w:line="240" w:lineRule="auto"/>
    </w:pPr>
    <w:rPr>
      <w:rFonts w:eastAsia="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4-Accentuation11">
    <w:name w:val="Tableau Grille 4 - Accentuation 11"/>
    <w:basedOn w:val="TableauNormal"/>
    <w:uiPriority w:val="49"/>
    <w:rsid w:val="009A41B5"/>
    <w:pPr>
      <w:spacing w:after="0" w:line="240" w:lineRule="auto"/>
    </w:pPr>
    <w:rPr>
      <w:rFonts w:eastAsia="Calibri"/>
      <w:lang w:val="en-US"/>
    </w:rPr>
    <w:tblPr>
      <w:tblStyleRowBandSize w:val="1"/>
      <w:tblStyleColBandSize w:val="1"/>
      <w:tblInd w:w="0" w:type="nil"/>
      <w:tblBorders>
        <w:top w:val="single" w:sz="4" w:space="0" w:color="58F3FF"/>
        <w:left w:val="single" w:sz="4" w:space="0" w:color="58F3FF"/>
        <w:bottom w:val="single" w:sz="4" w:space="0" w:color="58F3FF"/>
        <w:right w:val="single" w:sz="4" w:space="0" w:color="58F3FF"/>
        <w:insideH w:val="single" w:sz="4" w:space="0" w:color="58F3FF"/>
        <w:insideV w:val="single" w:sz="4" w:space="0" w:color="58F3FF"/>
      </w:tblBorders>
    </w:tblPr>
    <w:tblStylePr w:type="firstRow">
      <w:rPr>
        <w:b/>
        <w:bCs/>
        <w:color w:val="FFFFFF"/>
      </w:rPr>
      <w:tblPr/>
      <w:tcPr>
        <w:tcBorders>
          <w:top w:val="single" w:sz="4" w:space="0" w:color="00DAE9"/>
          <w:left w:val="single" w:sz="4" w:space="0" w:color="00DAE9"/>
          <w:bottom w:val="single" w:sz="4" w:space="0" w:color="00DAE9"/>
          <w:right w:val="single" w:sz="4" w:space="0" w:color="00DAE9"/>
          <w:insideH w:val="nil"/>
          <w:insideV w:val="nil"/>
        </w:tcBorders>
        <w:shd w:val="clear" w:color="auto" w:fill="00DAE9"/>
      </w:tcPr>
    </w:tblStylePr>
    <w:tblStylePr w:type="lastRow">
      <w:rPr>
        <w:b/>
        <w:bCs/>
      </w:rPr>
      <w:tblPr/>
      <w:tcPr>
        <w:tcBorders>
          <w:top w:val="double" w:sz="4" w:space="0" w:color="00DAE9"/>
        </w:tcBorders>
      </w:tcPr>
    </w:tblStylePr>
    <w:tblStylePr w:type="firstCol">
      <w:rPr>
        <w:b/>
        <w:bCs/>
      </w:rPr>
    </w:tblStylePr>
    <w:tblStylePr w:type="lastCol">
      <w:rPr>
        <w:b/>
        <w:bCs/>
      </w:rPr>
    </w:tblStylePr>
    <w:tblStylePr w:type="band1Vert">
      <w:tblPr/>
      <w:tcPr>
        <w:shd w:val="clear" w:color="auto" w:fill="C7FBFF"/>
      </w:tcPr>
    </w:tblStylePr>
    <w:tblStylePr w:type="band1Horz">
      <w:tblPr/>
      <w:tcPr>
        <w:shd w:val="clear" w:color="auto" w:fill="C7FBFF"/>
      </w:tcPr>
    </w:tblStylePr>
  </w:style>
  <w:style w:type="table" w:styleId="TableauGrille3-Accentuation2">
    <w:name w:val="Grid Table 3 Accent 2"/>
    <w:basedOn w:val="TableauNormal"/>
    <w:uiPriority w:val="48"/>
    <w:rsid w:val="000E62C2"/>
    <w:pPr>
      <w:spacing w:after="0" w:line="240" w:lineRule="auto"/>
    </w:pPr>
    <w:tblPr>
      <w:tblStyleRowBandSize w:val="1"/>
      <w:tblStyleColBandSize w:val="1"/>
      <w:tblBorders>
        <w:top w:val="single" w:sz="4" w:space="0" w:color="D5685F" w:themeColor="accent2" w:themeTint="99"/>
        <w:left w:val="single" w:sz="4" w:space="0" w:color="D5685F" w:themeColor="accent2" w:themeTint="99"/>
        <w:bottom w:val="single" w:sz="4" w:space="0" w:color="D5685F" w:themeColor="accent2" w:themeTint="99"/>
        <w:right w:val="single" w:sz="4" w:space="0" w:color="D5685F" w:themeColor="accent2" w:themeTint="99"/>
        <w:insideH w:val="single" w:sz="4" w:space="0" w:color="D5685F" w:themeColor="accent2" w:themeTint="99"/>
        <w:insideV w:val="single" w:sz="4" w:space="0" w:color="D5685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1CCC9" w:themeFill="accent2" w:themeFillTint="33"/>
      </w:tcPr>
    </w:tblStylePr>
    <w:tblStylePr w:type="band1Horz">
      <w:tblPr/>
      <w:tcPr>
        <w:shd w:val="clear" w:color="auto" w:fill="F1CCC9" w:themeFill="accent2" w:themeFillTint="33"/>
      </w:tcPr>
    </w:tblStylePr>
    <w:tblStylePr w:type="neCell">
      <w:tblPr/>
      <w:tcPr>
        <w:tcBorders>
          <w:bottom w:val="single" w:sz="4" w:space="0" w:color="D5685F" w:themeColor="accent2" w:themeTint="99"/>
        </w:tcBorders>
      </w:tcPr>
    </w:tblStylePr>
    <w:tblStylePr w:type="nwCell">
      <w:tblPr/>
      <w:tcPr>
        <w:tcBorders>
          <w:bottom w:val="single" w:sz="4" w:space="0" w:color="D5685F" w:themeColor="accent2" w:themeTint="99"/>
        </w:tcBorders>
      </w:tcPr>
    </w:tblStylePr>
    <w:tblStylePr w:type="seCell">
      <w:tblPr/>
      <w:tcPr>
        <w:tcBorders>
          <w:top w:val="single" w:sz="4" w:space="0" w:color="D5685F" w:themeColor="accent2" w:themeTint="99"/>
        </w:tcBorders>
      </w:tcPr>
    </w:tblStylePr>
    <w:tblStylePr w:type="swCell">
      <w:tblPr/>
      <w:tcPr>
        <w:tcBorders>
          <w:top w:val="single" w:sz="4" w:space="0" w:color="D5685F" w:themeColor="accent2" w:themeTint="99"/>
        </w:tcBorders>
      </w:tcPr>
    </w:tblStylePr>
  </w:style>
  <w:style w:type="table" w:styleId="TableauListe4-Accentuation4">
    <w:name w:val="List Table 4 Accent 4"/>
    <w:basedOn w:val="TableauNormal"/>
    <w:uiPriority w:val="49"/>
    <w:rsid w:val="00496922"/>
    <w:pPr>
      <w:spacing w:after="0" w:line="240" w:lineRule="auto"/>
    </w:pPr>
    <w:tblPr>
      <w:tblStyleRowBandSize w:val="1"/>
      <w:tblStyleColBandSize w:val="1"/>
      <w:tblBorders>
        <w:top w:val="single" w:sz="4" w:space="0" w:color="EED0AB" w:themeColor="accent4" w:themeTint="99"/>
        <w:left w:val="single" w:sz="4" w:space="0" w:color="EED0AB" w:themeColor="accent4" w:themeTint="99"/>
        <w:bottom w:val="single" w:sz="4" w:space="0" w:color="EED0AB" w:themeColor="accent4" w:themeTint="99"/>
        <w:right w:val="single" w:sz="4" w:space="0" w:color="EED0AB" w:themeColor="accent4" w:themeTint="99"/>
        <w:insideH w:val="single" w:sz="4" w:space="0" w:color="EED0AB" w:themeColor="accent4" w:themeTint="99"/>
      </w:tblBorders>
    </w:tblPr>
    <w:tblStylePr w:type="firstRow">
      <w:rPr>
        <w:b/>
        <w:bCs/>
        <w:color w:val="FFFFFF" w:themeColor="background1"/>
      </w:rPr>
      <w:tblPr/>
      <w:tcPr>
        <w:tcBorders>
          <w:top w:val="single" w:sz="4" w:space="0" w:color="E3B174" w:themeColor="accent4"/>
          <w:left w:val="single" w:sz="4" w:space="0" w:color="E3B174" w:themeColor="accent4"/>
          <w:bottom w:val="single" w:sz="4" w:space="0" w:color="E3B174" w:themeColor="accent4"/>
          <w:right w:val="single" w:sz="4" w:space="0" w:color="E3B174" w:themeColor="accent4"/>
          <w:insideH w:val="nil"/>
        </w:tcBorders>
        <w:shd w:val="clear" w:color="auto" w:fill="E3B174" w:themeFill="accent4"/>
      </w:tcPr>
    </w:tblStylePr>
    <w:tblStylePr w:type="lastRow">
      <w:rPr>
        <w:b/>
        <w:bCs/>
      </w:rPr>
      <w:tblPr/>
      <w:tcPr>
        <w:tcBorders>
          <w:top w:val="double" w:sz="4" w:space="0" w:color="EED0AB" w:themeColor="accent4" w:themeTint="99"/>
        </w:tcBorders>
      </w:tcPr>
    </w:tblStylePr>
    <w:tblStylePr w:type="firstCol">
      <w:rPr>
        <w:b/>
        <w:bCs/>
      </w:rPr>
    </w:tblStylePr>
    <w:tblStylePr w:type="lastCol">
      <w:rPr>
        <w:b/>
        <w:bCs/>
      </w:rPr>
    </w:tblStylePr>
    <w:tblStylePr w:type="band1Vert">
      <w:tblPr/>
      <w:tcPr>
        <w:shd w:val="clear" w:color="auto" w:fill="F9EFE2" w:themeFill="accent4" w:themeFillTint="33"/>
      </w:tcPr>
    </w:tblStylePr>
    <w:tblStylePr w:type="band1Horz">
      <w:tblPr/>
      <w:tcPr>
        <w:shd w:val="clear" w:color="auto" w:fill="F9EFE2" w:themeFill="accent4" w:themeFillTint="33"/>
      </w:tcPr>
    </w:tblStylePr>
  </w:style>
  <w:style w:type="table" w:styleId="TableauListe2-Accentuation3">
    <w:name w:val="List Table 2 Accent 3"/>
    <w:basedOn w:val="TableauNormal"/>
    <w:uiPriority w:val="47"/>
    <w:rsid w:val="00496922"/>
    <w:pPr>
      <w:spacing w:after="0" w:line="240" w:lineRule="auto"/>
    </w:pPr>
    <w:tblPr>
      <w:tblStyleRowBandSize w:val="1"/>
      <w:tblStyleColBandSize w:val="1"/>
      <w:tblBorders>
        <w:top w:val="single" w:sz="4" w:space="0" w:color="EBAF71" w:themeColor="accent3" w:themeTint="99"/>
        <w:bottom w:val="single" w:sz="4" w:space="0" w:color="EBAF71" w:themeColor="accent3" w:themeTint="99"/>
        <w:insideH w:val="single" w:sz="4" w:space="0" w:color="EBAF71"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E4CF" w:themeFill="accent3" w:themeFillTint="33"/>
      </w:tcPr>
    </w:tblStylePr>
    <w:tblStylePr w:type="band1Horz">
      <w:tblPr/>
      <w:tcPr>
        <w:shd w:val="clear" w:color="auto" w:fill="F8E4CF" w:themeFill="accent3" w:themeFillTint="33"/>
      </w:tcPr>
    </w:tblStylePr>
  </w:style>
  <w:style w:type="table" w:styleId="TableauListe3-Accentuation6">
    <w:name w:val="List Table 3 Accent 6"/>
    <w:basedOn w:val="TableauNormal"/>
    <w:uiPriority w:val="48"/>
    <w:rsid w:val="00F85C05"/>
    <w:pPr>
      <w:spacing w:after="0" w:line="240" w:lineRule="auto"/>
    </w:pPr>
    <w:tblPr>
      <w:tblStyleRowBandSize w:val="1"/>
      <w:tblStyleColBandSize w:val="1"/>
      <w:tblBorders>
        <w:top w:val="single" w:sz="4" w:space="0" w:color="DBE1ED" w:themeColor="accent6"/>
        <w:left w:val="single" w:sz="4" w:space="0" w:color="DBE1ED" w:themeColor="accent6"/>
        <w:bottom w:val="single" w:sz="4" w:space="0" w:color="DBE1ED" w:themeColor="accent6"/>
        <w:right w:val="single" w:sz="4" w:space="0" w:color="DBE1ED" w:themeColor="accent6"/>
      </w:tblBorders>
    </w:tblPr>
    <w:tblStylePr w:type="firstRow">
      <w:rPr>
        <w:b/>
        <w:bCs/>
        <w:color w:val="FFFFFF" w:themeColor="background1"/>
      </w:rPr>
      <w:tblPr/>
      <w:tcPr>
        <w:shd w:val="clear" w:color="auto" w:fill="DBE1ED" w:themeFill="accent6"/>
      </w:tcPr>
    </w:tblStylePr>
    <w:tblStylePr w:type="lastRow">
      <w:rPr>
        <w:b/>
        <w:bCs/>
      </w:rPr>
      <w:tblPr/>
      <w:tcPr>
        <w:tcBorders>
          <w:top w:val="double" w:sz="4" w:space="0" w:color="DBE1ED"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BE1ED" w:themeColor="accent6"/>
          <w:right w:val="single" w:sz="4" w:space="0" w:color="DBE1ED" w:themeColor="accent6"/>
        </w:tcBorders>
      </w:tcPr>
    </w:tblStylePr>
    <w:tblStylePr w:type="band1Horz">
      <w:tblPr/>
      <w:tcPr>
        <w:tcBorders>
          <w:top w:val="single" w:sz="4" w:space="0" w:color="DBE1ED" w:themeColor="accent6"/>
          <w:bottom w:val="single" w:sz="4" w:space="0" w:color="DBE1ED"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BE1ED" w:themeColor="accent6"/>
          <w:left w:val="nil"/>
        </w:tcBorders>
      </w:tcPr>
    </w:tblStylePr>
    <w:tblStylePr w:type="swCell">
      <w:tblPr/>
      <w:tcPr>
        <w:tcBorders>
          <w:top w:val="double" w:sz="4" w:space="0" w:color="DBE1ED" w:themeColor="accent6"/>
          <w:right w:val="nil"/>
        </w:tcBorders>
      </w:tcPr>
    </w:tblStylePr>
  </w:style>
  <w:style w:type="table" w:styleId="TableauGrille1Clair-Accentuation1">
    <w:name w:val="Grid Table 1 Light Accent 1"/>
    <w:basedOn w:val="TableauNormal"/>
    <w:uiPriority w:val="46"/>
    <w:rsid w:val="003A0B86"/>
    <w:pPr>
      <w:spacing w:after="0" w:line="240" w:lineRule="auto"/>
    </w:pPr>
    <w:tblPr>
      <w:tblStyleRowBandSize w:val="1"/>
      <w:tblStyleColBandSize w:val="1"/>
      <w:tblBorders>
        <w:top w:val="single" w:sz="4" w:space="0" w:color="FFED99" w:themeColor="accent1" w:themeTint="66"/>
        <w:left w:val="single" w:sz="4" w:space="0" w:color="FFED99" w:themeColor="accent1" w:themeTint="66"/>
        <w:bottom w:val="single" w:sz="4" w:space="0" w:color="FFED99" w:themeColor="accent1" w:themeTint="66"/>
        <w:right w:val="single" w:sz="4" w:space="0" w:color="FFED99" w:themeColor="accent1" w:themeTint="66"/>
        <w:insideH w:val="single" w:sz="4" w:space="0" w:color="FFED99" w:themeColor="accent1" w:themeTint="66"/>
        <w:insideV w:val="single" w:sz="4" w:space="0" w:color="FFED99" w:themeColor="accent1" w:themeTint="66"/>
      </w:tblBorders>
    </w:tblPr>
    <w:tblStylePr w:type="firstRow">
      <w:rPr>
        <w:b/>
        <w:bCs/>
      </w:rPr>
      <w:tblPr/>
      <w:tcPr>
        <w:tcBorders>
          <w:bottom w:val="single" w:sz="12" w:space="0" w:color="FFE566" w:themeColor="accent1" w:themeTint="99"/>
        </w:tcBorders>
      </w:tcPr>
    </w:tblStylePr>
    <w:tblStylePr w:type="lastRow">
      <w:rPr>
        <w:b/>
        <w:bCs/>
      </w:rPr>
      <w:tblPr/>
      <w:tcPr>
        <w:tcBorders>
          <w:top w:val="double" w:sz="2" w:space="0" w:color="FFE566" w:themeColor="accent1" w:themeTint="99"/>
        </w:tcBorders>
      </w:tcPr>
    </w:tblStylePr>
    <w:tblStylePr w:type="firstCol">
      <w:rPr>
        <w:b/>
        <w:bCs/>
      </w:rPr>
    </w:tblStylePr>
    <w:tblStylePr w:type="lastCol">
      <w:rPr>
        <w:b/>
        <w:bCs/>
      </w:rPr>
    </w:tblStylePr>
  </w:style>
  <w:style w:type="table" w:styleId="TableauGrille7Couleur">
    <w:name w:val="Grid Table 7 Colorful"/>
    <w:basedOn w:val="TableauNormal"/>
    <w:uiPriority w:val="52"/>
    <w:rsid w:val="00864FF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eauGrille4-Accentuation3">
    <w:name w:val="Grid Table 4 Accent 3"/>
    <w:basedOn w:val="TableauNormal"/>
    <w:uiPriority w:val="49"/>
    <w:rsid w:val="000E6263"/>
    <w:pPr>
      <w:spacing w:after="0" w:line="240" w:lineRule="auto"/>
    </w:pPr>
    <w:tblPr>
      <w:tblStyleRowBandSize w:val="1"/>
      <w:tblStyleColBandSize w:val="1"/>
      <w:tblBorders>
        <w:top w:val="single" w:sz="4" w:space="0" w:color="EBAF71" w:themeColor="accent3" w:themeTint="99"/>
        <w:left w:val="single" w:sz="4" w:space="0" w:color="EBAF71" w:themeColor="accent3" w:themeTint="99"/>
        <w:bottom w:val="single" w:sz="4" w:space="0" w:color="EBAF71" w:themeColor="accent3" w:themeTint="99"/>
        <w:right w:val="single" w:sz="4" w:space="0" w:color="EBAF71" w:themeColor="accent3" w:themeTint="99"/>
        <w:insideH w:val="single" w:sz="4" w:space="0" w:color="EBAF71" w:themeColor="accent3" w:themeTint="99"/>
        <w:insideV w:val="single" w:sz="4" w:space="0" w:color="EBAF71" w:themeColor="accent3" w:themeTint="99"/>
      </w:tblBorders>
    </w:tblPr>
    <w:tblStylePr w:type="firstRow">
      <w:rPr>
        <w:b/>
        <w:bCs/>
        <w:color w:val="FFFFFF" w:themeColor="background1"/>
      </w:rPr>
      <w:tblPr/>
      <w:tcPr>
        <w:tcBorders>
          <w:top w:val="single" w:sz="4" w:space="0" w:color="D57B1D" w:themeColor="accent3"/>
          <w:left w:val="single" w:sz="4" w:space="0" w:color="D57B1D" w:themeColor="accent3"/>
          <w:bottom w:val="single" w:sz="4" w:space="0" w:color="D57B1D" w:themeColor="accent3"/>
          <w:right w:val="single" w:sz="4" w:space="0" w:color="D57B1D" w:themeColor="accent3"/>
          <w:insideH w:val="nil"/>
          <w:insideV w:val="nil"/>
        </w:tcBorders>
        <w:shd w:val="clear" w:color="auto" w:fill="D57B1D" w:themeFill="accent3"/>
      </w:tcPr>
    </w:tblStylePr>
    <w:tblStylePr w:type="lastRow">
      <w:rPr>
        <w:b/>
        <w:bCs/>
      </w:rPr>
      <w:tblPr/>
      <w:tcPr>
        <w:tcBorders>
          <w:top w:val="double" w:sz="4" w:space="0" w:color="D57B1D" w:themeColor="accent3"/>
        </w:tcBorders>
      </w:tcPr>
    </w:tblStylePr>
    <w:tblStylePr w:type="firstCol">
      <w:rPr>
        <w:b/>
        <w:bCs/>
      </w:rPr>
    </w:tblStylePr>
    <w:tblStylePr w:type="lastCol">
      <w:rPr>
        <w:b/>
        <w:bCs/>
      </w:rPr>
    </w:tblStylePr>
    <w:tblStylePr w:type="band1Vert">
      <w:tblPr/>
      <w:tcPr>
        <w:shd w:val="clear" w:color="auto" w:fill="F8E4CF" w:themeFill="accent3" w:themeFillTint="33"/>
      </w:tcPr>
    </w:tblStylePr>
    <w:tblStylePr w:type="band1Horz">
      <w:tblPr/>
      <w:tcPr>
        <w:shd w:val="clear" w:color="auto" w:fill="F8E4CF" w:themeFill="accent3" w:themeFillTint="33"/>
      </w:tcPr>
    </w:tblStylePr>
  </w:style>
  <w:style w:type="paragraph" w:styleId="z-Hautduformulaire">
    <w:name w:val="HTML Top of Form"/>
    <w:basedOn w:val="Normal"/>
    <w:next w:val="Normal"/>
    <w:link w:val="z-HautduformulaireCar"/>
    <w:hidden/>
    <w:uiPriority w:val="99"/>
    <w:semiHidden/>
    <w:unhideWhenUsed/>
    <w:rsid w:val="00322672"/>
    <w:pPr>
      <w:pBdr>
        <w:bottom w:val="single" w:sz="6" w:space="1" w:color="auto"/>
      </w:pBdr>
      <w:jc w:val="center"/>
    </w:pPr>
    <w:rPr>
      <w:rFonts w:ascii="Arial" w:hAnsi="Arial" w:cs="Arial"/>
      <w:vanish/>
      <w:sz w:val="16"/>
      <w:szCs w:val="16"/>
      <w:lang w:val="fr-FR" w:eastAsia="fr-FR"/>
    </w:rPr>
  </w:style>
  <w:style w:type="character" w:customStyle="1" w:styleId="z-HautduformulaireCar">
    <w:name w:val="z-Haut du formulaire Car"/>
    <w:basedOn w:val="Policepardfaut"/>
    <w:link w:val="z-Hautduformulaire"/>
    <w:uiPriority w:val="99"/>
    <w:semiHidden/>
    <w:rsid w:val="00322672"/>
    <w:rPr>
      <w:rFonts w:ascii="Arial" w:eastAsia="Times New Roman" w:hAnsi="Arial" w:cs="Arial"/>
      <w:vanish/>
      <w:sz w:val="16"/>
      <w:szCs w:val="16"/>
      <w:lang w:eastAsia="fr-FR"/>
    </w:rPr>
  </w:style>
  <w:style w:type="paragraph" w:styleId="z-Basduformulaire">
    <w:name w:val="HTML Bottom of Form"/>
    <w:basedOn w:val="Normal"/>
    <w:next w:val="Normal"/>
    <w:link w:val="z-BasduformulaireCar"/>
    <w:hidden/>
    <w:uiPriority w:val="99"/>
    <w:semiHidden/>
    <w:unhideWhenUsed/>
    <w:rsid w:val="00322672"/>
    <w:pPr>
      <w:pBdr>
        <w:top w:val="single" w:sz="6" w:space="1" w:color="auto"/>
      </w:pBdr>
      <w:jc w:val="center"/>
    </w:pPr>
    <w:rPr>
      <w:rFonts w:ascii="Arial" w:hAnsi="Arial" w:cs="Arial"/>
      <w:vanish/>
      <w:sz w:val="16"/>
      <w:szCs w:val="16"/>
      <w:lang w:val="fr-FR" w:eastAsia="fr-FR"/>
    </w:rPr>
  </w:style>
  <w:style w:type="character" w:customStyle="1" w:styleId="z-BasduformulaireCar">
    <w:name w:val="z-Bas du formulaire Car"/>
    <w:basedOn w:val="Policepardfaut"/>
    <w:link w:val="z-Basduformulaire"/>
    <w:uiPriority w:val="99"/>
    <w:semiHidden/>
    <w:rsid w:val="00322672"/>
    <w:rPr>
      <w:rFonts w:ascii="Arial" w:eastAsia="Times New Roman" w:hAnsi="Arial" w:cs="Arial"/>
      <w:vanish/>
      <w:sz w:val="16"/>
      <w:szCs w:val="16"/>
      <w:lang w:eastAsia="fr-FR"/>
    </w:rPr>
  </w:style>
  <w:style w:type="paragraph" w:customStyle="1" w:styleId="summary">
    <w:name w:val="summary"/>
    <w:basedOn w:val="Normal"/>
    <w:rsid w:val="00BC5D4E"/>
    <w:pPr>
      <w:spacing w:before="100" w:beforeAutospacing="1" w:after="100" w:afterAutospacing="1"/>
    </w:pPr>
    <w:rPr>
      <w:lang w:val="fr-FR" w:eastAsia="fr-FR"/>
    </w:rPr>
  </w:style>
  <w:style w:type="paragraph" w:customStyle="1" w:styleId="Heading1Text">
    <w:name w:val="Heading 1 Text"/>
    <w:basedOn w:val="Normal"/>
    <w:qFormat/>
    <w:rsid w:val="00146050"/>
    <w:pPr>
      <w:widowControl w:val="0"/>
      <w:autoSpaceDE w:val="0"/>
      <w:autoSpaceDN w:val="0"/>
      <w:adjustRightInd w:val="0"/>
      <w:spacing w:after="200" w:line="240" w:lineRule="atLeast"/>
      <w:ind w:left="426"/>
      <w:textAlignment w:val="center"/>
    </w:pPr>
    <w:rPr>
      <w:rFonts w:asciiTheme="minorHAnsi" w:eastAsiaTheme="minorHAnsi" w:hAnsiTheme="minorHAnsi" w:cs="FrutigerLTStd-Light"/>
      <w:color w:val="51626F"/>
      <w:sz w:val="17"/>
      <w:szCs w:val="17"/>
      <w:lang w:val="fr-FR"/>
    </w:rPr>
  </w:style>
  <w:style w:type="numbering" w:customStyle="1" w:styleId="Listeactuelle1">
    <w:name w:val="Liste actuelle1"/>
    <w:uiPriority w:val="99"/>
    <w:rsid w:val="00643034"/>
    <w:pPr>
      <w:numPr>
        <w:numId w:val="45"/>
      </w:numPr>
    </w:pPr>
  </w:style>
  <w:style w:type="paragraph" w:customStyle="1" w:styleId="msonormal0">
    <w:name w:val="msonormal"/>
    <w:basedOn w:val="Normal"/>
    <w:rsid w:val="00BA6302"/>
    <w:pPr>
      <w:spacing w:before="100" w:beforeAutospacing="1" w:after="100" w:afterAutospacing="1"/>
    </w:pPr>
  </w:style>
  <w:style w:type="paragraph" w:customStyle="1" w:styleId="xl77">
    <w:name w:val="xl77"/>
    <w:basedOn w:val="Normal"/>
    <w:rsid w:val="00BA6302"/>
    <w:pPr>
      <w:spacing w:before="100" w:beforeAutospacing="1" w:after="100" w:afterAutospacing="1"/>
      <w:jc w:val="center"/>
      <w:textAlignment w:val="center"/>
    </w:pPr>
  </w:style>
  <w:style w:type="paragraph" w:customStyle="1" w:styleId="xl78">
    <w:name w:val="xl78"/>
    <w:basedOn w:val="Normal"/>
    <w:rsid w:val="00BA6302"/>
    <w:pPr>
      <w:shd w:val="clear" w:color="000000" w:fill="D57B1D"/>
      <w:spacing w:before="100" w:beforeAutospacing="1" w:after="100" w:afterAutospacing="1"/>
      <w:jc w:val="both"/>
      <w:textAlignment w:val="center"/>
    </w:pPr>
    <w:rPr>
      <w:b/>
      <w:bCs/>
      <w:color w:val="FFFFFF"/>
      <w:sz w:val="20"/>
      <w:szCs w:val="20"/>
    </w:rPr>
  </w:style>
  <w:style w:type="paragraph" w:customStyle="1" w:styleId="xl79">
    <w:name w:val="xl79"/>
    <w:basedOn w:val="Normal"/>
    <w:rsid w:val="00BA6302"/>
    <w:pPr>
      <w:spacing w:before="100" w:beforeAutospacing="1" w:after="100" w:afterAutospacing="1"/>
      <w:jc w:val="center"/>
      <w:textAlignment w:val="center"/>
    </w:pPr>
    <w:rPr>
      <w:color w:val="000000"/>
      <w:sz w:val="20"/>
      <w:szCs w:val="20"/>
    </w:rPr>
  </w:style>
  <w:style w:type="paragraph" w:customStyle="1" w:styleId="xl80">
    <w:name w:val="xl80"/>
    <w:basedOn w:val="Normal"/>
    <w:rsid w:val="00205B2F"/>
    <w:pPr>
      <w:shd w:val="clear" w:color="000000" w:fill="D57B1D"/>
      <w:spacing w:before="100" w:beforeAutospacing="1" w:after="100" w:afterAutospacing="1"/>
      <w:jc w:val="both"/>
      <w:textAlignment w:val="center"/>
    </w:pPr>
    <w:rPr>
      <w:b/>
      <w:bCs/>
      <w:color w:val="FFFFFF"/>
      <w:sz w:val="20"/>
      <w:szCs w:val="20"/>
    </w:rPr>
  </w:style>
  <w:style w:type="paragraph" w:customStyle="1" w:styleId="xl81">
    <w:name w:val="xl81"/>
    <w:basedOn w:val="Normal"/>
    <w:rsid w:val="00205B2F"/>
    <w:pPr>
      <w:spacing w:before="100" w:beforeAutospacing="1" w:after="100" w:afterAutospacing="1"/>
      <w:jc w:val="center"/>
      <w:textAlignment w:val="center"/>
    </w:pPr>
    <w:rPr>
      <w:color w:val="000000"/>
      <w:sz w:val="20"/>
      <w:szCs w:val="20"/>
    </w:rPr>
  </w:style>
  <w:style w:type="paragraph" w:customStyle="1" w:styleId="Style5">
    <w:name w:val="Style5"/>
    <w:basedOn w:val="Paragraphedeliste"/>
    <w:link w:val="Style5Car"/>
    <w:qFormat/>
    <w:rsid w:val="00CA7268"/>
    <w:pPr>
      <w:numPr>
        <w:ilvl w:val="1"/>
        <w:numId w:val="9"/>
      </w:numPr>
    </w:pPr>
  </w:style>
  <w:style w:type="character" w:customStyle="1" w:styleId="Style5Car">
    <w:name w:val="Style5 Car"/>
    <w:basedOn w:val="ParagraphedelisteCar"/>
    <w:link w:val="Style5"/>
    <w:rsid w:val="00CA7268"/>
  </w:style>
  <w:style w:type="character" w:customStyle="1" w:styleId="Numro3">
    <w:name w:val="Numéro 3"/>
    <w:uiPriority w:val="1"/>
    <w:qFormat/>
    <w:rsid w:val="00CF45C9"/>
    <w:rPr>
      <w:rFonts w:asciiTheme="minorHAnsi" w:hAnsiTheme="minorHAnsi"/>
      <w:b/>
      <w:sz w:val="32"/>
    </w:rPr>
  </w:style>
  <w:style w:type="character" w:customStyle="1" w:styleId="33333333">
    <w:name w:val="33333333"/>
    <w:basedOn w:val="Numro3"/>
    <w:uiPriority w:val="1"/>
    <w:qFormat/>
    <w:rsid w:val="00CF45C9"/>
    <w:rPr>
      <w:rFonts w:asciiTheme="minorHAnsi" w:hAnsiTheme="minorHAnsi"/>
      <w:b/>
      <w:color w:val="000000" w:themeColor="text1"/>
      <w:sz w:val="32"/>
    </w:rPr>
  </w:style>
  <w:style w:type="paragraph" w:customStyle="1" w:styleId="StyleYO">
    <w:name w:val="Style YO"/>
    <w:basedOn w:val="Style2"/>
    <w:link w:val="StyleYOCar"/>
    <w:qFormat/>
    <w:rsid w:val="00142BA8"/>
    <w:pPr>
      <w:numPr>
        <w:numId w:val="66"/>
      </w:numPr>
      <w:spacing w:line="276" w:lineRule="auto"/>
    </w:pPr>
    <w:rPr>
      <w:rFonts w:asciiTheme="minorHAnsi" w:hAnsiTheme="minorHAnsi" w:cs="Open Sans"/>
      <w:sz w:val="36"/>
      <w:szCs w:val="36"/>
    </w:rPr>
  </w:style>
  <w:style w:type="character" w:customStyle="1" w:styleId="StyleYOCar">
    <w:name w:val="Style YO Car"/>
    <w:basedOn w:val="Style2Car"/>
    <w:link w:val="StyleYO"/>
    <w:rsid w:val="00142BA8"/>
    <w:rPr>
      <w:rFonts w:ascii="Source Sans Pro" w:eastAsiaTheme="majorEastAsia" w:hAnsi="Source Sans Pro" w:cs="Open Sans"/>
      <w:b/>
      <w:sz w:val="36"/>
      <w:szCs w:val="36"/>
    </w:rPr>
  </w:style>
  <w:style w:type="character" w:customStyle="1" w:styleId="CommentReference">
    <w:name w:val="Comment Reference"/>
    <w:basedOn w:val="Policepardfaut"/>
    <w:uiPriority w:val="99"/>
    <w:semiHidden/>
    <w:unhideWhenUsed/>
    <w:rsid w:val="00772848"/>
    <w:rPr>
      <w:sz w:val="16"/>
      <w:szCs w:val="16"/>
    </w:rPr>
  </w:style>
  <w:style w:type="paragraph" w:customStyle="1" w:styleId="CommentText">
    <w:name w:val="Comment Text"/>
    <w:basedOn w:val="Normal"/>
    <w:link w:val="CommentTextChar"/>
    <w:uiPriority w:val="99"/>
    <w:unhideWhenUsed/>
    <w:rsid w:val="00772848"/>
    <w:pPr>
      <w:spacing w:after="160"/>
    </w:pPr>
    <w:rPr>
      <w:rFonts w:asciiTheme="minorHAnsi" w:eastAsiaTheme="minorHAnsi" w:hAnsiTheme="minorHAnsi" w:cstheme="minorBidi"/>
      <w:sz w:val="20"/>
      <w:szCs w:val="20"/>
      <w:lang w:val="fr-FR"/>
    </w:rPr>
  </w:style>
  <w:style w:type="character" w:customStyle="1" w:styleId="CommentTextChar">
    <w:name w:val="Comment Text Char"/>
    <w:basedOn w:val="Policepardfaut"/>
    <w:link w:val="CommentText"/>
    <w:uiPriority w:val="99"/>
    <w:rsid w:val="00772848"/>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008173">
      <w:bodyDiv w:val="1"/>
      <w:marLeft w:val="0"/>
      <w:marRight w:val="0"/>
      <w:marTop w:val="0"/>
      <w:marBottom w:val="0"/>
      <w:divBdr>
        <w:top w:val="none" w:sz="0" w:space="0" w:color="auto"/>
        <w:left w:val="none" w:sz="0" w:space="0" w:color="auto"/>
        <w:bottom w:val="none" w:sz="0" w:space="0" w:color="auto"/>
        <w:right w:val="none" w:sz="0" w:space="0" w:color="auto"/>
      </w:divBdr>
    </w:div>
    <w:div w:id="16659007">
      <w:bodyDiv w:val="1"/>
      <w:marLeft w:val="0"/>
      <w:marRight w:val="0"/>
      <w:marTop w:val="0"/>
      <w:marBottom w:val="0"/>
      <w:divBdr>
        <w:top w:val="none" w:sz="0" w:space="0" w:color="auto"/>
        <w:left w:val="none" w:sz="0" w:space="0" w:color="auto"/>
        <w:bottom w:val="none" w:sz="0" w:space="0" w:color="auto"/>
        <w:right w:val="none" w:sz="0" w:space="0" w:color="auto"/>
      </w:divBdr>
    </w:div>
    <w:div w:id="18821649">
      <w:bodyDiv w:val="1"/>
      <w:marLeft w:val="0"/>
      <w:marRight w:val="0"/>
      <w:marTop w:val="0"/>
      <w:marBottom w:val="0"/>
      <w:divBdr>
        <w:top w:val="none" w:sz="0" w:space="0" w:color="auto"/>
        <w:left w:val="none" w:sz="0" w:space="0" w:color="auto"/>
        <w:bottom w:val="none" w:sz="0" w:space="0" w:color="auto"/>
        <w:right w:val="none" w:sz="0" w:space="0" w:color="auto"/>
      </w:divBdr>
    </w:div>
    <w:div w:id="19090821">
      <w:bodyDiv w:val="1"/>
      <w:marLeft w:val="0"/>
      <w:marRight w:val="0"/>
      <w:marTop w:val="0"/>
      <w:marBottom w:val="0"/>
      <w:divBdr>
        <w:top w:val="none" w:sz="0" w:space="0" w:color="auto"/>
        <w:left w:val="none" w:sz="0" w:space="0" w:color="auto"/>
        <w:bottom w:val="none" w:sz="0" w:space="0" w:color="auto"/>
        <w:right w:val="none" w:sz="0" w:space="0" w:color="auto"/>
      </w:divBdr>
    </w:div>
    <w:div w:id="31733114">
      <w:bodyDiv w:val="1"/>
      <w:marLeft w:val="0"/>
      <w:marRight w:val="0"/>
      <w:marTop w:val="0"/>
      <w:marBottom w:val="0"/>
      <w:divBdr>
        <w:top w:val="none" w:sz="0" w:space="0" w:color="auto"/>
        <w:left w:val="none" w:sz="0" w:space="0" w:color="auto"/>
        <w:bottom w:val="none" w:sz="0" w:space="0" w:color="auto"/>
        <w:right w:val="none" w:sz="0" w:space="0" w:color="auto"/>
      </w:divBdr>
      <w:divsChild>
        <w:div w:id="1902061534">
          <w:marLeft w:val="0"/>
          <w:marRight w:val="0"/>
          <w:marTop w:val="0"/>
          <w:marBottom w:val="240"/>
          <w:divBdr>
            <w:top w:val="none" w:sz="0" w:space="0" w:color="auto"/>
            <w:left w:val="none" w:sz="0" w:space="0" w:color="auto"/>
            <w:bottom w:val="none" w:sz="0" w:space="0" w:color="auto"/>
            <w:right w:val="none" w:sz="0" w:space="0" w:color="auto"/>
          </w:divBdr>
        </w:div>
      </w:divsChild>
    </w:div>
    <w:div w:id="37584797">
      <w:bodyDiv w:val="1"/>
      <w:marLeft w:val="0"/>
      <w:marRight w:val="0"/>
      <w:marTop w:val="0"/>
      <w:marBottom w:val="0"/>
      <w:divBdr>
        <w:top w:val="none" w:sz="0" w:space="0" w:color="auto"/>
        <w:left w:val="none" w:sz="0" w:space="0" w:color="auto"/>
        <w:bottom w:val="none" w:sz="0" w:space="0" w:color="auto"/>
        <w:right w:val="none" w:sz="0" w:space="0" w:color="auto"/>
      </w:divBdr>
    </w:div>
    <w:div w:id="38747857">
      <w:bodyDiv w:val="1"/>
      <w:marLeft w:val="0"/>
      <w:marRight w:val="0"/>
      <w:marTop w:val="0"/>
      <w:marBottom w:val="0"/>
      <w:divBdr>
        <w:top w:val="none" w:sz="0" w:space="0" w:color="auto"/>
        <w:left w:val="none" w:sz="0" w:space="0" w:color="auto"/>
        <w:bottom w:val="none" w:sz="0" w:space="0" w:color="auto"/>
        <w:right w:val="none" w:sz="0" w:space="0" w:color="auto"/>
      </w:divBdr>
    </w:div>
    <w:div w:id="46732625">
      <w:bodyDiv w:val="1"/>
      <w:marLeft w:val="0"/>
      <w:marRight w:val="0"/>
      <w:marTop w:val="0"/>
      <w:marBottom w:val="0"/>
      <w:divBdr>
        <w:top w:val="none" w:sz="0" w:space="0" w:color="auto"/>
        <w:left w:val="none" w:sz="0" w:space="0" w:color="auto"/>
        <w:bottom w:val="none" w:sz="0" w:space="0" w:color="auto"/>
        <w:right w:val="none" w:sz="0" w:space="0" w:color="auto"/>
      </w:divBdr>
    </w:div>
    <w:div w:id="52824684">
      <w:bodyDiv w:val="1"/>
      <w:marLeft w:val="0"/>
      <w:marRight w:val="0"/>
      <w:marTop w:val="0"/>
      <w:marBottom w:val="0"/>
      <w:divBdr>
        <w:top w:val="none" w:sz="0" w:space="0" w:color="auto"/>
        <w:left w:val="none" w:sz="0" w:space="0" w:color="auto"/>
        <w:bottom w:val="none" w:sz="0" w:space="0" w:color="auto"/>
        <w:right w:val="none" w:sz="0" w:space="0" w:color="auto"/>
      </w:divBdr>
      <w:divsChild>
        <w:div w:id="1082213404">
          <w:marLeft w:val="0"/>
          <w:marRight w:val="0"/>
          <w:marTop w:val="0"/>
          <w:marBottom w:val="0"/>
          <w:divBdr>
            <w:top w:val="none" w:sz="0" w:space="0" w:color="auto"/>
            <w:left w:val="none" w:sz="0" w:space="0" w:color="auto"/>
            <w:bottom w:val="none" w:sz="0" w:space="0" w:color="auto"/>
            <w:right w:val="none" w:sz="0" w:space="0" w:color="auto"/>
          </w:divBdr>
        </w:div>
      </w:divsChild>
    </w:div>
    <w:div w:id="56363870">
      <w:bodyDiv w:val="1"/>
      <w:marLeft w:val="0"/>
      <w:marRight w:val="0"/>
      <w:marTop w:val="0"/>
      <w:marBottom w:val="0"/>
      <w:divBdr>
        <w:top w:val="none" w:sz="0" w:space="0" w:color="auto"/>
        <w:left w:val="none" w:sz="0" w:space="0" w:color="auto"/>
        <w:bottom w:val="none" w:sz="0" w:space="0" w:color="auto"/>
        <w:right w:val="none" w:sz="0" w:space="0" w:color="auto"/>
      </w:divBdr>
      <w:divsChild>
        <w:div w:id="1773740988">
          <w:marLeft w:val="0"/>
          <w:marRight w:val="0"/>
          <w:marTop w:val="0"/>
          <w:marBottom w:val="0"/>
          <w:divBdr>
            <w:top w:val="none" w:sz="0" w:space="0" w:color="auto"/>
            <w:left w:val="none" w:sz="0" w:space="0" w:color="auto"/>
            <w:bottom w:val="none" w:sz="0" w:space="0" w:color="auto"/>
            <w:right w:val="none" w:sz="0" w:space="0" w:color="auto"/>
          </w:divBdr>
        </w:div>
      </w:divsChild>
    </w:div>
    <w:div w:id="59989654">
      <w:bodyDiv w:val="1"/>
      <w:marLeft w:val="0"/>
      <w:marRight w:val="0"/>
      <w:marTop w:val="0"/>
      <w:marBottom w:val="0"/>
      <w:divBdr>
        <w:top w:val="none" w:sz="0" w:space="0" w:color="auto"/>
        <w:left w:val="none" w:sz="0" w:space="0" w:color="auto"/>
        <w:bottom w:val="none" w:sz="0" w:space="0" w:color="auto"/>
        <w:right w:val="none" w:sz="0" w:space="0" w:color="auto"/>
      </w:divBdr>
    </w:div>
    <w:div w:id="60450707">
      <w:bodyDiv w:val="1"/>
      <w:marLeft w:val="0"/>
      <w:marRight w:val="0"/>
      <w:marTop w:val="0"/>
      <w:marBottom w:val="0"/>
      <w:divBdr>
        <w:top w:val="none" w:sz="0" w:space="0" w:color="auto"/>
        <w:left w:val="none" w:sz="0" w:space="0" w:color="auto"/>
        <w:bottom w:val="none" w:sz="0" w:space="0" w:color="auto"/>
        <w:right w:val="none" w:sz="0" w:space="0" w:color="auto"/>
      </w:divBdr>
    </w:div>
    <w:div w:id="62726914">
      <w:bodyDiv w:val="1"/>
      <w:marLeft w:val="0"/>
      <w:marRight w:val="0"/>
      <w:marTop w:val="0"/>
      <w:marBottom w:val="0"/>
      <w:divBdr>
        <w:top w:val="none" w:sz="0" w:space="0" w:color="auto"/>
        <w:left w:val="none" w:sz="0" w:space="0" w:color="auto"/>
        <w:bottom w:val="none" w:sz="0" w:space="0" w:color="auto"/>
        <w:right w:val="none" w:sz="0" w:space="0" w:color="auto"/>
      </w:divBdr>
    </w:div>
    <w:div w:id="81729613">
      <w:bodyDiv w:val="1"/>
      <w:marLeft w:val="0"/>
      <w:marRight w:val="0"/>
      <w:marTop w:val="0"/>
      <w:marBottom w:val="0"/>
      <w:divBdr>
        <w:top w:val="none" w:sz="0" w:space="0" w:color="auto"/>
        <w:left w:val="none" w:sz="0" w:space="0" w:color="auto"/>
        <w:bottom w:val="none" w:sz="0" w:space="0" w:color="auto"/>
        <w:right w:val="none" w:sz="0" w:space="0" w:color="auto"/>
      </w:divBdr>
    </w:div>
    <w:div w:id="90472330">
      <w:bodyDiv w:val="1"/>
      <w:marLeft w:val="0"/>
      <w:marRight w:val="0"/>
      <w:marTop w:val="0"/>
      <w:marBottom w:val="0"/>
      <w:divBdr>
        <w:top w:val="none" w:sz="0" w:space="0" w:color="auto"/>
        <w:left w:val="none" w:sz="0" w:space="0" w:color="auto"/>
        <w:bottom w:val="none" w:sz="0" w:space="0" w:color="auto"/>
        <w:right w:val="none" w:sz="0" w:space="0" w:color="auto"/>
      </w:divBdr>
      <w:divsChild>
        <w:div w:id="1802072105">
          <w:marLeft w:val="0"/>
          <w:marRight w:val="0"/>
          <w:marTop w:val="0"/>
          <w:marBottom w:val="0"/>
          <w:divBdr>
            <w:top w:val="none" w:sz="0" w:space="0" w:color="auto"/>
            <w:left w:val="none" w:sz="0" w:space="0" w:color="auto"/>
            <w:bottom w:val="none" w:sz="0" w:space="0" w:color="auto"/>
            <w:right w:val="none" w:sz="0" w:space="0" w:color="auto"/>
          </w:divBdr>
        </w:div>
      </w:divsChild>
    </w:div>
    <w:div w:id="95902273">
      <w:bodyDiv w:val="1"/>
      <w:marLeft w:val="0"/>
      <w:marRight w:val="0"/>
      <w:marTop w:val="0"/>
      <w:marBottom w:val="0"/>
      <w:divBdr>
        <w:top w:val="none" w:sz="0" w:space="0" w:color="auto"/>
        <w:left w:val="none" w:sz="0" w:space="0" w:color="auto"/>
        <w:bottom w:val="none" w:sz="0" w:space="0" w:color="auto"/>
        <w:right w:val="none" w:sz="0" w:space="0" w:color="auto"/>
      </w:divBdr>
    </w:div>
    <w:div w:id="96295243">
      <w:bodyDiv w:val="1"/>
      <w:marLeft w:val="0"/>
      <w:marRight w:val="0"/>
      <w:marTop w:val="0"/>
      <w:marBottom w:val="0"/>
      <w:divBdr>
        <w:top w:val="none" w:sz="0" w:space="0" w:color="auto"/>
        <w:left w:val="none" w:sz="0" w:space="0" w:color="auto"/>
        <w:bottom w:val="none" w:sz="0" w:space="0" w:color="auto"/>
        <w:right w:val="none" w:sz="0" w:space="0" w:color="auto"/>
      </w:divBdr>
    </w:div>
    <w:div w:id="105854083">
      <w:bodyDiv w:val="1"/>
      <w:marLeft w:val="0"/>
      <w:marRight w:val="0"/>
      <w:marTop w:val="0"/>
      <w:marBottom w:val="0"/>
      <w:divBdr>
        <w:top w:val="none" w:sz="0" w:space="0" w:color="auto"/>
        <w:left w:val="none" w:sz="0" w:space="0" w:color="auto"/>
        <w:bottom w:val="none" w:sz="0" w:space="0" w:color="auto"/>
        <w:right w:val="none" w:sz="0" w:space="0" w:color="auto"/>
      </w:divBdr>
    </w:div>
    <w:div w:id="110512863">
      <w:bodyDiv w:val="1"/>
      <w:marLeft w:val="0"/>
      <w:marRight w:val="0"/>
      <w:marTop w:val="0"/>
      <w:marBottom w:val="0"/>
      <w:divBdr>
        <w:top w:val="none" w:sz="0" w:space="0" w:color="auto"/>
        <w:left w:val="none" w:sz="0" w:space="0" w:color="auto"/>
        <w:bottom w:val="none" w:sz="0" w:space="0" w:color="auto"/>
        <w:right w:val="none" w:sz="0" w:space="0" w:color="auto"/>
      </w:divBdr>
      <w:divsChild>
        <w:div w:id="87504333">
          <w:marLeft w:val="0"/>
          <w:marRight w:val="0"/>
          <w:marTop w:val="0"/>
          <w:marBottom w:val="0"/>
          <w:divBdr>
            <w:top w:val="none" w:sz="0" w:space="0" w:color="auto"/>
            <w:left w:val="none" w:sz="0" w:space="0" w:color="auto"/>
            <w:bottom w:val="none" w:sz="0" w:space="0" w:color="auto"/>
            <w:right w:val="none" w:sz="0" w:space="0" w:color="auto"/>
          </w:divBdr>
        </w:div>
      </w:divsChild>
    </w:div>
    <w:div w:id="112747960">
      <w:bodyDiv w:val="1"/>
      <w:marLeft w:val="0"/>
      <w:marRight w:val="0"/>
      <w:marTop w:val="0"/>
      <w:marBottom w:val="0"/>
      <w:divBdr>
        <w:top w:val="none" w:sz="0" w:space="0" w:color="auto"/>
        <w:left w:val="none" w:sz="0" w:space="0" w:color="auto"/>
        <w:bottom w:val="none" w:sz="0" w:space="0" w:color="auto"/>
        <w:right w:val="none" w:sz="0" w:space="0" w:color="auto"/>
      </w:divBdr>
    </w:div>
    <w:div w:id="115102928">
      <w:bodyDiv w:val="1"/>
      <w:marLeft w:val="0"/>
      <w:marRight w:val="0"/>
      <w:marTop w:val="0"/>
      <w:marBottom w:val="0"/>
      <w:divBdr>
        <w:top w:val="none" w:sz="0" w:space="0" w:color="auto"/>
        <w:left w:val="none" w:sz="0" w:space="0" w:color="auto"/>
        <w:bottom w:val="none" w:sz="0" w:space="0" w:color="auto"/>
        <w:right w:val="none" w:sz="0" w:space="0" w:color="auto"/>
      </w:divBdr>
    </w:div>
    <w:div w:id="117261713">
      <w:bodyDiv w:val="1"/>
      <w:marLeft w:val="0"/>
      <w:marRight w:val="0"/>
      <w:marTop w:val="0"/>
      <w:marBottom w:val="0"/>
      <w:divBdr>
        <w:top w:val="none" w:sz="0" w:space="0" w:color="auto"/>
        <w:left w:val="none" w:sz="0" w:space="0" w:color="auto"/>
        <w:bottom w:val="none" w:sz="0" w:space="0" w:color="auto"/>
        <w:right w:val="none" w:sz="0" w:space="0" w:color="auto"/>
      </w:divBdr>
    </w:div>
    <w:div w:id="125584022">
      <w:bodyDiv w:val="1"/>
      <w:marLeft w:val="0"/>
      <w:marRight w:val="0"/>
      <w:marTop w:val="0"/>
      <w:marBottom w:val="0"/>
      <w:divBdr>
        <w:top w:val="none" w:sz="0" w:space="0" w:color="auto"/>
        <w:left w:val="none" w:sz="0" w:space="0" w:color="auto"/>
        <w:bottom w:val="none" w:sz="0" w:space="0" w:color="auto"/>
        <w:right w:val="none" w:sz="0" w:space="0" w:color="auto"/>
      </w:divBdr>
    </w:div>
    <w:div w:id="134416760">
      <w:bodyDiv w:val="1"/>
      <w:marLeft w:val="0"/>
      <w:marRight w:val="0"/>
      <w:marTop w:val="0"/>
      <w:marBottom w:val="0"/>
      <w:divBdr>
        <w:top w:val="none" w:sz="0" w:space="0" w:color="auto"/>
        <w:left w:val="none" w:sz="0" w:space="0" w:color="auto"/>
        <w:bottom w:val="none" w:sz="0" w:space="0" w:color="auto"/>
        <w:right w:val="none" w:sz="0" w:space="0" w:color="auto"/>
      </w:divBdr>
    </w:div>
    <w:div w:id="139544299">
      <w:bodyDiv w:val="1"/>
      <w:marLeft w:val="0"/>
      <w:marRight w:val="0"/>
      <w:marTop w:val="0"/>
      <w:marBottom w:val="0"/>
      <w:divBdr>
        <w:top w:val="none" w:sz="0" w:space="0" w:color="auto"/>
        <w:left w:val="none" w:sz="0" w:space="0" w:color="auto"/>
        <w:bottom w:val="none" w:sz="0" w:space="0" w:color="auto"/>
        <w:right w:val="none" w:sz="0" w:space="0" w:color="auto"/>
      </w:divBdr>
      <w:divsChild>
        <w:div w:id="2100905529">
          <w:marLeft w:val="0"/>
          <w:marRight w:val="0"/>
          <w:marTop w:val="0"/>
          <w:marBottom w:val="0"/>
          <w:divBdr>
            <w:top w:val="none" w:sz="0" w:space="0" w:color="auto"/>
            <w:left w:val="none" w:sz="0" w:space="0" w:color="auto"/>
            <w:bottom w:val="none" w:sz="0" w:space="0" w:color="auto"/>
            <w:right w:val="none" w:sz="0" w:space="0" w:color="auto"/>
          </w:divBdr>
          <w:divsChild>
            <w:div w:id="652610157">
              <w:marLeft w:val="0"/>
              <w:marRight w:val="0"/>
              <w:marTop w:val="0"/>
              <w:marBottom w:val="0"/>
              <w:divBdr>
                <w:top w:val="none" w:sz="0" w:space="0" w:color="auto"/>
                <w:left w:val="none" w:sz="0" w:space="0" w:color="auto"/>
                <w:bottom w:val="none" w:sz="0" w:space="0" w:color="auto"/>
                <w:right w:val="none" w:sz="0" w:space="0" w:color="auto"/>
              </w:divBdr>
              <w:divsChild>
                <w:div w:id="645547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41250">
      <w:bodyDiv w:val="1"/>
      <w:marLeft w:val="0"/>
      <w:marRight w:val="0"/>
      <w:marTop w:val="0"/>
      <w:marBottom w:val="0"/>
      <w:divBdr>
        <w:top w:val="none" w:sz="0" w:space="0" w:color="auto"/>
        <w:left w:val="none" w:sz="0" w:space="0" w:color="auto"/>
        <w:bottom w:val="none" w:sz="0" w:space="0" w:color="auto"/>
        <w:right w:val="none" w:sz="0" w:space="0" w:color="auto"/>
      </w:divBdr>
      <w:divsChild>
        <w:div w:id="765224934">
          <w:marLeft w:val="446"/>
          <w:marRight w:val="0"/>
          <w:marTop w:val="0"/>
          <w:marBottom w:val="0"/>
          <w:divBdr>
            <w:top w:val="none" w:sz="0" w:space="0" w:color="auto"/>
            <w:left w:val="none" w:sz="0" w:space="0" w:color="auto"/>
            <w:bottom w:val="none" w:sz="0" w:space="0" w:color="auto"/>
            <w:right w:val="none" w:sz="0" w:space="0" w:color="auto"/>
          </w:divBdr>
        </w:div>
        <w:div w:id="1574583285">
          <w:marLeft w:val="446"/>
          <w:marRight w:val="0"/>
          <w:marTop w:val="0"/>
          <w:marBottom w:val="0"/>
          <w:divBdr>
            <w:top w:val="none" w:sz="0" w:space="0" w:color="auto"/>
            <w:left w:val="none" w:sz="0" w:space="0" w:color="auto"/>
            <w:bottom w:val="none" w:sz="0" w:space="0" w:color="auto"/>
            <w:right w:val="none" w:sz="0" w:space="0" w:color="auto"/>
          </w:divBdr>
        </w:div>
        <w:div w:id="1916158968">
          <w:marLeft w:val="446"/>
          <w:marRight w:val="0"/>
          <w:marTop w:val="0"/>
          <w:marBottom w:val="0"/>
          <w:divBdr>
            <w:top w:val="none" w:sz="0" w:space="0" w:color="auto"/>
            <w:left w:val="none" w:sz="0" w:space="0" w:color="auto"/>
            <w:bottom w:val="none" w:sz="0" w:space="0" w:color="auto"/>
            <w:right w:val="none" w:sz="0" w:space="0" w:color="auto"/>
          </w:divBdr>
        </w:div>
      </w:divsChild>
    </w:div>
    <w:div w:id="162861253">
      <w:bodyDiv w:val="1"/>
      <w:marLeft w:val="0"/>
      <w:marRight w:val="0"/>
      <w:marTop w:val="0"/>
      <w:marBottom w:val="0"/>
      <w:divBdr>
        <w:top w:val="none" w:sz="0" w:space="0" w:color="auto"/>
        <w:left w:val="none" w:sz="0" w:space="0" w:color="auto"/>
        <w:bottom w:val="none" w:sz="0" w:space="0" w:color="auto"/>
        <w:right w:val="none" w:sz="0" w:space="0" w:color="auto"/>
      </w:divBdr>
    </w:div>
    <w:div w:id="163202155">
      <w:bodyDiv w:val="1"/>
      <w:marLeft w:val="0"/>
      <w:marRight w:val="0"/>
      <w:marTop w:val="0"/>
      <w:marBottom w:val="0"/>
      <w:divBdr>
        <w:top w:val="none" w:sz="0" w:space="0" w:color="auto"/>
        <w:left w:val="none" w:sz="0" w:space="0" w:color="auto"/>
        <w:bottom w:val="none" w:sz="0" w:space="0" w:color="auto"/>
        <w:right w:val="none" w:sz="0" w:space="0" w:color="auto"/>
      </w:divBdr>
    </w:div>
    <w:div w:id="166945185">
      <w:bodyDiv w:val="1"/>
      <w:marLeft w:val="0"/>
      <w:marRight w:val="0"/>
      <w:marTop w:val="0"/>
      <w:marBottom w:val="0"/>
      <w:divBdr>
        <w:top w:val="none" w:sz="0" w:space="0" w:color="auto"/>
        <w:left w:val="none" w:sz="0" w:space="0" w:color="auto"/>
        <w:bottom w:val="none" w:sz="0" w:space="0" w:color="auto"/>
        <w:right w:val="none" w:sz="0" w:space="0" w:color="auto"/>
      </w:divBdr>
    </w:div>
    <w:div w:id="167406195">
      <w:bodyDiv w:val="1"/>
      <w:marLeft w:val="0"/>
      <w:marRight w:val="0"/>
      <w:marTop w:val="0"/>
      <w:marBottom w:val="0"/>
      <w:divBdr>
        <w:top w:val="none" w:sz="0" w:space="0" w:color="auto"/>
        <w:left w:val="none" w:sz="0" w:space="0" w:color="auto"/>
        <w:bottom w:val="none" w:sz="0" w:space="0" w:color="auto"/>
        <w:right w:val="none" w:sz="0" w:space="0" w:color="auto"/>
      </w:divBdr>
    </w:div>
    <w:div w:id="178010308">
      <w:bodyDiv w:val="1"/>
      <w:marLeft w:val="0"/>
      <w:marRight w:val="0"/>
      <w:marTop w:val="0"/>
      <w:marBottom w:val="0"/>
      <w:divBdr>
        <w:top w:val="none" w:sz="0" w:space="0" w:color="auto"/>
        <w:left w:val="none" w:sz="0" w:space="0" w:color="auto"/>
        <w:bottom w:val="none" w:sz="0" w:space="0" w:color="auto"/>
        <w:right w:val="none" w:sz="0" w:space="0" w:color="auto"/>
      </w:divBdr>
    </w:div>
    <w:div w:id="180557966">
      <w:bodyDiv w:val="1"/>
      <w:marLeft w:val="0"/>
      <w:marRight w:val="0"/>
      <w:marTop w:val="0"/>
      <w:marBottom w:val="0"/>
      <w:divBdr>
        <w:top w:val="none" w:sz="0" w:space="0" w:color="auto"/>
        <w:left w:val="none" w:sz="0" w:space="0" w:color="auto"/>
        <w:bottom w:val="none" w:sz="0" w:space="0" w:color="auto"/>
        <w:right w:val="none" w:sz="0" w:space="0" w:color="auto"/>
      </w:divBdr>
    </w:div>
    <w:div w:id="183174590">
      <w:bodyDiv w:val="1"/>
      <w:marLeft w:val="0"/>
      <w:marRight w:val="0"/>
      <w:marTop w:val="0"/>
      <w:marBottom w:val="0"/>
      <w:divBdr>
        <w:top w:val="none" w:sz="0" w:space="0" w:color="auto"/>
        <w:left w:val="none" w:sz="0" w:space="0" w:color="auto"/>
        <w:bottom w:val="none" w:sz="0" w:space="0" w:color="auto"/>
        <w:right w:val="none" w:sz="0" w:space="0" w:color="auto"/>
      </w:divBdr>
      <w:divsChild>
        <w:div w:id="698434895">
          <w:marLeft w:val="0"/>
          <w:marRight w:val="0"/>
          <w:marTop w:val="0"/>
          <w:marBottom w:val="0"/>
          <w:divBdr>
            <w:top w:val="none" w:sz="0" w:space="0" w:color="auto"/>
            <w:left w:val="none" w:sz="0" w:space="0" w:color="auto"/>
            <w:bottom w:val="none" w:sz="0" w:space="0" w:color="auto"/>
            <w:right w:val="none" w:sz="0" w:space="0" w:color="auto"/>
          </w:divBdr>
        </w:div>
      </w:divsChild>
    </w:div>
    <w:div w:id="196284410">
      <w:bodyDiv w:val="1"/>
      <w:marLeft w:val="0"/>
      <w:marRight w:val="0"/>
      <w:marTop w:val="0"/>
      <w:marBottom w:val="0"/>
      <w:divBdr>
        <w:top w:val="none" w:sz="0" w:space="0" w:color="auto"/>
        <w:left w:val="none" w:sz="0" w:space="0" w:color="auto"/>
        <w:bottom w:val="none" w:sz="0" w:space="0" w:color="auto"/>
        <w:right w:val="none" w:sz="0" w:space="0" w:color="auto"/>
      </w:divBdr>
      <w:divsChild>
        <w:div w:id="1669707">
          <w:marLeft w:val="0"/>
          <w:marRight w:val="0"/>
          <w:marTop w:val="0"/>
          <w:marBottom w:val="200"/>
          <w:divBdr>
            <w:top w:val="none" w:sz="0" w:space="0" w:color="auto"/>
            <w:left w:val="none" w:sz="0" w:space="0" w:color="auto"/>
            <w:bottom w:val="none" w:sz="0" w:space="0" w:color="auto"/>
            <w:right w:val="none" w:sz="0" w:space="0" w:color="auto"/>
          </w:divBdr>
        </w:div>
        <w:div w:id="1000041873">
          <w:marLeft w:val="0"/>
          <w:marRight w:val="0"/>
          <w:marTop w:val="0"/>
          <w:marBottom w:val="200"/>
          <w:divBdr>
            <w:top w:val="none" w:sz="0" w:space="0" w:color="auto"/>
            <w:left w:val="none" w:sz="0" w:space="0" w:color="auto"/>
            <w:bottom w:val="none" w:sz="0" w:space="0" w:color="auto"/>
            <w:right w:val="none" w:sz="0" w:space="0" w:color="auto"/>
          </w:divBdr>
        </w:div>
        <w:div w:id="1055733774">
          <w:marLeft w:val="0"/>
          <w:marRight w:val="0"/>
          <w:marTop w:val="0"/>
          <w:marBottom w:val="200"/>
          <w:divBdr>
            <w:top w:val="none" w:sz="0" w:space="0" w:color="auto"/>
            <w:left w:val="none" w:sz="0" w:space="0" w:color="auto"/>
            <w:bottom w:val="none" w:sz="0" w:space="0" w:color="auto"/>
            <w:right w:val="none" w:sz="0" w:space="0" w:color="auto"/>
          </w:divBdr>
        </w:div>
      </w:divsChild>
    </w:div>
    <w:div w:id="196354495">
      <w:bodyDiv w:val="1"/>
      <w:marLeft w:val="0"/>
      <w:marRight w:val="0"/>
      <w:marTop w:val="0"/>
      <w:marBottom w:val="0"/>
      <w:divBdr>
        <w:top w:val="none" w:sz="0" w:space="0" w:color="auto"/>
        <w:left w:val="none" w:sz="0" w:space="0" w:color="auto"/>
        <w:bottom w:val="none" w:sz="0" w:space="0" w:color="auto"/>
        <w:right w:val="none" w:sz="0" w:space="0" w:color="auto"/>
      </w:divBdr>
    </w:div>
    <w:div w:id="206265727">
      <w:bodyDiv w:val="1"/>
      <w:marLeft w:val="0"/>
      <w:marRight w:val="0"/>
      <w:marTop w:val="0"/>
      <w:marBottom w:val="0"/>
      <w:divBdr>
        <w:top w:val="none" w:sz="0" w:space="0" w:color="auto"/>
        <w:left w:val="none" w:sz="0" w:space="0" w:color="auto"/>
        <w:bottom w:val="none" w:sz="0" w:space="0" w:color="auto"/>
        <w:right w:val="none" w:sz="0" w:space="0" w:color="auto"/>
      </w:divBdr>
    </w:div>
    <w:div w:id="213585687">
      <w:bodyDiv w:val="1"/>
      <w:marLeft w:val="0"/>
      <w:marRight w:val="0"/>
      <w:marTop w:val="0"/>
      <w:marBottom w:val="0"/>
      <w:divBdr>
        <w:top w:val="none" w:sz="0" w:space="0" w:color="auto"/>
        <w:left w:val="none" w:sz="0" w:space="0" w:color="auto"/>
        <w:bottom w:val="none" w:sz="0" w:space="0" w:color="auto"/>
        <w:right w:val="none" w:sz="0" w:space="0" w:color="auto"/>
      </w:divBdr>
    </w:div>
    <w:div w:id="218593201">
      <w:bodyDiv w:val="1"/>
      <w:marLeft w:val="0"/>
      <w:marRight w:val="0"/>
      <w:marTop w:val="0"/>
      <w:marBottom w:val="0"/>
      <w:divBdr>
        <w:top w:val="none" w:sz="0" w:space="0" w:color="auto"/>
        <w:left w:val="none" w:sz="0" w:space="0" w:color="auto"/>
        <w:bottom w:val="none" w:sz="0" w:space="0" w:color="auto"/>
        <w:right w:val="none" w:sz="0" w:space="0" w:color="auto"/>
      </w:divBdr>
    </w:div>
    <w:div w:id="222450852">
      <w:bodyDiv w:val="1"/>
      <w:marLeft w:val="0"/>
      <w:marRight w:val="0"/>
      <w:marTop w:val="0"/>
      <w:marBottom w:val="0"/>
      <w:divBdr>
        <w:top w:val="none" w:sz="0" w:space="0" w:color="auto"/>
        <w:left w:val="none" w:sz="0" w:space="0" w:color="auto"/>
        <w:bottom w:val="none" w:sz="0" w:space="0" w:color="auto"/>
        <w:right w:val="none" w:sz="0" w:space="0" w:color="auto"/>
      </w:divBdr>
    </w:div>
    <w:div w:id="224343109">
      <w:bodyDiv w:val="1"/>
      <w:marLeft w:val="0"/>
      <w:marRight w:val="0"/>
      <w:marTop w:val="0"/>
      <w:marBottom w:val="0"/>
      <w:divBdr>
        <w:top w:val="none" w:sz="0" w:space="0" w:color="auto"/>
        <w:left w:val="none" w:sz="0" w:space="0" w:color="auto"/>
        <w:bottom w:val="none" w:sz="0" w:space="0" w:color="auto"/>
        <w:right w:val="none" w:sz="0" w:space="0" w:color="auto"/>
      </w:divBdr>
    </w:div>
    <w:div w:id="225385109">
      <w:bodyDiv w:val="1"/>
      <w:marLeft w:val="0"/>
      <w:marRight w:val="0"/>
      <w:marTop w:val="0"/>
      <w:marBottom w:val="0"/>
      <w:divBdr>
        <w:top w:val="none" w:sz="0" w:space="0" w:color="auto"/>
        <w:left w:val="none" w:sz="0" w:space="0" w:color="auto"/>
        <w:bottom w:val="none" w:sz="0" w:space="0" w:color="auto"/>
        <w:right w:val="none" w:sz="0" w:space="0" w:color="auto"/>
      </w:divBdr>
    </w:div>
    <w:div w:id="236526134">
      <w:bodyDiv w:val="1"/>
      <w:marLeft w:val="0"/>
      <w:marRight w:val="0"/>
      <w:marTop w:val="0"/>
      <w:marBottom w:val="0"/>
      <w:divBdr>
        <w:top w:val="none" w:sz="0" w:space="0" w:color="auto"/>
        <w:left w:val="none" w:sz="0" w:space="0" w:color="auto"/>
        <w:bottom w:val="none" w:sz="0" w:space="0" w:color="auto"/>
        <w:right w:val="none" w:sz="0" w:space="0" w:color="auto"/>
      </w:divBdr>
    </w:div>
    <w:div w:id="237597835">
      <w:bodyDiv w:val="1"/>
      <w:marLeft w:val="0"/>
      <w:marRight w:val="0"/>
      <w:marTop w:val="0"/>
      <w:marBottom w:val="0"/>
      <w:divBdr>
        <w:top w:val="none" w:sz="0" w:space="0" w:color="auto"/>
        <w:left w:val="none" w:sz="0" w:space="0" w:color="auto"/>
        <w:bottom w:val="none" w:sz="0" w:space="0" w:color="auto"/>
        <w:right w:val="none" w:sz="0" w:space="0" w:color="auto"/>
      </w:divBdr>
    </w:div>
    <w:div w:id="250086049">
      <w:bodyDiv w:val="1"/>
      <w:marLeft w:val="0"/>
      <w:marRight w:val="0"/>
      <w:marTop w:val="0"/>
      <w:marBottom w:val="0"/>
      <w:divBdr>
        <w:top w:val="none" w:sz="0" w:space="0" w:color="auto"/>
        <w:left w:val="none" w:sz="0" w:space="0" w:color="auto"/>
        <w:bottom w:val="none" w:sz="0" w:space="0" w:color="auto"/>
        <w:right w:val="none" w:sz="0" w:space="0" w:color="auto"/>
      </w:divBdr>
    </w:div>
    <w:div w:id="258100627">
      <w:bodyDiv w:val="1"/>
      <w:marLeft w:val="0"/>
      <w:marRight w:val="0"/>
      <w:marTop w:val="0"/>
      <w:marBottom w:val="0"/>
      <w:divBdr>
        <w:top w:val="none" w:sz="0" w:space="0" w:color="auto"/>
        <w:left w:val="none" w:sz="0" w:space="0" w:color="auto"/>
        <w:bottom w:val="none" w:sz="0" w:space="0" w:color="auto"/>
        <w:right w:val="none" w:sz="0" w:space="0" w:color="auto"/>
      </w:divBdr>
    </w:div>
    <w:div w:id="268128236">
      <w:bodyDiv w:val="1"/>
      <w:marLeft w:val="0"/>
      <w:marRight w:val="0"/>
      <w:marTop w:val="0"/>
      <w:marBottom w:val="0"/>
      <w:divBdr>
        <w:top w:val="none" w:sz="0" w:space="0" w:color="auto"/>
        <w:left w:val="none" w:sz="0" w:space="0" w:color="auto"/>
        <w:bottom w:val="none" w:sz="0" w:space="0" w:color="auto"/>
        <w:right w:val="none" w:sz="0" w:space="0" w:color="auto"/>
      </w:divBdr>
    </w:div>
    <w:div w:id="273363162">
      <w:bodyDiv w:val="1"/>
      <w:marLeft w:val="0"/>
      <w:marRight w:val="0"/>
      <w:marTop w:val="0"/>
      <w:marBottom w:val="0"/>
      <w:divBdr>
        <w:top w:val="none" w:sz="0" w:space="0" w:color="auto"/>
        <w:left w:val="none" w:sz="0" w:space="0" w:color="auto"/>
        <w:bottom w:val="none" w:sz="0" w:space="0" w:color="auto"/>
        <w:right w:val="none" w:sz="0" w:space="0" w:color="auto"/>
      </w:divBdr>
    </w:div>
    <w:div w:id="292488406">
      <w:bodyDiv w:val="1"/>
      <w:marLeft w:val="0"/>
      <w:marRight w:val="0"/>
      <w:marTop w:val="0"/>
      <w:marBottom w:val="0"/>
      <w:divBdr>
        <w:top w:val="none" w:sz="0" w:space="0" w:color="auto"/>
        <w:left w:val="none" w:sz="0" w:space="0" w:color="auto"/>
        <w:bottom w:val="none" w:sz="0" w:space="0" w:color="auto"/>
        <w:right w:val="none" w:sz="0" w:space="0" w:color="auto"/>
      </w:divBdr>
    </w:div>
    <w:div w:id="299962996">
      <w:bodyDiv w:val="1"/>
      <w:marLeft w:val="0"/>
      <w:marRight w:val="0"/>
      <w:marTop w:val="0"/>
      <w:marBottom w:val="0"/>
      <w:divBdr>
        <w:top w:val="none" w:sz="0" w:space="0" w:color="auto"/>
        <w:left w:val="none" w:sz="0" w:space="0" w:color="auto"/>
        <w:bottom w:val="none" w:sz="0" w:space="0" w:color="auto"/>
        <w:right w:val="none" w:sz="0" w:space="0" w:color="auto"/>
      </w:divBdr>
    </w:div>
    <w:div w:id="312367932">
      <w:bodyDiv w:val="1"/>
      <w:marLeft w:val="0"/>
      <w:marRight w:val="0"/>
      <w:marTop w:val="0"/>
      <w:marBottom w:val="0"/>
      <w:divBdr>
        <w:top w:val="none" w:sz="0" w:space="0" w:color="auto"/>
        <w:left w:val="none" w:sz="0" w:space="0" w:color="auto"/>
        <w:bottom w:val="none" w:sz="0" w:space="0" w:color="auto"/>
        <w:right w:val="none" w:sz="0" w:space="0" w:color="auto"/>
      </w:divBdr>
    </w:div>
    <w:div w:id="316374981">
      <w:bodyDiv w:val="1"/>
      <w:marLeft w:val="0"/>
      <w:marRight w:val="0"/>
      <w:marTop w:val="0"/>
      <w:marBottom w:val="0"/>
      <w:divBdr>
        <w:top w:val="none" w:sz="0" w:space="0" w:color="auto"/>
        <w:left w:val="none" w:sz="0" w:space="0" w:color="auto"/>
        <w:bottom w:val="none" w:sz="0" w:space="0" w:color="auto"/>
        <w:right w:val="none" w:sz="0" w:space="0" w:color="auto"/>
      </w:divBdr>
    </w:div>
    <w:div w:id="316690145">
      <w:bodyDiv w:val="1"/>
      <w:marLeft w:val="0"/>
      <w:marRight w:val="0"/>
      <w:marTop w:val="0"/>
      <w:marBottom w:val="0"/>
      <w:divBdr>
        <w:top w:val="none" w:sz="0" w:space="0" w:color="auto"/>
        <w:left w:val="none" w:sz="0" w:space="0" w:color="auto"/>
        <w:bottom w:val="none" w:sz="0" w:space="0" w:color="auto"/>
        <w:right w:val="none" w:sz="0" w:space="0" w:color="auto"/>
      </w:divBdr>
    </w:div>
    <w:div w:id="322663982">
      <w:bodyDiv w:val="1"/>
      <w:marLeft w:val="0"/>
      <w:marRight w:val="0"/>
      <w:marTop w:val="0"/>
      <w:marBottom w:val="0"/>
      <w:divBdr>
        <w:top w:val="none" w:sz="0" w:space="0" w:color="auto"/>
        <w:left w:val="none" w:sz="0" w:space="0" w:color="auto"/>
        <w:bottom w:val="none" w:sz="0" w:space="0" w:color="auto"/>
        <w:right w:val="none" w:sz="0" w:space="0" w:color="auto"/>
      </w:divBdr>
    </w:div>
    <w:div w:id="333848146">
      <w:bodyDiv w:val="1"/>
      <w:marLeft w:val="0"/>
      <w:marRight w:val="0"/>
      <w:marTop w:val="0"/>
      <w:marBottom w:val="0"/>
      <w:divBdr>
        <w:top w:val="none" w:sz="0" w:space="0" w:color="auto"/>
        <w:left w:val="none" w:sz="0" w:space="0" w:color="auto"/>
        <w:bottom w:val="none" w:sz="0" w:space="0" w:color="auto"/>
        <w:right w:val="none" w:sz="0" w:space="0" w:color="auto"/>
      </w:divBdr>
    </w:div>
    <w:div w:id="336353044">
      <w:bodyDiv w:val="1"/>
      <w:marLeft w:val="0"/>
      <w:marRight w:val="0"/>
      <w:marTop w:val="0"/>
      <w:marBottom w:val="0"/>
      <w:divBdr>
        <w:top w:val="none" w:sz="0" w:space="0" w:color="auto"/>
        <w:left w:val="none" w:sz="0" w:space="0" w:color="auto"/>
        <w:bottom w:val="none" w:sz="0" w:space="0" w:color="auto"/>
        <w:right w:val="none" w:sz="0" w:space="0" w:color="auto"/>
      </w:divBdr>
    </w:div>
    <w:div w:id="337779660">
      <w:bodyDiv w:val="1"/>
      <w:marLeft w:val="0"/>
      <w:marRight w:val="0"/>
      <w:marTop w:val="0"/>
      <w:marBottom w:val="0"/>
      <w:divBdr>
        <w:top w:val="none" w:sz="0" w:space="0" w:color="auto"/>
        <w:left w:val="none" w:sz="0" w:space="0" w:color="auto"/>
        <w:bottom w:val="none" w:sz="0" w:space="0" w:color="auto"/>
        <w:right w:val="none" w:sz="0" w:space="0" w:color="auto"/>
      </w:divBdr>
    </w:div>
    <w:div w:id="338046992">
      <w:bodyDiv w:val="1"/>
      <w:marLeft w:val="0"/>
      <w:marRight w:val="0"/>
      <w:marTop w:val="0"/>
      <w:marBottom w:val="0"/>
      <w:divBdr>
        <w:top w:val="none" w:sz="0" w:space="0" w:color="auto"/>
        <w:left w:val="none" w:sz="0" w:space="0" w:color="auto"/>
        <w:bottom w:val="none" w:sz="0" w:space="0" w:color="auto"/>
        <w:right w:val="none" w:sz="0" w:space="0" w:color="auto"/>
      </w:divBdr>
    </w:div>
    <w:div w:id="343556836">
      <w:bodyDiv w:val="1"/>
      <w:marLeft w:val="0"/>
      <w:marRight w:val="0"/>
      <w:marTop w:val="0"/>
      <w:marBottom w:val="0"/>
      <w:divBdr>
        <w:top w:val="none" w:sz="0" w:space="0" w:color="auto"/>
        <w:left w:val="none" w:sz="0" w:space="0" w:color="auto"/>
        <w:bottom w:val="none" w:sz="0" w:space="0" w:color="auto"/>
        <w:right w:val="none" w:sz="0" w:space="0" w:color="auto"/>
      </w:divBdr>
    </w:div>
    <w:div w:id="352927095">
      <w:bodyDiv w:val="1"/>
      <w:marLeft w:val="0"/>
      <w:marRight w:val="0"/>
      <w:marTop w:val="0"/>
      <w:marBottom w:val="0"/>
      <w:divBdr>
        <w:top w:val="none" w:sz="0" w:space="0" w:color="auto"/>
        <w:left w:val="none" w:sz="0" w:space="0" w:color="auto"/>
        <w:bottom w:val="none" w:sz="0" w:space="0" w:color="auto"/>
        <w:right w:val="none" w:sz="0" w:space="0" w:color="auto"/>
      </w:divBdr>
    </w:div>
    <w:div w:id="354844176">
      <w:bodyDiv w:val="1"/>
      <w:marLeft w:val="0"/>
      <w:marRight w:val="0"/>
      <w:marTop w:val="0"/>
      <w:marBottom w:val="0"/>
      <w:divBdr>
        <w:top w:val="none" w:sz="0" w:space="0" w:color="auto"/>
        <w:left w:val="none" w:sz="0" w:space="0" w:color="auto"/>
        <w:bottom w:val="none" w:sz="0" w:space="0" w:color="auto"/>
        <w:right w:val="none" w:sz="0" w:space="0" w:color="auto"/>
      </w:divBdr>
    </w:div>
    <w:div w:id="357582476">
      <w:bodyDiv w:val="1"/>
      <w:marLeft w:val="0"/>
      <w:marRight w:val="0"/>
      <w:marTop w:val="0"/>
      <w:marBottom w:val="0"/>
      <w:divBdr>
        <w:top w:val="none" w:sz="0" w:space="0" w:color="auto"/>
        <w:left w:val="none" w:sz="0" w:space="0" w:color="auto"/>
        <w:bottom w:val="none" w:sz="0" w:space="0" w:color="auto"/>
        <w:right w:val="none" w:sz="0" w:space="0" w:color="auto"/>
      </w:divBdr>
      <w:divsChild>
        <w:div w:id="1532189679">
          <w:marLeft w:val="0"/>
          <w:marRight w:val="0"/>
          <w:marTop w:val="0"/>
          <w:marBottom w:val="0"/>
          <w:divBdr>
            <w:top w:val="none" w:sz="0" w:space="0" w:color="auto"/>
            <w:left w:val="none" w:sz="0" w:space="0" w:color="auto"/>
            <w:bottom w:val="none" w:sz="0" w:space="0" w:color="auto"/>
            <w:right w:val="none" w:sz="0" w:space="0" w:color="auto"/>
          </w:divBdr>
        </w:div>
      </w:divsChild>
    </w:div>
    <w:div w:id="357660380">
      <w:bodyDiv w:val="1"/>
      <w:marLeft w:val="0"/>
      <w:marRight w:val="0"/>
      <w:marTop w:val="0"/>
      <w:marBottom w:val="0"/>
      <w:divBdr>
        <w:top w:val="none" w:sz="0" w:space="0" w:color="auto"/>
        <w:left w:val="none" w:sz="0" w:space="0" w:color="auto"/>
        <w:bottom w:val="none" w:sz="0" w:space="0" w:color="auto"/>
        <w:right w:val="none" w:sz="0" w:space="0" w:color="auto"/>
      </w:divBdr>
      <w:divsChild>
        <w:div w:id="709262348">
          <w:marLeft w:val="0"/>
          <w:marRight w:val="0"/>
          <w:marTop w:val="0"/>
          <w:marBottom w:val="0"/>
          <w:divBdr>
            <w:top w:val="none" w:sz="0" w:space="0" w:color="auto"/>
            <w:left w:val="none" w:sz="0" w:space="0" w:color="auto"/>
            <w:bottom w:val="none" w:sz="0" w:space="0" w:color="auto"/>
            <w:right w:val="none" w:sz="0" w:space="0" w:color="auto"/>
          </w:divBdr>
        </w:div>
      </w:divsChild>
    </w:div>
    <w:div w:id="362050642">
      <w:bodyDiv w:val="1"/>
      <w:marLeft w:val="0"/>
      <w:marRight w:val="0"/>
      <w:marTop w:val="0"/>
      <w:marBottom w:val="0"/>
      <w:divBdr>
        <w:top w:val="none" w:sz="0" w:space="0" w:color="auto"/>
        <w:left w:val="none" w:sz="0" w:space="0" w:color="auto"/>
        <w:bottom w:val="none" w:sz="0" w:space="0" w:color="auto"/>
        <w:right w:val="none" w:sz="0" w:space="0" w:color="auto"/>
      </w:divBdr>
    </w:div>
    <w:div w:id="364719276">
      <w:bodyDiv w:val="1"/>
      <w:marLeft w:val="0"/>
      <w:marRight w:val="0"/>
      <w:marTop w:val="0"/>
      <w:marBottom w:val="0"/>
      <w:divBdr>
        <w:top w:val="none" w:sz="0" w:space="0" w:color="auto"/>
        <w:left w:val="none" w:sz="0" w:space="0" w:color="auto"/>
        <w:bottom w:val="none" w:sz="0" w:space="0" w:color="auto"/>
        <w:right w:val="none" w:sz="0" w:space="0" w:color="auto"/>
      </w:divBdr>
    </w:div>
    <w:div w:id="367919254">
      <w:bodyDiv w:val="1"/>
      <w:marLeft w:val="0"/>
      <w:marRight w:val="0"/>
      <w:marTop w:val="0"/>
      <w:marBottom w:val="0"/>
      <w:divBdr>
        <w:top w:val="none" w:sz="0" w:space="0" w:color="auto"/>
        <w:left w:val="none" w:sz="0" w:space="0" w:color="auto"/>
        <w:bottom w:val="none" w:sz="0" w:space="0" w:color="auto"/>
        <w:right w:val="none" w:sz="0" w:space="0" w:color="auto"/>
      </w:divBdr>
    </w:div>
    <w:div w:id="373623982">
      <w:bodyDiv w:val="1"/>
      <w:marLeft w:val="0"/>
      <w:marRight w:val="0"/>
      <w:marTop w:val="0"/>
      <w:marBottom w:val="0"/>
      <w:divBdr>
        <w:top w:val="none" w:sz="0" w:space="0" w:color="auto"/>
        <w:left w:val="none" w:sz="0" w:space="0" w:color="auto"/>
        <w:bottom w:val="none" w:sz="0" w:space="0" w:color="auto"/>
        <w:right w:val="none" w:sz="0" w:space="0" w:color="auto"/>
      </w:divBdr>
    </w:div>
    <w:div w:id="375937084">
      <w:bodyDiv w:val="1"/>
      <w:marLeft w:val="0"/>
      <w:marRight w:val="0"/>
      <w:marTop w:val="0"/>
      <w:marBottom w:val="0"/>
      <w:divBdr>
        <w:top w:val="none" w:sz="0" w:space="0" w:color="auto"/>
        <w:left w:val="none" w:sz="0" w:space="0" w:color="auto"/>
        <w:bottom w:val="none" w:sz="0" w:space="0" w:color="auto"/>
        <w:right w:val="none" w:sz="0" w:space="0" w:color="auto"/>
      </w:divBdr>
    </w:div>
    <w:div w:id="379207622">
      <w:bodyDiv w:val="1"/>
      <w:marLeft w:val="0"/>
      <w:marRight w:val="0"/>
      <w:marTop w:val="0"/>
      <w:marBottom w:val="0"/>
      <w:divBdr>
        <w:top w:val="none" w:sz="0" w:space="0" w:color="auto"/>
        <w:left w:val="none" w:sz="0" w:space="0" w:color="auto"/>
        <w:bottom w:val="none" w:sz="0" w:space="0" w:color="auto"/>
        <w:right w:val="none" w:sz="0" w:space="0" w:color="auto"/>
      </w:divBdr>
      <w:divsChild>
        <w:div w:id="29376120">
          <w:marLeft w:val="547"/>
          <w:marRight w:val="0"/>
          <w:marTop w:val="0"/>
          <w:marBottom w:val="0"/>
          <w:divBdr>
            <w:top w:val="none" w:sz="0" w:space="0" w:color="auto"/>
            <w:left w:val="none" w:sz="0" w:space="0" w:color="auto"/>
            <w:bottom w:val="none" w:sz="0" w:space="0" w:color="auto"/>
            <w:right w:val="none" w:sz="0" w:space="0" w:color="auto"/>
          </w:divBdr>
        </w:div>
      </w:divsChild>
    </w:div>
    <w:div w:id="381557696">
      <w:bodyDiv w:val="1"/>
      <w:marLeft w:val="0"/>
      <w:marRight w:val="0"/>
      <w:marTop w:val="0"/>
      <w:marBottom w:val="0"/>
      <w:divBdr>
        <w:top w:val="none" w:sz="0" w:space="0" w:color="auto"/>
        <w:left w:val="none" w:sz="0" w:space="0" w:color="auto"/>
        <w:bottom w:val="none" w:sz="0" w:space="0" w:color="auto"/>
        <w:right w:val="none" w:sz="0" w:space="0" w:color="auto"/>
      </w:divBdr>
    </w:div>
    <w:div w:id="392123936">
      <w:bodyDiv w:val="1"/>
      <w:marLeft w:val="0"/>
      <w:marRight w:val="0"/>
      <w:marTop w:val="0"/>
      <w:marBottom w:val="0"/>
      <w:divBdr>
        <w:top w:val="none" w:sz="0" w:space="0" w:color="auto"/>
        <w:left w:val="none" w:sz="0" w:space="0" w:color="auto"/>
        <w:bottom w:val="none" w:sz="0" w:space="0" w:color="auto"/>
        <w:right w:val="none" w:sz="0" w:space="0" w:color="auto"/>
      </w:divBdr>
    </w:div>
    <w:div w:id="397098754">
      <w:bodyDiv w:val="1"/>
      <w:marLeft w:val="0"/>
      <w:marRight w:val="0"/>
      <w:marTop w:val="0"/>
      <w:marBottom w:val="0"/>
      <w:divBdr>
        <w:top w:val="none" w:sz="0" w:space="0" w:color="auto"/>
        <w:left w:val="none" w:sz="0" w:space="0" w:color="auto"/>
        <w:bottom w:val="none" w:sz="0" w:space="0" w:color="auto"/>
        <w:right w:val="none" w:sz="0" w:space="0" w:color="auto"/>
      </w:divBdr>
    </w:div>
    <w:div w:id="398360525">
      <w:bodyDiv w:val="1"/>
      <w:marLeft w:val="0"/>
      <w:marRight w:val="0"/>
      <w:marTop w:val="0"/>
      <w:marBottom w:val="0"/>
      <w:divBdr>
        <w:top w:val="none" w:sz="0" w:space="0" w:color="auto"/>
        <w:left w:val="none" w:sz="0" w:space="0" w:color="auto"/>
        <w:bottom w:val="none" w:sz="0" w:space="0" w:color="auto"/>
        <w:right w:val="none" w:sz="0" w:space="0" w:color="auto"/>
      </w:divBdr>
    </w:div>
    <w:div w:id="407193122">
      <w:bodyDiv w:val="1"/>
      <w:marLeft w:val="0"/>
      <w:marRight w:val="0"/>
      <w:marTop w:val="0"/>
      <w:marBottom w:val="0"/>
      <w:divBdr>
        <w:top w:val="none" w:sz="0" w:space="0" w:color="auto"/>
        <w:left w:val="none" w:sz="0" w:space="0" w:color="auto"/>
        <w:bottom w:val="none" w:sz="0" w:space="0" w:color="auto"/>
        <w:right w:val="none" w:sz="0" w:space="0" w:color="auto"/>
      </w:divBdr>
    </w:div>
    <w:div w:id="417605133">
      <w:bodyDiv w:val="1"/>
      <w:marLeft w:val="0"/>
      <w:marRight w:val="0"/>
      <w:marTop w:val="0"/>
      <w:marBottom w:val="0"/>
      <w:divBdr>
        <w:top w:val="none" w:sz="0" w:space="0" w:color="auto"/>
        <w:left w:val="none" w:sz="0" w:space="0" w:color="auto"/>
        <w:bottom w:val="none" w:sz="0" w:space="0" w:color="auto"/>
        <w:right w:val="none" w:sz="0" w:space="0" w:color="auto"/>
      </w:divBdr>
    </w:div>
    <w:div w:id="424377898">
      <w:bodyDiv w:val="1"/>
      <w:marLeft w:val="0"/>
      <w:marRight w:val="0"/>
      <w:marTop w:val="0"/>
      <w:marBottom w:val="0"/>
      <w:divBdr>
        <w:top w:val="none" w:sz="0" w:space="0" w:color="auto"/>
        <w:left w:val="none" w:sz="0" w:space="0" w:color="auto"/>
        <w:bottom w:val="none" w:sz="0" w:space="0" w:color="auto"/>
        <w:right w:val="none" w:sz="0" w:space="0" w:color="auto"/>
      </w:divBdr>
    </w:div>
    <w:div w:id="425661347">
      <w:bodyDiv w:val="1"/>
      <w:marLeft w:val="0"/>
      <w:marRight w:val="0"/>
      <w:marTop w:val="0"/>
      <w:marBottom w:val="0"/>
      <w:divBdr>
        <w:top w:val="none" w:sz="0" w:space="0" w:color="auto"/>
        <w:left w:val="none" w:sz="0" w:space="0" w:color="auto"/>
        <w:bottom w:val="none" w:sz="0" w:space="0" w:color="auto"/>
        <w:right w:val="none" w:sz="0" w:space="0" w:color="auto"/>
      </w:divBdr>
    </w:div>
    <w:div w:id="427703488">
      <w:bodyDiv w:val="1"/>
      <w:marLeft w:val="0"/>
      <w:marRight w:val="0"/>
      <w:marTop w:val="0"/>
      <w:marBottom w:val="0"/>
      <w:divBdr>
        <w:top w:val="none" w:sz="0" w:space="0" w:color="auto"/>
        <w:left w:val="none" w:sz="0" w:space="0" w:color="auto"/>
        <w:bottom w:val="none" w:sz="0" w:space="0" w:color="auto"/>
        <w:right w:val="none" w:sz="0" w:space="0" w:color="auto"/>
      </w:divBdr>
    </w:div>
    <w:div w:id="428964238">
      <w:bodyDiv w:val="1"/>
      <w:marLeft w:val="0"/>
      <w:marRight w:val="0"/>
      <w:marTop w:val="0"/>
      <w:marBottom w:val="0"/>
      <w:divBdr>
        <w:top w:val="none" w:sz="0" w:space="0" w:color="auto"/>
        <w:left w:val="none" w:sz="0" w:space="0" w:color="auto"/>
        <w:bottom w:val="none" w:sz="0" w:space="0" w:color="auto"/>
        <w:right w:val="none" w:sz="0" w:space="0" w:color="auto"/>
      </w:divBdr>
    </w:div>
    <w:div w:id="445975681">
      <w:bodyDiv w:val="1"/>
      <w:marLeft w:val="0"/>
      <w:marRight w:val="0"/>
      <w:marTop w:val="0"/>
      <w:marBottom w:val="0"/>
      <w:divBdr>
        <w:top w:val="none" w:sz="0" w:space="0" w:color="auto"/>
        <w:left w:val="none" w:sz="0" w:space="0" w:color="auto"/>
        <w:bottom w:val="none" w:sz="0" w:space="0" w:color="auto"/>
        <w:right w:val="none" w:sz="0" w:space="0" w:color="auto"/>
      </w:divBdr>
    </w:div>
    <w:div w:id="453596888">
      <w:bodyDiv w:val="1"/>
      <w:marLeft w:val="0"/>
      <w:marRight w:val="0"/>
      <w:marTop w:val="0"/>
      <w:marBottom w:val="0"/>
      <w:divBdr>
        <w:top w:val="none" w:sz="0" w:space="0" w:color="auto"/>
        <w:left w:val="none" w:sz="0" w:space="0" w:color="auto"/>
        <w:bottom w:val="none" w:sz="0" w:space="0" w:color="auto"/>
        <w:right w:val="none" w:sz="0" w:space="0" w:color="auto"/>
      </w:divBdr>
    </w:div>
    <w:div w:id="463810499">
      <w:bodyDiv w:val="1"/>
      <w:marLeft w:val="0"/>
      <w:marRight w:val="0"/>
      <w:marTop w:val="0"/>
      <w:marBottom w:val="0"/>
      <w:divBdr>
        <w:top w:val="none" w:sz="0" w:space="0" w:color="auto"/>
        <w:left w:val="none" w:sz="0" w:space="0" w:color="auto"/>
        <w:bottom w:val="none" w:sz="0" w:space="0" w:color="auto"/>
        <w:right w:val="none" w:sz="0" w:space="0" w:color="auto"/>
      </w:divBdr>
    </w:div>
    <w:div w:id="477696764">
      <w:bodyDiv w:val="1"/>
      <w:marLeft w:val="0"/>
      <w:marRight w:val="0"/>
      <w:marTop w:val="0"/>
      <w:marBottom w:val="0"/>
      <w:divBdr>
        <w:top w:val="none" w:sz="0" w:space="0" w:color="auto"/>
        <w:left w:val="none" w:sz="0" w:space="0" w:color="auto"/>
        <w:bottom w:val="none" w:sz="0" w:space="0" w:color="auto"/>
        <w:right w:val="none" w:sz="0" w:space="0" w:color="auto"/>
      </w:divBdr>
    </w:div>
    <w:div w:id="479688981">
      <w:bodyDiv w:val="1"/>
      <w:marLeft w:val="0"/>
      <w:marRight w:val="0"/>
      <w:marTop w:val="0"/>
      <w:marBottom w:val="0"/>
      <w:divBdr>
        <w:top w:val="none" w:sz="0" w:space="0" w:color="auto"/>
        <w:left w:val="none" w:sz="0" w:space="0" w:color="auto"/>
        <w:bottom w:val="none" w:sz="0" w:space="0" w:color="auto"/>
        <w:right w:val="none" w:sz="0" w:space="0" w:color="auto"/>
      </w:divBdr>
    </w:div>
    <w:div w:id="479806508">
      <w:bodyDiv w:val="1"/>
      <w:marLeft w:val="0"/>
      <w:marRight w:val="0"/>
      <w:marTop w:val="0"/>
      <w:marBottom w:val="0"/>
      <w:divBdr>
        <w:top w:val="none" w:sz="0" w:space="0" w:color="auto"/>
        <w:left w:val="none" w:sz="0" w:space="0" w:color="auto"/>
        <w:bottom w:val="none" w:sz="0" w:space="0" w:color="auto"/>
        <w:right w:val="none" w:sz="0" w:space="0" w:color="auto"/>
      </w:divBdr>
      <w:divsChild>
        <w:div w:id="427311426">
          <w:marLeft w:val="547"/>
          <w:marRight w:val="0"/>
          <w:marTop w:val="0"/>
          <w:marBottom w:val="0"/>
          <w:divBdr>
            <w:top w:val="none" w:sz="0" w:space="0" w:color="auto"/>
            <w:left w:val="none" w:sz="0" w:space="0" w:color="auto"/>
            <w:bottom w:val="none" w:sz="0" w:space="0" w:color="auto"/>
            <w:right w:val="none" w:sz="0" w:space="0" w:color="auto"/>
          </w:divBdr>
        </w:div>
      </w:divsChild>
    </w:div>
    <w:div w:id="486943176">
      <w:bodyDiv w:val="1"/>
      <w:marLeft w:val="0"/>
      <w:marRight w:val="0"/>
      <w:marTop w:val="0"/>
      <w:marBottom w:val="0"/>
      <w:divBdr>
        <w:top w:val="none" w:sz="0" w:space="0" w:color="auto"/>
        <w:left w:val="none" w:sz="0" w:space="0" w:color="auto"/>
        <w:bottom w:val="none" w:sz="0" w:space="0" w:color="auto"/>
        <w:right w:val="none" w:sz="0" w:space="0" w:color="auto"/>
      </w:divBdr>
    </w:div>
    <w:div w:id="496312078">
      <w:bodyDiv w:val="1"/>
      <w:marLeft w:val="0"/>
      <w:marRight w:val="0"/>
      <w:marTop w:val="0"/>
      <w:marBottom w:val="0"/>
      <w:divBdr>
        <w:top w:val="none" w:sz="0" w:space="0" w:color="auto"/>
        <w:left w:val="none" w:sz="0" w:space="0" w:color="auto"/>
        <w:bottom w:val="none" w:sz="0" w:space="0" w:color="auto"/>
        <w:right w:val="none" w:sz="0" w:space="0" w:color="auto"/>
      </w:divBdr>
      <w:divsChild>
        <w:div w:id="20864770">
          <w:marLeft w:val="0"/>
          <w:marRight w:val="0"/>
          <w:marTop w:val="0"/>
          <w:marBottom w:val="0"/>
          <w:divBdr>
            <w:top w:val="none" w:sz="0" w:space="0" w:color="auto"/>
            <w:left w:val="none" w:sz="0" w:space="0" w:color="auto"/>
            <w:bottom w:val="none" w:sz="0" w:space="0" w:color="auto"/>
            <w:right w:val="none" w:sz="0" w:space="0" w:color="auto"/>
          </w:divBdr>
          <w:divsChild>
            <w:div w:id="133959487">
              <w:marLeft w:val="0"/>
              <w:marRight w:val="0"/>
              <w:marTop w:val="0"/>
              <w:marBottom w:val="0"/>
              <w:divBdr>
                <w:top w:val="none" w:sz="0" w:space="0" w:color="auto"/>
                <w:left w:val="none" w:sz="0" w:space="0" w:color="auto"/>
                <w:bottom w:val="none" w:sz="0" w:space="0" w:color="auto"/>
                <w:right w:val="none" w:sz="0" w:space="0" w:color="auto"/>
              </w:divBdr>
            </w:div>
          </w:divsChild>
        </w:div>
        <w:div w:id="70205735">
          <w:marLeft w:val="0"/>
          <w:marRight w:val="0"/>
          <w:marTop w:val="0"/>
          <w:marBottom w:val="0"/>
          <w:divBdr>
            <w:top w:val="none" w:sz="0" w:space="0" w:color="auto"/>
            <w:left w:val="none" w:sz="0" w:space="0" w:color="auto"/>
            <w:bottom w:val="none" w:sz="0" w:space="0" w:color="auto"/>
            <w:right w:val="none" w:sz="0" w:space="0" w:color="auto"/>
          </w:divBdr>
          <w:divsChild>
            <w:div w:id="876310462">
              <w:marLeft w:val="0"/>
              <w:marRight w:val="0"/>
              <w:marTop w:val="0"/>
              <w:marBottom w:val="0"/>
              <w:divBdr>
                <w:top w:val="none" w:sz="0" w:space="0" w:color="auto"/>
                <w:left w:val="none" w:sz="0" w:space="0" w:color="auto"/>
                <w:bottom w:val="none" w:sz="0" w:space="0" w:color="auto"/>
                <w:right w:val="none" w:sz="0" w:space="0" w:color="auto"/>
              </w:divBdr>
            </w:div>
          </w:divsChild>
        </w:div>
        <w:div w:id="84956675">
          <w:marLeft w:val="0"/>
          <w:marRight w:val="0"/>
          <w:marTop w:val="0"/>
          <w:marBottom w:val="0"/>
          <w:divBdr>
            <w:top w:val="none" w:sz="0" w:space="0" w:color="auto"/>
            <w:left w:val="none" w:sz="0" w:space="0" w:color="auto"/>
            <w:bottom w:val="none" w:sz="0" w:space="0" w:color="auto"/>
            <w:right w:val="none" w:sz="0" w:space="0" w:color="auto"/>
          </w:divBdr>
          <w:divsChild>
            <w:div w:id="737829685">
              <w:marLeft w:val="0"/>
              <w:marRight w:val="0"/>
              <w:marTop w:val="0"/>
              <w:marBottom w:val="0"/>
              <w:divBdr>
                <w:top w:val="none" w:sz="0" w:space="0" w:color="auto"/>
                <w:left w:val="none" w:sz="0" w:space="0" w:color="auto"/>
                <w:bottom w:val="none" w:sz="0" w:space="0" w:color="auto"/>
                <w:right w:val="none" w:sz="0" w:space="0" w:color="auto"/>
              </w:divBdr>
            </w:div>
          </w:divsChild>
        </w:div>
        <w:div w:id="119152443">
          <w:marLeft w:val="0"/>
          <w:marRight w:val="0"/>
          <w:marTop w:val="0"/>
          <w:marBottom w:val="0"/>
          <w:divBdr>
            <w:top w:val="none" w:sz="0" w:space="0" w:color="auto"/>
            <w:left w:val="none" w:sz="0" w:space="0" w:color="auto"/>
            <w:bottom w:val="none" w:sz="0" w:space="0" w:color="auto"/>
            <w:right w:val="none" w:sz="0" w:space="0" w:color="auto"/>
          </w:divBdr>
          <w:divsChild>
            <w:div w:id="989865189">
              <w:marLeft w:val="0"/>
              <w:marRight w:val="0"/>
              <w:marTop w:val="0"/>
              <w:marBottom w:val="0"/>
              <w:divBdr>
                <w:top w:val="none" w:sz="0" w:space="0" w:color="auto"/>
                <w:left w:val="none" w:sz="0" w:space="0" w:color="auto"/>
                <w:bottom w:val="none" w:sz="0" w:space="0" w:color="auto"/>
                <w:right w:val="none" w:sz="0" w:space="0" w:color="auto"/>
              </w:divBdr>
            </w:div>
          </w:divsChild>
        </w:div>
        <w:div w:id="237518565">
          <w:marLeft w:val="0"/>
          <w:marRight w:val="0"/>
          <w:marTop w:val="0"/>
          <w:marBottom w:val="0"/>
          <w:divBdr>
            <w:top w:val="none" w:sz="0" w:space="0" w:color="auto"/>
            <w:left w:val="none" w:sz="0" w:space="0" w:color="auto"/>
            <w:bottom w:val="none" w:sz="0" w:space="0" w:color="auto"/>
            <w:right w:val="none" w:sz="0" w:space="0" w:color="auto"/>
          </w:divBdr>
          <w:divsChild>
            <w:div w:id="235240257">
              <w:marLeft w:val="0"/>
              <w:marRight w:val="0"/>
              <w:marTop w:val="0"/>
              <w:marBottom w:val="0"/>
              <w:divBdr>
                <w:top w:val="none" w:sz="0" w:space="0" w:color="auto"/>
                <w:left w:val="none" w:sz="0" w:space="0" w:color="auto"/>
                <w:bottom w:val="none" w:sz="0" w:space="0" w:color="auto"/>
                <w:right w:val="none" w:sz="0" w:space="0" w:color="auto"/>
              </w:divBdr>
            </w:div>
          </w:divsChild>
        </w:div>
        <w:div w:id="238371192">
          <w:marLeft w:val="0"/>
          <w:marRight w:val="0"/>
          <w:marTop w:val="0"/>
          <w:marBottom w:val="0"/>
          <w:divBdr>
            <w:top w:val="none" w:sz="0" w:space="0" w:color="auto"/>
            <w:left w:val="none" w:sz="0" w:space="0" w:color="auto"/>
            <w:bottom w:val="none" w:sz="0" w:space="0" w:color="auto"/>
            <w:right w:val="none" w:sz="0" w:space="0" w:color="auto"/>
          </w:divBdr>
          <w:divsChild>
            <w:div w:id="120996722">
              <w:marLeft w:val="0"/>
              <w:marRight w:val="0"/>
              <w:marTop w:val="0"/>
              <w:marBottom w:val="0"/>
              <w:divBdr>
                <w:top w:val="none" w:sz="0" w:space="0" w:color="auto"/>
                <w:left w:val="none" w:sz="0" w:space="0" w:color="auto"/>
                <w:bottom w:val="none" w:sz="0" w:space="0" w:color="auto"/>
                <w:right w:val="none" w:sz="0" w:space="0" w:color="auto"/>
              </w:divBdr>
            </w:div>
          </w:divsChild>
        </w:div>
        <w:div w:id="275722472">
          <w:marLeft w:val="0"/>
          <w:marRight w:val="0"/>
          <w:marTop w:val="0"/>
          <w:marBottom w:val="0"/>
          <w:divBdr>
            <w:top w:val="none" w:sz="0" w:space="0" w:color="auto"/>
            <w:left w:val="none" w:sz="0" w:space="0" w:color="auto"/>
            <w:bottom w:val="none" w:sz="0" w:space="0" w:color="auto"/>
            <w:right w:val="none" w:sz="0" w:space="0" w:color="auto"/>
          </w:divBdr>
          <w:divsChild>
            <w:div w:id="430049244">
              <w:marLeft w:val="0"/>
              <w:marRight w:val="0"/>
              <w:marTop w:val="0"/>
              <w:marBottom w:val="0"/>
              <w:divBdr>
                <w:top w:val="none" w:sz="0" w:space="0" w:color="auto"/>
                <w:left w:val="none" w:sz="0" w:space="0" w:color="auto"/>
                <w:bottom w:val="none" w:sz="0" w:space="0" w:color="auto"/>
                <w:right w:val="none" w:sz="0" w:space="0" w:color="auto"/>
              </w:divBdr>
            </w:div>
          </w:divsChild>
        </w:div>
        <w:div w:id="367754970">
          <w:marLeft w:val="0"/>
          <w:marRight w:val="0"/>
          <w:marTop w:val="0"/>
          <w:marBottom w:val="0"/>
          <w:divBdr>
            <w:top w:val="none" w:sz="0" w:space="0" w:color="auto"/>
            <w:left w:val="none" w:sz="0" w:space="0" w:color="auto"/>
            <w:bottom w:val="none" w:sz="0" w:space="0" w:color="auto"/>
            <w:right w:val="none" w:sz="0" w:space="0" w:color="auto"/>
          </w:divBdr>
          <w:divsChild>
            <w:div w:id="1352298624">
              <w:marLeft w:val="0"/>
              <w:marRight w:val="0"/>
              <w:marTop w:val="0"/>
              <w:marBottom w:val="0"/>
              <w:divBdr>
                <w:top w:val="none" w:sz="0" w:space="0" w:color="auto"/>
                <w:left w:val="none" w:sz="0" w:space="0" w:color="auto"/>
                <w:bottom w:val="none" w:sz="0" w:space="0" w:color="auto"/>
                <w:right w:val="none" w:sz="0" w:space="0" w:color="auto"/>
              </w:divBdr>
            </w:div>
          </w:divsChild>
        </w:div>
        <w:div w:id="427386360">
          <w:marLeft w:val="0"/>
          <w:marRight w:val="0"/>
          <w:marTop w:val="0"/>
          <w:marBottom w:val="0"/>
          <w:divBdr>
            <w:top w:val="none" w:sz="0" w:space="0" w:color="auto"/>
            <w:left w:val="none" w:sz="0" w:space="0" w:color="auto"/>
            <w:bottom w:val="none" w:sz="0" w:space="0" w:color="auto"/>
            <w:right w:val="none" w:sz="0" w:space="0" w:color="auto"/>
          </w:divBdr>
          <w:divsChild>
            <w:div w:id="523133883">
              <w:marLeft w:val="0"/>
              <w:marRight w:val="0"/>
              <w:marTop w:val="0"/>
              <w:marBottom w:val="0"/>
              <w:divBdr>
                <w:top w:val="none" w:sz="0" w:space="0" w:color="auto"/>
                <w:left w:val="none" w:sz="0" w:space="0" w:color="auto"/>
                <w:bottom w:val="none" w:sz="0" w:space="0" w:color="auto"/>
                <w:right w:val="none" w:sz="0" w:space="0" w:color="auto"/>
              </w:divBdr>
            </w:div>
          </w:divsChild>
        </w:div>
        <w:div w:id="446974100">
          <w:marLeft w:val="0"/>
          <w:marRight w:val="0"/>
          <w:marTop w:val="0"/>
          <w:marBottom w:val="0"/>
          <w:divBdr>
            <w:top w:val="none" w:sz="0" w:space="0" w:color="auto"/>
            <w:left w:val="none" w:sz="0" w:space="0" w:color="auto"/>
            <w:bottom w:val="none" w:sz="0" w:space="0" w:color="auto"/>
            <w:right w:val="none" w:sz="0" w:space="0" w:color="auto"/>
          </w:divBdr>
          <w:divsChild>
            <w:div w:id="344480748">
              <w:marLeft w:val="0"/>
              <w:marRight w:val="0"/>
              <w:marTop w:val="0"/>
              <w:marBottom w:val="0"/>
              <w:divBdr>
                <w:top w:val="none" w:sz="0" w:space="0" w:color="auto"/>
                <w:left w:val="none" w:sz="0" w:space="0" w:color="auto"/>
                <w:bottom w:val="none" w:sz="0" w:space="0" w:color="auto"/>
                <w:right w:val="none" w:sz="0" w:space="0" w:color="auto"/>
              </w:divBdr>
            </w:div>
          </w:divsChild>
        </w:div>
        <w:div w:id="502739568">
          <w:marLeft w:val="0"/>
          <w:marRight w:val="0"/>
          <w:marTop w:val="0"/>
          <w:marBottom w:val="0"/>
          <w:divBdr>
            <w:top w:val="none" w:sz="0" w:space="0" w:color="auto"/>
            <w:left w:val="none" w:sz="0" w:space="0" w:color="auto"/>
            <w:bottom w:val="none" w:sz="0" w:space="0" w:color="auto"/>
            <w:right w:val="none" w:sz="0" w:space="0" w:color="auto"/>
          </w:divBdr>
          <w:divsChild>
            <w:div w:id="2109692651">
              <w:marLeft w:val="0"/>
              <w:marRight w:val="0"/>
              <w:marTop w:val="0"/>
              <w:marBottom w:val="0"/>
              <w:divBdr>
                <w:top w:val="none" w:sz="0" w:space="0" w:color="auto"/>
                <w:left w:val="none" w:sz="0" w:space="0" w:color="auto"/>
                <w:bottom w:val="none" w:sz="0" w:space="0" w:color="auto"/>
                <w:right w:val="none" w:sz="0" w:space="0" w:color="auto"/>
              </w:divBdr>
            </w:div>
          </w:divsChild>
        </w:div>
        <w:div w:id="613947288">
          <w:marLeft w:val="0"/>
          <w:marRight w:val="0"/>
          <w:marTop w:val="0"/>
          <w:marBottom w:val="0"/>
          <w:divBdr>
            <w:top w:val="none" w:sz="0" w:space="0" w:color="auto"/>
            <w:left w:val="none" w:sz="0" w:space="0" w:color="auto"/>
            <w:bottom w:val="none" w:sz="0" w:space="0" w:color="auto"/>
            <w:right w:val="none" w:sz="0" w:space="0" w:color="auto"/>
          </w:divBdr>
          <w:divsChild>
            <w:div w:id="1219901321">
              <w:marLeft w:val="0"/>
              <w:marRight w:val="0"/>
              <w:marTop w:val="0"/>
              <w:marBottom w:val="0"/>
              <w:divBdr>
                <w:top w:val="none" w:sz="0" w:space="0" w:color="auto"/>
                <w:left w:val="none" w:sz="0" w:space="0" w:color="auto"/>
                <w:bottom w:val="none" w:sz="0" w:space="0" w:color="auto"/>
                <w:right w:val="none" w:sz="0" w:space="0" w:color="auto"/>
              </w:divBdr>
            </w:div>
          </w:divsChild>
        </w:div>
        <w:div w:id="649360326">
          <w:marLeft w:val="0"/>
          <w:marRight w:val="0"/>
          <w:marTop w:val="0"/>
          <w:marBottom w:val="0"/>
          <w:divBdr>
            <w:top w:val="none" w:sz="0" w:space="0" w:color="auto"/>
            <w:left w:val="none" w:sz="0" w:space="0" w:color="auto"/>
            <w:bottom w:val="none" w:sz="0" w:space="0" w:color="auto"/>
            <w:right w:val="none" w:sz="0" w:space="0" w:color="auto"/>
          </w:divBdr>
          <w:divsChild>
            <w:div w:id="1202741549">
              <w:marLeft w:val="0"/>
              <w:marRight w:val="0"/>
              <w:marTop w:val="0"/>
              <w:marBottom w:val="0"/>
              <w:divBdr>
                <w:top w:val="none" w:sz="0" w:space="0" w:color="auto"/>
                <w:left w:val="none" w:sz="0" w:space="0" w:color="auto"/>
                <w:bottom w:val="none" w:sz="0" w:space="0" w:color="auto"/>
                <w:right w:val="none" w:sz="0" w:space="0" w:color="auto"/>
              </w:divBdr>
            </w:div>
          </w:divsChild>
        </w:div>
        <w:div w:id="667054415">
          <w:marLeft w:val="0"/>
          <w:marRight w:val="0"/>
          <w:marTop w:val="0"/>
          <w:marBottom w:val="0"/>
          <w:divBdr>
            <w:top w:val="none" w:sz="0" w:space="0" w:color="auto"/>
            <w:left w:val="none" w:sz="0" w:space="0" w:color="auto"/>
            <w:bottom w:val="none" w:sz="0" w:space="0" w:color="auto"/>
            <w:right w:val="none" w:sz="0" w:space="0" w:color="auto"/>
          </w:divBdr>
          <w:divsChild>
            <w:div w:id="655182774">
              <w:marLeft w:val="0"/>
              <w:marRight w:val="0"/>
              <w:marTop w:val="0"/>
              <w:marBottom w:val="0"/>
              <w:divBdr>
                <w:top w:val="none" w:sz="0" w:space="0" w:color="auto"/>
                <w:left w:val="none" w:sz="0" w:space="0" w:color="auto"/>
                <w:bottom w:val="none" w:sz="0" w:space="0" w:color="auto"/>
                <w:right w:val="none" w:sz="0" w:space="0" w:color="auto"/>
              </w:divBdr>
            </w:div>
          </w:divsChild>
        </w:div>
        <w:div w:id="675039614">
          <w:marLeft w:val="0"/>
          <w:marRight w:val="0"/>
          <w:marTop w:val="0"/>
          <w:marBottom w:val="0"/>
          <w:divBdr>
            <w:top w:val="none" w:sz="0" w:space="0" w:color="auto"/>
            <w:left w:val="none" w:sz="0" w:space="0" w:color="auto"/>
            <w:bottom w:val="none" w:sz="0" w:space="0" w:color="auto"/>
            <w:right w:val="none" w:sz="0" w:space="0" w:color="auto"/>
          </w:divBdr>
          <w:divsChild>
            <w:div w:id="1241014680">
              <w:marLeft w:val="0"/>
              <w:marRight w:val="0"/>
              <w:marTop w:val="0"/>
              <w:marBottom w:val="0"/>
              <w:divBdr>
                <w:top w:val="none" w:sz="0" w:space="0" w:color="auto"/>
                <w:left w:val="none" w:sz="0" w:space="0" w:color="auto"/>
                <w:bottom w:val="none" w:sz="0" w:space="0" w:color="auto"/>
                <w:right w:val="none" w:sz="0" w:space="0" w:color="auto"/>
              </w:divBdr>
            </w:div>
          </w:divsChild>
        </w:div>
        <w:div w:id="716861142">
          <w:marLeft w:val="0"/>
          <w:marRight w:val="0"/>
          <w:marTop w:val="0"/>
          <w:marBottom w:val="0"/>
          <w:divBdr>
            <w:top w:val="none" w:sz="0" w:space="0" w:color="auto"/>
            <w:left w:val="none" w:sz="0" w:space="0" w:color="auto"/>
            <w:bottom w:val="none" w:sz="0" w:space="0" w:color="auto"/>
            <w:right w:val="none" w:sz="0" w:space="0" w:color="auto"/>
          </w:divBdr>
          <w:divsChild>
            <w:div w:id="455948166">
              <w:marLeft w:val="0"/>
              <w:marRight w:val="0"/>
              <w:marTop w:val="0"/>
              <w:marBottom w:val="0"/>
              <w:divBdr>
                <w:top w:val="none" w:sz="0" w:space="0" w:color="auto"/>
                <w:left w:val="none" w:sz="0" w:space="0" w:color="auto"/>
                <w:bottom w:val="none" w:sz="0" w:space="0" w:color="auto"/>
                <w:right w:val="none" w:sz="0" w:space="0" w:color="auto"/>
              </w:divBdr>
            </w:div>
          </w:divsChild>
        </w:div>
        <w:div w:id="777287947">
          <w:marLeft w:val="0"/>
          <w:marRight w:val="0"/>
          <w:marTop w:val="0"/>
          <w:marBottom w:val="0"/>
          <w:divBdr>
            <w:top w:val="none" w:sz="0" w:space="0" w:color="auto"/>
            <w:left w:val="none" w:sz="0" w:space="0" w:color="auto"/>
            <w:bottom w:val="none" w:sz="0" w:space="0" w:color="auto"/>
            <w:right w:val="none" w:sz="0" w:space="0" w:color="auto"/>
          </w:divBdr>
          <w:divsChild>
            <w:div w:id="2056659811">
              <w:marLeft w:val="0"/>
              <w:marRight w:val="0"/>
              <w:marTop w:val="0"/>
              <w:marBottom w:val="0"/>
              <w:divBdr>
                <w:top w:val="none" w:sz="0" w:space="0" w:color="auto"/>
                <w:left w:val="none" w:sz="0" w:space="0" w:color="auto"/>
                <w:bottom w:val="none" w:sz="0" w:space="0" w:color="auto"/>
                <w:right w:val="none" w:sz="0" w:space="0" w:color="auto"/>
              </w:divBdr>
            </w:div>
          </w:divsChild>
        </w:div>
        <w:div w:id="820973277">
          <w:marLeft w:val="0"/>
          <w:marRight w:val="0"/>
          <w:marTop w:val="0"/>
          <w:marBottom w:val="0"/>
          <w:divBdr>
            <w:top w:val="none" w:sz="0" w:space="0" w:color="auto"/>
            <w:left w:val="none" w:sz="0" w:space="0" w:color="auto"/>
            <w:bottom w:val="none" w:sz="0" w:space="0" w:color="auto"/>
            <w:right w:val="none" w:sz="0" w:space="0" w:color="auto"/>
          </w:divBdr>
          <w:divsChild>
            <w:div w:id="1164853754">
              <w:marLeft w:val="0"/>
              <w:marRight w:val="0"/>
              <w:marTop w:val="0"/>
              <w:marBottom w:val="0"/>
              <w:divBdr>
                <w:top w:val="none" w:sz="0" w:space="0" w:color="auto"/>
                <w:left w:val="none" w:sz="0" w:space="0" w:color="auto"/>
                <w:bottom w:val="none" w:sz="0" w:space="0" w:color="auto"/>
                <w:right w:val="none" w:sz="0" w:space="0" w:color="auto"/>
              </w:divBdr>
            </w:div>
          </w:divsChild>
        </w:div>
        <w:div w:id="830218289">
          <w:marLeft w:val="0"/>
          <w:marRight w:val="0"/>
          <w:marTop w:val="0"/>
          <w:marBottom w:val="0"/>
          <w:divBdr>
            <w:top w:val="none" w:sz="0" w:space="0" w:color="auto"/>
            <w:left w:val="none" w:sz="0" w:space="0" w:color="auto"/>
            <w:bottom w:val="none" w:sz="0" w:space="0" w:color="auto"/>
            <w:right w:val="none" w:sz="0" w:space="0" w:color="auto"/>
          </w:divBdr>
          <w:divsChild>
            <w:div w:id="207954093">
              <w:marLeft w:val="0"/>
              <w:marRight w:val="0"/>
              <w:marTop w:val="0"/>
              <w:marBottom w:val="0"/>
              <w:divBdr>
                <w:top w:val="none" w:sz="0" w:space="0" w:color="auto"/>
                <w:left w:val="none" w:sz="0" w:space="0" w:color="auto"/>
                <w:bottom w:val="none" w:sz="0" w:space="0" w:color="auto"/>
                <w:right w:val="none" w:sz="0" w:space="0" w:color="auto"/>
              </w:divBdr>
            </w:div>
          </w:divsChild>
        </w:div>
        <w:div w:id="832066372">
          <w:marLeft w:val="0"/>
          <w:marRight w:val="0"/>
          <w:marTop w:val="0"/>
          <w:marBottom w:val="0"/>
          <w:divBdr>
            <w:top w:val="none" w:sz="0" w:space="0" w:color="auto"/>
            <w:left w:val="none" w:sz="0" w:space="0" w:color="auto"/>
            <w:bottom w:val="none" w:sz="0" w:space="0" w:color="auto"/>
            <w:right w:val="none" w:sz="0" w:space="0" w:color="auto"/>
          </w:divBdr>
          <w:divsChild>
            <w:div w:id="1739401487">
              <w:marLeft w:val="0"/>
              <w:marRight w:val="0"/>
              <w:marTop w:val="0"/>
              <w:marBottom w:val="0"/>
              <w:divBdr>
                <w:top w:val="none" w:sz="0" w:space="0" w:color="auto"/>
                <w:left w:val="none" w:sz="0" w:space="0" w:color="auto"/>
                <w:bottom w:val="none" w:sz="0" w:space="0" w:color="auto"/>
                <w:right w:val="none" w:sz="0" w:space="0" w:color="auto"/>
              </w:divBdr>
            </w:div>
          </w:divsChild>
        </w:div>
        <w:div w:id="835222566">
          <w:marLeft w:val="0"/>
          <w:marRight w:val="0"/>
          <w:marTop w:val="0"/>
          <w:marBottom w:val="0"/>
          <w:divBdr>
            <w:top w:val="none" w:sz="0" w:space="0" w:color="auto"/>
            <w:left w:val="none" w:sz="0" w:space="0" w:color="auto"/>
            <w:bottom w:val="none" w:sz="0" w:space="0" w:color="auto"/>
            <w:right w:val="none" w:sz="0" w:space="0" w:color="auto"/>
          </w:divBdr>
          <w:divsChild>
            <w:div w:id="1857884259">
              <w:marLeft w:val="0"/>
              <w:marRight w:val="0"/>
              <w:marTop w:val="0"/>
              <w:marBottom w:val="0"/>
              <w:divBdr>
                <w:top w:val="none" w:sz="0" w:space="0" w:color="auto"/>
                <w:left w:val="none" w:sz="0" w:space="0" w:color="auto"/>
                <w:bottom w:val="none" w:sz="0" w:space="0" w:color="auto"/>
                <w:right w:val="none" w:sz="0" w:space="0" w:color="auto"/>
              </w:divBdr>
            </w:div>
          </w:divsChild>
        </w:div>
        <w:div w:id="866407994">
          <w:marLeft w:val="0"/>
          <w:marRight w:val="0"/>
          <w:marTop w:val="0"/>
          <w:marBottom w:val="0"/>
          <w:divBdr>
            <w:top w:val="none" w:sz="0" w:space="0" w:color="auto"/>
            <w:left w:val="none" w:sz="0" w:space="0" w:color="auto"/>
            <w:bottom w:val="none" w:sz="0" w:space="0" w:color="auto"/>
            <w:right w:val="none" w:sz="0" w:space="0" w:color="auto"/>
          </w:divBdr>
          <w:divsChild>
            <w:div w:id="278607981">
              <w:marLeft w:val="0"/>
              <w:marRight w:val="0"/>
              <w:marTop w:val="0"/>
              <w:marBottom w:val="0"/>
              <w:divBdr>
                <w:top w:val="none" w:sz="0" w:space="0" w:color="auto"/>
                <w:left w:val="none" w:sz="0" w:space="0" w:color="auto"/>
                <w:bottom w:val="none" w:sz="0" w:space="0" w:color="auto"/>
                <w:right w:val="none" w:sz="0" w:space="0" w:color="auto"/>
              </w:divBdr>
            </w:div>
          </w:divsChild>
        </w:div>
        <w:div w:id="910651037">
          <w:marLeft w:val="0"/>
          <w:marRight w:val="0"/>
          <w:marTop w:val="0"/>
          <w:marBottom w:val="0"/>
          <w:divBdr>
            <w:top w:val="none" w:sz="0" w:space="0" w:color="auto"/>
            <w:left w:val="none" w:sz="0" w:space="0" w:color="auto"/>
            <w:bottom w:val="none" w:sz="0" w:space="0" w:color="auto"/>
            <w:right w:val="none" w:sz="0" w:space="0" w:color="auto"/>
          </w:divBdr>
          <w:divsChild>
            <w:div w:id="209195024">
              <w:marLeft w:val="0"/>
              <w:marRight w:val="0"/>
              <w:marTop w:val="0"/>
              <w:marBottom w:val="0"/>
              <w:divBdr>
                <w:top w:val="none" w:sz="0" w:space="0" w:color="auto"/>
                <w:left w:val="none" w:sz="0" w:space="0" w:color="auto"/>
                <w:bottom w:val="none" w:sz="0" w:space="0" w:color="auto"/>
                <w:right w:val="none" w:sz="0" w:space="0" w:color="auto"/>
              </w:divBdr>
            </w:div>
          </w:divsChild>
        </w:div>
        <w:div w:id="935361066">
          <w:marLeft w:val="0"/>
          <w:marRight w:val="0"/>
          <w:marTop w:val="0"/>
          <w:marBottom w:val="0"/>
          <w:divBdr>
            <w:top w:val="none" w:sz="0" w:space="0" w:color="auto"/>
            <w:left w:val="none" w:sz="0" w:space="0" w:color="auto"/>
            <w:bottom w:val="none" w:sz="0" w:space="0" w:color="auto"/>
            <w:right w:val="none" w:sz="0" w:space="0" w:color="auto"/>
          </w:divBdr>
          <w:divsChild>
            <w:div w:id="1771125595">
              <w:marLeft w:val="0"/>
              <w:marRight w:val="0"/>
              <w:marTop w:val="0"/>
              <w:marBottom w:val="0"/>
              <w:divBdr>
                <w:top w:val="none" w:sz="0" w:space="0" w:color="auto"/>
                <w:left w:val="none" w:sz="0" w:space="0" w:color="auto"/>
                <w:bottom w:val="none" w:sz="0" w:space="0" w:color="auto"/>
                <w:right w:val="none" w:sz="0" w:space="0" w:color="auto"/>
              </w:divBdr>
            </w:div>
          </w:divsChild>
        </w:div>
        <w:div w:id="1057127177">
          <w:marLeft w:val="0"/>
          <w:marRight w:val="0"/>
          <w:marTop w:val="0"/>
          <w:marBottom w:val="0"/>
          <w:divBdr>
            <w:top w:val="none" w:sz="0" w:space="0" w:color="auto"/>
            <w:left w:val="none" w:sz="0" w:space="0" w:color="auto"/>
            <w:bottom w:val="none" w:sz="0" w:space="0" w:color="auto"/>
            <w:right w:val="none" w:sz="0" w:space="0" w:color="auto"/>
          </w:divBdr>
          <w:divsChild>
            <w:div w:id="1657995436">
              <w:marLeft w:val="0"/>
              <w:marRight w:val="0"/>
              <w:marTop w:val="0"/>
              <w:marBottom w:val="0"/>
              <w:divBdr>
                <w:top w:val="none" w:sz="0" w:space="0" w:color="auto"/>
                <w:left w:val="none" w:sz="0" w:space="0" w:color="auto"/>
                <w:bottom w:val="none" w:sz="0" w:space="0" w:color="auto"/>
                <w:right w:val="none" w:sz="0" w:space="0" w:color="auto"/>
              </w:divBdr>
            </w:div>
          </w:divsChild>
        </w:div>
        <w:div w:id="1097290571">
          <w:marLeft w:val="0"/>
          <w:marRight w:val="0"/>
          <w:marTop w:val="0"/>
          <w:marBottom w:val="0"/>
          <w:divBdr>
            <w:top w:val="none" w:sz="0" w:space="0" w:color="auto"/>
            <w:left w:val="none" w:sz="0" w:space="0" w:color="auto"/>
            <w:bottom w:val="none" w:sz="0" w:space="0" w:color="auto"/>
            <w:right w:val="none" w:sz="0" w:space="0" w:color="auto"/>
          </w:divBdr>
          <w:divsChild>
            <w:div w:id="507258784">
              <w:marLeft w:val="0"/>
              <w:marRight w:val="0"/>
              <w:marTop w:val="0"/>
              <w:marBottom w:val="0"/>
              <w:divBdr>
                <w:top w:val="none" w:sz="0" w:space="0" w:color="auto"/>
                <w:left w:val="none" w:sz="0" w:space="0" w:color="auto"/>
                <w:bottom w:val="none" w:sz="0" w:space="0" w:color="auto"/>
                <w:right w:val="none" w:sz="0" w:space="0" w:color="auto"/>
              </w:divBdr>
            </w:div>
          </w:divsChild>
        </w:div>
        <w:div w:id="1104305570">
          <w:marLeft w:val="0"/>
          <w:marRight w:val="0"/>
          <w:marTop w:val="0"/>
          <w:marBottom w:val="0"/>
          <w:divBdr>
            <w:top w:val="none" w:sz="0" w:space="0" w:color="auto"/>
            <w:left w:val="none" w:sz="0" w:space="0" w:color="auto"/>
            <w:bottom w:val="none" w:sz="0" w:space="0" w:color="auto"/>
            <w:right w:val="none" w:sz="0" w:space="0" w:color="auto"/>
          </w:divBdr>
          <w:divsChild>
            <w:div w:id="2110809047">
              <w:marLeft w:val="0"/>
              <w:marRight w:val="0"/>
              <w:marTop w:val="0"/>
              <w:marBottom w:val="0"/>
              <w:divBdr>
                <w:top w:val="none" w:sz="0" w:space="0" w:color="auto"/>
                <w:left w:val="none" w:sz="0" w:space="0" w:color="auto"/>
                <w:bottom w:val="none" w:sz="0" w:space="0" w:color="auto"/>
                <w:right w:val="none" w:sz="0" w:space="0" w:color="auto"/>
              </w:divBdr>
            </w:div>
          </w:divsChild>
        </w:div>
        <w:div w:id="1114131998">
          <w:marLeft w:val="0"/>
          <w:marRight w:val="0"/>
          <w:marTop w:val="0"/>
          <w:marBottom w:val="0"/>
          <w:divBdr>
            <w:top w:val="none" w:sz="0" w:space="0" w:color="auto"/>
            <w:left w:val="none" w:sz="0" w:space="0" w:color="auto"/>
            <w:bottom w:val="none" w:sz="0" w:space="0" w:color="auto"/>
            <w:right w:val="none" w:sz="0" w:space="0" w:color="auto"/>
          </w:divBdr>
          <w:divsChild>
            <w:div w:id="1452557689">
              <w:marLeft w:val="0"/>
              <w:marRight w:val="0"/>
              <w:marTop w:val="0"/>
              <w:marBottom w:val="0"/>
              <w:divBdr>
                <w:top w:val="none" w:sz="0" w:space="0" w:color="auto"/>
                <w:left w:val="none" w:sz="0" w:space="0" w:color="auto"/>
                <w:bottom w:val="none" w:sz="0" w:space="0" w:color="auto"/>
                <w:right w:val="none" w:sz="0" w:space="0" w:color="auto"/>
              </w:divBdr>
            </w:div>
          </w:divsChild>
        </w:div>
        <w:div w:id="1140338975">
          <w:marLeft w:val="0"/>
          <w:marRight w:val="0"/>
          <w:marTop w:val="0"/>
          <w:marBottom w:val="0"/>
          <w:divBdr>
            <w:top w:val="none" w:sz="0" w:space="0" w:color="auto"/>
            <w:left w:val="none" w:sz="0" w:space="0" w:color="auto"/>
            <w:bottom w:val="none" w:sz="0" w:space="0" w:color="auto"/>
            <w:right w:val="none" w:sz="0" w:space="0" w:color="auto"/>
          </w:divBdr>
          <w:divsChild>
            <w:div w:id="191462053">
              <w:marLeft w:val="0"/>
              <w:marRight w:val="0"/>
              <w:marTop w:val="0"/>
              <w:marBottom w:val="0"/>
              <w:divBdr>
                <w:top w:val="none" w:sz="0" w:space="0" w:color="auto"/>
                <w:left w:val="none" w:sz="0" w:space="0" w:color="auto"/>
                <w:bottom w:val="none" w:sz="0" w:space="0" w:color="auto"/>
                <w:right w:val="none" w:sz="0" w:space="0" w:color="auto"/>
              </w:divBdr>
            </w:div>
          </w:divsChild>
        </w:div>
        <w:div w:id="1229531351">
          <w:marLeft w:val="0"/>
          <w:marRight w:val="0"/>
          <w:marTop w:val="0"/>
          <w:marBottom w:val="0"/>
          <w:divBdr>
            <w:top w:val="none" w:sz="0" w:space="0" w:color="auto"/>
            <w:left w:val="none" w:sz="0" w:space="0" w:color="auto"/>
            <w:bottom w:val="none" w:sz="0" w:space="0" w:color="auto"/>
            <w:right w:val="none" w:sz="0" w:space="0" w:color="auto"/>
          </w:divBdr>
          <w:divsChild>
            <w:div w:id="783571412">
              <w:marLeft w:val="0"/>
              <w:marRight w:val="0"/>
              <w:marTop w:val="0"/>
              <w:marBottom w:val="0"/>
              <w:divBdr>
                <w:top w:val="none" w:sz="0" w:space="0" w:color="auto"/>
                <w:left w:val="none" w:sz="0" w:space="0" w:color="auto"/>
                <w:bottom w:val="none" w:sz="0" w:space="0" w:color="auto"/>
                <w:right w:val="none" w:sz="0" w:space="0" w:color="auto"/>
              </w:divBdr>
            </w:div>
          </w:divsChild>
        </w:div>
        <w:div w:id="1271742869">
          <w:marLeft w:val="0"/>
          <w:marRight w:val="0"/>
          <w:marTop w:val="0"/>
          <w:marBottom w:val="0"/>
          <w:divBdr>
            <w:top w:val="none" w:sz="0" w:space="0" w:color="auto"/>
            <w:left w:val="none" w:sz="0" w:space="0" w:color="auto"/>
            <w:bottom w:val="none" w:sz="0" w:space="0" w:color="auto"/>
            <w:right w:val="none" w:sz="0" w:space="0" w:color="auto"/>
          </w:divBdr>
          <w:divsChild>
            <w:div w:id="1117943501">
              <w:marLeft w:val="0"/>
              <w:marRight w:val="0"/>
              <w:marTop w:val="0"/>
              <w:marBottom w:val="0"/>
              <w:divBdr>
                <w:top w:val="none" w:sz="0" w:space="0" w:color="auto"/>
                <w:left w:val="none" w:sz="0" w:space="0" w:color="auto"/>
                <w:bottom w:val="none" w:sz="0" w:space="0" w:color="auto"/>
                <w:right w:val="none" w:sz="0" w:space="0" w:color="auto"/>
              </w:divBdr>
            </w:div>
          </w:divsChild>
        </w:div>
        <w:div w:id="1314870152">
          <w:marLeft w:val="0"/>
          <w:marRight w:val="0"/>
          <w:marTop w:val="0"/>
          <w:marBottom w:val="0"/>
          <w:divBdr>
            <w:top w:val="none" w:sz="0" w:space="0" w:color="auto"/>
            <w:left w:val="none" w:sz="0" w:space="0" w:color="auto"/>
            <w:bottom w:val="none" w:sz="0" w:space="0" w:color="auto"/>
            <w:right w:val="none" w:sz="0" w:space="0" w:color="auto"/>
          </w:divBdr>
          <w:divsChild>
            <w:div w:id="1757089998">
              <w:marLeft w:val="0"/>
              <w:marRight w:val="0"/>
              <w:marTop w:val="0"/>
              <w:marBottom w:val="0"/>
              <w:divBdr>
                <w:top w:val="none" w:sz="0" w:space="0" w:color="auto"/>
                <w:left w:val="none" w:sz="0" w:space="0" w:color="auto"/>
                <w:bottom w:val="none" w:sz="0" w:space="0" w:color="auto"/>
                <w:right w:val="none" w:sz="0" w:space="0" w:color="auto"/>
              </w:divBdr>
            </w:div>
          </w:divsChild>
        </w:div>
        <w:div w:id="1325934530">
          <w:marLeft w:val="0"/>
          <w:marRight w:val="0"/>
          <w:marTop w:val="0"/>
          <w:marBottom w:val="0"/>
          <w:divBdr>
            <w:top w:val="none" w:sz="0" w:space="0" w:color="auto"/>
            <w:left w:val="none" w:sz="0" w:space="0" w:color="auto"/>
            <w:bottom w:val="none" w:sz="0" w:space="0" w:color="auto"/>
            <w:right w:val="none" w:sz="0" w:space="0" w:color="auto"/>
          </w:divBdr>
          <w:divsChild>
            <w:div w:id="982739801">
              <w:marLeft w:val="0"/>
              <w:marRight w:val="0"/>
              <w:marTop w:val="0"/>
              <w:marBottom w:val="0"/>
              <w:divBdr>
                <w:top w:val="none" w:sz="0" w:space="0" w:color="auto"/>
                <w:left w:val="none" w:sz="0" w:space="0" w:color="auto"/>
                <w:bottom w:val="none" w:sz="0" w:space="0" w:color="auto"/>
                <w:right w:val="none" w:sz="0" w:space="0" w:color="auto"/>
              </w:divBdr>
            </w:div>
          </w:divsChild>
        </w:div>
        <w:div w:id="1368066444">
          <w:marLeft w:val="0"/>
          <w:marRight w:val="0"/>
          <w:marTop w:val="0"/>
          <w:marBottom w:val="0"/>
          <w:divBdr>
            <w:top w:val="none" w:sz="0" w:space="0" w:color="auto"/>
            <w:left w:val="none" w:sz="0" w:space="0" w:color="auto"/>
            <w:bottom w:val="none" w:sz="0" w:space="0" w:color="auto"/>
            <w:right w:val="none" w:sz="0" w:space="0" w:color="auto"/>
          </w:divBdr>
          <w:divsChild>
            <w:div w:id="1122649021">
              <w:marLeft w:val="0"/>
              <w:marRight w:val="0"/>
              <w:marTop w:val="0"/>
              <w:marBottom w:val="0"/>
              <w:divBdr>
                <w:top w:val="none" w:sz="0" w:space="0" w:color="auto"/>
                <w:left w:val="none" w:sz="0" w:space="0" w:color="auto"/>
                <w:bottom w:val="none" w:sz="0" w:space="0" w:color="auto"/>
                <w:right w:val="none" w:sz="0" w:space="0" w:color="auto"/>
              </w:divBdr>
            </w:div>
          </w:divsChild>
        </w:div>
        <w:div w:id="1466855507">
          <w:marLeft w:val="0"/>
          <w:marRight w:val="0"/>
          <w:marTop w:val="0"/>
          <w:marBottom w:val="0"/>
          <w:divBdr>
            <w:top w:val="none" w:sz="0" w:space="0" w:color="auto"/>
            <w:left w:val="none" w:sz="0" w:space="0" w:color="auto"/>
            <w:bottom w:val="none" w:sz="0" w:space="0" w:color="auto"/>
            <w:right w:val="none" w:sz="0" w:space="0" w:color="auto"/>
          </w:divBdr>
          <w:divsChild>
            <w:div w:id="570391039">
              <w:marLeft w:val="0"/>
              <w:marRight w:val="0"/>
              <w:marTop w:val="0"/>
              <w:marBottom w:val="0"/>
              <w:divBdr>
                <w:top w:val="none" w:sz="0" w:space="0" w:color="auto"/>
                <w:left w:val="none" w:sz="0" w:space="0" w:color="auto"/>
                <w:bottom w:val="none" w:sz="0" w:space="0" w:color="auto"/>
                <w:right w:val="none" w:sz="0" w:space="0" w:color="auto"/>
              </w:divBdr>
            </w:div>
          </w:divsChild>
        </w:div>
        <w:div w:id="1520701784">
          <w:marLeft w:val="0"/>
          <w:marRight w:val="0"/>
          <w:marTop w:val="0"/>
          <w:marBottom w:val="0"/>
          <w:divBdr>
            <w:top w:val="none" w:sz="0" w:space="0" w:color="auto"/>
            <w:left w:val="none" w:sz="0" w:space="0" w:color="auto"/>
            <w:bottom w:val="none" w:sz="0" w:space="0" w:color="auto"/>
            <w:right w:val="none" w:sz="0" w:space="0" w:color="auto"/>
          </w:divBdr>
          <w:divsChild>
            <w:div w:id="2012945352">
              <w:marLeft w:val="0"/>
              <w:marRight w:val="0"/>
              <w:marTop w:val="0"/>
              <w:marBottom w:val="0"/>
              <w:divBdr>
                <w:top w:val="none" w:sz="0" w:space="0" w:color="auto"/>
                <w:left w:val="none" w:sz="0" w:space="0" w:color="auto"/>
                <w:bottom w:val="none" w:sz="0" w:space="0" w:color="auto"/>
                <w:right w:val="none" w:sz="0" w:space="0" w:color="auto"/>
              </w:divBdr>
            </w:div>
          </w:divsChild>
        </w:div>
        <w:div w:id="1528449214">
          <w:marLeft w:val="0"/>
          <w:marRight w:val="0"/>
          <w:marTop w:val="0"/>
          <w:marBottom w:val="0"/>
          <w:divBdr>
            <w:top w:val="none" w:sz="0" w:space="0" w:color="auto"/>
            <w:left w:val="none" w:sz="0" w:space="0" w:color="auto"/>
            <w:bottom w:val="none" w:sz="0" w:space="0" w:color="auto"/>
            <w:right w:val="none" w:sz="0" w:space="0" w:color="auto"/>
          </w:divBdr>
          <w:divsChild>
            <w:div w:id="877931585">
              <w:marLeft w:val="0"/>
              <w:marRight w:val="0"/>
              <w:marTop w:val="0"/>
              <w:marBottom w:val="0"/>
              <w:divBdr>
                <w:top w:val="none" w:sz="0" w:space="0" w:color="auto"/>
                <w:left w:val="none" w:sz="0" w:space="0" w:color="auto"/>
                <w:bottom w:val="none" w:sz="0" w:space="0" w:color="auto"/>
                <w:right w:val="none" w:sz="0" w:space="0" w:color="auto"/>
              </w:divBdr>
            </w:div>
          </w:divsChild>
        </w:div>
        <w:div w:id="1617247191">
          <w:marLeft w:val="0"/>
          <w:marRight w:val="0"/>
          <w:marTop w:val="0"/>
          <w:marBottom w:val="0"/>
          <w:divBdr>
            <w:top w:val="none" w:sz="0" w:space="0" w:color="auto"/>
            <w:left w:val="none" w:sz="0" w:space="0" w:color="auto"/>
            <w:bottom w:val="none" w:sz="0" w:space="0" w:color="auto"/>
            <w:right w:val="none" w:sz="0" w:space="0" w:color="auto"/>
          </w:divBdr>
          <w:divsChild>
            <w:div w:id="524753230">
              <w:marLeft w:val="0"/>
              <w:marRight w:val="0"/>
              <w:marTop w:val="0"/>
              <w:marBottom w:val="0"/>
              <w:divBdr>
                <w:top w:val="none" w:sz="0" w:space="0" w:color="auto"/>
                <w:left w:val="none" w:sz="0" w:space="0" w:color="auto"/>
                <w:bottom w:val="none" w:sz="0" w:space="0" w:color="auto"/>
                <w:right w:val="none" w:sz="0" w:space="0" w:color="auto"/>
              </w:divBdr>
            </w:div>
          </w:divsChild>
        </w:div>
        <w:div w:id="1677339157">
          <w:marLeft w:val="0"/>
          <w:marRight w:val="0"/>
          <w:marTop w:val="0"/>
          <w:marBottom w:val="0"/>
          <w:divBdr>
            <w:top w:val="none" w:sz="0" w:space="0" w:color="auto"/>
            <w:left w:val="none" w:sz="0" w:space="0" w:color="auto"/>
            <w:bottom w:val="none" w:sz="0" w:space="0" w:color="auto"/>
            <w:right w:val="none" w:sz="0" w:space="0" w:color="auto"/>
          </w:divBdr>
          <w:divsChild>
            <w:div w:id="698241075">
              <w:marLeft w:val="0"/>
              <w:marRight w:val="0"/>
              <w:marTop w:val="0"/>
              <w:marBottom w:val="0"/>
              <w:divBdr>
                <w:top w:val="none" w:sz="0" w:space="0" w:color="auto"/>
                <w:left w:val="none" w:sz="0" w:space="0" w:color="auto"/>
                <w:bottom w:val="none" w:sz="0" w:space="0" w:color="auto"/>
                <w:right w:val="none" w:sz="0" w:space="0" w:color="auto"/>
              </w:divBdr>
            </w:div>
          </w:divsChild>
        </w:div>
        <w:div w:id="1750954945">
          <w:marLeft w:val="0"/>
          <w:marRight w:val="0"/>
          <w:marTop w:val="0"/>
          <w:marBottom w:val="0"/>
          <w:divBdr>
            <w:top w:val="none" w:sz="0" w:space="0" w:color="auto"/>
            <w:left w:val="none" w:sz="0" w:space="0" w:color="auto"/>
            <w:bottom w:val="none" w:sz="0" w:space="0" w:color="auto"/>
            <w:right w:val="none" w:sz="0" w:space="0" w:color="auto"/>
          </w:divBdr>
          <w:divsChild>
            <w:div w:id="1065956185">
              <w:marLeft w:val="0"/>
              <w:marRight w:val="0"/>
              <w:marTop w:val="0"/>
              <w:marBottom w:val="0"/>
              <w:divBdr>
                <w:top w:val="none" w:sz="0" w:space="0" w:color="auto"/>
                <w:left w:val="none" w:sz="0" w:space="0" w:color="auto"/>
                <w:bottom w:val="none" w:sz="0" w:space="0" w:color="auto"/>
                <w:right w:val="none" w:sz="0" w:space="0" w:color="auto"/>
              </w:divBdr>
            </w:div>
          </w:divsChild>
        </w:div>
        <w:div w:id="1771195145">
          <w:marLeft w:val="0"/>
          <w:marRight w:val="0"/>
          <w:marTop w:val="0"/>
          <w:marBottom w:val="0"/>
          <w:divBdr>
            <w:top w:val="none" w:sz="0" w:space="0" w:color="auto"/>
            <w:left w:val="none" w:sz="0" w:space="0" w:color="auto"/>
            <w:bottom w:val="none" w:sz="0" w:space="0" w:color="auto"/>
            <w:right w:val="none" w:sz="0" w:space="0" w:color="auto"/>
          </w:divBdr>
          <w:divsChild>
            <w:div w:id="763650334">
              <w:marLeft w:val="0"/>
              <w:marRight w:val="0"/>
              <w:marTop w:val="0"/>
              <w:marBottom w:val="0"/>
              <w:divBdr>
                <w:top w:val="none" w:sz="0" w:space="0" w:color="auto"/>
                <w:left w:val="none" w:sz="0" w:space="0" w:color="auto"/>
                <w:bottom w:val="none" w:sz="0" w:space="0" w:color="auto"/>
                <w:right w:val="none" w:sz="0" w:space="0" w:color="auto"/>
              </w:divBdr>
            </w:div>
          </w:divsChild>
        </w:div>
        <w:div w:id="1843618753">
          <w:marLeft w:val="0"/>
          <w:marRight w:val="0"/>
          <w:marTop w:val="0"/>
          <w:marBottom w:val="0"/>
          <w:divBdr>
            <w:top w:val="none" w:sz="0" w:space="0" w:color="auto"/>
            <w:left w:val="none" w:sz="0" w:space="0" w:color="auto"/>
            <w:bottom w:val="none" w:sz="0" w:space="0" w:color="auto"/>
            <w:right w:val="none" w:sz="0" w:space="0" w:color="auto"/>
          </w:divBdr>
          <w:divsChild>
            <w:div w:id="309794687">
              <w:marLeft w:val="0"/>
              <w:marRight w:val="0"/>
              <w:marTop w:val="0"/>
              <w:marBottom w:val="0"/>
              <w:divBdr>
                <w:top w:val="none" w:sz="0" w:space="0" w:color="auto"/>
                <w:left w:val="none" w:sz="0" w:space="0" w:color="auto"/>
                <w:bottom w:val="none" w:sz="0" w:space="0" w:color="auto"/>
                <w:right w:val="none" w:sz="0" w:space="0" w:color="auto"/>
              </w:divBdr>
            </w:div>
          </w:divsChild>
        </w:div>
        <w:div w:id="1929583307">
          <w:marLeft w:val="0"/>
          <w:marRight w:val="0"/>
          <w:marTop w:val="0"/>
          <w:marBottom w:val="0"/>
          <w:divBdr>
            <w:top w:val="none" w:sz="0" w:space="0" w:color="auto"/>
            <w:left w:val="none" w:sz="0" w:space="0" w:color="auto"/>
            <w:bottom w:val="none" w:sz="0" w:space="0" w:color="auto"/>
            <w:right w:val="none" w:sz="0" w:space="0" w:color="auto"/>
          </w:divBdr>
          <w:divsChild>
            <w:div w:id="1273174721">
              <w:marLeft w:val="0"/>
              <w:marRight w:val="0"/>
              <w:marTop w:val="0"/>
              <w:marBottom w:val="0"/>
              <w:divBdr>
                <w:top w:val="none" w:sz="0" w:space="0" w:color="auto"/>
                <w:left w:val="none" w:sz="0" w:space="0" w:color="auto"/>
                <w:bottom w:val="none" w:sz="0" w:space="0" w:color="auto"/>
                <w:right w:val="none" w:sz="0" w:space="0" w:color="auto"/>
              </w:divBdr>
            </w:div>
          </w:divsChild>
        </w:div>
        <w:div w:id="1960183664">
          <w:marLeft w:val="0"/>
          <w:marRight w:val="0"/>
          <w:marTop w:val="0"/>
          <w:marBottom w:val="0"/>
          <w:divBdr>
            <w:top w:val="none" w:sz="0" w:space="0" w:color="auto"/>
            <w:left w:val="none" w:sz="0" w:space="0" w:color="auto"/>
            <w:bottom w:val="none" w:sz="0" w:space="0" w:color="auto"/>
            <w:right w:val="none" w:sz="0" w:space="0" w:color="auto"/>
          </w:divBdr>
          <w:divsChild>
            <w:div w:id="1247612678">
              <w:marLeft w:val="0"/>
              <w:marRight w:val="0"/>
              <w:marTop w:val="0"/>
              <w:marBottom w:val="0"/>
              <w:divBdr>
                <w:top w:val="none" w:sz="0" w:space="0" w:color="auto"/>
                <w:left w:val="none" w:sz="0" w:space="0" w:color="auto"/>
                <w:bottom w:val="none" w:sz="0" w:space="0" w:color="auto"/>
                <w:right w:val="none" w:sz="0" w:space="0" w:color="auto"/>
              </w:divBdr>
            </w:div>
          </w:divsChild>
        </w:div>
        <w:div w:id="1994212046">
          <w:marLeft w:val="0"/>
          <w:marRight w:val="0"/>
          <w:marTop w:val="0"/>
          <w:marBottom w:val="0"/>
          <w:divBdr>
            <w:top w:val="none" w:sz="0" w:space="0" w:color="auto"/>
            <w:left w:val="none" w:sz="0" w:space="0" w:color="auto"/>
            <w:bottom w:val="none" w:sz="0" w:space="0" w:color="auto"/>
            <w:right w:val="none" w:sz="0" w:space="0" w:color="auto"/>
          </w:divBdr>
          <w:divsChild>
            <w:div w:id="55713794">
              <w:marLeft w:val="0"/>
              <w:marRight w:val="0"/>
              <w:marTop w:val="0"/>
              <w:marBottom w:val="0"/>
              <w:divBdr>
                <w:top w:val="none" w:sz="0" w:space="0" w:color="auto"/>
                <w:left w:val="none" w:sz="0" w:space="0" w:color="auto"/>
                <w:bottom w:val="none" w:sz="0" w:space="0" w:color="auto"/>
                <w:right w:val="none" w:sz="0" w:space="0" w:color="auto"/>
              </w:divBdr>
            </w:div>
          </w:divsChild>
        </w:div>
        <w:div w:id="2093698864">
          <w:marLeft w:val="0"/>
          <w:marRight w:val="0"/>
          <w:marTop w:val="0"/>
          <w:marBottom w:val="0"/>
          <w:divBdr>
            <w:top w:val="none" w:sz="0" w:space="0" w:color="auto"/>
            <w:left w:val="none" w:sz="0" w:space="0" w:color="auto"/>
            <w:bottom w:val="none" w:sz="0" w:space="0" w:color="auto"/>
            <w:right w:val="none" w:sz="0" w:space="0" w:color="auto"/>
          </w:divBdr>
          <w:divsChild>
            <w:div w:id="227543270">
              <w:marLeft w:val="0"/>
              <w:marRight w:val="0"/>
              <w:marTop w:val="0"/>
              <w:marBottom w:val="0"/>
              <w:divBdr>
                <w:top w:val="none" w:sz="0" w:space="0" w:color="auto"/>
                <w:left w:val="none" w:sz="0" w:space="0" w:color="auto"/>
                <w:bottom w:val="none" w:sz="0" w:space="0" w:color="auto"/>
                <w:right w:val="none" w:sz="0" w:space="0" w:color="auto"/>
              </w:divBdr>
            </w:div>
          </w:divsChild>
        </w:div>
        <w:div w:id="2104840701">
          <w:marLeft w:val="0"/>
          <w:marRight w:val="0"/>
          <w:marTop w:val="0"/>
          <w:marBottom w:val="0"/>
          <w:divBdr>
            <w:top w:val="none" w:sz="0" w:space="0" w:color="auto"/>
            <w:left w:val="none" w:sz="0" w:space="0" w:color="auto"/>
            <w:bottom w:val="none" w:sz="0" w:space="0" w:color="auto"/>
            <w:right w:val="none" w:sz="0" w:space="0" w:color="auto"/>
          </w:divBdr>
          <w:divsChild>
            <w:div w:id="1343894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748547">
      <w:bodyDiv w:val="1"/>
      <w:marLeft w:val="0"/>
      <w:marRight w:val="0"/>
      <w:marTop w:val="0"/>
      <w:marBottom w:val="0"/>
      <w:divBdr>
        <w:top w:val="none" w:sz="0" w:space="0" w:color="auto"/>
        <w:left w:val="none" w:sz="0" w:space="0" w:color="auto"/>
        <w:bottom w:val="none" w:sz="0" w:space="0" w:color="auto"/>
        <w:right w:val="none" w:sz="0" w:space="0" w:color="auto"/>
      </w:divBdr>
    </w:div>
    <w:div w:id="505445182">
      <w:bodyDiv w:val="1"/>
      <w:marLeft w:val="0"/>
      <w:marRight w:val="0"/>
      <w:marTop w:val="0"/>
      <w:marBottom w:val="0"/>
      <w:divBdr>
        <w:top w:val="none" w:sz="0" w:space="0" w:color="auto"/>
        <w:left w:val="none" w:sz="0" w:space="0" w:color="auto"/>
        <w:bottom w:val="none" w:sz="0" w:space="0" w:color="auto"/>
        <w:right w:val="none" w:sz="0" w:space="0" w:color="auto"/>
      </w:divBdr>
    </w:div>
    <w:div w:id="506751398">
      <w:bodyDiv w:val="1"/>
      <w:marLeft w:val="0"/>
      <w:marRight w:val="0"/>
      <w:marTop w:val="0"/>
      <w:marBottom w:val="0"/>
      <w:divBdr>
        <w:top w:val="none" w:sz="0" w:space="0" w:color="auto"/>
        <w:left w:val="none" w:sz="0" w:space="0" w:color="auto"/>
        <w:bottom w:val="none" w:sz="0" w:space="0" w:color="auto"/>
        <w:right w:val="none" w:sz="0" w:space="0" w:color="auto"/>
      </w:divBdr>
    </w:div>
    <w:div w:id="519391356">
      <w:bodyDiv w:val="1"/>
      <w:marLeft w:val="0"/>
      <w:marRight w:val="0"/>
      <w:marTop w:val="0"/>
      <w:marBottom w:val="0"/>
      <w:divBdr>
        <w:top w:val="none" w:sz="0" w:space="0" w:color="auto"/>
        <w:left w:val="none" w:sz="0" w:space="0" w:color="auto"/>
        <w:bottom w:val="none" w:sz="0" w:space="0" w:color="auto"/>
        <w:right w:val="none" w:sz="0" w:space="0" w:color="auto"/>
      </w:divBdr>
    </w:div>
    <w:div w:id="524951237">
      <w:bodyDiv w:val="1"/>
      <w:marLeft w:val="0"/>
      <w:marRight w:val="0"/>
      <w:marTop w:val="0"/>
      <w:marBottom w:val="0"/>
      <w:divBdr>
        <w:top w:val="none" w:sz="0" w:space="0" w:color="auto"/>
        <w:left w:val="none" w:sz="0" w:space="0" w:color="auto"/>
        <w:bottom w:val="none" w:sz="0" w:space="0" w:color="auto"/>
        <w:right w:val="none" w:sz="0" w:space="0" w:color="auto"/>
      </w:divBdr>
      <w:divsChild>
        <w:div w:id="2141334685">
          <w:marLeft w:val="0"/>
          <w:marRight w:val="0"/>
          <w:marTop w:val="0"/>
          <w:marBottom w:val="0"/>
          <w:divBdr>
            <w:top w:val="none" w:sz="0" w:space="0" w:color="auto"/>
            <w:left w:val="none" w:sz="0" w:space="0" w:color="auto"/>
            <w:bottom w:val="none" w:sz="0" w:space="0" w:color="auto"/>
            <w:right w:val="none" w:sz="0" w:space="0" w:color="auto"/>
          </w:divBdr>
        </w:div>
      </w:divsChild>
    </w:div>
    <w:div w:id="541749449">
      <w:bodyDiv w:val="1"/>
      <w:marLeft w:val="0"/>
      <w:marRight w:val="0"/>
      <w:marTop w:val="0"/>
      <w:marBottom w:val="0"/>
      <w:divBdr>
        <w:top w:val="none" w:sz="0" w:space="0" w:color="auto"/>
        <w:left w:val="none" w:sz="0" w:space="0" w:color="auto"/>
        <w:bottom w:val="none" w:sz="0" w:space="0" w:color="auto"/>
        <w:right w:val="none" w:sz="0" w:space="0" w:color="auto"/>
      </w:divBdr>
    </w:div>
    <w:div w:id="542448507">
      <w:bodyDiv w:val="1"/>
      <w:marLeft w:val="0"/>
      <w:marRight w:val="0"/>
      <w:marTop w:val="0"/>
      <w:marBottom w:val="0"/>
      <w:divBdr>
        <w:top w:val="none" w:sz="0" w:space="0" w:color="auto"/>
        <w:left w:val="none" w:sz="0" w:space="0" w:color="auto"/>
        <w:bottom w:val="none" w:sz="0" w:space="0" w:color="auto"/>
        <w:right w:val="none" w:sz="0" w:space="0" w:color="auto"/>
      </w:divBdr>
    </w:div>
    <w:div w:id="543180413">
      <w:bodyDiv w:val="1"/>
      <w:marLeft w:val="0"/>
      <w:marRight w:val="0"/>
      <w:marTop w:val="0"/>
      <w:marBottom w:val="0"/>
      <w:divBdr>
        <w:top w:val="none" w:sz="0" w:space="0" w:color="auto"/>
        <w:left w:val="none" w:sz="0" w:space="0" w:color="auto"/>
        <w:bottom w:val="none" w:sz="0" w:space="0" w:color="auto"/>
        <w:right w:val="none" w:sz="0" w:space="0" w:color="auto"/>
      </w:divBdr>
    </w:div>
    <w:div w:id="553388993">
      <w:bodyDiv w:val="1"/>
      <w:marLeft w:val="0"/>
      <w:marRight w:val="0"/>
      <w:marTop w:val="0"/>
      <w:marBottom w:val="0"/>
      <w:divBdr>
        <w:top w:val="none" w:sz="0" w:space="0" w:color="auto"/>
        <w:left w:val="none" w:sz="0" w:space="0" w:color="auto"/>
        <w:bottom w:val="none" w:sz="0" w:space="0" w:color="auto"/>
        <w:right w:val="none" w:sz="0" w:space="0" w:color="auto"/>
      </w:divBdr>
    </w:div>
    <w:div w:id="563565452">
      <w:bodyDiv w:val="1"/>
      <w:marLeft w:val="0"/>
      <w:marRight w:val="0"/>
      <w:marTop w:val="0"/>
      <w:marBottom w:val="0"/>
      <w:divBdr>
        <w:top w:val="none" w:sz="0" w:space="0" w:color="auto"/>
        <w:left w:val="none" w:sz="0" w:space="0" w:color="auto"/>
        <w:bottom w:val="none" w:sz="0" w:space="0" w:color="auto"/>
        <w:right w:val="none" w:sz="0" w:space="0" w:color="auto"/>
      </w:divBdr>
    </w:div>
    <w:div w:id="567812873">
      <w:bodyDiv w:val="1"/>
      <w:marLeft w:val="0"/>
      <w:marRight w:val="0"/>
      <w:marTop w:val="0"/>
      <w:marBottom w:val="0"/>
      <w:divBdr>
        <w:top w:val="none" w:sz="0" w:space="0" w:color="auto"/>
        <w:left w:val="none" w:sz="0" w:space="0" w:color="auto"/>
        <w:bottom w:val="none" w:sz="0" w:space="0" w:color="auto"/>
        <w:right w:val="none" w:sz="0" w:space="0" w:color="auto"/>
      </w:divBdr>
    </w:div>
    <w:div w:id="575896663">
      <w:bodyDiv w:val="1"/>
      <w:marLeft w:val="0"/>
      <w:marRight w:val="0"/>
      <w:marTop w:val="0"/>
      <w:marBottom w:val="0"/>
      <w:divBdr>
        <w:top w:val="none" w:sz="0" w:space="0" w:color="auto"/>
        <w:left w:val="none" w:sz="0" w:space="0" w:color="auto"/>
        <w:bottom w:val="none" w:sz="0" w:space="0" w:color="auto"/>
        <w:right w:val="none" w:sz="0" w:space="0" w:color="auto"/>
      </w:divBdr>
    </w:div>
    <w:div w:id="593635064">
      <w:bodyDiv w:val="1"/>
      <w:marLeft w:val="0"/>
      <w:marRight w:val="0"/>
      <w:marTop w:val="0"/>
      <w:marBottom w:val="0"/>
      <w:divBdr>
        <w:top w:val="none" w:sz="0" w:space="0" w:color="auto"/>
        <w:left w:val="none" w:sz="0" w:space="0" w:color="auto"/>
        <w:bottom w:val="none" w:sz="0" w:space="0" w:color="auto"/>
        <w:right w:val="none" w:sz="0" w:space="0" w:color="auto"/>
      </w:divBdr>
    </w:div>
    <w:div w:id="603418997">
      <w:bodyDiv w:val="1"/>
      <w:marLeft w:val="0"/>
      <w:marRight w:val="0"/>
      <w:marTop w:val="0"/>
      <w:marBottom w:val="0"/>
      <w:divBdr>
        <w:top w:val="none" w:sz="0" w:space="0" w:color="auto"/>
        <w:left w:val="none" w:sz="0" w:space="0" w:color="auto"/>
        <w:bottom w:val="none" w:sz="0" w:space="0" w:color="auto"/>
        <w:right w:val="none" w:sz="0" w:space="0" w:color="auto"/>
      </w:divBdr>
    </w:div>
    <w:div w:id="604651967">
      <w:bodyDiv w:val="1"/>
      <w:marLeft w:val="0"/>
      <w:marRight w:val="0"/>
      <w:marTop w:val="0"/>
      <w:marBottom w:val="0"/>
      <w:divBdr>
        <w:top w:val="none" w:sz="0" w:space="0" w:color="auto"/>
        <w:left w:val="none" w:sz="0" w:space="0" w:color="auto"/>
        <w:bottom w:val="none" w:sz="0" w:space="0" w:color="auto"/>
        <w:right w:val="none" w:sz="0" w:space="0" w:color="auto"/>
      </w:divBdr>
    </w:div>
    <w:div w:id="607783338">
      <w:bodyDiv w:val="1"/>
      <w:marLeft w:val="0"/>
      <w:marRight w:val="0"/>
      <w:marTop w:val="0"/>
      <w:marBottom w:val="0"/>
      <w:divBdr>
        <w:top w:val="none" w:sz="0" w:space="0" w:color="auto"/>
        <w:left w:val="none" w:sz="0" w:space="0" w:color="auto"/>
        <w:bottom w:val="none" w:sz="0" w:space="0" w:color="auto"/>
        <w:right w:val="none" w:sz="0" w:space="0" w:color="auto"/>
      </w:divBdr>
    </w:div>
    <w:div w:id="612859707">
      <w:bodyDiv w:val="1"/>
      <w:marLeft w:val="0"/>
      <w:marRight w:val="0"/>
      <w:marTop w:val="0"/>
      <w:marBottom w:val="0"/>
      <w:divBdr>
        <w:top w:val="none" w:sz="0" w:space="0" w:color="auto"/>
        <w:left w:val="none" w:sz="0" w:space="0" w:color="auto"/>
        <w:bottom w:val="none" w:sz="0" w:space="0" w:color="auto"/>
        <w:right w:val="none" w:sz="0" w:space="0" w:color="auto"/>
      </w:divBdr>
    </w:div>
    <w:div w:id="616176463">
      <w:bodyDiv w:val="1"/>
      <w:marLeft w:val="0"/>
      <w:marRight w:val="0"/>
      <w:marTop w:val="0"/>
      <w:marBottom w:val="0"/>
      <w:divBdr>
        <w:top w:val="none" w:sz="0" w:space="0" w:color="auto"/>
        <w:left w:val="none" w:sz="0" w:space="0" w:color="auto"/>
        <w:bottom w:val="none" w:sz="0" w:space="0" w:color="auto"/>
        <w:right w:val="none" w:sz="0" w:space="0" w:color="auto"/>
      </w:divBdr>
    </w:div>
    <w:div w:id="617759612">
      <w:bodyDiv w:val="1"/>
      <w:marLeft w:val="0"/>
      <w:marRight w:val="0"/>
      <w:marTop w:val="0"/>
      <w:marBottom w:val="0"/>
      <w:divBdr>
        <w:top w:val="none" w:sz="0" w:space="0" w:color="auto"/>
        <w:left w:val="none" w:sz="0" w:space="0" w:color="auto"/>
        <w:bottom w:val="none" w:sz="0" w:space="0" w:color="auto"/>
        <w:right w:val="none" w:sz="0" w:space="0" w:color="auto"/>
      </w:divBdr>
    </w:div>
    <w:div w:id="619142935">
      <w:bodyDiv w:val="1"/>
      <w:marLeft w:val="0"/>
      <w:marRight w:val="0"/>
      <w:marTop w:val="0"/>
      <w:marBottom w:val="0"/>
      <w:divBdr>
        <w:top w:val="none" w:sz="0" w:space="0" w:color="auto"/>
        <w:left w:val="none" w:sz="0" w:space="0" w:color="auto"/>
        <w:bottom w:val="none" w:sz="0" w:space="0" w:color="auto"/>
        <w:right w:val="none" w:sz="0" w:space="0" w:color="auto"/>
      </w:divBdr>
      <w:divsChild>
        <w:div w:id="593901129">
          <w:marLeft w:val="0"/>
          <w:marRight w:val="0"/>
          <w:marTop w:val="0"/>
          <w:marBottom w:val="240"/>
          <w:divBdr>
            <w:top w:val="none" w:sz="0" w:space="0" w:color="auto"/>
            <w:left w:val="none" w:sz="0" w:space="0" w:color="auto"/>
            <w:bottom w:val="none" w:sz="0" w:space="0" w:color="auto"/>
            <w:right w:val="none" w:sz="0" w:space="0" w:color="auto"/>
          </w:divBdr>
        </w:div>
      </w:divsChild>
    </w:div>
    <w:div w:id="620964161">
      <w:bodyDiv w:val="1"/>
      <w:marLeft w:val="0"/>
      <w:marRight w:val="0"/>
      <w:marTop w:val="0"/>
      <w:marBottom w:val="0"/>
      <w:divBdr>
        <w:top w:val="none" w:sz="0" w:space="0" w:color="auto"/>
        <w:left w:val="none" w:sz="0" w:space="0" w:color="auto"/>
        <w:bottom w:val="none" w:sz="0" w:space="0" w:color="auto"/>
        <w:right w:val="none" w:sz="0" w:space="0" w:color="auto"/>
      </w:divBdr>
      <w:divsChild>
        <w:div w:id="833648332">
          <w:marLeft w:val="288"/>
          <w:marRight w:val="288"/>
          <w:marTop w:val="0"/>
          <w:marBottom w:val="0"/>
          <w:divBdr>
            <w:top w:val="none" w:sz="0" w:space="0" w:color="auto"/>
            <w:left w:val="none" w:sz="0" w:space="0" w:color="auto"/>
            <w:bottom w:val="none" w:sz="0" w:space="0" w:color="auto"/>
            <w:right w:val="none" w:sz="0" w:space="0" w:color="auto"/>
          </w:divBdr>
        </w:div>
        <w:div w:id="902183643">
          <w:marLeft w:val="288"/>
          <w:marRight w:val="288"/>
          <w:marTop w:val="0"/>
          <w:marBottom w:val="0"/>
          <w:divBdr>
            <w:top w:val="none" w:sz="0" w:space="0" w:color="auto"/>
            <w:left w:val="none" w:sz="0" w:space="0" w:color="auto"/>
            <w:bottom w:val="none" w:sz="0" w:space="0" w:color="auto"/>
            <w:right w:val="none" w:sz="0" w:space="0" w:color="auto"/>
          </w:divBdr>
        </w:div>
        <w:div w:id="1054038869">
          <w:marLeft w:val="288"/>
          <w:marRight w:val="288"/>
          <w:marTop w:val="0"/>
          <w:marBottom w:val="0"/>
          <w:divBdr>
            <w:top w:val="none" w:sz="0" w:space="0" w:color="auto"/>
            <w:left w:val="none" w:sz="0" w:space="0" w:color="auto"/>
            <w:bottom w:val="none" w:sz="0" w:space="0" w:color="auto"/>
            <w:right w:val="none" w:sz="0" w:space="0" w:color="auto"/>
          </w:divBdr>
        </w:div>
        <w:div w:id="1112742774">
          <w:marLeft w:val="288"/>
          <w:marRight w:val="288"/>
          <w:marTop w:val="0"/>
          <w:marBottom w:val="0"/>
          <w:divBdr>
            <w:top w:val="none" w:sz="0" w:space="0" w:color="auto"/>
            <w:left w:val="none" w:sz="0" w:space="0" w:color="auto"/>
            <w:bottom w:val="none" w:sz="0" w:space="0" w:color="auto"/>
            <w:right w:val="none" w:sz="0" w:space="0" w:color="auto"/>
          </w:divBdr>
        </w:div>
        <w:div w:id="1873496083">
          <w:marLeft w:val="288"/>
          <w:marRight w:val="288"/>
          <w:marTop w:val="0"/>
          <w:marBottom w:val="0"/>
          <w:divBdr>
            <w:top w:val="none" w:sz="0" w:space="0" w:color="auto"/>
            <w:left w:val="none" w:sz="0" w:space="0" w:color="auto"/>
            <w:bottom w:val="none" w:sz="0" w:space="0" w:color="auto"/>
            <w:right w:val="none" w:sz="0" w:space="0" w:color="auto"/>
          </w:divBdr>
        </w:div>
      </w:divsChild>
    </w:div>
    <w:div w:id="633634128">
      <w:bodyDiv w:val="1"/>
      <w:marLeft w:val="0"/>
      <w:marRight w:val="0"/>
      <w:marTop w:val="0"/>
      <w:marBottom w:val="0"/>
      <w:divBdr>
        <w:top w:val="none" w:sz="0" w:space="0" w:color="auto"/>
        <w:left w:val="none" w:sz="0" w:space="0" w:color="auto"/>
        <w:bottom w:val="none" w:sz="0" w:space="0" w:color="auto"/>
        <w:right w:val="none" w:sz="0" w:space="0" w:color="auto"/>
      </w:divBdr>
    </w:div>
    <w:div w:id="641272891">
      <w:bodyDiv w:val="1"/>
      <w:marLeft w:val="0"/>
      <w:marRight w:val="0"/>
      <w:marTop w:val="0"/>
      <w:marBottom w:val="0"/>
      <w:divBdr>
        <w:top w:val="none" w:sz="0" w:space="0" w:color="auto"/>
        <w:left w:val="none" w:sz="0" w:space="0" w:color="auto"/>
        <w:bottom w:val="none" w:sz="0" w:space="0" w:color="auto"/>
        <w:right w:val="none" w:sz="0" w:space="0" w:color="auto"/>
      </w:divBdr>
    </w:div>
    <w:div w:id="674571723">
      <w:bodyDiv w:val="1"/>
      <w:marLeft w:val="0"/>
      <w:marRight w:val="0"/>
      <w:marTop w:val="0"/>
      <w:marBottom w:val="0"/>
      <w:divBdr>
        <w:top w:val="none" w:sz="0" w:space="0" w:color="auto"/>
        <w:left w:val="none" w:sz="0" w:space="0" w:color="auto"/>
        <w:bottom w:val="none" w:sz="0" w:space="0" w:color="auto"/>
        <w:right w:val="none" w:sz="0" w:space="0" w:color="auto"/>
      </w:divBdr>
    </w:div>
    <w:div w:id="693071519">
      <w:bodyDiv w:val="1"/>
      <w:marLeft w:val="0"/>
      <w:marRight w:val="0"/>
      <w:marTop w:val="0"/>
      <w:marBottom w:val="0"/>
      <w:divBdr>
        <w:top w:val="none" w:sz="0" w:space="0" w:color="auto"/>
        <w:left w:val="none" w:sz="0" w:space="0" w:color="auto"/>
        <w:bottom w:val="none" w:sz="0" w:space="0" w:color="auto"/>
        <w:right w:val="none" w:sz="0" w:space="0" w:color="auto"/>
      </w:divBdr>
    </w:div>
    <w:div w:id="705757591">
      <w:bodyDiv w:val="1"/>
      <w:marLeft w:val="0"/>
      <w:marRight w:val="0"/>
      <w:marTop w:val="0"/>
      <w:marBottom w:val="0"/>
      <w:divBdr>
        <w:top w:val="none" w:sz="0" w:space="0" w:color="auto"/>
        <w:left w:val="none" w:sz="0" w:space="0" w:color="auto"/>
        <w:bottom w:val="none" w:sz="0" w:space="0" w:color="auto"/>
        <w:right w:val="none" w:sz="0" w:space="0" w:color="auto"/>
      </w:divBdr>
    </w:div>
    <w:div w:id="706563503">
      <w:bodyDiv w:val="1"/>
      <w:marLeft w:val="0"/>
      <w:marRight w:val="0"/>
      <w:marTop w:val="0"/>
      <w:marBottom w:val="0"/>
      <w:divBdr>
        <w:top w:val="none" w:sz="0" w:space="0" w:color="auto"/>
        <w:left w:val="none" w:sz="0" w:space="0" w:color="auto"/>
        <w:bottom w:val="none" w:sz="0" w:space="0" w:color="auto"/>
        <w:right w:val="none" w:sz="0" w:space="0" w:color="auto"/>
      </w:divBdr>
    </w:div>
    <w:div w:id="711344930">
      <w:bodyDiv w:val="1"/>
      <w:marLeft w:val="0"/>
      <w:marRight w:val="0"/>
      <w:marTop w:val="0"/>
      <w:marBottom w:val="0"/>
      <w:divBdr>
        <w:top w:val="none" w:sz="0" w:space="0" w:color="auto"/>
        <w:left w:val="none" w:sz="0" w:space="0" w:color="auto"/>
        <w:bottom w:val="none" w:sz="0" w:space="0" w:color="auto"/>
        <w:right w:val="none" w:sz="0" w:space="0" w:color="auto"/>
      </w:divBdr>
      <w:divsChild>
        <w:div w:id="7295246">
          <w:marLeft w:val="0"/>
          <w:marRight w:val="0"/>
          <w:marTop w:val="0"/>
          <w:marBottom w:val="240"/>
          <w:divBdr>
            <w:top w:val="none" w:sz="0" w:space="0" w:color="auto"/>
            <w:left w:val="none" w:sz="0" w:space="0" w:color="auto"/>
            <w:bottom w:val="none" w:sz="0" w:space="0" w:color="auto"/>
            <w:right w:val="none" w:sz="0" w:space="0" w:color="auto"/>
          </w:divBdr>
        </w:div>
      </w:divsChild>
    </w:div>
    <w:div w:id="713503493">
      <w:bodyDiv w:val="1"/>
      <w:marLeft w:val="0"/>
      <w:marRight w:val="0"/>
      <w:marTop w:val="0"/>
      <w:marBottom w:val="0"/>
      <w:divBdr>
        <w:top w:val="none" w:sz="0" w:space="0" w:color="auto"/>
        <w:left w:val="none" w:sz="0" w:space="0" w:color="auto"/>
        <w:bottom w:val="none" w:sz="0" w:space="0" w:color="auto"/>
        <w:right w:val="none" w:sz="0" w:space="0" w:color="auto"/>
      </w:divBdr>
    </w:div>
    <w:div w:id="715935738">
      <w:bodyDiv w:val="1"/>
      <w:marLeft w:val="0"/>
      <w:marRight w:val="0"/>
      <w:marTop w:val="0"/>
      <w:marBottom w:val="0"/>
      <w:divBdr>
        <w:top w:val="none" w:sz="0" w:space="0" w:color="auto"/>
        <w:left w:val="none" w:sz="0" w:space="0" w:color="auto"/>
        <w:bottom w:val="none" w:sz="0" w:space="0" w:color="auto"/>
        <w:right w:val="none" w:sz="0" w:space="0" w:color="auto"/>
      </w:divBdr>
    </w:div>
    <w:div w:id="719130223">
      <w:bodyDiv w:val="1"/>
      <w:marLeft w:val="0"/>
      <w:marRight w:val="0"/>
      <w:marTop w:val="0"/>
      <w:marBottom w:val="0"/>
      <w:divBdr>
        <w:top w:val="none" w:sz="0" w:space="0" w:color="auto"/>
        <w:left w:val="none" w:sz="0" w:space="0" w:color="auto"/>
        <w:bottom w:val="none" w:sz="0" w:space="0" w:color="auto"/>
        <w:right w:val="none" w:sz="0" w:space="0" w:color="auto"/>
      </w:divBdr>
    </w:div>
    <w:div w:id="728312134">
      <w:bodyDiv w:val="1"/>
      <w:marLeft w:val="0"/>
      <w:marRight w:val="0"/>
      <w:marTop w:val="0"/>
      <w:marBottom w:val="0"/>
      <w:divBdr>
        <w:top w:val="none" w:sz="0" w:space="0" w:color="auto"/>
        <w:left w:val="none" w:sz="0" w:space="0" w:color="auto"/>
        <w:bottom w:val="none" w:sz="0" w:space="0" w:color="auto"/>
        <w:right w:val="none" w:sz="0" w:space="0" w:color="auto"/>
      </w:divBdr>
    </w:div>
    <w:div w:id="743532858">
      <w:bodyDiv w:val="1"/>
      <w:marLeft w:val="0"/>
      <w:marRight w:val="0"/>
      <w:marTop w:val="0"/>
      <w:marBottom w:val="0"/>
      <w:divBdr>
        <w:top w:val="none" w:sz="0" w:space="0" w:color="auto"/>
        <w:left w:val="none" w:sz="0" w:space="0" w:color="auto"/>
        <w:bottom w:val="none" w:sz="0" w:space="0" w:color="auto"/>
        <w:right w:val="none" w:sz="0" w:space="0" w:color="auto"/>
      </w:divBdr>
      <w:divsChild>
        <w:div w:id="1740863117">
          <w:marLeft w:val="0"/>
          <w:marRight w:val="0"/>
          <w:marTop w:val="0"/>
          <w:marBottom w:val="0"/>
          <w:divBdr>
            <w:top w:val="none" w:sz="0" w:space="0" w:color="auto"/>
            <w:left w:val="none" w:sz="0" w:space="0" w:color="auto"/>
            <w:bottom w:val="none" w:sz="0" w:space="0" w:color="auto"/>
            <w:right w:val="none" w:sz="0" w:space="0" w:color="auto"/>
          </w:divBdr>
        </w:div>
        <w:div w:id="1894077502">
          <w:marLeft w:val="0"/>
          <w:marRight w:val="0"/>
          <w:marTop w:val="0"/>
          <w:marBottom w:val="0"/>
          <w:divBdr>
            <w:top w:val="none" w:sz="0" w:space="0" w:color="auto"/>
            <w:left w:val="none" w:sz="0" w:space="0" w:color="auto"/>
            <w:bottom w:val="none" w:sz="0" w:space="0" w:color="auto"/>
            <w:right w:val="none" w:sz="0" w:space="0" w:color="auto"/>
          </w:divBdr>
        </w:div>
        <w:div w:id="1963532386">
          <w:marLeft w:val="0"/>
          <w:marRight w:val="0"/>
          <w:marTop w:val="0"/>
          <w:marBottom w:val="0"/>
          <w:divBdr>
            <w:top w:val="none" w:sz="0" w:space="0" w:color="auto"/>
            <w:left w:val="none" w:sz="0" w:space="0" w:color="auto"/>
            <w:bottom w:val="none" w:sz="0" w:space="0" w:color="auto"/>
            <w:right w:val="none" w:sz="0" w:space="0" w:color="auto"/>
          </w:divBdr>
        </w:div>
      </w:divsChild>
    </w:div>
    <w:div w:id="745306203">
      <w:bodyDiv w:val="1"/>
      <w:marLeft w:val="0"/>
      <w:marRight w:val="0"/>
      <w:marTop w:val="0"/>
      <w:marBottom w:val="0"/>
      <w:divBdr>
        <w:top w:val="none" w:sz="0" w:space="0" w:color="auto"/>
        <w:left w:val="none" w:sz="0" w:space="0" w:color="auto"/>
        <w:bottom w:val="none" w:sz="0" w:space="0" w:color="auto"/>
        <w:right w:val="none" w:sz="0" w:space="0" w:color="auto"/>
      </w:divBdr>
    </w:div>
    <w:div w:id="746419992">
      <w:bodyDiv w:val="1"/>
      <w:marLeft w:val="0"/>
      <w:marRight w:val="0"/>
      <w:marTop w:val="0"/>
      <w:marBottom w:val="0"/>
      <w:divBdr>
        <w:top w:val="none" w:sz="0" w:space="0" w:color="auto"/>
        <w:left w:val="none" w:sz="0" w:space="0" w:color="auto"/>
        <w:bottom w:val="none" w:sz="0" w:space="0" w:color="auto"/>
        <w:right w:val="none" w:sz="0" w:space="0" w:color="auto"/>
      </w:divBdr>
    </w:div>
    <w:div w:id="752093613">
      <w:bodyDiv w:val="1"/>
      <w:marLeft w:val="0"/>
      <w:marRight w:val="0"/>
      <w:marTop w:val="0"/>
      <w:marBottom w:val="0"/>
      <w:divBdr>
        <w:top w:val="none" w:sz="0" w:space="0" w:color="auto"/>
        <w:left w:val="none" w:sz="0" w:space="0" w:color="auto"/>
        <w:bottom w:val="none" w:sz="0" w:space="0" w:color="auto"/>
        <w:right w:val="none" w:sz="0" w:space="0" w:color="auto"/>
      </w:divBdr>
    </w:div>
    <w:div w:id="752630014">
      <w:bodyDiv w:val="1"/>
      <w:marLeft w:val="0"/>
      <w:marRight w:val="0"/>
      <w:marTop w:val="0"/>
      <w:marBottom w:val="0"/>
      <w:divBdr>
        <w:top w:val="none" w:sz="0" w:space="0" w:color="auto"/>
        <w:left w:val="none" w:sz="0" w:space="0" w:color="auto"/>
        <w:bottom w:val="none" w:sz="0" w:space="0" w:color="auto"/>
        <w:right w:val="none" w:sz="0" w:space="0" w:color="auto"/>
      </w:divBdr>
    </w:div>
    <w:div w:id="754595751">
      <w:bodyDiv w:val="1"/>
      <w:marLeft w:val="0"/>
      <w:marRight w:val="0"/>
      <w:marTop w:val="0"/>
      <w:marBottom w:val="0"/>
      <w:divBdr>
        <w:top w:val="none" w:sz="0" w:space="0" w:color="auto"/>
        <w:left w:val="none" w:sz="0" w:space="0" w:color="auto"/>
        <w:bottom w:val="none" w:sz="0" w:space="0" w:color="auto"/>
        <w:right w:val="none" w:sz="0" w:space="0" w:color="auto"/>
      </w:divBdr>
    </w:div>
    <w:div w:id="768086559">
      <w:bodyDiv w:val="1"/>
      <w:marLeft w:val="0"/>
      <w:marRight w:val="0"/>
      <w:marTop w:val="0"/>
      <w:marBottom w:val="0"/>
      <w:divBdr>
        <w:top w:val="none" w:sz="0" w:space="0" w:color="auto"/>
        <w:left w:val="none" w:sz="0" w:space="0" w:color="auto"/>
        <w:bottom w:val="none" w:sz="0" w:space="0" w:color="auto"/>
        <w:right w:val="none" w:sz="0" w:space="0" w:color="auto"/>
      </w:divBdr>
      <w:divsChild>
        <w:div w:id="1466460931">
          <w:marLeft w:val="0"/>
          <w:marRight w:val="0"/>
          <w:marTop w:val="0"/>
          <w:marBottom w:val="0"/>
          <w:divBdr>
            <w:top w:val="none" w:sz="0" w:space="0" w:color="auto"/>
            <w:left w:val="none" w:sz="0" w:space="0" w:color="auto"/>
            <w:bottom w:val="none" w:sz="0" w:space="0" w:color="auto"/>
            <w:right w:val="none" w:sz="0" w:space="0" w:color="auto"/>
          </w:divBdr>
          <w:divsChild>
            <w:div w:id="666254502">
              <w:marLeft w:val="0"/>
              <w:marRight w:val="0"/>
              <w:marTop w:val="0"/>
              <w:marBottom w:val="0"/>
              <w:divBdr>
                <w:top w:val="none" w:sz="0" w:space="0" w:color="auto"/>
                <w:left w:val="none" w:sz="0" w:space="0" w:color="auto"/>
                <w:bottom w:val="none" w:sz="0" w:space="0" w:color="auto"/>
                <w:right w:val="none" w:sz="0" w:space="0" w:color="auto"/>
              </w:divBdr>
              <w:divsChild>
                <w:div w:id="1658997052">
                  <w:marLeft w:val="0"/>
                  <w:marRight w:val="0"/>
                  <w:marTop w:val="0"/>
                  <w:marBottom w:val="0"/>
                  <w:divBdr>
                    <w:top w:val="none" w:sz="0" w:space="0" w:color="auto"/>
                    <w:left w:val="none" w:sz="0" w:space="0" w:color="auto"/>
                    <w:bottom w:val="none" w:sz="0" w:space="0" w:color="auto"/>
                    <w:right w:val="none" w:sz="0" w:space="0" w:color="auto"/>
                  </w:divBdr>
                  <w:divsChild>
                    <w:div w:id="398211162">
                      <w:marLeft w:val="0"/>
                      <w:marRight w:val="0"/>
                      <w:marTop w:val="0"/>
                      <w:marBottom w:val="0"/>
                      <w:divBdr>
                        <w:top w:val="none" w:sz="0" w:space="0" w:color="auto"/>
                        <w:left w:val="none" w:sz="0" w:space="0" w:color="auto"/>
                        <w:bottom w:val="none" w:sz="0" w:space="0" w:color="auto"/>
                        <w:right w:val="none" w:sz="0" w:space="0" w:color="auto"/>
                      </w:divBdr>
                      <w:divsChild>
                        <w:div w:id="1312101898">
                          <w:marLeft w:val="0"/>
                          <w:marRight w:val="0"/>
                          <w:marTop w:val="0"/>
                          <w:marBottom w:val="0"/>
                          <w:divBdr>
                            <w:top w:val="none" w:sz="0" w:space="0" w:color="auto"/>
                            <w:left w:val="none" w:sz="0" w:space="0" w:color="auto"/>
                            <w:bottom w:val="none" w:sz="0" w:space="0" w:color="auto"/>
                            <w:right w:val="none" w:sz="0" w:space="0" w:color="auto"/>
                          </w:divBdr>
                          <w:divsChild>
                            <w:div w:id="1897164479">
                              <w:marLeft w:val="0"/>
                              <w:marRight w:val="0"/>
                              <w:marTop w:val="0"/>
                              <w:marBottom w:val="0"/>
                              <w:divBdr>
                                <w:top w:val="none" w:sz="0" w:space="0" w:color="auto"/>
                                <w:left w:val="none" w:sz="0" w:space="0" w:color="auto"/>
                                <w:bottom w:val="none" w:sz="0" w:space="0" w:color="auto"/>
                                <w:right w:val="none" w:sz="0" w:space="0" w:color="auto"/>
                              </w:divBdr>
                              <w:divsChild>
                                <w:div w:id="1096557507">
                                  <w:marLeft w:val="0"/>
                                  <w:marRight w:val="0"/>
                                  <w:marTop w:val="0"/>
                                  <w:marBottom w:val="0"/>
                                  <w:divBdr>
                                    <w:top w:val="none" w:sz="0" w:space="0" w:color="auto"/>
                                    <w:left w:val="none" w:sz="0" w:space="0" w:color="auto"/>
                                    <w:bottom w:val="none" w:sz="0" w:space="0" w:color="auto"/>
                                    <w:right w:val="none" w:sz="0" w:space="0" w:color="auto"/>
                                  </w:divBdr>
                                  <w:divsChild>
                                    <w:div w:id="1774859179">
                                      <w:marLeft w:val="0"/>
                                      <w:marRight w:val="0"/>
                                      <w:marTop w:val="0"/>
                                      <w:marBottom w:val="0"/>
                                      <w:divBdr>
                                        <w:top w:val="none" w:sz="0" w:space="0" w:color="auto"/>
                                        <w:left w:val="none" w:sz="0" w:space="0" w:color="auto"/>
                                        <w:bottom w:val="none" w:sz="0" w:space="0" w:color="auto"/>
                                        <w:right w:val="none" w:sz="0" w:space="0" w:color="auto"/>
                                      </w:divBdr>
                                      <w:divsChild>
                                        <w:div w:id="525407943">
                                          <w:marLeft w:val="0"/>
                                          <w:marRight w:val="0"/>
                                          <w:marTop w:val="0"/>
                                          <w:marBottom w:val="0"/>
                                          <w:divBdr>
                                            <w:top w:val="none" w:sz="0" w:space="0" w:color="auto"/>
                                            <w:left w:val="none" w:sz="0" w:space="0" w:color="auto"/>
                                            <w:bottom w:val="none" w:sz="0" w:space="0" w:color="auto"/>
                                            <w:right w:val="none" w:sz="0" w:space="0" w:color="auto"/>
                                          </w:divBdr>
                                          <w:divsChild>
                                            <w:div w:id="1549685640">
                                              <w:marLeft w:val="0"/>
                                              <w:marRight w:val="0"/>
                                              <w:marTop w:val="0"/>
                                              <w:marBottom w:val="0"/>
                                              <w:divBdr>
                                                <w:top w:val="none" w:sz="0" w:space="0" w:color="auto"/>
                                                <w:left w:val="none" w:sz="0" w:space="0" w:color="auto"/>
                                                <w:bottom w:val="none" w:sz="0" w:space="0" w:color="auto"/>
                                                <w:right w:val="none" w:sz="0" w:space="0" w:color="auto"/>
                                              </w:divBdr>
                                              <w:divsChild>
                                                <w:div w:id="2026201264">
                                                  <w:marLeft w:val="0"/>
                                                  <w:marRight w:val="0"/>
                                                  <w:marTop w:val="0"/>
                                                  <w:marBottom w:val="0"/>
                                                  <w:divBdr>
                                                    <w:top w:val="none" w:sz="0" w:space="0" w:color="auto"/>
                                                    <w:left w:val="none" w:sz="0" w:space="0" w:color="auto"/>
                                                    <w:bottom w:val="none" w:sz="0" w:space="0" w:color="auto"/>
                                                    <w:right w:val="none" w:sz="0" w:space="0" w:color="auto"/>
                                                  </w:divBdr>
                                                  <w:divsChild>
                                                    <w:div w:id="1905214889">
                                                      <w:marLeft w:val="0"/>
                                                      <w:marRight w:val="0"/>
                                                      <w:marTop w:val="0"/>
                                                      <w:marBottom w:val="0"/>
                                                      <w:divBdr>
                                                        <w:top w:val="none" w:sz="0" w:space="0" w:color="auto"/>
                                                        <w:left w:val="none" w:sz="0" w:space="0" w:color="auto"/>
                                                        <w:bottom w:val="none" w:sz="0" w:space="0" w:color="auto"/>
                                                        <w:right w:val="none" w:sz="0" w:space="0" w:color="auto"/>
                                                      </w:divBdr>
                                                      <w:divsChild>
                                                        <w:div w:id="1297830327">
                                                          <w:marLeft w:val="0"/>
                                                          <w:marRight w:val="0"/>
                                                          <w:marTop w:val="0"/>
                                                          <w:marBottom w:val="0"/>
                                                          <w:divBdr>
                                                            <w:top w:val="none" w:sz="0" w:space="0" w:color="auto"/>
                                                            <w:left w:val="none" w:sz="0" w:space="0" w:color="auto"/>
                                                            <w:bottom w:val="none" w:sz="0" w:space="0" w:color="auto"/>
                                                            <w:right w:val="none" w:sz="0" w:space="0" w:color="auto"/>
                                                          </w:divBdr>
                                                          <w:divsChild>
                                                            <w:div w:id="1086611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78912128">
          <w:marLeft w:val="0"/>
          <w:marRight w:val="0"/>
          <w:marTop w:val="0"/>
          <w:marBottom w:val="0"/>
          <w:divBdr>
            <w:top w:val="none" w:sz="0" w:space="0" w:color="auto"/>
            <w:left w:val="none" w:sz="0" w:space="0" w:color="auto"/>
            <w:bottom w:val="none" w:sz="0" w:space="0" w:color="auto"/>
            <w:right w:val="none" w:sz="0" w:space="0" w:color="auto"/>
          </w:divBdr>
          <w:divsChild>
            <w:div w:id="474612198">
              <w:marLeft w:val="0"/>
              <w:marRight w:val="0"/>
              <w:marTop w:val="0"/>
              <w:marBottom w:val="0"/>
              <w:divBdr>
                <w:top w:val="none" w:sz="0" w:space="0" w:color="auto"/>
                <w:left w:val="none" w:sz="0" w:space="0" w:color="auto"/>
                <w:bottom w:val="none" w:sz="0" w:space="0" w:color="auto"/>
                <w:right w:val="none" w:sz="0" w:space="0" w:color="auto"/>
              </w:divBdr>
              <w:divsChild>
                <w:div w:id="1811903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164167">
      <w:bodyDiv w:val="1"/>
      <w:marLeft w:val="0"/>
      <w:marRight w:val="0"/>
      <w:marTop w:val="0"/>
      <w:marBottom w:val="0"/>
      <w:divBdr>
        <w:top w:val="none" w:sz="0" w:space="0" w:color="auto"/>
        <w:left w:val="none" w:sz="0" w:space="0" w:color="auto"/>
        <w:bottom w:val="none" w:sz="0" w:space="0" w:color="auto"/>
        <w:right w:val="none" w:sz="0" w:space="0" w:color="auto"/>
      </w:divBdr>
    </w:div>
    <w:div w:id="794105240">
      <w:bodyDiv w:val="1"/>
      <w:marLeft w:val="0"/>
      <w:marRight w:val="0"/>
      <w:marTop w:val="0"/>
      <w:marBottom w:val="0"/>
      <w:divBdr>
        <w:top w:val="none" w:sz="0" w:space="0" w:color="auto"/>
        <w:left w:val="none" w:sz="0" w:space="0" w:color="auto"/>
        <w:bottom w:val="none" w:sz="0" w:space="0" w:color="auto"/>
        <w:right w:val="none" w:sz="0" w:space="0" w:color="auto"/>
      </w:divBdr>
    </w:div>
    <w:div w:id="795102048">
      <w:bodyDiv w:val="1"/>
      <w:marLeft w:val="0"/>
      <w:marRight w:val="0"/>
      <w:marTop w:val="0"/>
      <w:marBottom w:val="0"/>
      <w:divBdr>
        <w:top w:val="none" w:sz="0" w:space="0" w:color="auto"/>
        <w:left w:val="none" w:sz="0" w:space="0" w:color="auto"/>
        <w:bottom w:val="none" w:sz="0" w:space="0" w:color="auto"/>
        <w:right w:val="none" w:sz="0" w:space="0" w:color="auto"/>
      </w:divBdr>
    </w:div>
    <w:div w:id="798694367">
      <w:bodyDiv w:val="1"/>
      <w:marLeft w:val="0"/>
      <w:marRight w:val="0"/>
      <w:marTop w:val="0"/>
      <w:marBottom w:val="0"/>
      <w:divBdr>
        <w:top w:val="none" w:sz="0" w:space="0" w:color="auto"/>
        <w:left w:val="none" w:sz="0" w:space="0" w:color="auto"/>
        <w:bottom w:val="none" w:sz="0" w:space="0" w:color="auto"/>
        <w:right w:val="none" w:sz="0" w:space="0" w:color="auto"/>
      </w:divBdr>
      <w:divsChild>
        <w:div w:id="246153591">
          <w:marLeft w:val="0"/>
          <w:marRight w:val="0"/>
          <w:marTop w:val="0"/>
          <w:marBottom w:val="0"/>
          <w:divBdr>
            <w:top w:val="none" w:sz="0" w:space="0" w:color="auto"/>
            <w:left w:val="none" w:sz="0" w:space="0" w:color="auto"/>
            <w:bottom w:val="none" w:sz="0" w:space="0" w:color="auto"/>
            <w:right w:val="none" w:sz="0" w:space="0" w:color="auto"/>
          </w:divBdr>
        </w:div>
      </w:divsChild>
    </w:div>
    <w:div w:id="802306710">
      <w:bodyDiv w:val="1"/>
      <w:marLeft w:val="0"/>
      <w:marRight w:val="0"/>
      <w:marTop w:val="0"/>
      <w:marBottom w:val="0"/>
      <w:divBdr>
        <w:top w:val="none" w:sz="0" w:space="0" w:color="auto"/>
        <w:left w:val="none" w:sz="0" w:space="0" w:color="auto"/>
        <w:bottom w:val="none" w:sz="0" w:space="0" w:color="auto"/>
        <w:right w:val="none" w:sz="0" w:space="0" w:color="auto"/>
      </w:divBdr>
      <w:divsChild>
        <w:div w:id="603195097">
          <w:marLeft w:val="0"/>
          <w:marRight w:val="0"/>
          <w:marTop w:val="0"/>
          <w:marBottom w:val="0"/>
          <w:divBdr>
            <w:top w:val="none" w:sz="0" w:space="0" w:color="auto"/>
            <w:left w:val="none" w:sz="0" w:space="0" w:color="auto"/>
            <w:bottom w:val="none" w:sz="0" w:space="0" w:color="auto"/>
            <w:right w:val="none" w:sz="0" w:space="0" w:color="auto"/>
          </w:divBdr>
        </w:div>
      </w:divsChild>
    </w:div>
    <w:div w:id="808286320">
      <w:bodyDiv w:val="1"/>
      <w:marLeft w:val="0"/>
      <w:marRight w:val="0"/>
      <w:marTop w:val="0"/>
      <w:marBottom w:val="0"/>
      <w:divBdr>
        <w:top w:val="none" w:sz="0" w:space="0" w:color="auto"/>
        <w:left w:val="none" w:sz="0" w:space="0" w:color="auto"/>
        <w:bottom w:val="none" w:sz="0" w:space="0" w:color="auto"/>
        <w:right w:val="none" w:sz="0" w:space="0" w:color="auto"/>
      </w:divBdr>
    </w:div>
    <w:div w:id="812138233">
      <w:bodyDiv w:val="1"/>
      <w:marLeft w:val="0"/>
      <w:marRight w:val="0"/>
      <w:marTop w:val="0"/>
      <w:marBottom w:val="0"/>
      <w:divBdr>
        <w:top w:val="none" w:sz="0" w:space="0" w:color="auto"/>
        <w:left w:val="none" w:sz="0" w:space="0" w:color="auto"/>
        <w:bottom w:val="none" w:sz="0" w:space="0" w:color="auto"/>
        <w:right w:val="none" w:sz="0" w:space="0" w:color="auto"/>
      </w:divBdr>
    </w:div>
    <w:div w:id="815418784">
      <w:bodyDiv w:val="1"/>
      <w:marLeft w:val="0"/>
      <w:marRight w:val="0"/>
      <w:marTop w:val="0"/>
      <w:marBottom w:val="0"/>
      <w:divBdr>
        <w:top w:val="none" w:sz="0" w:space="0" w:color="auto"/>
        <w:left w:val="none" w:sz="0" w:space="0" w:color="auto"/>
        <w:bottom w:val="none" w:sz="0" w:space="0" w:color="auto"/>
        <w:right w:val="none" w:sz="0" w:space="0" w:color="auto"/>
      </w:divBdr>
    </w:div>
    <w:div w:id="831259428">
      <w:bodyDiv w:val="1"/>
      <w:marLeft w:val="0"/>
      <w:marRight w:val="0"/>
      <w:marTop w:val="0"/>
      <w:marBottom w:val="0"/>
      <w:divBdr>
        <w:top w:val="none" w:sz="0" w:space="0" w:color="auto"/>
        <w:left w:val="none" w:sz="0" w:space="0" w:color="auto"/>
        <w:bottom w:val="none" w:sz="0" w:space="0" w:color="auto"/>
        <w:right w:val="none" w:sz="0" w:space="0" w:color="auto"/>
      </w:divBdr>
    </w:div>
    <w:div w:id="832919327">
      <w:bodyDiv w:val="1"/>
      <w:marLeft w:val="0"/>
      <w:marRight w:val="0"/>
      <w:marTop w:val="0"/>
      <w:marBottom w:val="0"/>
      <w:divBdr>
        <w:top w:val="none" w:sz="0" w:space="0" w:color="auto"/>
        <w:left w:val="none" w:sz="0" w:space="0" w:color="auto"/>
        <w:bottom w:val="none" w:sz="0" w:space="0" w:color="auto"/>
        <w:right w:val="none" w:sz="0" w:space="0" w:color="auto"/>
      </w:divBdr>
    </w:div>
    <w:div w:id="834958206">
      <w:bodyDiv w:val="1"/>
      <w:marLeft w:val="0"/>
      <w:marRight w:val="0"/>
      <w:marTop w:val="0"/>
      <w:marBottom w:val="0"/>
      <w:divBdr>
        <w:top w:val="none" w:sz="0" w:space="0" w:color="auto"/>
        <w:left w:val="none" w:sz="0" w:space="0" w:color="auto"/>
        <w:bottom w:val="none" w:sz="0" w:space="0" w:color="auto"/>
        <w:right w:val="none" w:sz="0" w:space="0" w:color="auto"/>
      </w:divBdr>
    </w:div>
    <w:div w:id="837813970">
      <w:bodyDiv w:val="1"/>
      <w:marLeft w:val="0"/>
      <w:marRight w:val="0"/>
      <w:marTop w:val="0"/>
      <w:marBottom w:val="0"/>
      <w:divBdr>
        <w:top w:val="none" w:sz="0" w:space="0" w:color="auto"/>
        <w:left w:val="none" w:sz="0" w:space="0" w:color="auto"/>
        <w:bottom w:val="none" w:sz="0" w:space="0" w:color="auto"/>
        <w:right w:val="none" w:sz="0" w:space="0" w:color="auto"/>
      </w:divBdr>
    </w:div>
    <w:div w:id="847905905">
      <w:bodyDiv w:val="1"/>
      <w:marLeft w:val="0"/>
      <w:marRight w:val="0"/>
      <w:marTop w:val="0"/>
      <w:marBottom w:val="0"/>
      <w:divBdr>
        <w:top w:val="none" w:sz="0" w:space="0" w:color="auto"/>
        <w:left w:val="none" w:sz="0" w:space="0" w:color="auto"/>
        <w:bottom w:val="none" w:sz="0" w:space="0" w:color="auto"/>
        <w:right w:val="none" w:sz="0" w:space="0" w:color="auto"/>
      </w:divBdr>
    </w:div>
    <w:div w:id="852959898">
      <w:bodyDiv w:val="1"/>
      <w:marLeft w:val="0"/>
      <w:marRight w:val="0"/>
      <w:marTop w:val="0"/>
      <w:marBottom w:val="0"/>
      <w:divBdr>
        <w:top w:val="none" w:sz="0" w:space="0" w:color="auto"/>
        <w:left w:val="none" w:sz="0" w:space="0" w:color="auto"/>
        <w:bottom w:val="none" w:sz="0" w:space="0" w:color="auto"/>
        <w:right w:val="none" w:sz="0" w:space="0" w:color="auto"/>
      </w:divBdr>
    </w:div>
    <w:div w:id="858276402">
      <w:bodyDiv w:val="1"/>
      <w:marLeft w:val="0"/>
      <w:marRight w:val="0"/>
      <w:marTop w:val="0"/>
      <w:marBottom w:val="0"/>
      <w:divBdr>
        <w:top w:val="none" w:sz="0" w:space="0" w:color="auto"/>
        <w:left w:val="none" w:sz="0" w:space="0" w:color="auto"/>
        <w:bottom w:val="none" w:sz="0" w:space="0" w:color="auto"/>
        <w:right w:val="none" w:sz="0" w:space="0" w:color="auto"/>
      </w:divBdr>
    </w:div>
    <w:div w:id="864513936">
      <w:bodyDiv w:val="1"/>
      <w:marLeft w:val="0"/>
      <w:marRight w:val="0"/>
      <w:marTop w:val="0"/>
      <w:marBottom w:val="0"/>
      <w:divBdr>
        <w:top w:val="none" w:sz="0" w:space="0" w:color="auto"/>
        <w:left w:val="none" w:sz="0" w:space="0" w:color="auto"/>
        <w:bottom w:val="none" w:sz="0" w:space="0" w:color="auto"/>
        <w:right w:val="none" w:sz="0" w:space="0" w:color="auto"/>
      </w:divBdr>
    </w:div>
    <w:div w:id="877015257">
      <w:bodyDiv w:val="1"/>
      <w:marLeft w:val="0"/>
      <w:marRight w:val="0"/>
      <w:marTop w:val="0"/>
      <w:marBottom w:val="0"/>
      <w:divBdr>
        <w:top w:val="none" w:sz="0" w:space="0" w:color="auto"/>
        <w:left w:val="none" w:sz="0" w:space="0" w:color="auto"/>
        <w:bottom w:val="none" w:sz="0" w:space="0" w:color="auto"/>
        <w:right w:val="none" w:sz="0" w:space="0" w:color="auto"/>
      </w:divBdr>
    </w:div>
    <w:div w:id="879590304">
      <w:bodyDiv w:val="1"/>
      <w:marLeft w:val="0"/>
      <w:marRight w:val="0"/>
      <w:marTop w:val="0"/>
      <w:marBottom w:val="0"/>
      <w:divBdr>
        <w:top w:val="none" w:sz="0" w:space="0" w:color="auto"/>
        <w:left w:val="none" w:sz="0" w:space="0" w:color="auto"/>
        <w:bottom w:val="none" w:sz="0" w:space="0" w:color="auto"/>
        <w:right w:val="none" w:sz="0" w:space="0" w:color="auto"/>
      </w:divBdr>
      <w:divsChild>
        <w:div w:id="2112703271">
          <w:marLeft w:val="288"/>
          <w:marRight w:val="0"/>
          <w:marTop w:val="0"/>
          <w:marBottom w:val="0"/>
          <w:divBdr>
            <w:top w:val="none" w:sz="0" w:space="0" w:color="auto"/>
            <w:left w:val="none" w:sz="0" w:space="0" w:color="auto"/>
            <w:bottom w:val="none" w:sz="0" w:space="0" w:color="auto"/>
            <w:right w:val="none" w:sz="0" w:space="0" w:color="auto"/>
          </w:divBdr>
        </w:div>
      </w:divsChild>
    </w:div>
    <w:div w:id="889421782">
      <w:bodyDiv w:val="1"/>
      <w:marLeft w:val="0"/>
      <w:marRight w:val="0"/>
      <w:marTop w:val="0"/>
      <w:marBottom w:val="0"/>
      <w:divBdr>
        <w:top w:val="none" w:sz="0" w:space="0" w:color="auto"/>
        <w:left w:val="none" w:sz="0" w:space="0" w:color="auto"/>
        <w:bottom w:val="none" w:sz="0" w:space="0" w:color="auto"/>
        <w:right w:val="none" w:sz="0" w:space="0" w:color="auto"/>
      </w:divBdr>
    </w:div>
    <w:div w:id="905720629">
      <w:bodyDiv w:val="1"/>
      <w:marLeft w:val="0"/>
      <w:marRight w:val="0"/>
      <w:marTop w:val="0"/>
      <w:marBottom w:val="0"/>
      <w:divBdr>
        <w:top w:val="none" w:sz="0" w:space="0" w:color="auto"/>
        <w:left w:val="none" w:sz="0" w:space="0" w:color="auto"/>
        <w:bottom w:val="none" w:sz="0" w:space="0" w:color="auto"/>
        <w:right w:val="none" w:sz="0" w:space="0" w:color="auto"/>
      </w:divBdr>
    </w:div>
    <w:div w:id="905802080">
      <w:bodyDiv w:val="1"/>
      <w:marLeft w:val="0"/>
      <w:marRight w:val="0"/>
      <w:marTop w:val="0"/>
      <w:marBottom w:val="0"/>
      <w:divBdr>
        <w:top w:val="none" w:sz="0" w:space="0" w:color="auto"/>
        <w:left w:val="none" w:sz="0" w:space="0" w:color="auto"/>
        <w:bottom w:val="none" w:sz="0" w:space="0" w:color="auto"/>
        <w:right w:val="none" w:sz="0" w:space="0" w:color="auto"/>
      </w:divBdr>
      <w:divsChild>
        <w:div w:id="1336036962">
          <w:marLeft w:val="0"/>
          <w:marRight w:val="0"/>
          <w:marTop w:val="0"/>
          <w:marBottom w:val="200"/>
          <w:divBdr>
            <w:top w:val="none" w:sz="0" w:space="0" w:color="auto"/>
            <w:left w:val="none" w:sz="0" w:space="0" w:color="auto"/>
            <w:bottom w:val="none" w:sz="0" w:space="0" w:color="auto"/>
            <w:right w:val="none" w:sz="0" w:space="0" w:color="auto"/>
          </w:divBdr>
        </w:div>
      </w:divsChild>
    </w:div>
    <w:div w:id="906458159">
      <w:bodyDiv w:val="1"/>
      <w:marLeft w:val="0"/>
      <w:marRight w:val="0"/>
      <w:marTop w:val="0"/>
      <w:marBottom w:val="0"/>
      <w:divBdr>
        <w:top w:val="none" w:sz="0" w:space="0" w:color="auto"/>
        <w:left w:val="none" w:sz="0" w:space="0" w:color="auto"/>
        <w:bottom w:val="none" w:sz="0" w:space="0" w:color="auto"/>
        <w:right w:val="none" w:sz="0" w:space="0" w:color="auto"/>
      </w:divBdr>
      <w:divsChild>
        <w:div w:id="68618334">
          <w:marLeft w:val="0"/>
          <w:marRight w:val="0"/>
          <w:marTop w:val="0"/>
          <w:marBottom w:val="0"/>
          <w:divBdr>
            <w:top w:val="none" w:sz="0" w:space="0" w:color="auto"/>
            <w:left w:val="none" w:sz="0" w:space="0" w:color="auto"/>
            <w:bottom w:val="none" w:sz="0" w:space="0" w:color="auto"/>
            <w:right w:val="none" w:sz="0" w:space="0" w:color="auto"/>
          </w:divBdr>
        </w:div>
        <w:div w:id="246770956">
          <w:marLeft w:val="0"/>
          <w:marRight w:val="0"/>
          <w:marTop w:val="0"/>
          <w:marBottom w:val="0"/>
          <w:divBdr>
            <w:top w:val="none" w:sz="0" w:space="0" w:color="auto"/>
            <w:left w:val="none" w:sz="0" w:space="0" w:color="auto"/>
            <w:bottom w:val="none" w:sz="0" w:space="0" w:color="auto"/>
            <w:right w:val="none" w:sz="0" w:space="0" w:color="auto"/>
          </w:divBdr>
        </w:div>
        <w:div w:id="768507384">
          <w:marLeft w:val="0"/>
          <w:marRight w:val="0"/>
          <w:marTop w:val="0"/>
          <w:marBottom w:val="0"/>
          <w:divBdr>
            <w:top w:val="none" w:sz="0" w:space="0" w:color="auto"/>
            <w:left w:val="none" w:sz="0" w:space="0" w:color="auto"/>
            <w:bottom w:val="none" w:sz="0" w:space="0" w:color="auto"/>
            <w:right w:val="none" w:sz="0" w:space="0" w:color="auto"/>
          </w:divBdr>
        </w:div>
        <w:div w:id="1112893065">
          <w:marLeft w:val="0"/>
          <w:marRight w:val="0"/>
          <w:marTop w:val="0"/>
          <w:marBottom w:val="0"/>
          <w:divBdr>
            <w:top w:val="none" w:sz="0" w:space="0" w:color="auto"/>
            <w:left w:val="none" w:sz="0" w:space="0" w:color="auto"/>
            <w:bottom w:val="none" w:sz="0" w:space="0" w:color="auto"/>
            <w:right w:val="none" w:sz="0" w:space="0" w:color="auto"/>
          </w:divBdr>
        </w:div>
        <w:div w:id="1268346713">
          <w:marLeft w:val="0"/>
          <w:marRight w:val="0"/>
          <w:marTop w:val="0"/>
          <w:marBottom w:val="0"/>
          <w:divBdr>
            <w:top w:val="none" w:sz="0" w:space="0" w:color="auto"/>
            <w:left w:val="none" w:sz="0" w:space="0" w:color="auto"/>
            <w:bottom w:val="none" w:sz="0" w:space="0" w:color="auto"/>
            <w:right w:val="none" w:sz="0" w:space="0" w:color="auto"/>
          </w:divBdr>
        </w:div>
        <w:div w:id="1273561420">
          <w:marLeft w:val="0"/>
          <w:marRight w:val="0"/>
          <w:marTop w:val="0"/>
          <w:marBottom w:val="0"/>
          <w:divBdr>
            <w:top w:val="none" w:sz="0" w:space="0" w:color="auto"/>
            <w:left w:val="none" w:sz="0" w:space="0" w:color="auto"/>
            <w:bottom w:val="none" w:sz="0" w:space="0" w:color="auto"/>
            <w:right w:val="none" w:sz="0" w:space="0" w:color="auto"/>
          </w:divBdr>
        </w:div>
        <w:div w:id="1497502821">
          <w:marLeft w:val="0"/>
          <w:marRight w:val="0"/>
          <w:marTop w:val="0"/>
          <w:marBottom w:val="0"/>
          <w:divBdr>
            <w:top w:val="none" w:sz="0" w:space="0" w:color="auto"/>
            <w:left w:val="none" w:sz="0" w:space="0" w:color="auto"/>
            <w:bottom w:val="none" w:sz="0" w:space="0" w:color="auto"/>
            <w:right w:val="none" w:sz="0" w:space="0" w:color="auto"/>
          </w:divBdr>
        </w:div>
        <w:div w:id="1560939122">
          <w:marLeft w:val="0"/>
          <w:marRight w:val="0"/>
          <w:marTop w:val="0"/>
          <w:marBottom w:val="0"/>
          <w:divBdr>
            <w:top w:val="none" w:sz="0" w:space="0" w:color="auto"/>
            <w:left w:val="none" w:sz="0" w:space="0" w:color="auto"/>
            <w:bottom w:val="none" w:sz="0" w:space="0" w:color="auto"/>
            <w:right w:val="none" w:sz="0" w:space="0" w:color="auto"/>
          </w:divBdr>
        </w:div>
        <w:div w:id="1866360998">
          <w:marLeft w:val="0"/>
          <w:marRight w:val="0"/>
          <w:marTop w:val="0"/>
          <w:marBottom w:val="0"/>
          <w:divBdr>
            <w:top w:val="none" w:sz="0" w:space="0" w:color="auto"/>
            <w:left w:val="none" w:sz="0" w:space="0" w:color="auto"/>
            <w:bottom w:val="none" w:sz="0" w:space="0" w:color="auto"/>
            <w:right w:val="none" w:sz="0" w:space="0" w:color="auto"/>
          </w:divBdr>
        </w:div>
        <w:div w:id="2103145099">
          <w:marLeft w:val="0"/>
          <w:marRight w:val="0"/>
          <w:marTop w:val="0"/>
          <w:marBottom w:val="0"/>
          <w:divBdr>
            <w:top w:val="none" w:sz="0" w:space="0" w:color="auto"/>
            <w:left w:val="none" w:sz="0" w:space="0" w:color="auto"/>
            <w:bottom w:val="none" w:sz="0" w:space="0" w:color="auto"/>
            <w:right w:val="none" w:sz="0" w:space="0" w:color="auto"/>
          </w:divBdr>
        </w:div>
      </w:divsChild>
    </w:div>
    <w:div w:id="920875274">
      <w:bodyDiv w:val="1"/>
      <w:marLeft w:val="0"/>
      <w:marRight w:val="0"/>
      <w:marTop w:val="0"/>
      <w:marBottom w:val="0"/>
      <w:divBdr>
        <w:top w:val="none" w:sz="0" w:space="0" w:color="auto"/>
        <w:left w:val="none" w:sz="0" w:space="0" w:color="auto"/>
        <w:bottom w:val="none" w:sz="0" w:space="0" w:color="auto"/>
        <w:right w:val="none" w:sz="0" w:space="0" w:color="auto"/>
      </w:divBdr>
    </w:div>
    <w:div w:id="925387056">
      <w:bodyDiv w:val="1"/>
      <w:marLeft w:val="0"/>
      <w:marRight w:val="0"/>
      <w:marTop w:val="0"/>
      <w:marBottom w:val="0"/>
      <w:divBdr>
        <w:top w:val="none" w:sz="0" w:space="0" w:color="auto"/>
        <w:left w:val="none" w:sz="0" w:space="0" w:color="auto"/>
        <w:bottom w:val="none" w:sz="0" w:space="0" w:color="auto"/>
        <w:right w:val="none" w:sz="0" w:space="0" w:color="auto"/>
      </w:divBdr>
    </w:div>
    <w:div w:id="927080983">
      <w:bodyDiv w:val="1"/>
      <w:marLeft w:val="0"/>
      <w:marRight w:val="0"/>
      <w:marTop w:val="0"/>
      <w:marBottom w:val="0"/>
      <w:divBdr>
        <w:top w:val="none" w:sz="0" w:space="0" w:color="auto"/>
        <w:left w:val="none" w:sz="0" w:space="0" w:color="auto"/>
        <w:bottom w:val="none" w:sz="0" w:space="0" w:color="auto"/>
        <w:right w:val="none" w:sz="0" w:space="0" w:color="auto"/>
      </w:divBdr>
    </w:div>
    <w:div w:id="927731536">
      <w:bodyDiv w:val="1"/>
      <w:marLeft w:val="0"/>
      <w:marRight w:val="0"/>
      <w:marTop w:val="0"/>
      <w:marBottom w:val="0"/>
      <w:divBdr>
        <w:top w:val="none" w:sz="0" w:space="0" w:color="auto"/>
        <w:left w:val="none" w:sz="0" w:space="0" w:color="auto"/>
        <w:bottom w:val="none" w:sz="0" w:space="0" w:color="auto"/>
        <w:right w:val="none" w:sz="0" w:space="0" w:color="auto"/>
      </w:divBdr>
    </w:div>
    <w:div w:id="939070589">
      <w:bodyDiv w:val="1"/>
      <w:marLeft w:val="0"/>
      <w:marRight w:val="0"/>
      <w:marTop w:val="0"/>
      <w:marBottom w:val="0"/>
      <w:divBdr>
        <w:top w:val="none" w:sz="0" w:space="0" w:color="auto"/>
        <w:left w:val="none" w:sz="0" w:space="0" w:color="auto"/>
        <w:bottom w:val="none" w:sz="0" w:space="0" w:color="auto"/>
        <w:right w:val="none" w:sz="0" w:space="0" w:color="auto"/>
      </w:divBdr>
    </w:div>
    <w:div w:id="939723927">
      <w:bodyDiv w:val="1"/>
      <w:marLeft w:val="0"/>
      <w:marRight w:val="0"/>
      <w:marTop w:val="0"/>
      <w:marBottom w:val="0"/>
      <w:divBdr>
        <w:top w:val="none" w:sz="0" w:space="0" w:color="auto"/>
        <w:left w:val="none" w:sz="0" w:space="0" w:color="auto"/>
        <w:bottom w:val="none" w:sz="0" w:space="0" w:color="auto"/>
        <w:right w:val="none" w:sz="0" w:space="0" w:color="auto"/>
      </w:divBdr>
    </w:div>
    <w:div w:id="940647709">
      <w:bodyDiv w:val="1"/>
      <w:marLeft w:val="0"/>
      <w:marRight w:val="0"/>
      <w:marTop w:val="0"/>
      <w:marBottom w:val="0"/>
      <w:divBdr>
        <w:top w:val="none" w:sz="0" w:space="0" w:color="auto"/>
        <w:left w:val="none" w:sz="0" w:space="0" w:color="auto"/>
        <w:bottom w:val="none" w:sz="0" w:space="0" w:color="auto"/>
        <w:right w:val="none" w:sz="0" w:space="0" w:color="auto"/>
      </w:divBdr>
    </w:div>
    <w:div w:id="941062228">
      <w:bodyDiv w:val="1"/>
      <w:marLeft w:val="0"/>
      <w:marRight w:val="0"/>
      <w:marTop w:val="0"/>
      <w:marBottom w:val="0"/>
      <w:divBdr>
        <w:top w:val="none" w:sz="0" w:space="0" w:color="auto"/>
        <w:left w:val="none" w:sz="0" w:space="0" w:color="auto"/>
        <w:bottom w:val="none" w:sz="0" w:space="0" w:color="auto"/>
        <w:right w:val="none" w:sz="0" w:space="0" w:color="auto"/>
      </w:divBdr>
    </w:div>
    <w:div w:id="956176944">
      <w:bodyDiv w:val="1"/>
      <w:marLeft w:val="0"/>
      <w:marRight w:val="0"/>
      <w:marTop w:val="0"/>
      <w:marBottom w:val="0"/>
      <w:divBdr>
        <w:top w:val="none" w:sz="0" w:space="0" w:color="auto"/>
        <w:left w:val="none" w:sz="0" w:space="0" w:color="auto"/>
        <w:bottom w:val="none" w:sz="0" w:space="0" w:color="auto"/>
        <w:right w:val="none" w:sz="0" w:space="0" w:color="auto"/>
      </w:divBdr>
      <w:divsChild>
        <w:div w:id="1001590856">
          <w:marLeft w:val="0"/>
          <w:marRight w:val="0"/>
          <w:marTop w:val="0"/>
          <w:marBottom w:val="0"/>
          <w:divBdr>
            <w:top w:val="none" w:sz="0" w:space="0" w:color="auto"/>
            <w:left w:val="none" w:sz="0" w:space="0" w:color="auto"/>
            <w:bottom w:val="none" w:sz="0" w:space="0" w:color="auto"/>
            <w:right w:val="none" w:sz="0" w:space="0" w:color="auto"/>
          </w:divBdr>
        </w:div>
      </w:divsChild>
    </w:div>
    <w:div w:id="968901843">
      <w:bodyDiv w:val="1"/>
      <w:marLeft w:val="0"/>
      <w:marRight w:val="0"/>
      <w:marTop w:val="0"/>
      <w:marBottom w:val="0"/>
      <w:divBdr>
        <w:top w:val="none" w:sz="0" w:space="0" w:color="auto"/>
        <w:left w:val="none" w:sz="0" w:space="0" w:color="auto"/>
        <w:bottom w:val="none" w:sz="0" w:space="0" w:color="auto"/>
        <w:right w:val="none" w:sz="0" w:space="0" w:color="auto"/>
      </w:divBdr>
    </w:div>
    <w:div w:id="973486425">
      <w:bodyDiv w:val="1"/>
      <w:marLeft w:val="0"/>
      <w:marRight w:val="0"/>
      <w:marTop w:val="0"/>
      <w:marBottom w:val="0"/>
      <w:divBdr>
        <w:top w:val="none" w:sz="0" w:space="0" w:color="auto"/>
        <w:left w:val="none" w:sz="0" w:space="0" w:color="auto"/>
        <w:bottom w:val="none" w:sz="0" w:space="0" w:color="auto"/>
        <w:right w:val="none" w:sz="0" w:space="0" w:color="auto"/>
      </w:divBdr>
    </w:div>
    <w:div w:id="974064738">
      <w:bodyDiv w:val="1"/>
      <w:marLeft w:val="0"/>
      <w:marRight w:val="0"/>
      <w:marTop w:val="0"/>
      <w:marBottom w:val="0"/>
      <w:divBdr>
        <w:top w:val="none" w:sz="0" w:space="0" w:color="auto"/>
        <w:left w:val="none" w:sz="0" w:space="0" w:color="auto"/>
        <w:bottom w:val="none" w:sz="0" w:space="0" w:color="auto"/>
        <w:right w:val="none" w:sz="0" w:space="0" w:color="auto"/>
      </w:divBdr>
    </w:div>
    <w:div w:id="982735184">
      <w:bodyDiv w:val="1"/>
      <w:marLeft w:val="0"/>
      <w:marRight w:val="0"/>
      <w:marTop w:val="0"/>
      <w:marBottom w:val="0"/>
      <w:divBdr>
        <w:top w:val="none" w:sz="0" w:space="0" w:color="auto"/>
        <w:left w:val="none" w:sz="0" w:space="0" w:color="auto"/>
        <w:bottom w:val="none" w:sz="0" w:space="0" w:color="auto"/>
        <w:right w:val="none" w:sz="0" w:space="0" w:color="auto"/>
      </w:divBdr>
    </w:div>
    <w:div w:id="983899243">
      <w:bodyDiv w:val="1"/>
      <w:marLeft w:val="0"/>
      <w:marRight w:val="0"/>
      <w:marTop w:val="0"/>
      <w:marBottom w:val="0"/>
      <w:divBdr>
        <w:top w:val="none" w:sz="0" w:space="0" w:color="auto"/>
        <w:left w:val="none" w:sz="0" w:space="0" w:color="auto"/>
        <w:bottom w:val="none" w:sz="0" w:space="0" w:color="auto"/>
        <w:right w:val="none" w:sz="0" w:space="0" w:color="auto"/>
      </w:divBdr>
    </w:div>
    <w:div w:id="988023932">
      <w:bodyDiv w:val="1"/>
      <w:marLeft w:val="0"/>
      <w:marRight w:val="0"/>
      <w:marTop w:val="0"/>
      <w:marBottom w:val="0"/>
      <w:divBdr>
        <w:top w:val="none" w:sz="0" w:space="0" w:color="auto"/>
        <w:left w:val="none" w:sz="0" w:space="0" w:color="auto"/>
        <w:bottom w:val="none" w:sz="0" w:space="0" w:color="auto"/>
        <w:right w:val="none" w:sz="0" w:space="0" w:color="auto"/>
      </w:divBdr>
    </w:div>
    <w:div w:id="1001395712">
      <w:bodyDiv w:val="1"/>
      <w:marLeft w:val="0"/>
      <w:marRight w:val="0"/>
      <w:marTop w:val="0"/>
      <w:marBottom w:val="0"/>
      <w:divBdr>
        <w:top w:val="none" w:sz="0" w:space="0" w:color="auto"/>
        <w:left w:val="none" w:sz="0" w:space="0" w:color="auto"/>
        <w:bottom w:val="none" w:sz="0" w:space="0" w:color="auto"/>
        <w:right w:val="none" w:sz="0" w:space="0" w:color="auto"/>
      </w:divBdr>
      <w:divsChild>
        <w:div w:id="1146622870">
          <w:marLeft w:val="0"/>
          <w:marRight w:val="0"/>
          <w:marTop w:val="0"/>
          <w:marBottom w:val="0"/>
          <w:divBdr>
            <w:top w:val="none" w:sz="0" w:space="0" w:color="auto"/>
            <w:left w:val="none" w:sz="0" w:space="0" w:color="auto"/>
            <w:bottom w:val="none" w:sz="0" w:space="0" w:color="auto"/>
            <w:right w:val="none" w:sz="0" w:space="0" w:color="auto"/>
          </w:divBdr>
        </w:div>
        <w:div w:id="1199470582">
          <w:marLeft w:val="0"/>
          <w:marRight w:val="0"/>
          <w:marTop w:val="0"/>
          <w:marBottom w:val="0"/>
          <w:divBdr>
            <w:top w:val="none" w:sz="0" w:space="0" w:color="auto"/>
            <w:left w:val="none" w:sz="0" w:space="0" w:color="auto"/>
            <w:bottom w:val="none" w:sz="0" w:space="0" w:color="auto"/>
            <w:right w:val="none" w:sz="0" w:space="0" w:color="auto"/>
          </w:divBdr>
        </w:div>
        <w:div w:id="1574703317">
          <w:marLeft w:val="0"/>
          <w:marRight w:val="0"/>
          <w:marTop w:val="0"/>
          <w:marBottom w:val="0"/>
          <w:divBdr>
            <w:top w:val="none" w:sz="0" w:space="0" w:color="auto"/>
            <w:left w:val="none" w:sz="0" w:space="0" w:color="auto"/>
            <w:bottom w:val="none" w:sz="0" w:space="0" w:color="auto"/>
            <w:right w:val="none" w:sz="0" w:space="0" w:color="auto"/>
          </w:divBdr>
        </w:div>
      </w:divsChild>
    </w:div>
    <w:div w:id="1010255667">
      <w:bodyDiv w:val="1"/>
      <w:marLeft w:val="0"/>
      <w:marRight w:val="0"/>
      <w:marTop w:val="0"/>
      <w:marBottom w:val="0"/>
      <w:divBdr>
        <w:top w:val="none" w:sz="0" w:space="0" w:color="auto"/>
        <w:left w:val="none" w:sz="0" w:space="0" w:color="auto"/>
        <w:bottom w:val="none" w:sz="0" w:space="0" w:color="auto"/>
        <w:right w:val="none" w:sz="0" w:space="0" w:color="auto"/>
      </w:divBdr>
    </w:div>
    <w:div w:id="1010717154">
      <w:bodyDiv w:val="1"/>
      <w:marLeft w:val="0"/>
      <w:marRight w:val="0"/>
      <w:marTop w:val="0"/>
      <w:marBottom w:val="0"/>
      <w:divBdr>
        <w:top w:val="none" w:sz="0" w:space="0" w:color="auto"/>
        <w:left w:val="none" w:sz="0" w:space="0" w:color="auto"/>
        <w:bottom w:val="none" w:sz="0" w:space="0" w:color="auto"/>
        <w:right w:val="none" w:sz="0" w:space="0" w:color="auto"/>
      </w:divBdr>
    </w:div>
    <w:div w:id="1012101456">
      <w:bodyDiv w:val="1"/>
      <w:marLeft w:val="0"/>
      <w:marRight w:val="0"/>
      <w:marTop w:val="0"/>
      <w:marBottom w:val="0"/>
      <w:divBdr>
        <w:top w:val="none" w:sz="0" w:space="0" w:color="auto"/>
        <w:left w:val="none" w:sz="0" w:space="0" w:color="auto"/>
        <w:bottom w:val="none" w:sz="0" w:space="0" w:color="auto"/>
        <w:right w:val="none" w:sz="0" w:space="0" w:color="auto"/>
      </w:divBdr>
      <w:divsChild>
        <w:div w:id="389771717">
          <w:marLeft w:val="547"/>
          <w:marRight w:val="0"/>
          <w:marTop w:val="67"/>
          <w:marBottom w:val="0"/>
          <w:divBdr>
            <w:top w:val="none" w:sz="0" w:space="0" w:color="auto"/>
            <w:left w:val="none" w:sz="0" w:space="0" w:color="auto"/>
            <w:bottom w:val="none" w:sz="0" w:space="0" w:color="auto"/>
            <w:right w:val="none" w:sz="0" w:space="0" w:color="auto"/>
          </w:divBdr>
        </w:div>
        <w:div w:id="1935165376">
          <w:marLeft w:val="547"/>
          <w:marRight w:val="0"/>
          <w:marTop w:val="67"/>
          <w:marBottom w:val="0"/>
          <w:divBdr>
            <w:top w:val="none" w:sz="0" w:space="0" w:color="auto"/>
            <w:left w:val="none" w:sz="0" w:space="0" w:color="auto"/>
            <w:bottom w:val="none" w:sz="0" w:space="0" w:color="auto"/>
            <w:right w:val="none" w:sz="0" w:space="0" w:color="auto"/>
          </w:divBdr>
        </w:div>
      </w:divsChild>
    </w:div>
    <w:div w:id="1014957598">
      <w:bodyDiv w:val="1"/>
      <w:marLeft w:val="0"/>
      <w:marRight w:val="0"/>
      <w:marTop w:val="0"/>
      <w:marBottom w:val="0"/>
      <w:divBdr>
        <w:top w:val="none" w:sz="0" w:space="0" w:color="auto"/>
        <w:left w:val="none" w:sz="0" w:space="0" w:color="auto"/>
        <w:bottom w:val="none" w:sz="0" w:space="0" w:color="auto"/>
        <w:right w:val="none" w:sz="0" w:space="0" w:color="auto"/>
      </w:divBdr>
      <w:divsChild>
        <w:div w:id="1834178354">
          <w:marLeft w:val="994"/>
          <w:marRight w:val="0"/>
          <w:marTop w:val="120"/>
          <w:marBottom w:val="0"/>
          <w:divBdr>
            <w:top w:val="none" w:sz="0" w:space="0" w:color="auto"/>
            <w:left w:val="none" w:sz="0" w:space="0" w:color="auto"/>
            <w:bottom w:val="none" w:sz="0" w:space="0" w:color="auto"/>
            <w:right w:val="none" w:sz="0" w:space="0" w:color="auto"/>
          </w:divBdr>
        </w:div>
      </w:divsChild>
    </w:div>
    <w:div w:id="1015769352">
      <w:bodyDiv w:val="1"/>
      <w:marLeft w:val="0"/>
      <w:marRight w:val="0"/>
      <w:marTop w:val="0"/>
      <w:marBottom w:val="0"/>
      <w:divBdr>
        <w:top w:val="none" w:sz="0" w:space="0" w:color="auto"/>
        <w:left w:val="none" w:sz="0" w:space="0" w:color="auto"/>
        <w:bottom w:val="none" w:sz="0" w:space="0" w:color="auto"/>
        <w:right w:val="none" w:sz="0" w:space="0" w:color="auto"/>
      </w:divBdr>
    </w:div>
    <w:div w:id="1020080887">
      <w:marLeft w:val="0"/>
      <w:marRight w:val="0"/>
      <w:marTop w:val="0"/>
      <w:marBottom w:val="0"/>
      <w:divBdr>
        <w:top w:val="none" w:sz="0" w:space="0" w:color="auto"/>
        <w:left w:val="none" w:sz="0" w:space="0" w:color="auto"/>
        <w:bottom w:val="none" w:sz="0" w:space="0" w:color="auto"/>
        <w:right w:val="none" w:sz="0" w:space="0" w:color="auto"/>
      </w:divBdr>
    </w:div>
    <w:div w:id="1025903318">
      <w:bodyDiv w:val="1"/>
      <w:marLeft w:val="0"/>
      <w:marRight w:val="0"/>
      <w:marTop w:val="0"/>
      <w:marBottom w:val="0"/>
      <w:divBdr>
        <w:top w:val="none" w:sz="0" w:space="0" w:color="auto"/>
        <w:left w:val="none" w:sz="0" w:space="0" w:color="auto"/>
        <w:bottom w:val="none" w:sz="0" w:space="0" w:color="auto"/>
        <w:right w:val="none" w:sz="0" w:space="0" w:color="auto"/>
      </w:divBdr>
    </w:div>
    <w:div w:id="1037313845">
      <w:bodyDiv w:val="1"/>
      <w:marLeft w:val="0"/>
      <w:marRight w:val="0"/>
      <w:marTop w:val="0"/>
      <w:marBottom w:val="0"/>
      <w:divBdr>
        <w:top w:val="none" w:sz="0" w:space="0" w:color="auto"/>
        <w:left w:val="none" w:sz="0" w:space="0" w:color="auto"/>
        <w:bottom w:val="none" w:sz="0" w:space="0" w:color="auto"/>
        <w:right w:val="none" w:sz="0" w:space="0" w:color="auto"/>
      </w:divBdr>
    </w:div>
    <w:div w:id="1037581412">
      <w:bodyDiv w:val="1"/>
      <w:marLeft w:val="0"/>
      <w:marRight w:val="0"/>
      <w:marTop w:val="0"/>
      <w:marBottom w:val="0"/>
      <w:divBdr>
        <w:top w:val="none" w:sz="0" w:space="0" w:color="auto"/>
        <w:left w:val="none" w:sz="0" w:space="0" w:color="auto"/>
        <w:bottom w:val="none" w:sz="0" w:space="0" w:color="auto"/>
        <w:right w:val="none" w:sz="0" w:space="0" w:color="auto"/>
      </w:divBdr>
    </w:div>
    <w:div w:id="1049844551">
      <w:bodyDiv w:val="1"/>
      <w:marLeft w:val="0"/>
      <w:marRight w:val="0"/>
      <w:marTop w:val="0"/>
      <w:marBottom w:val="0"/>
      <w:divBdr>
        <w:top w:val="none" w:sz="0" w:space="0" w:color="auto"/>
        <w:left w:val="none" w:sz="0" w:space="0" w:color="auto"/>
        <w:bottom w:val="none" w:sz="0" w:space="0" w:color="auto"/>
        <w:right w:val="none" w:sz="0" w:space="0" w:color="auto"/>
      </w:divBdr>
    </w:div>
    <w:div w:id="1052383417">
      <w:bodyDiv w:val="1"/>
      <w:marLeft w:val="0"/>
      <w:marRight w:val="0"/>
      <w:marTop w:val="0"/>
      <w:marBottom w:val="0"/>
      <w:divBdr>
        <w:top w:val="none" w:sz="0" w:space="0" w:color="auto"/>
        <w:left w:val="none" w:sz="0" w:space="0" w:color="auto"/>
        <w:bottom w:val="none" w:sz="0" w:space="0" w:color="auto"/>
        <w:right w:val="none" w:sz="0" w:space="0" w:color="auto"/>
      </w:divBdr>
    </w:div>
    <w:div w:id="1060862500">
      <w:bodyDiv w:val="1"/>
      <w:marLeft w:val="0"/>
      <w:marRight w:val="0"/>
      <w:marTop w:val="0"/>
      <w:marBottom w:val="0"/>
      <w:divBdr>
        <w:top w:val="none" w:sz="0" w:space="0" w:color="auto"/>
        <w:left w:val="none" w:sz="0" w:space="0" w:color="auto"/>
        <w:bottom w:val="none" w:sz="0" w:space="0" w:color="auto"/>
        <w:right w:val="none" w:sz="0" w:space="0" w:color="auto"/>
      </w:divBdr>
    </w:div>
    <w:div w:id="1061556871">
      <w:bodyDiv w:val="1"/>
      <w:marLeft w:val="0"/>
      <w:marRight w:val="0"/>
      <w:marTop w:val="0"/>
      <w:marBottom w:val="0"/>
      <w:divBdr>
        <w:top w:val="none" w:sz="0" w:space="0" w:color="auto"/>
        <w:left w:val="none" w:sz="0" w:space="0" w:color="auto"/>
        <w:bottom w:val="none" w:sz="0" w:space="0" w:color="auto"/>
        <w:right w:val="none" w:sz="0" w:space="0" w:color="auto"/>
      </w:divBdr>
    </w:div>
    <w:div w:id="1067457403">
      <w:bodyDiv w:val="1"/>
      <w:marLeft w:val="0"/>
      <w:marRight w:val="0"/>
      <w:marTop w:val="0"/>
      <w:marBottom w:val="0"/>
      <w:divBdr>
        <w:top w:val="none" w:sz="0" w:space="0" w:color="auto"/>
        <w:left w:val="none" w:sz="0" w:space="0" w:color="auto"/>
        <w:bottom w:val="none" w:sz="0" w:space="0" w:color="auto"/>
        <w:right w:val="none" w:sz="0" w:space="0" w:color="auto"/>
      </w:divBdr>
    </w:div>
    <w:div w:id="1071386333">
      <w:bodyDiv w:val="1"/>
      <w:marLeft w:val="0"/>
      <w:marRight w:val="0"/>
      <w:marTop w:val="0"/>
      <w:marBottom w:val="0"/>
      <w:divBdr>
        <w:top w:val="none" w:sz="0" w:space="0" w:color="auto"/>
        <w:left w:val="none" w:sz="0" w:space="0" w:color="auto"/>
        <w:bottom w:val="none" w:sz="0" w:space="0" w:color="auto"/>
        <w:right w:val="none" w:sz="0" w:space="0" w:color="auto"/>
      </w:divBdr>
    </w:div>
    <w:div w:id="1075014643">
      <w:bodyDiv w:val="1"/>
      <w:marLeft w:val="0"/>
      <w:marRight w:val="0"/>
      <w:marTop w:val="0"/>
      <w:marBottom w:val="0"/>
      <w:divBdr>
        <w:top w:val="none" w:sz="0" w:space="0" w:color="auto"/>
        <w:left w:val="none" w:sz="0" w:space="0" w:color="auto"/>
        <w:bottom w:val="none" w:sz="0" w:space="0" w:color="auto"/>
        <w:right w:val="none" w:sz="0" w:space="0" w:color="auto"/>
      </w:divBdr>
    </w:div>
    <w:div w:id="1082676370">
      <w:bodyDiv w:val="1"/>
      <w:marLeft w:val="0"/>
      <w:marRight w:val="0"/>
      <w:marTop w:val="0"/>
      <w:marBottom w:val="0"/>
      <w:divBdr>
        <w:top w:val="none" w:sz="0" w:space="0" w:color="auto"/>
        <w:left w:val="none" w:sz="0" w:space="0" w:color="auto"/>
        <w:bottom w:val="none" w:sz="0" w:space="0" w:color="auto"/>
        <w:right w:val="none" w:sz="0" w:space="0" w:color="auto"/>
      </w:divBdr>
    </w:div>
    <w:div w:id="1086262946">
      <w:bodyDiv w:val="1"/>
      <w:marLeft w:val="0"/>
      <w:marRight w:val="0"/>
      <w:marTop w:val="0"/>
      <w:marBottom w:val="0"/>
      <w:divBdr>
        <w:top w:val="none" w:sz="0" w:space="0" w:color="auto"/>
        <w:left w:val="none" w:sz="0" w:space="0" w:color="auto"/>
        <w:bottom w:val="none" w:sz="0" w:space="0" w:color="auto"/>
        <w:right w:val="none" w:sz="0" w:space="0" w:color="auto"/>
      </w:divBdr>
    </w:div>
    <w:div w:id="1086264986">
      <w:bodyDiv w:val="1"/>
      <w:marLeft w:val="0"/>
      <w:marRight w:val="0"/>
      <w:marTop w:val="0"/>
      <w:marBottom w:val="0"/>
      <w:divBdr>
        <w:top w:val="none" w:sz="0" w:space="0" w:color="auto"/>
        <w:left w:val="none" w:sz="0" w:space="0" w:color="auto"/>
        <w:bottom w:val="none" w:sz="0" w:space="0" w:color="auto"/>
        <w:right w:val="none" w:sz="0" w:space="0" w:color="auto"/>
      </w:divBdr>
      <w:divsChild>
        <w:div w:id="282463381">
          <w:marLeft w:val="274"/>
          <w:marRight w:val="0"/>
          <w:marTop w:val="120"/>
          <w:marBottom w:val="0"/>
          <w:divBdr>
            <w:top w:val="none" w:sz="0" w:space="0" w:color="auto"/>
            <w:left w:val="none" w:sz="0" w:space="0" w:color="auto"/>
            <w:bottom w:val="none" w:sz="0" w:space="0" w:color="auto"/>
            <w:right w:val="none" w:sz="0" w:space="0" w:color="auto"/>
          </w:divBdr>
        </w:div>
      </w:divsChild>
    </w:div>
    <w:div w:id="1095714660">
      <w:bodyDiv w:val="1"/>
      <w:marLeft w:val="0"/>
      <w:marRight w:val="0"/>
      <w:marTop w:val="0"/>
      <w:marBottom w:val="0"/>
      <w:divBdr>
        <w:top w:val="none" w:sz="0" w:space="0" w:color="auto"/>
        <w:left w:val="none" w:sz="0" w:space="0" w:color="auto"/>
        <w:bottom w:val="none" w:sz="0" w:space="0" w:color="auto"/>
        <w:right w:val="none" w:sz="0" w:space="0" w:color="auto"/>
      </w:divBdr>
      <w:divsChild>
        <w:div w:id="1799028884">
          <w:marLeft w:val="547"/>
          <w:marRight w:val="0"/>
          <w:marTop w:val="0"/>
          <w:marBottom w:val="0"/>
          <w:divBdr>
            <w:top w:val="none" w:sz="0" w:space="0" w:color="auto"/>
            <w:left w:val="none" w:sz="0" w:space="0" w:color="auto"/>
            <w:bottom w:val="none" w:sz="0" w:space="0" w:color="auto"/>
            <w:right w:val="none" w:sz="0" w:space="0" w:color="auto"/>
          </w:divBdr>
        </w:div>
      </w:divsChild>
    </w:div>
    <w:div w:id="1100249747">
      <w:bodyDiv w:val="1"/>
      <w:marLeft w:val="0"/>
      <w:marRight w:val="0"/>
      <w:marTop w:val="0"/>
      <w:marBottom w:val="0"/>
      <w:divBdr>
        <w:top w:val="none" w:sz="0" w:space="0" w:color="auto"/>
        <w:left w:val="none" w:sz="0" w:space="0" w:color="auto"/>
        <w:bottom w:val="none" w:sz="0" w:space="0" w:color="auto"/>
        <w:right w:val="none" w:sz="0" w:space="0" w:color="auto"/>
      </w:divBdr>
      <w:divsChild>
        <w:div w:id="260837393">
          <w:marLeft w:val="0"/>
          <w:marRight w:val="0"/>
          <w:marTop w:val="0"/>
          <w:marBottom w:val="200"/>
          <w:divBdr>
            <w:top w:val="none" w:sz="0" w:space="0" w:color="auto"/>
            <w:left w:val="none" w:sz="0" w:space="0" w:color="auto"/>
            <w:bottom w:val="none" w:sz="0" w:space="0" w:color="auto"/>
            <w:right w:val="none" w:sz="0" w:space="0" w:color="auto"/>
          </w:divBdr>
        </w:div>
        <w:div w:id="1910341092">
          <w:marLeft w:val="0"/>
          <w:marRight w:val="0"/>
          <w:marTop w:val="0"/>
          <w:marBottom w:val="200"/>
          <w:divBdr>
            <w:top w:val="none" w:sz="0" w:space="0" w:color="auto"/>
            <w:left w:val="none" w:sz="0" w:space="0" w:color="auto"/>
            <w:bottom w:val="none" w:sz="0" w:space="0" w:color="auto"/>
            <w:right w:val="none" w:sz="0" w:space="0" w:color="auto"/>
          </w:divBdr>
        </w:div>
      </w:divsChild>
    </w:div>
    <w:div w:id="1122001029">
      <w:bodyDiv w:val="1"/>
      <w:marLeft w:val="0"/>
      <w:marRight w:val="0"/>
      <w:marTop w:val="0"/>
      <w:marBottom w:val="0"/>
      <w:divBdr>
        <w:top w:val="none" w:sz="0" w:space="0" w:color="auto"/>
        <w:left w:val="none" w:sz="0" w:space="0" w:color="auto"/>
        <w:bottom w:val="none" w:sz="0" w:space="0" w:color="auto"/>
        <w:right w:val="none" w:sz="0" w:space="0" w:color="auto"/>
      </w:divBdr>
    </w:div>
    <w:div w:id="1129587825">
      <w:bodyDiv w:val="1"/>
      <w:marLeft w:val="0"/>
      <w:marRight w:val="0"/>
      <w:marTop w:val="0"/>
      <w:marBottom w:val="0"/>
      <w:divBdr>
        <w:top w:val="none" w:sz="0" w:space="0" w:color="auto"/>
        <w:left w:val="none" w:sz="0" w:space="0" w:color="auto"/>
        <w:bottom w:val="none" w:sz="0" w:space="0" w:color="auto"/>
        <w:right w:val="none" w:sz="0" w:space="0" w:color="auto"/>
      </w:divBdr>
    </w:div>
    <w:div w:id="1134952898">
      <w:bodyDiv w:val="1"/>
      <w:marLeft w:val="0"/>
      <w:marRight w:val="0"/>
      <w:marTop w:val="0"/>
      <w:marBottom w:val="0"/>
      <w:divBdr>
        <w:top w:val="none" w:sz="0" w:space="0" w:color="auto"/>
        <w:left w:val="none" w:sz="0" w:space="0" w:color="auto"/>
        <w:bottom w:val="none" w:sz="0" w:space="0" w:color="auto"/>
        <w:right w:val="none" w:sz="0" w:space="0" w:color="auto"/>
      </w:divBdr>
    </w:div>
    <w:div w:id="1142497964">
      <w:bodyDiv w:val="1"/>
      <w:marLeft w:val="0"/>
      <w:marRight w:val="0"/>
      <w:marTop w:val="0"/>
      <w:marBottom w:val="0"/>
      <w:divBdr>
        <w:top w:val="none" w:sz="0" w:space="0" w:color="auto"/>
        <w:left w:val="none" w:sz="0" w:space="0" w:color="auto"/>
        <w:bottom w:val="none" w:sz="0" w:space="0" w:color="auto"/>
        <w:right w:val="none" w:sz="0" w:space="0" w:color="auto"/>
      </w:divBdr>
    </w:div>
    <w:div w:id="1144931600">
      <w:bodyDiv w:val="1"/>
      <w:marLeft w:val="0"/>
      <w:marRight w:val="0"/>
      <w:marTop w:val="0"/>
      <w:marBottom w:val="0"/>
      <w:divBdr>
        <w:top w:val="none" w:sz="0" w:space="0" w:color="auto"/>
        <w:left w:val="none" w:sz="0" w:space="0" w:color="auto"/>
        <w:bottom w:val="none" w:sz="0" w:space="0" w:color="auto"/>
        <w:right w:val="none" w:sz="0" w:space="0" w:color="auto"/>
      </w:divBdr>
    </w:div>
    <w:div w:id="1148207596">
      <w:bodyDiv w:val="1"/>
      <w:marLeft w:val="0"/>
      <w:marRight w:val="0"/>
      <w:marTop w:val="0"/>
      <w:marBottom w:val="0"/>
      <w:divBdr>
        <w:top w:val="none" w:sz="0" w:space="0" w:color="auto"/>
        <w:left w:val="none" w:sz="0" w:space="0" w:color="auto"/>
        <w:bottom w:val="none" w:sz="0" w:space="0" w:color="auto"/>
        <w:right w:val="none" w:sz="0" w:space="0" w:color="auto"/>
      </w:divBdr>
      <w:divsChild>
        <w:div w:id="686055499">
          <w:marLeft w:val="0"/>
          <w:marRight w:val="0"/>
          <w:marTop w:val="0"/>
          <w:marBottom w:val="0"/>
          <w:divBdr>
            <w:top w:val="none" w:sz="0" w:space="0" w:color="auto"/>
            <w:left w:val="none" w:sz="0" w:space="0" w:color="auto"/>
            <w:bottom w:val="none" w:sz="0" w:space="0" w:color="auto"/>
            <w:right w:val="none" w:sz="0" w:space="0" w:color="auto"/>
          </w:divBdr>
        </w:div>
      </w:divsChild>
    </w:div>
    <w:div w:id="1162235689">
      <w:bodyDiv w:val="1"/>
      <w:marLeft w:val="0"/>
      <w:marRight w:val="0"/>
      <w:marTop w:val="0"/>
      <w:marBottom w:val="0"/>
      <w:divBdr>
        <w:top w:val="none" w:sz="0" w:space="0" w:color="auto"/>
        <w:left w:val="none" w:sz="0" w:space="0" w:color="auto"/>
        <w:bottom w:val="none" w:sz="0" w:space="0" w:color="auto"/>
        <w:right w:val="none" w:sz="0" w:space="0" w:color="auto"/>
      </w:divBdr>
    </w:div>
    <w:div w:id="1169833892">
      <w:bodyDiv w:val="1"/>
      <w:marLeft w:val="0"/>
      <w:marRight w:val="0"/>
      <w:marTop w:val="0"/>
      <w:marBottom w:val="0"/>
      <w:divBdr>
        <w:top w:val="none" w:sz="0" w:space="0" w:color="auto"/>
        <w:left w:val="none" w:sz="0" w:space="0" w:color="auto"/>
        <w:bottom w:val="none" w:sz="0" w:space="0" w:color="auto"/>
        <w:right w:val="none" w:sz="0" w:space="0" w:color="auto"/>
      </w:divBdr>
      <w:divsChild>
        <w:div w:id="1560819362">
          <w:marLeft w:val="446"/>
          <w:marRight w:val="0"/>
          <w:marTop w:val="0"/>
          <w:marBottom w:val="0"/>
          <w:divBdr>
            <w:top w:val="none" w:sz="0" w:space="0" w:color="auto"/>
            <w:left w:val="none" w:sz="0" w:space="0" w:color="auto"/>
            <w:bottom w:val="none" w:sz="0" w:space="0" w:color="auto"/>
            <w:right w:val="none" w:sz="0" w:space="0" w:color="auto"/>
          </w:divBdr>
        </w:div>
        <w:div w:id="1660040964">
          <w:marLeft w:val="446"/>
          <w:marRight w:val="0"/>
          <w:marTop w:val="0"/>
          <w:marBottom w:val="0"/>
          <w:divBdr>
            <w:top w:val="none" w:sz="0" w:space="0" w:color="auto"/>
            <w:left w:val="none" w:sz="0" w:space="0" w:color="auto"/>
            <w:bottom w:val="none" w:sz="0" w:space="0" w:color="auto"/>
            <w:right w:val="none" w:sz="0" w:space="0" w:color="auto"/>
          </w:divBdr>
        </w:div>
        <w:div w:id="1674643932">
          <w:marLeft w:val="446"/>
          <w:marRight w:val="0"/>
          <w:marTop w:val="0"/>
          <w:marBottom w:val="0"/>
          <w:divBdr>
            <w:top w:val="none" w:sz="0" w:space="0" w:color="auto"/>
            <w:left w:val="none" w:sz="0" w:space="0" w:color="auto"/>
            <w:bottom w:val="none" w:sz="0" w:space="0" w:color="auto"/>
            <w:right w:val="none" w:sz="0" w:space="0" w:color="auto"/>
          </w:divBdr>
        </w:div>
        <w:div w:id="1874611330">
          <w:marLeft w:val="446"/>
          <w:marRight w:val="0"/>
          <w:marTop w:val="0"/>
          <w:marBottom w:val="0"/>
          <w:divBdr>
            <w:top w:val="none" w:sz="0" w:space="0" w:color="auto"/>
            <w:left w:val="none" w:sz="0" w:space="0" w:color="auto"/>
            <w:bottom w:val="none" w:sz="0" w:space="0" w:color="auto"/>
            <w:right w:val="none" w:sz="0" w:space="0" w:color="auto"/>
          </w:divBdr>
        </w:div>
      </w:divsChild>
    </w:div>
    <w:div w:id="1171022501">
      <w:bodyDiv w:val="1"/>
      <w:marLeft w:val="0"/>
      <w:marRight w:val="0"/>
      <w:marTop w:val="0"/>
      <w:marBottom w:val="0"/>
      <w:divBdr>
        <w:top w:val="none" w:sz="0" w:space="0" w:color="auto"/>
        <w:left w:val="none" w:sz="0" w:space="0" w:color="auto"/>
        <w:bottom w:val="none" w:sz="0" w:space="0" w:color="auto"/>
        <w:right w:val="none" w:sz="0" w:space="0" w:color="auto"/>
      </w:divBdr>
    </w:div>
    <w:div w:id="1183126812">
      <w:bodyDiv w:val="1"/>
      <w:marLeft w:val="0"/>
      <w:marRight w:val="0"/>
      <w:marTop w:val="0"/>
      <w:marBottom w:val="0"/>
      <w:divBdr>
        <w:top w:val="none" w:sz="0" w:space="0" w:color="auto"/>
        <w:left w:val="none" w:sz="0" w:space="0" w:color="auto"/>
        <w:bottom w:val="none" w:sz="0" w:space="0" w:color="auto"/>
        <w:right w:val="none" w:sz="0" w:space="0" w:color="auto"/>
      </w:divBdr>
    </w:div>
    <w:div w:id="1183857239">
      <w:bodyDiv w:val="1"/>
      <w:marLeft w:val="0"/>
      <w:marRight w:val="0"/>
      <w:marTop w:val="0"/>
      <w:marBottom w:val="0"/>
      <w:divBdr>
        <w:top w:val="none" w:sz="0" w:space="0" w:color="auto"/>
        <w:left w:val="none" w:sz="0" w:space="0" w:color="auto"/>
        <w:bottom w:val="none" w:sz="0" w:space="0" w:color="auto"/>
        <w:right w:val="none" w:sz="0" w:space="0" w:color="auto"/>
      </w:divBdr>
    </w:div>
    <w:div w:id="1186094393">
      <w:bodyDiv w:val="1"/>
      <w:marLeft w:val="0"/>
      <w:marRight w:val="0"/>
      <w:marTop w:val="0"/>
      <w:marBottom w:val="0"/>
      <w:divBdr>
        <w:top w:val="none" w:sz="0" w:space="0" w:color="auto"/>
        <w:left w:val="none" w:sz="0" w:space="0" w:color="auto"/>
        <w:bottom w:val="none" w:sz="0" w:space="0" w:color="auto"/>
        <w:right w:val="none" w:sz="0" w:space="0" w:color="auto"/>
      </w:divBdr>
      <w:divsChild>
        <w:div w:id="1422917800">
          <w:marLeft w:val="547"/>
          <w:marRight w:val="0"/>
          <w:marTop w:val="0"/>
          <w:marBottom w:val="0"/>
          <w:divBdr>
            <w:top w:val="none" w:sz="0" w:space="0" w:color="auto"/>
            <w:left w:val="none" w:sz="0" w:space="0" w:color="auto"/>
            <w:bottom w:val="none" w:sz="0" w:space="0" w:color="auto"/>
            <w:right w:val="none" w:sz="0" w:space="0" w:color="auto"/>
          </w:divBdr>
        </w:div>
      </w:divsChild>
    </w:div>
    <w:div w:id="1189368837">
      <w:bodyDiv w:val="1"/>
      <w:marLeft w:val="0"/>
      <w:marRight w:val="0"/>
      <w:marTop w:val="0"/>
      <w:marBottom w:val="0"/>
      <w:divBdr>
        <w:top w:val="none" w:sz="0" w:space="0" w:color="auto"/>
        <w:left w:val="none" w:sz="0" w:space="0" w:color="auto"/>
        <w:bottom w:val="none" w:sz="0" w:space="0" w:color="auto"/>
        <w:right w:val="none" w:sz="0" w:space="0" w:color="auto"/>
      </w:divBdr>
      <w:divsChild>
        <w:div w:id="863398978">
          <w:marLeft w:val="0"/>
          <w:marRight w:val="0"/>
          <w:marTop w:val="0"/>
          <w:marBottom w:val="0"/>
          <w:divBdr>
            <w:top w:val="none" w:sz="0" w:space="0" w:color="auto"/>
            <w:left w:val="none" w:sz="0" w:space="0" w:color="auto"/>
            <w:bottom w:val="none" w:sz="0" w:space="0" w:color="auto"/>
            <w:right w:val="none" w:sz="0" w:space="0" w:color="auto"/>
          </w:divBdr>
          <w:divsChild>
            <w:div w:id="1619097776">
              <w:marLeft w:val="0"/>
              <w:marRight w:val="0"/>
              <w:marTop w:val="0"/>
              <w:marBottom w:val="0"/>
              <w:divBdr>
                <w:top w:val="none" w:sz="0" w:space="0" w:color="auto"/>
                <w:left w:val="none" w:sz="0" w:space="0" w:color="auto"/>
                <w:bottom w:val="none" w:sz="0" w:space="0" w:color="auto"/>
                <w:right w:val="none" w:sz="0" w:space="0" w:color="auto"/>
              </w:divBdr>
              <w:divsChild>
                <w:div w:id="205531218">
                  <w:marLeft w:val="0"/>
                  <w:marRight w:val="0"/>
                  <w:marTop w:val="0"/>
                  <w:marBottom w:val="0"/>
                  <w:divBdr>
                    <w:top w:val="none" w:sz="0" w:space="0" w:color="auto"/>
                    <w:left w:val="none" w:sz="0" w:space="0" w:color="auto"/>
                    <w:bottom w:val="none" w:sz="0" w:space="0" w:color="auto"/>
                    <w:right w:val="none" w:sz="0" w:space="0" w:color="auto"/>
                  </w:divBdr>
                  <w:divsChild>
                    <w:div w:id="85499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1334959">
      <w:bodyDiv w:val="1"/>
      <w:marLeft w:val="0"/>
      <w:marRight w:val="0"/>
      <w:marTop w:val="0"/>
      <w:marBottom w:val="0"/>
      <w:divBdr>
        <w:top w:val="none" w:sz="0" w:space="0" w:color="auto"/>
        <w:left w:val="none" w:sz="0" w:space="0" w:color="auto"/>
        <w:bottom w:val="none" w:sz="0" w:space="0" w:color="auto"/>
        <w:right w:val="none" w:sz="0" w:space="0" w:color="auto"/>
      </w:divBdr>
    </w:div>
    <w:div w:id="1197281663">
      <w:bodyDiv w:val="1"/>
      <w:marLeft w:val="0"/>
      <w:marRight w:val="0"/>
      <w:marTop w:val="0"/>
      <w:marBottom w:val="0"/>
      <w:divBdr>
        <w:top w:val="none" w:sz="0" w:space="0" w:color="auto"/>
        <w:left w:val="none" w:sz="0" w:space="0" w:color="auto"/>
        <w:bottom w:val="none" w:sz="0" w:space="0" w:color="auto"/>
        <w:right w:val="none" w:sz="0" w:space="0" w:color="auto"/>
      </w:divBdr>
    </w:div>
    <w:div w:id="1197696851">
      <w:bodyDiv w:val="1"/>
      <w:marLeft w:val="0"/>
      <w:marRight w:val="0"/>
      <w:marTop w:val="0"/>
      <w:marBottom w:val="0"/>
      <w:divBdr>
        <w:top w:val="none" w:sz="0" w:space="0" w:color="auto"/>
        <w:left w:val="none" w:sz="0" w:space="0" w:color="auto"/>
        <w:bottom w:val="none" w:sz="0" w:space="0" w:color="auto"/>
        <w:right w:val="none" w:sz="0" w:space="0" w:color="auto"/>
      </w:divBdr>
      <w:divsChild>
        <w:div w:id="229006446">
          <w:marLeft w:val="274"/>
          <w:marRight w:val="0"/>
          <w:marTop w:val="0"/>
          <w:marBottom w:val="120"/>
          <w:divBdr>
            <w:top w:val="none" w:sz="0" w:space="0" w:color="auto"/>
            <w:left w:val="none" w:sz="0" w:space="0" w:color="auto"/>
            <w:bottom w:val="none" w:sz="0" w:space="0" w:color="auto"/>
            <w:right w:val="none" w:sz="0" w:space="0" w:color="auto"/>
          </w:divBdr>
        </w:div>
        <w:div w:id="1098720024">
          <w:marLeft w:val="274"/>
          <w:marRight w:val="0"/>
          <w:marTop w:val="0"/>
          <w:marBottom w:val="120"/>
          <w:divBdr>
            <w:top w:val="none" w:sz="0" w:space="0" w:color="auto"/>
            <w:left w:val="none" w:sz="0" w:space="0" w:color="auto"/>
            <w:bottom w:val="none" w:sz="0" w:space="0" w:color="auto"/>
            <w:right w:val="none" w:sz="0" w:space="0" w:color="auto"/>
          </w:divBdr>
        </w:div>
        <w:div w:id="1536963093">
          <w:marLeft w:val="274"/>
          <w:marRight w:val="0"/>
          <w:marTop w:val="0"/>
          <w:marBottom w:val="120"/>
          <w:divBdr>
            <w:top w:val="none" w:sz="0" w:space="0" w:color="auto"/>
            <w:left w:val="none" w:sz="0" w:space="0" w:color="auto"/>
            <w:bottom w:val="none" w:sz="0" w:space="0" w:color="auto"/>
            <w:right w:val="none" w:sz="0" w:space="0" w:color="auto"/>
          </w:divBdr>
        </w:div>
        <w:div w:id="1561595640">
          <w:marLeft w:val="274"/>
          <w:marRight w:val="0"/>
          <w:marTop w:val="0"/>
          <w:marBottom w:val="120"/>
          <w:divBdr>
            <w:top w:val="none" w:sz="0" w:space="0" w:color="auto"/>
            <w:left w:val="none" w:sz="0" w:space="0" w:color="auto"/>
            <w:bottom w:val="none" w:sz="0" w:space="0" w:color="auto"/>
            <w:right w:val="none" w:sz="0" w:space="0" w:color="auto"/>
          </w:divBdr>
        </w:div>
      </w:divsChild>
    </w:div>
    <w:div w:id="1205604865">
      <w:bodyDiv w:val="1"/>
      <w:marLeft w:val="0"/>
      <w:marRight w:val="0"/>
      <w:marTop w:val="0"/>
      <w:marBottom w:val="0"/>
      <w:divBdr>
        <w:top w:val="none" w:sz="0" w:space="0" w:color="auto"/>
        <w:left w:val="none" w:sz="0" w:space="0" w:color="auto"/>
        <w:bottom w:val="none" w:sz="0" w:space="0" w:color="auto"/>
        <w:right w:val="none" w:sz="0" w:space="0" w:color="auto"/>
      </w:divBdr>
    </w:div>
    <w:div w:id="1207331581">
      <w:bodyDiv w:val="1"/>
      <w:marLeft w:val="0"/>
      <w:marRight w:val="0"/>
      <w:marTop w:val="0"/>
      <w:marBottom w:val="0"/>
      <w:divBdr>
        <w:top w:val="none" w:sz="0" w:space="0" w:color="auto"/>
        <w:left w:val="none" w:sz="0" w:space="0" w:color="auto"/>
        <w:bottom w:val="none" w:sz="0" w:space="0" w:color="auto"/>
        <w:right w:val="none" w:sz="0" w:space="0" w:color="auto"/>
      </w:divBdr>
      <w:divsChild>
        <w:div w:id="1342393868">
          <w:marLeft w:val="0"/>
          <w:marRight w:val="0"/>
          <w:marTop w:val="0"/>
          <w:marBottom w:val="240"/>
          <w:divBdr>
            <w:top w:val="none" w:sz="0" w:space="0" w:color="auto"/>
            <w:left w:val="none" w:sz="0" w:space="0" w:color="auto"/>
            <w:bottom w:val="none" w:sz="0" w:space="0" w:color="auto"/>
            <w:right w:val="none" w:sz="0" w:space="0" w:color="auto"/>
          </w:divBdr>
        </w:div>
      </w:divsChild>
    </w:div>
    <w:div w:id="1212771808">
      <w:bodyDiv w:val="1"/>
      <w:marLeft w:val="0"/>
      <w:marRight w:val="0"/>
      <w:marTop w:val="0"/>
      <w:marBottom w:val="0"/>
      <w:divBdr>
        <w:top w:val="none" w:sz="0" w:space="0" w:color="auto"/>
        <w:left w:val="none" w:sz="0" w:space="0" w:color="auto"/>
        <w:bottom w:val="none" w:sz="0" w:space="0" w:color="auto"/>
        <w:right w:val="none" w:sz="0" w:space="0" w:color="auto"/>
      </w:divBdr>
    </w:div>
    <w:div w:id="1212964963">
      <w:bodyDiv w:val="1"/>
      <w:marLeft w:val="0"/>
      <w:marRight w:val="0"/>
      <w:marTop w:val="0"/>
      <w:marBottom w:val="0"/>
      <w:divBdr>
        <w:top w:val="none" w:sz="0" w:space="0" w:color="auto"/>
        <w:left w:val="none" w:sz="0" w:space="0" w:color="auto"/>
        <w:bottom w:val="none" w:sz="0" w:space="0" w:color="auto"/>
        <w:right w:val="none" w:sz="0" w:space="0" w:color="auto"/>
      </w:divBdr>
      <w:divsChild>
        <w:div w:id="1317370970">
          <w:marLeft w:val="994"/>
          <w:marRight w:val="0"/>
          <w:marTop w:val="120"/>
          <w:marBottom w:val="0"/>
          <w:divBdr>
            <w:top w:val="none" w:sz="0" w:space="0" w:color="auto"/>
            <w:left w:val="none" w:sz="0" w:space="0" w:color="auto"/>
            <w:bottom w:val="none" w:sz="0" w:space="0" w:color="auto"/>
            <w:right w:val="none" w:sz="0" w:space="0" w:color="auto"/>
          </w:divBdr>
        </w:div>
        <w:div w:id="1418403697">
          <w:marLeft w:val="994"/>
          <w:marRight w:val="0"/>
          <w:marTop w:val="120"/>
          <w:marBottom w:val="0"/>
          <w:divBdr>
            <w:top w:val="none" w:sz="0" w:space="0" w:color="auto"/>
            <w:left w:val="none" w:sz="0" w:space="0" w:color="auto"/>
            <w:bottom w:val="none" w:sz="0" w:space="0" w:color="auto"/>
            <w:right w:val="none" w:sz="0" w:space="0" w:color="auto"/>
          </w:divBdr>
        </w:div>
        <w:div w:id="1986474158">
          <w:marLeft w:val="994"/>
          <w:marRight w:val="0"/>
          <w:marTop w:val="120"/>
          <w:marBottom w:val="0"/>
          <w:divBdr>
            <w:top w:val="none" w:sz="0" w:space="0" w:color="auto"/>
            <w:left w:val="none" w:sz="0" w:space="0" w:color="auto"/>
            <w:bottom w:val="none" w:sz="0" w:space="0" w:color="auto"/>
            <w:right w:val="none" w:sz="0" w:space="0" w:color="auto"/>
          </w:divBdr>
        </w:div>
      </w:divsChild>
    </w:div>
    <w:div w:id="1214459900">
      <w:bodyDiv w:val="1"/>
      <w:marLeft w:val="0"/>
      <w:marRight w:val="0"/>
      <w:marTop w:val="0"/>
      <w:marBottom w:val="0"/>
      <w:divBdr>
        <w:top w:val="none" w:sz="0" w:space="0" w:color="auto"/>
        <w:left w:val="none" w:sz="0" w:space="0" w:color="auto"/>
        <w:bottom w:val="none" w:sz="0" w:space="0" w:color="auto"/>
        <w:right w:val="none" w:sz="0" w:space="0" w:color="auto"/>
      </w:divBdr>
    </w:div>
    <w:div w:id="1214846867">
      <w:bodyDiv w:val="1"/>
      <w:marLeft w:val="0"/>
      <w:marRight w:val="0"/>
      <w:marTop w:val="0"/>
      <w:marBottom w:val="0"/>
      <w:divBdr>
        <w:top w:val="none" w:sz="0" w:space="0" w:color="auto"/>
        <w:left w:val="none" w:sz="0" w:space="0" w:color="auto"/>
        <w:bottom w:val="none" w:sz="0" w:space="0" w:color="auto"/>
        <w:right w:val="none" w:sz="0" w:space="0" w:color="auto"/>
      </w:divBdr>
    </w:div>
    <w:div w:id="1223369699">
      <w:bodyDiv w:val="1"/>
      <w:marLeft w:val="0"/>
      <w:marRight w:val="0"/>
      <w:marTop w:val="0"/>
      <w:marBottom w:val="0"/>
      <w:divBdr>
        <w:top w:val="none" w:sz="0" w:space="0" w:color="auto"/>
        <w:left w:val="none" w:sz="0" w:space="0" w:color="auto"/>
        <w:bottom w:val="none" w:sz="0" w:space="0" w:color="auto"/>
        <w:right w:val="none" w:sz="0" w:space="0" w:color="auto"/>
      </w:divBdr>
      <w:divsChild>
        <w:div w:id="206261775">
          <w:marLeft w:val="547"/>
          <w:marRight w:val="0"/>
          <w:marTop w:val="120"/>
          <w:marBottom w:val="160"/>
          <w:divBdr>
            <w:top w:val="none" w:sz="0" w:space="0" w:color="auto"/>
            <w:left w:val="none" w:sz="0" w:space="0" w:color="auto"/>
            <w:bottom w:val="none" w:sz="0" w:space="0" w:color="auto"/>
            <w:right w:val="none" w:sz="0" w:space="0" w:color="auto"/>
          </w:divBdr>
        </w:div>
        <w:div w:id="418907882">
          <w:marLeft w:val="547"/>
          <w:marRight w:val="0"/>
          <w:marTop w:val="120"/>
          <w:marBottom w:val="160"/>
          <w:divBdr>
            <w:top w:val="none" w:sz="0" w:space="0" w:color="auto"/>
            <w:left w:val="none" w:sz="0" w:space="0" w:color="auto"/>
            <w:bottom w:val="none" w:sz="0" w:space="0" w:color="auto"/>
            <w:right w:val="none" w:sz="0" w:space="0" w:color="auto"/>
          </w:divBdr>
        </w:div>
        <w:div w:id="549153408">
          <w:marLeft w:val="547"/>
          <w:marRight w:val="0"/>
          <w:marTop w:val="120"/>
          <w:marBottom w:val="160"/>
          <w:divBdr>
            <w:top w:val="none" w:sz="0" w:space="0" w:color="auto"/>
            <w:left w:val="none" w:sz="0" w:space="0" w:color="auto"/>
            <w:bottom w:val="none" w:sz="0" w:space="0" w:color="auto"/>
            <w:right w:val="none" w:sz="0" w:space="0" w:color="auto"/>
          </w:divBdr>
        </w:div>
        <w:div w:id="1452750944">
          <w:marLeft w:val="547"/>
          <w:marRight w:val="0"/>
          <w:marTop w:val="120"/>
          <w:marBottom w:val="160"/>
          <w:divBdr>
            <w:top w:val="none" w:sz="0" w:space="0" w:color="auto"/>
            <w:left w:val="none" w:sz="0" w:space="0" w:color="auto"/>
            <w:bottom w:val="none" w:sz="0" w:space="0" w:color="auto"/>
            <w:right w:val="none" w:sz="0" w:space="0" w:color="auto"/>
          </w:divBdr>
        </w:div>
        <w:div w:id="2029941484">
          <w:marLeft w:val="547"/>
          <w:marRight w:val="0"/>
          <w:marTop w:val="120"/>
          <w:marBottom w:val="160"/>
          <w:divBdr>
            <w:top w:val="none" w:sz="0" w:space="0" w:color="auto"/>
            <w:left w:val="none" w:sz="0" w:space="0" w:color="auto"/>
            <w:bottom w:val="none" w:sz="0" w:space="0" w:color="auto"/>
            <w:right w:val="none" w:sz="0" w:space="0" w:color="auto"/>
          </w:divBdr>
        </w:div>
      </w:divsChild>
    </w:div>
    <w:div w:id="1225949008">
      <w:bodyDiv w:val="1"/>
      <w:marLeft w:val="0"/>
      <w:marRight w:val="0"/>
      <w:marTop w:val="0"/>
      <w:marBottom w:val="0"/>
      <w:divBdr>
        <w:top w:val="none" w:sz="0" w:space="0" w:color="auto"/>
        <w:left w:val="none" w:sz="0" w:space="0" w:color="auto"/>
        <w:bottom w:val="none" w:sz="0" w:space="0" w:color="auto"/>
        <w:right w:val="none" w:sz="0" w:space="0" w:color="auto"/>
      </w:divBdr>
    </w:div>
    <w:div w:id="1237470496">
      <w:bodyDiv w:val="1"/>
      <w:marLeft w:val="0"/>
      <w:marRight w:val="0"/>
      <w:marTop w:val="0"/>
      <w:marBottom w:val="0"/>
      <w:divBdr>
        <w:top w:val="none" w:sz="0" w:space="0" w:color="auto"/>
        <w:left w:val="none" w:sz="0" w:space="0" w:color="auto"/>
        <w:bottom w:val="none" w:sz="0" w:space="0" w:color="auto"/>
        <w:right w:val="none" w:sz="0" w:space="0" w:color="auto"/>
      </w:divBdr>
    </w:div>
    <w:div w:id="1238831246">
      <w:bodyDiv w:val="1"/>
      <w:marLeft w:val="0"/>
      <w:marRight w:val="0"/>
      <w:marTop w:val="0"/>
      <w:marBottom w:val="0"/>
      <w:divBdr>
        <w:top w:val="none" w:sz="0" w:space="0" w:color="auto"/>
        <w:left w:val="none" w:sz="0" w:space="0" w:color="auto"/>
        <w:bottom w:val="none" w:sz="0" w:space="0" w:color="auto"/>
        <w:right w:val="none" w:sz="0" w:space="0" w:color="auto"/>
      </w:divBdr>
    </w:div>
    <w:div w:id="1240557630">
      <w:bodyDiv w:val="1"/>
      <w:marLeft w:val="0"/>
      <w:marRight w:val="0"/>
      <w:marTop w:val="0"/>
      <w:marBottom w:val="0"/>
      <w:divBdr>
        <w:top w:val="none" w:sz="0" w:space="0" w:color="auto"/>
        <w:left w:val="none" w:sz="0" w:space="0" w:color="auto"/>
        <w:bottom w:val="none" w:sz="0" w:space="0" w:color="auto"/>
        <w:right w:val="none" w:sz="0" w:space="0" w:color="auto"/>
      </w:divBdr>
    </w:div>
    <w:div w:id="1251544905">
      <w:bodyDiv w:val="1"/>
      <w:marLeft w:val="0"/>
      <w:marRight w:val="0"/>
      <w:marTop w:val="0"/>
      <w:marBottom w:val="0"/>
      <w:divBdr>
        <w:top w:val="none" w:sz="0" w:space="0" w:color="auto"/>
        <w:left w:val="none" w:sz="0" w:space="0" w:color="auto"/>
        <w:bottom w:val="none" w:sz="0" w:space="0" w:color="auto"/>
        <w:right w:val="none" w:sz="0" w:space="0" w:color="auto"/>
      </w:divBdr>
    </w:div>
    <w:div w:id="1258059020">
      <w:bodyDiv w:val="1"/>
      <w:marLeft w:val="0"/>
      <w:marRight w:val="0"/>
      <w:marTop w:val="0"/>
      <w:marBottom w:val="0"/>
      <w:divBdr>
        <w:top w:val="none" w:sz="0" w:space="0" w:color="auto"/>
        <w:left w:val="none" w:sz="0" w:space="0" w:color="auto"/>
        <w:bottom w:val="none" w:sz="0" w:space="0" w:color="auto"/>
        <w:right w:val="none" w:sz="0" w:space="0" w:color="auto"/>
      </w:divBdr>
    </w:div>
    <w:div w:id="1260140318">
      <w:bodyDiv w:val="1"/>
      <w:marLeft w:val="0"/>
      <w:marRight w:val="0"/>
      <w:marTop w:val="0"/>
      <w:marBottom w:val="0"/>
      <w:divBdr>
        <w:top w:val="none" w:sz="0" w:space="0" w:color="auto"/>
        <w:left w:val="none" w:sz="0" w:space="0" w:color="auto"/>
        <w:bottom w:val="none" w:sz="0" w:space="0" w:color="auto"/>
        <w:right w:val="none" w:sz="0" w:space="0" w:color="auto"/>
      </w:divBdr>
    </w:div>
    <w:div w:id="1266381494">
      <w:bodyDiv w:val="1"/>
      <w:marLeft w:val="0"/>
      <w:marRight w:val="0"/>
      <w:marTop w:val="0"/>
      <w:marBottom w:val="0"/>
      <w:divBdr>
        <w:top w:val="none" w:sz="0" w:space="0" w:color="auto"/>
        <w:left w:val="none" w:sz="0" w:space="0" w:color="auto"/>
        <w:bottom w:val="none" w:sz="0" w:space="0" w:color="auto"/>
        <w:right w:val="none" w:sz="0" w:space="0" w:color="auto"/>
      </w:divBdr>
    </w:div>
    <w:div w:id="1266614534">
      <w:bodyDiv w:val="1"/>
      <w:marLeft w:val="0"/>
      <w:marRight w:val="0"/>
      <w:marTop w:val="0"/>
      <w:marBottom w:val="0"/>
      <w:divBdr>
        <w:top w:val="none" w:sz="0" w:space="0" w:color="auto"/>
        <w:left w:val="none" w:sz="0" w:space="0" w:color="auto"/>
        <w:bottom w:val="none" w:sz="0" w:space="0" w:color="auto"/>
        <w:right w:val="none" w:sz="0" w:space="0" w:color="auto"/>
      </w:divBdr>
      <w:divsChild>
        <w:div w:id="155653724">
          <w:marLeft w:val="0"/>
          <w:marRight w:val="0"/>
          <w:marTop w:val="0"/>
          <w:marBottom w:val="0"/>
          <w:divBdr>
            <w:top w:val="none" w:sz="0" w:space="0" w:color="auto"/>
            <w:left w:val="none" w:sz="0" w:space="0" w:color="auto"/>
            <w:bottom w:val="none" w:sz="0" w:space="0" w:color="auto"/>
            <w:right w:val="none" w:sz="0" w:space="0" w:color="auto"/>
          </w:divBdr>
          <w:divsChild>
            <w:div w:id="30806547">
              <w:marLeft w:val="0"/>
              <w:marRight w:val="0"/>
              <w:marTop w:val="0"/>
              <w:marBottom w:val="0"/>
              <w:divBdr>
                <w:top w:val="none" w:sz="0" w:space="0" w:color="auto"/>
                <w:left w:val="none" w:sz="0" w:space="0" w:color="auto"/>
                <w:bottom w:val="none" w:sz="0" w:space="0" w:color="auto"/>
                <w:right w:val="none" w:sz="0" w:space="0" w:color="auto"/>
              </w:divBdr>
              <w:divsChild>
                <w:div w:id="1935431746">
                  <w:marLeft w:val="0"/>
                  <w:marRight w:val="0"/>
                  <w:marTop w:val="0"/>
                  <w:marBottom w:val="0"/>
                  <w:divBdr>
                    <w:top w:val="none" w:sz="0" w:space="0" w:color="auto"/>
                    <w:left w:val="none" w:sz="0" w:space="0" w:color="auto"/>
                    <w:bottom w:val="none" w:sz="0" w:space="0" w:color="auto"/>
                    <w:right w:val="none" w:sz="0" w:space="0" w:color="auto"/>
                  </w:divBdr>
                </w:div>
              </w:divsChild>
            </w:div>
            <w:div w:id="34165888">
              <w:marLeft w:val="0"/>
              <w:marRight w:val="0"/>
              <w:marTop w:val="0"/>
              <w:marBottom w:val="0"/>
              <w:divBdr>
                <w:top w:val="none" w:sz="0" w:space="0" w:color="auto"/>
                <w:left w:val="none" w:sz="0" w:space="0" w:color="auto"/>
                <w:bottom w:val="none" w:sz="0" w:space="0" w:color="auto"/>
                <w:right w:val="none" w:sz="0" w:space="0" w:color="auto"/>
              </w:divBdr>
              <w:divsChild>
                <w:div w:id="735201382">
                  <w:marLeft w:val="0"/>
                  <w:marRight w:val="0"/>
                  <w:marTop w:val="0"/>
                  <w:marBottom w:val="0"/>
                  <w:divBdr>
                    <w:top w:val="none" w:sz="0" w:space="0" w:color="auto"/>
                    <w:left w:val="none" w:sz="0" w:space="0" w:color="auto"/>
                    <w:bottom w:val="none" w:sz="0" w:space="0" w:color="auto"/>
                    <w:right w:val="none" w:sz="0" w:space="0" w:color="auto"/>
                  </w:divBdr>
                </w:div>
              </w:divsChild>
            </w:div>
            <w:div w:id="93136930">
              <w:marLeft w:val="0"/>
              <w:marRight w:val="0"/>
              <w:marTop w:val="0"/>
              <w:marBottom w:val="0"/>
              <w:divBdr>
                <w:top w:val="none" w:sz="0" w:space="0" w:color="auto"/>
                <w:left w:val="none" w:sz="0" w:space="0" w:color="auto"/>
                <w:bottom w:val="none" w:sz="0" w:space="0" w:color="auto"/>
                <w:right w:val="none" w:sz="0" w:space="0" w:color="auto"/>
              </w:divBdr>
              <w:divsChild>
                <w:div w:id="1396978148">
                  <w:marLeft w:val="0"/>
                  <w:marRight w:val="0"/>
                  <w:marTop w:val="0"/>
                  <w:marBottom w:val="0"/>
                  <w:divBdr>
                    <w:top w:val="none" w:sz="0" w:space="0" w:color="auto"/>
                    <w:left w:val="none" w:sz="0" w:space="0" w:color="auto"/>
                    <w:bottom w:val="none" w:sz="0" w:space="0" w:color="auto"/>
                    <w:right w:val="none" w:sz="0" w:space="0" w:color="auto"/>
                  </w:divBdr>
                </w:div>
              </w:divsChild>
            </w:div>
            <w:div w:id="96678711">
              <w:marLeft w:val="0"/>
              <w:marRight w:val="0"/>
              <w:marTop w:val="0"/>
              <w:marBottom w:val="0"/>
              <w:divBdr>
                <w:top w:val="none" w:sz="0" w:space="0" w:color="auto"/>
                <w:left w:val="none" w:sz="0" w:space="0" w:color="auto"/>
                <w:bottom w:val="none" w:sz="0" w:space="0" w:color="auto"/>
                <w:right w:val="none" w:sz="0" w:space="0" w:color="auto"/>
              </w:divBdr>
              <w:divsChild>
                <w:div w:id="753746168">
                  <w:marLeft w:val="0"/>
                  <w:marRight w:val="0"/>
                  <w:marTop w:val="0"/>
                  <w:marBottom w:val="0"/>
                  <w:divBdr>
                    <w:top w:val="none" w:sz="0" w:space="0" w:color="auto"/>
                    <w:left w:val="none" w:sz="0" w:space="0" w:color="auto"/>
                    <w:bottom w:val="none" w:sz="0" w:space="0" w:color="auto"/>
                    <w:right w:val="none" w:sz="0" w:space="0" w:color="auto"/>
                  </w:divBdr>
                </w:div>
              </w:divsChild>
            </w:div>
            <w:div w:id="166872160">
              <w:marLeft w:val="0"/>
              <w:marRight w:val="0"/>
              <w:marTop w:val="0"/>
              <w:marBottom w:val="0"/>
              <w:divBdr>
                <w:top w:val="none" w:sz="0" w:space="0" w:color="auto"/>
                <w:left w:val="none" w:sz="0" w:space="0" w:color="auto"/>
                <w:bottom w:val="none" w:sz="0" w:space="0" w:color="auto"/>
                <w:right w:val="none" w:sz="0" w:space="0" w:color="auto"/>
              </w:divBdr>
              <w:divsChild>
                <w:div w:id="449738677">
                  <w:marLeft w:val="0"/>
                  <w:marRight w:val="0"/>
                  <w:marTop w:val="0"/>
                  <w:marBottom w:val="0"/>
                  <w:divBdr>
                    <w:top w:val="none" w:sz="0" w:space="0" w:color="auto"/>
                    <w:left w:val="none" w:sz="0" w:space="0" w:color="auto"/>
                    <w:bottom w:val="none" w:sz="0" w:space="0" w:color="auto"/>
                    <w:right w:val="none" w:sz="0" w:space="0" w:color="auto"/>
                  </w:divBdr>
                </w:div>
              </w:divsChild>
            </w:div>
            <w:div w:id="190996397">
              <w:marLeft w:val="0"/>
              <w:marRight w:val="0"/>
              <w:marTop w:val="0"/>
              <w:marBottom w:val="0"/>
              <w:divBdr>
                <w:top w:val="none" w:sz="0" w:space="0" w:color="auto"/>
                <w:left w:val="none" w:sz="0" w:space="0" w:color="auto"/>
                <w:bottom w:val="none" w:sz="0" w:space="0" w:color="auto"/>
                <w:right w:val="none" w:sz="0" w:space="0" w:color="auto"/>
              </w:divBdr>
              <w:divsChild>
                <w:div w:id="1929191910">
                  <w:marLeft w:val="0"/>
                  <w:marRight w:val="0"/>
                  <w:marTop w:val="0"/>
                  <w:marBottom w:val="0"/>
                  <w:divBdr>
                    <w:top w:val="none" w:sz="0" w:space="0" w:color="auto"/>
                    <w:left w:val="none" w:sz="0" w:space="0" w:color="auto"/>
                    <w:bottom w:val="none" w:sz="0" w:space="0" w:color="auto"/>
                    <w:right w:val="none" w:sz="0" w:space="0" w:color="auto"/>
                  </w:divBdr>
                </w:div>
              </w:divsChild>
            </w:div>
            <w:div w:id="196162430">
              <w:marLeft w:val="0"/>
              <w:marRight w:val="0"/>
              <w:marTop w:val="0"/>
              <w:marBottom w:val="0"/>
              <w:divBdr>
                <w:top w:val="none" w:sz="0" w:space="0" w:color="auto"/>
                <w:left w:val="none" w:sz="0" w:space="0" w:color="auto"/>
                <w:bottom w:val="none" w:sz="0" w:space="0" w:color="auto"/>
                <w:right w:val="none" w:sz="0" w:space="0" w:color="auto"/>
              </w:divBdr>
              <w:divsChild>
                <w:div w:id="1001666651">
                  <w:marLeft w:val="0"/>
                  <w:marRight w:val="0"/>
                  <w:marTop w:val="0"/>
                  <w:marBottom w:val="0"/>
                  <w:divBdr>
                    <w:top w:val="none" w:sz="0" w:space="0" w:color="auto"/>
                    <w:left w:val="none" w:sz="0" w:space="0" w:color="auto"/>
                    <w:bottom w:val="none" w:sz="0" w:space="0" w:color="auto"/>
                    <w:right w:val="none" w:sz="0" w:space="0" w:color="auto"/>
                  </w:divBdr>
                </w:div>
              </w:divsChild>
            </w:div>
            <w:div w:id="199367804">
              <w:marLeft w:val="0"/>
              <w:marRight w:val="0"/>
              <w:marTop w:val="0"/>
              <w:marBottom w:val="0"/>
              <w:divBdr>
                <w:top w:val="none" w:sz="0" w:space="0" w:color="auto"/>
                <w:left w:val="none" w:sz="0" w:space="0" w:color="auto"/>
                <w:bottom w:val="none" w:sz="0" w:space="0" w:color="auto"/>
                <w:right w:val="none" w:sz="0" w:space="0" w:color="auto"/>
              </w:divBdr>
              <w:divsChild>
                <w:div w:id="1689599494">
                  <w:marLeft w:val="0"/>
                  <w:marRight w:val="0"/>
                  <w:marTop w:val="0"/>
                  <w:marBottom w:val="0"/>
                  <w:divBdr>
                    <w:top w:val="none" w:sz="0" w:space="0" w:color="auto"/>
                    <w:left w:val="none" w:sz="0" w:space="0" w:color="auto"/>
                    <w:bottom w:val="none" w:sz="0" w:space="0" w:color="auto"/>
                    <w:right w:val="none" w:sz="0" w:space="0" w:color="auto"/>
                  </w:divBdr>
                </w:div>
              </w:divsChild>
            </w:div>
            <w:div w:id="209457752">
              <w:marLeft w:val="0"/>
              <w:marRight w:val="0"/>
              <w:marTop w:val="0"/>
              <w:marBottom w:val="0"/>
              <w:divBdr>
                <w:top w:val="none" w:sz="0" w:space="0" w:color="auto"/>
                <w:left w:val="none" w:sz="0" w:space="0" w:color="auto"/>
                <w:bottom w:val="none" w:sz="0" w:space="0" w:color="auto"/>
                <w:right w:val="none" w:sz="0" w:space="0" w:color="auto"/>
              </w:divBdr>
              <w:divsChild>
                <w:div w:id="1681737416">
                  <w:marLeft w:val="0"/>
                  <w:marRight w:val="0"/>
                  <w:marTop w:val="0"/>
                  <w:marBottom w:val="0"/>
                  <w:divBdr>
                    <w:top w:val="none" w:sz="0" w:space="0" w:color="auto"/>
                    <w:left w:val="none" w:sz="0" w:space="0" w:color="auto"/>
                    <w:bottom w:val="none" w:sz="0" w:space="0" w:color="auto"/>
                    <w:right w:val="none" w:sz="0" w:space="0" w:color="auto"/>
                  </w:divBdr>
                </w:div>
              </w:divsChild>
            </w:div>
            <w:div w:id="247543411">
              <w:marLeft w:val="0"/>
              <w:marRight w:val="0"/>
              <w:marTop w:val="0"/>
              <w:marBottom w:val="0"/>
              <w:divBdr>
                <w:top w:val="none" w:sz="0" w:space="0" w:color="auto"/>
                <w:left w:val="none" w:sz="0" w:space="0" w:color="auto"/>
                <w:bottom w:val="none" w:sz="0" w:space="0" w:color="auto"/>
                <w:right w:val="none" w:sz="0" w:space="0" w:color="auto"/>
              </w:divBdr>
              <w:divsChild>
                <w:div w:id="293341211">
                  <w:marLeft w:val="0"/>
                  <w:marRight w:val="0"/>
                  <w:marTop w:val="0"/>
                  <w:marBottom w:val="0"/>
                  <w:divBdr>
                    <w:top w:val="none" w:sz="0" w:space="0" w:color="auto"/>
                    <w:left w:val="none" w:sz="0" w:space="0" w:color="auto"/>
                    <w:bottom w:val="none" w:sz="0" w:space="0" w:color="auto"/>
                    <w:right w:val="none" w:sz="0" w:space="0" w:color="auto"/>
                  </w:divBdr>
                </w:div>
              </w:divsChild>
            </w:div>
            <w:div w:id="263196014">
              <w:marLeft w:val="0"/>
              <w:marRight w:val="0"/>
              <w:marTop w:val="0"/>
              <w:marBottom w:val="0"/>
              <w:divBdr>
                <w:top w:val="none" w:sz="0" w:space="0" w:color="auto"/>
                <w:left w:val="none" w:sz="0" w:space="0" w:color="auto"/>
                <w:bottom w:val="none" w:sz="0" w:space="0" w:color="auto"/>
                <w:right w:val="none" w:sz="0" w:space="0" w:color="auto"/>
              </w:divBdr>
              <w:divsChild>
                <w:div w:id="1913348814">
                  <w:marLeft w:val="0"/>
                  <w:marRight w:val="0"/>
                  <w:marTop w:val="0"/>
                  <w:marBottom w:val="0"/>
                  <w:divBdr>
                    <w:top w:val="none" w:sz="0" w:space="0" w:color="auto"/>
                    <w:left w:val="none" w:sz="0" w:space="0" w:color="auto"/>
                    <w:bottom w:val="none" w:sz="0" w:space="0" w:color="auto"/>
                    <w:right w:val="none" w:sz="0" w:space="0" w:color="auto"/>
                  </w:divBdr>
                </w:div>
              </w:divsChild>
            </w:div>
            <w:div w:id="280038952">
              <w:marLeft w:val="0"/>
              <w:marRight w:val="0"/>
              <w:marTop w:val="0"/>
              <w:marBottom w:val="0"/>
              <w:divBdr>
                <w:top w:val="none" w:sz="0" w:space="0" w:color="auto"/>
                <w:left w:val="none" w:sz="0" w:space="0" w:color="auto"/>
                <w:bottom w:val="none" w:sz="0" w:space="0" w:color="auto"/>
                <w:right w:val="none" w:sz="0" w:space="0" w:color="auto"/>
              </w:divBdr>
              <w:divsChild>
                <w:div w:id="721487783">
                  <w:marLeft w:val="0"/>
                  <w:marRight w:val="0"/>
                  <w:marTop w:val="0"/>
                  <w:marBottom w:val="0"/>
                  <w:divBdr>
                    <w:top w:val="none" w:sz="0" w:space="0" w:color="auto"/>
                    <w:left w:val="none" w:sz="0" w:space="0" w:color="auto"/>
                    <w:bottom w:val="none" w:sz="0" w:space="0" w:color="auto"/>
                    <w:right w:val="none" w:sz="0" w:space="0" w:color="auto"/>
                  </w:divBdr>
                </w:div>
              </w:divsChild>
            </w:div>
            <w:div w:id="435251619">
              <w:marLeft w:val="0"/>
              <w:marRight w:val="0"/>
              <w:marTop w:val="0"/>
              <w:marBottom w:val="0"/>
              <w:divBdr>
                <w:top w:val="none" w:sz="0" w:space="0" w:color="auto"/>
                <w:left w:val="none" w:sz="0" w:space="0" w:color="auto"/>
                <w:bottom w:val="none" w:sz="0" w:space="0" w:color="auto"/>
                <w:right w:val="none" w:sz="0" w:space="0" w:color="auto"/>
              </w:divBdr>
              <w:divsChild>
                <w:div w:id="547029303">
                  <w:marLeft w:val="0"/>
                  <w:marRight w:val="0"/>
                  <w:marTop w:val="0"/>
                  <w:marBottom w:val="0"/>
                  <w:divBdr>
                    <w:top w:val="none" w:sz="0" w:space="0" w:color="auto"/>
                    <w:left w:val="none" w:sz="0" w:space="0" w:color="auto"/>
                    <w:bottom w:val="none" w:sz="0" w:space="0" w:color="auto"/>
                    <w:right w:val="none" w:sz="0" w:space="0" w:color="auto"/>
                  </w:divBdr>
                </w:div>
              </w:divsChild>
            </w:div>
            <w:div w:id="551040604">
              <w:marLeft w:val="0"/>
              <w:marRight w:val="0"/>
              <w:marTop w:val="0"/>
              <w:marBottom w:val="0"/>
              <w:divBdr>
                <w:top w:val="none" w:sz="0" w:space="0" w:color="auto"/>
                <w:left w:val="none" w:sz="0" w:space="0" w:color="auto"/>
                <w:bottom w:val="none" w:sz="0" w:space="0" w:color="auto"/>
                <w:right w:val="none" w:sz="0" w:space="0" w:color="auto"/>
              </w:divBdr>
              <w:divsChild>
                <w:div w:id="636033083">
                  <w:marLeft w:val="0"/>
                  <w:marRight w:val="0"/>
                  <w:marTop w:val="0"/>
                  <w:marBottom w:val="0"/>
                  <w:divBdr>
                    <w:top w:val="none" w:sz="0" w:space="0" w:color="auto"/>
                    <w:left w:val="none" w:sz="0" w:space="0" w:color="auto"/>
                    <w:bottom w:val="none" w:sz="0" w:space="0" w:color="auto"/>
                    <w:right w:val="none" w:sz="0" w:space="0" w:color="auto"/>
                  </w:divBdr>
                </w:div>
              </w:divsChild>
            </w:div>
            <w:div w:id="575550837">
              <w:marLeft w:val="0"/>
              <w:marRight w:val="0"/>
              <w:marTop w:val="0"/>
              <w:marBottom w:val="0"/>
              <w:divBdr>
                <w:top w:val="none" w:sz="0" w:space="0" w:color="auto"/>
                <w:left w:val="none" w:sz="0" w:space="0" w:color="auto"/>
                <w:bottom w:val="none" w:sz="0" w:space="0" w:color="auto"/>
                <w:right w:val="none" w:sz="0" w:space="0" w:color="auto"/>
              </w:divBdr>
              <w:divsChild>
                <w:div w:id="1779138299">
                  <w:marLeft w:val="0"/>
                  <w:marRight w:val="0"/>
                  <w:marTop w:val="0"/>
                  <w:marBottom w:val="0"/>
                  <w:divBdr>
                    <w:top w:val="none" w:sz="0" w:space="0" w:color="auto"/>
                    <w:left w:val="none" w:sz="0" w:space="0" w:color="auto"/>
                    <w:bottom w:val="none" w:sz="0" w:space="0" w:color="auto"/>
                    <w:right w:val="none" w:sz="0" w:space="0" w:color="auto"/>
                  </w:divBdr>
                </w:div>
              </w:divsChild>
            </w:div>
            <w:div w:id="651180588">
              <w:marLeft w:val="0"/>
              <w:marRight w:val="0"/>
              <w:marTop w:val="0"/>
              <w:marBottom w:val="0"/>
              <w:divBdr>
                <w:top w:val="none" w:sz="0" w:space="0" w:color="auto"/>
                <w:left w:val="none" w:sz="0" w:space="0" w:color="auto"/>
                <w:bottom w:val="none" w:sz="0" w:space="0" w:color="auto"/>
                <w:right w:val="none" w:sz="0" w:space="0" w:color="auto"/>
              </w:divBdr>
              <w:divsChild>
                <w:div w:id="247810274">
                  <w:marLeft w:val="0"/>
                  <w:marRight w:val="0"/>
                  <w:marTop w:val="0"/>
                  <w:marBottom w:val="0"/>
                  <w:divBdr>
                    <w:top w:val="none" w:sz="0" w:space="0" w:color="auto"/>
                    <w:left w:val="none" w:sz="0" w:space="0" w:color="auto"/>
                    <w:bottom w:val="none" w:sz="0" w:space="0" w:color="auto"/>
                    <w:right w:val="none" w:sz="0" w:space="0" w:color="auto"/>
                  </w:divBdr>
                </w:div>
              </w:divsChild>
            </w:div>
            <w:div w:id="674578364">
              <w:marLeft w:val="0"/>
              <w:marRight w:val="0"/>
              <w:marTop w:val="0"/>
              <w:marBottom w:val="0"/>
              <w:divBdr>
                <w:top w:val="none" w:sz="0" w:space="0" w:color="auto"/>
                <w:left w:val="none" w:sz="0" w:space="0" w:color="auto"/>
                <w:bottom w:val="none" w:sz="0" w:space="0" w:color="auto"/>
                <w:right w:val="none" w:sz="0" w:space="0" w:color="auto"/>
              </w:divBdr>
              <w:divsChild>
                <w:div w:id="684475314">
                  <w:marLeft w:val="0"/>
                  <w:marRight w:val="0"/>
                  <w:marTop w:val="0"/>
                  <w:marBottom w:val="0"/>
                  <w:divBdr>
                    <w:top w:val="none" w:sz="0" w:space="0" w:color="auto"/>
                    <w:left w:val="none" w:sz="0" w:space="0" w:color="auto"/>
                    <w:bottom w:val="none" w:sz="0" w:space="0" w:color="auto"/>
                    <w:right w:val="none" w:sz="0" w:space="0" w:color="auto"/>
                  </w:divBdr>
                </w:div>
              </w:divsChild>
            </w:div>
            <w:div w:id="765736949">
              <w:marLeft w:val="0"/>
              <w:marRight w:val="0"/>
              <w:marTop w:val="0"/>
              <w:marBottom w:val="0"/>
              <w:divBdr>
                <w:top w:val="none" w:sz="0" w:space="0" w:color="auto"/>
                <w:left w:val="none" w:sz="0" w:space="0" w:color="auto"/>
                <w:bottom w:val="none" w:sz="0" w:space="0" w:color="auto"/>
                <w:right w:val="none" w:sz="0" w:space="0" w:color="auto"/>
              </w:divBdr>
              <w:divsChild>
                <w:div w:id="1522279528">
                  <w:marLeft w:val="0"/>
                  <w:marRight w:val="0"/>
                  <w:marTop w:val="0"/>
                  <w:marBottom w:val="0"/>
                  <w:divBdr>
                    <w:top w:val="none" w:sz="0" w:space="0" w:color="auto"/>
                    <w:left w:val="none" w:sz="0" w:space="0" w:color="auto"/>
                    <w:bottom w:val="none" w:sz="0" w:space="0" w:color="auto"/>
                    <w:right w:val="none" w:sz="0" w:space="0" w:color="auto"/>
                  </w:divBdr>
                </w:div>
              </w:divsChild>
            </w:div>
            <w:div w:id="774983285">
              <w:marLeft w:val="0"/>
              <w:marRight w:val="0"/>
              <w:marTop w:val="0"/>
              <w:marBottom w:val="0"/>
              <w:divBdr>
                <w:top w:val="none" w:sz="0" w:space="0" w:color="auto"/>
                <w:left w:val="none" w:sz="0" w:space="0" w:color="auto"/>
                <w:bottom w:val="none" w:sz="0" w:space="0" w:color="auto"/>
                <w:right w:val="none" w:sz="0" w:space="0" w:color="auto"/>
              </w:divBdr>
              <w:divsChild>
                <w:div w:id="1463494827">
                  <w:marLeft w:val="0"/>
                  <w:marRight w:val="0"/>
                  <w:marTop w:val="0"/>
                  <w:marBottom w:val="0"/>
                  <w:divBdr>
                    <w:top w:val="none" w:sz="0" w:space="0" w:color="auto"/>
                    <w:left w:val="none" w:sz="0" w:space="0" w:color="auto"/>
                    <w:bottom w:val="none" w:sz="0" w:space="0" w:color="auto"/>
                    <w:right w:val="none" w:sz="0" w:space="0" w:color="auto"/>
                  </w:divBdr>
                </w:div>
              </w:divsChild>
            </w:div>
            <w:div w:id="869995883">
              <w:marLeft w:val="0"/>
              <w:marRight w:val="0"/>
              <w:marTop w:val="0"/>
              <w:marBottom w:val="0"/>
              <w:divBdr>
                <w:top w:val="none" w:sz="0" w:space="0" w:color="auto"/>
                <w:left w:val="none" w:sz="0" w:space="0" w:color="auto"/>
                <w:bottom w:val="none" w:sz="0" w:space="0" w:color="auto"/>
                <w:right w:val="none" w:sz="0" w:space="0" w:color="auto"/>
              </w:divBdr>
              <w:divsChild>
                <w:div w:id="2083486486">
                  <w:marLeft w:val="0"/>
                  <w:marRight w:val="0"/>
                  <w:marTop w:val="0"/>
                  <w:marBottom w:val="0"/>
                  <w:divBdr>
                    <w:top w:val="none" w:sz="0" w:space="0" w:color="auto"/>
                    <w:left w:val="none" w:sz="0" w:space="0" w:color="auto"/>
                    <w:bottom w:val="none" w:sz="0" w:space="0" w:color="auto"/>
                    <w:right w:val="none" w:sz="0" w:space="0" w:color="auto"/>
                  </w:divBdr>
                </w:div>
              </w:divsChild>
            </w:div>
            <w:div w:id="1098326646">
              <w:marLeft w:val="0"/>
              <w:marRight w:val="0"/>
              <w:marTop w:val="0"/>
              <w:marBottom w:val="0"/>
              <w:divBdr>
                <w:top w:val="none" w:sz="0" w:space="0" w:color="auto"/>
                <w:left w:val="none" w:sz="0" w:space="0" w:color="auto"/>
                <w:bottom w:val="none" w:sz="0" w:space="0" w:color="auto"/>
                <w:right w:val="none" w:sz="0" w:space="0" w:color="auto"/>
              </w:divBdr>
              <w:divsChild>
                <w:div w:id="1112750012">
                  <w:marLeft w:val="0"/>
                  <w:marRight w:val="0"/>
                  <w:marTop w:val="0"/>
                  <w:marBottom w:val="0"/>
                  <w:divBdr>
                    <w:top w:val="none" w:sz="0" w:space="0" w:color="auto"/>
                    <w:left w:val="none" w:sz="0" w:space="0" w:color="auto"/>
                    <w:bottom w:val="none" w:sz="0" w:space="0" w:color="auto"/>
                    <w:right w:val="none" w:sz="0" w:space="0" w:color="auto"/>
                  </w:divBdr>
                </w:div>
              </w:divsChild>
            </w:div>
            <w:div w:id="1137185202">
              <w:marLeft w:val="0"/>
              <w:marRight w:val="0"/>
              <w:marTop w:val="0"/>
              <w:marBottom w:val="0"/>
              <w:divBdr>
                <w:top w:val="none" w:sz="0" w:space="0" w:color="auto"/>
                <w:left w:val="none" w:sz="0" w:space="0" w:color="auto"/>
                <w:bottom w:val="none" w:sz="0" w:space="0" w:color="auto"/>
                <w:right w:val="none" w:sz="0" w:space="0" w:color="auto"/>
              </w:divBdr>
              <w:divsChild>
                <w:div w:id="818111340">
                  <w:marLeft w:val="0"/>
                  <w:marRight w:val="0"/>
                  <w:marTop w:val="0"/>
                  <w:marBottom w:val="0"/>
                  <w:divBdr>
                    <w:top w:val="none" w:sz="0" w:space="0" w:color="auto"/>
                    <w:left w:val="none" w:sz="0" w:space="0" w:color="auto"/>
                    <w:bottom w:val="none" w:sz="0" w:space="0" w:color="auto"/>
                    <w:right w:val="none" w:sz="0" w:space="0" w:color="auto"/>
                  </w:divBdr>
                </w:div>
              </w:divsChild>
            </w:div>
            <w:div w:id="1220550504">
              <w:marLeft w:val="0"/>
              <w:marRight w:val="0"/>
              <w:marTop w:val="0"/>
              <w:marBottom w:val="0"/>
              <w:divBdr>
                <w:top w:val="none" w:sz="0" w:space="0" w:color="auto"/>
                <w:left w:val="none" w:sz="0" w:space="0" w:color="auto"/>
                <w:bottom w:val="none" w:sz="0" w:space="0" w:color="auto"/>
                <w:right w:val="none" w:sz="0" w:space="0" w:color="auto"/>
              </w:divBdr>
              <w:divsChild>
                <w:div w:id="439495685">
                  <w:marLeft w:val="0"/>
                  <w:marRight w:val="0"/>
                  <w:marTop w:val="0"/>
                  <w:marBottom w:val="0"/>
                  <w:divBdr>
                    <w:top w:val="none" w:sz="0" w:space="0" w:color="auto"/>
                    <w:left w:val="none" w:sz="0" w:space="0" w:color="auto"/>
                    <w:bottom w:val="none" w:sz="0" w:space="0" w:color="auto"/>
                    <w:right w:val="none" w:sz="0" w:space="0" w:color="auto"/>
                  </w:divBdr>
                </w:div>
              </w:divsChild>
            </w:div>
            <w:div w:id="1229194968">
              <w:marLeft w:val="0"/>
              <w:marRight w:val="0"/>
              <w:marTop w:val="0"/>
              <w:marBottom w:val="0"/>
              <w:divBdr>
                <w:top w:val="none" w:sz="0" w:space="0" w:color="auto"/>
                <w:left w:val="none" w:sz="0" w:space="0" w:color="auto"/>
                <w:bottom w:val="none" w:sz="0" w:space="0" w:color="auto"/>
                <w:right w:val="none" w:sz="0" w:space="0" w:color="auto"/>
              </w:divBdr>
              <w:divsChild>
                <w:div w:id="1634825463">
                  <w:marLeft w:val="0"/>
                  <w:marRight w:val="0"/>
                  <w:marTop w:val="0"/>
                  <w:marBottom w:val="0"/>
                  <w:divBdr>
                    <w:top w:val="none" w:sz="0" w:space="0" w:color="auto"/>
                    <w:left w:val="none" w:sz="0" w:space="0" w:color="auto"/>
                    <w:bottom w:val="none" w:sz="0" w:space="0" w:color="auto"/>
                    <w:right w:val="none" w:sz="0" w:space="0" w:color="auto"/>
                  </w:divBdr>
                </w:div>
              </w:divsChild>
            </w:div>
            <w:div w:id="1249969038">
              <w:marLeft w:val="0"/>
              <w:marRight w:val="0"/>
              <w:marTop w:val="0"/>
              <w:marBottom w:val="0"/>
              <w:divBdr>
                <w:top w:val="none" w:sz="0" w:space="0" w:color="auto"/>
                <w:left w:val="none" w:sz="0" w:space="0" w:color="auto"/>
                <w:bottom w:val="none" w:sz="0" w:space="0" w:color="auto"/>
                <w:right w:val="none" w:sz="0" w:space="0" w:color="auto"/>
              </w:divBdr>
              <w:divsChild>
                <w:div w:id="2055931359">
                  <w:marLeft w:val="0"/>
                  <w:marRight w:val="0"/>
                  <w:marTop w:val="0"/>
                  <w:marBottom w:val="0"/>
                  <w:divBdr>
                    <w:top w:val="none" w:sz="0" w:space="0" w:color="auto"/>
                    <w:left w:val="none" w:sz="0" w:space="0" w:color="auto"/>
                    <w:bottom w:val="none" w:sz="0" w:space="0" w:color="auto"/>
                    <w:right w:val="none" w:sz="0" w:space="0" w:color="auto"/>
                  </w:divBdr>
                </w:div>
              </w:divsChild>
            </w:div>
            <w:div w:id="1255820953">
              <w:marLeft w:val="0"/>
              <w:marRight w:val="0"/>
              <w:marTop w:val="0"/>
              <w:marBottom w:val="0"/>
              <w:divBdr>
                <w:top w:val="none" w:sz="0" w:space="0" w:color="auto"/>
                <w:left w:val="none" w:sz="0" w:space="0" w:color="auto"/>
                <w:bottom w:val="none" w:sz="0" w:space="0" w:color="auto"/>
                <w:right w:val="none" w:sz="0" w:space="0" w:color="auto"/>
              </w:divBdr>
              <w:divsChild>
                <w:div w:id="668598748">
                  <w:marLeft w:val="0"/>
                  <w:marRight w:val="0"/>
                  <w:marTop w:val="0"/>
                  <w:marBottom w:val="0"/>
                  <w:divBdr>
                    <w:top w:val="none" w:sz="0" w:space="0" w:color="auto"/>
                    <w:left w:val="none" w:sz="0" w:space="0" w:color="auto"/>
                    <w:bottom w:val="none" w:sz="0" w:space="0" w:color="auto"/>
                    <w:right w:val="none" w:sz="0" w:space="0" w:color="auto"/>
                  </w:divBdr>
                </w:div>
              </w:divsChild>
            </w:div>
            <w:div w:id="1347366954">
              <w:marLeft w:val="0"/>
              <w:marRight w:val="0"/>
              <w:marTop w:val="0"/>
              <w:marBottom w:val="0"/>
              <w:divBdr>
                <w:top w:val="none" w:sz="0" w:space="0" w:color="auto"/>
                <w:left w:val="none" w:sz="0" w:space="0" w:color="auto"/>
                <w:bottom w:val="none" w:sz="0" w:space="0" w:color="auto"/>
                <w:right w:val="none" w:sz="0" w:space="0" w:color="auto"/>
              </w:divBdr>
              <w:divsChild>
                <w:div w:id="615873406">
                  <w:marLeft w:val="0"/>
                  <w:marRight w:val="0"/>
                  <w:marTop w:val="0"/>
                  <w:marBottom w:val="0"/>
                  <w:divBdr>
                    <w:top w:val="none" w:sz="0" w:space="0" w:color="auto"/>
                    <w:left w:val="none" w:sz="0" w:space="0" w:color="auto"/>
                    <w:bottom w:val="none" w:sz="0" w:space="0" w:color="auto"/>
                    <w:right w:val="none" w:sz="0" w:space="0" w:color="auto"/>
                  </w:divBdr>
                </w:div>
              </w:divsChild>
            </w:div>
            <w:div w:id="1349335985">
              <w:marLeft w:val="0"/>
              <w:marRight w:val="0"/>
              <w:marTop w:val="0"/>
              <w:marBottom w:val="0"/>
              <w:divBdr>
                <w:top w:val="none" w:sz="0" w:space="0" w:color="auto"/>
                <w:left w:val="none" w:sz="0" w:space="0" w:color="auto"/>
                <w:bottom w:val="none" w:sz="0" w:space="0" w:color="auto"/>
                <w:right w:val="none" w:sz="0" w:space="0" w:color="auto"/>
              </w:divBdr>
              <w:divsChild>
                <w:div w:id="1107118167">
                  <w:marLeft w:val="0"/>
                  <w:marRight w:val="0"/>
                  <w:marTop w:val="0"/>
                  <w:marBottom w:val="0"/>
                  <w:divBdr>
                    <w:top w:val="none" w:sz="0" w:space="0" w:color="auto"/>
                    <w:left w:val="none" w:sz="0" w:space="0" w:color="auto"/>
                    <w:bottom w:val="none" w:sz="0" w:space="0" w:color="auto"/>
                    <w:right w:val="none" w:sz="0" w:space="0" w:color="auto"/>
                  </w:divBdr>
                </w:div>
              </w:divsChild>
            </w:div>
            <w:div w:id="1359113890">
              <w:marLeft w:val="0"/>
              <w:marRight w:val="0"/>
              <w:marTop w:val="0"/>
              <w:marBottom w:val="0"/>
              <w:divBdr>
                <w:top w:val="none" w:sz="0" w:space="0" w:color="auto"/>
                <w:left w:val="none" w:sz="0" w:space="0" w:color="auto"/>
                <w:bottom w:val="none" w:sz="0" w:space="0" w:color="auto"/>
                <w:right w:val="none" w:sz="0" w:space="0" w:color="auto"/>
              </w:divBdr>
              <w:divsChild>
                <w:div w:id="1299645929">
                  <w:marLeft w:val="0"/>
                  <w:marRight w:val="0"/>
                  <w:marTop w:val="0"/>
                  <w:marBottom w:val="0"/>
                  <w:divBdr>
                    <w:top w:val="none" w:sz="0" w:space="0" w:color="auto"/>
                    <w:left w:val="none" w:sz="0" w:space="0" w:color="auto"/>
                    <w:bottom w:val="none" w:sz="0" w:space="0" w:color="auto"/>
                    <w:right w:val="none" w:sz="0" w:space="0" w:color="auto"/>
                  </w:divBdr>
                </w:div>
              </w:divsChild>
            </w:div>
            <w:div w:id="1361973160">
              <w:marLeft w:val="0"/>
              <w:marRight w:val="0"/>
              <w:marTop w:val="0"/>
              <w:marBottom w:val="0"/>
              <w:divBdr>
                <w:top w:val="none" w:sz="0" w:space="0" w:color="auto"/>
                <w:left w:val="none" w:sz="0" w:space="0" w:color="auto"/>
                <w:bottom w:val="none" w:sz="0" w:space="0" w:color="auto"/>
                <w:right w:val="none" w:sz="0" w:space="0" w:color="auto"/>
              </w:divBdr>
              <w:divsChild>
                <w:div w:id="2033996961">
                  <w:marLeft w:val="0"/>
                  <w:marRight w:val="0"/>
                  <w:marTop w:val="0"/>
                  <w:marBottom w:val="0"/>
                  <w:divBdr>
                    <w:top w:val="none" w:sz="0" w:space="0" w:color="auto"/>
                    <w:left w:val="none" w:sz="0" w:space="0" w:color="auto"/>
                    <w:bottom w:val="none" w:sz="0" w:space="0" w:color="auto"/>
                    <w:right w:val="none" w:sz="0" w:space="0" w:color="auto"/>
                  </w:divBdr>
                </w:div>
              </w:divsChild>
            </w:div>
            <w:div w:id="1535996826">
              <w:marLeft w:val="0"/>
              <w:marRight w:val="0"/>
              <w:marTop w:val="0"/>
              <w:marBottom w:val="0"/>
              <w:divBdr>
                <w:top w:val="none" w:sz="0" w:space="0" w:color="auto"/>
                <w:left w:val="none" w:sz="0" w:space="0" w:color="auto"/>
                <w:bottom w:val="none" w:sz="0" w:space="0" w:color="auto"/>
                <w:right w:val="none" w:sz="0" w:space="0" w:color="auto"/>
              </w:divBdr>
              <w:divsChild>
                <w:div w:id="2081783302">
                  <w:marLeft w:val="0"/>
                  <w:marRight w:val="0"/>
                  <w:marTop w:val="0"/>
                  <w:marBottom w:val="0"/>
                  <w:divBdr>
                    <w:top w:val="none" w:sz="0" w:space="0" w:color="auto"/>
                    <w:left w:val="none" w:sz="0" w:space="0" w:color="auto"/>
                    <w:bottom w:val="none" w:sz="0" w:space="0" w:color="auto"/>
                    <w:right w:val="none" w:sz="0" w:space="0" w:color="auto"/>
                  </w:divBdr>
                </w:div>
              </w:divsChild>
            </w:div>
            <w:div w:id="1754816129">
              <w:marLeft w:val="0"/>
              <w:marRight w:val="0"/>
              <w:marTop w:val="0"/>
              <w:marBottom w:val="0"/>
              <w:divBdr>
                <w:top w:val="none" w:sz="0" w:space="0" w:color="auto"/>
                <w:left w:val="none" w:sz="0" w:space="0" w:color="auto"/>
                <w:bottom w:val="none" w:sz="0" w:space="0" w:color="auto"/>
                <w:right w:val="none" w:sz="0" w:space="0" w:color="auto"/>
              </w:divBdr>
              <w:divsChild>
                <w:div w:id="1427850261">
                  <w:marLeft w:val="0"/>
                  <w:marRight w:val="0"/>
                  <w:marTop w:val="0"/>
                  <w:marBottom w:val="0"/>
                  <w:divBdr>
                    <w:top w:val="none" w:sz="0" w:space="0" w:color="auto"/>
                    <w:left w:val="none" w:sz="0" w:space="0" w:color="auto"/>
                    <w:bottom w:val="none" w:sz="0" w:space="0" w:color="auto"/>
                    <w:right w:val="none" w:sz="0" w:space="0" w:color="auto"/>
                  </w:divBdr>
                </w:div>
              </w:divsChild>
            </w:div>
            <w:div w:id="1755055135">
              <w:marLeft w:val="0"/>
              <w:marRight w:val="0"/>
              <w:marTop w:val="0"/>
              <w:marBottom w:val="0"/>
              <w:divBdr>
                <w:top w:val="none" w:sz="0" w:space="0" w:color="auto"/>
                <w:left w:val="none" w:sz="0" w:space="0" w:color="auto"/>
                <w:bottom w:val="none" w:sz="0" w:space="0" w:color="auto"/>
                <w:right w:val="none" w:sz="0" w:space="0" w:color="auto"/>
              </w:divBdr>
              <w:divsChild>
                <w:div w:id="1112483011">
                  <w:marLeft w:val="0"/>
                  <w:marRight w:val="0"/>
                  <w:marTop w:val="0"/>
                  <w:marBottom w:val="0"/>
                  <w:divBdr>
                    <w:top w:val="none" w:sz="0" w:space="0" w:color="auto"/>
                    <w:left w:val="none" w:sz="0" w:space="0" w:color="auto"/>
                    <w:bottom w:val="none" w:sz="0" w:space="0" w:color="auto"/>
                    <w:right w:val="none" w:sz="0" w:space="0" w:color="auto"/>
                  </w:divBdr>
                </w:div>
              </w:divsChild>
            </w:div>
            <w:div w:id="1821649812">
              <w:marLeft w:val="0"/>
              <w:marRight w:val="0"/>
              <w:marTop w:val="0"/>
              <w:marBottom w:val="0"/>
              <w:divBdr>
                <w:top w:val="none" w:sz="0" w:space="0" w:color="auto"/>
                <w:left w:val="none" w:sz="0" w:space="0" w:color="auto"/>
                <w:bottom w:val="none" w:sz="0" w:space="0" w:color="auto"/>
                <w:right w:val="none" w:sz="0" w:space="0" w:color="auto"/>
              </w:divBdr>
              <w:divsChild>
                <w:div w:id="2089692576">
                  <w:marLeft w:val="0"/>
                  <w:marRight w:val="0"/>
                  <w:marTop w:val="0"/>
                  <w:marBottom w:val="0"/>
                  <w:divBdr>
                    <w:top w:val="none" w:sz="0" w:space="0" w:color="auto"/>
                    <w:left w:val="none" w:sz="0" w:space="0" w:color="auto"/>
                    <w:bottom w:val="none" w:sz="0" w:space="0" w:color="auto"/>
                    <w:right w:val="none" w:sz="0" w:space="0" w:color="auto"/>
                  </w:divBdr>
                </w:div>
              </w:divsChild>
            </w:div>
            <w:div w:id="1866286931">
              <w:marLeft w:val="0"/>
              <w:marRight w:val="0"/>
              <w:marTop w:val="0"/>
              <w:marBottom w:val="0"/>
              <w:divBdr>
                <w:top w:val="none" w:sz="0" w:space="0" w:color="auto"/>
                <w:left w:val="none" w:sz="0" w:space="0" w:color="auto"/>
                <w:bottom w:val="none" w:sz="0" w:space="0" w:color="auto"/>
                <w:right w:val="none" w:sz="0" w:space="0" w:color="auto"/>
              </w:divBdr>
              <w:divsChild>
                <w:div w:id="704216112">
                  <w:marLeft w:val="0"/>
                  <w:marRight w:val="0"/>
                  <w:marTop w:val="0"/>
                  <w:marBottom w:val="0"/>
                  <w:divBdr>
                    <w:top w:val="none" w:sz="0" w:space="0" w:color="auto"/>
                    <w:left w:val="none" w:sz="0" w:space="0" w:color="auto"/>
                    <w:bottom w:val="none" w:sz="0" w:space="0" w:color="auto"/>
                    <w:right w:val="none" w:sz="0" w:space="0" w:color="auto"/>
                  </w:divBdr>
                </w:div>
              </w:divsChild>
            </w:div>
            <w:div w:id="1877157204">
              <w:marLeft w:val="0"/>
              <w:marRight w:val="0"/>
              <w:marTop w:val="0"/>
              <w:marBottom w:val="0"/>
              <w:divBdr>
                <w:top w:val="none" w:sz="0" w:space="0" w:color="auto"/>
                <w:left w:val="none" w:sz="0" w:space="0" w:color="auto"/>
                <w:bottom w:val="none" w:sz="0" w:space="0" w:color="auto"/>
                <w:right w:val="none" w:sz="0" w:space="0" w:color="auto"/>
              </w:divBdr>
              <w:divsChild>
                <w:div w:id="1922830383">
                  <w:marLeft w:val="0"/>
                  <w:marRight w:val="0"/>
                  <w:marTop w:val="0"/>
                  <w:marBottom w:val="0"/>
                  <w:divBdr>
                    <w:top w:val="none" w:sz="0" w:space="0" w:color="auto"/>
                    <w:left w:val="none" w:sz="0" w:space="0" w:color="auto"/>
                    <w:bottom w:val="none" w:sz="0" w:space="0" w:color="auto"/>
                    <w:right w:val="none" w:sz="0" w:space="0" w:color="auto"/>
                  </w:divBdr>
                </w:div>
              </w:divsChild>
            </w:div>
            <w:div w:id="1894802596">
              <w:marLeft w:val="0"/>
              <w:marRight w:val="0"/>
              <w:marTop w:val="0"/>
              <w:marBottom w:val="0"/>
              <w:divBdr>
                <w:top w:val="none" w:sz="0" w:space="0" w:color="auto"/>
                <w:left w:val="none" w:sz="0" w:space="0" w:color="auto"/>
                <w:bottom w:val="none" w:sz="0" w:space="0" w:color="auto"/>
                <w:right w:val="none" w:sz="0" w:space="0" w:color="auto"/>
              </w:divBdr>
              <w:divsChild>
                <w:div w:id="864053698">
                  <w:marLeft w:val="0"/>
                  <w:marRight w:val="0"/>
                  <w:marTop w:val="0"/>
                  <w:marBottom w:val="0"/>
                  <w:divBdr>
                    <w:top w:val="none" w:sz="0" w:space="0" w:color="auto"/>
                    <w:left w:val="none" w:sz="0" w:space="0" w:color="auto"/>
                    <w:bottom w:val="none" w:sz="0" w:space="0" w:color="auto"/>
                    <w:right w:val="none" w:sz="0" w:space="0" w:color="auto"/>
                  </w:divBdr>
                </w:div>
              </w:divsChild>
            </w:div>
            <w:div w:id="1981494761">
              <w:marLeft w:val="0"/>
              <w:marRight w:val="0"/>
              <w:marTop w:val="0"/>
              <w:marBottom w:val="0"/>
              <w:divBdr>
                <w:top w:val="none" w:sz="0" w:space="0" w:color="auto"/>
                <w:left w:val="none" w:sz="0" w:space="0" w:color="auto"/>
                <w:bottom w:val="none" w:sz="0" w:space="0" w:color="auto"/>
                <w:right w:val="none" w:sz="0" w:space="0" w:color="auto"/>
              </w:divBdr>
              <w:divsChild>
                <w:div w:id="271715759">
                  <w:marLeft w:val="0"/>
                  <w:marRight w:val="0"/>
                  <w:marTop w:val="0"/>
                  <w:marBottom w:val="0"/>
                  <w:divBdr>
                    <w:top w:val="none" w:sz="0" w:space="0" w:color="auto"/>
                    <w:left w:val="none" w:sz="0" w:space="0" w:color="auto"/>
                    <w:bottom w:val="none" w:sz="0" w:space="0" w:color="auto"/>
                    <w:right w:val="none" w:sz="0" w:space="0" w:color="auto"/>
                  </w:divBdr>
                </w:div>
              </w:divsChild>
            </w:div>
            <w:div w:id="1988388383">
              <w:marLeft w:val="0"/>
              <w:marRight w:val="0"/>
              <w:marTop w:val="0"/>
              <w:marBottom w:val="0"/>
              <w:divBdr>
                <w:top w:val="none" w:sz="0" w:space="0" w:color="auto"/>
                <w:left w:val="none" w:sz="0" w:space="0" w:color="auto"/>
                <w:bottom w:val="none" w:sz="0" w:space="0" w:color="auto"/>
                <w:right w:val="none" w:sz="0" w:space="0" w:color="auto"/>
              </w:divBdr>
              <w:divsChild>
                <w:div w:id="1024403672">
                  <w:marLeft w:val="0"/>
                  <w:marRight w:val="0"/>
                  <w:marTop w:val="0"/>
                  <w:marBottom w:val="0"/>
                  <w:divBdr>
                    <w:top w:val="none" w:sz="0" w:space="0" w:color="auto"/>
                    <w:left w:val="none" w:sz="0" w:space="0" w:color="auto"/>
                    <w:bottom w:val="none" w:sz="0" w:space="0" w:color="auto"/>
                    <w:right w:val="none" w:sz="0" w:space="0" w:color="auto"/>
                  </w:divBdr>
                </w:div>
              </w:divsChild>
            </w:div>
            <w:div w:id="2053770581">
              <w:marLeft w:val="0"/>
              <w:marRight w:val="0"/>
              <w:marTop w:val="0"/>
              <w:marBottom w:val="0"/>
              <w:divBdr>
                <w:top w:val="none" w:sz="0" w:space="0" w:color="auto"/>
                <w:left w:val="none" w:sz="0" w:space="0" w:color="auto"/>
                <w:bottom w:val="none" w:sz="0" w:space="0" w:color="auto"/>
                <w:right w:val="none" w:sz="0" w:space="0" w:color="auto"/>
              </w:divBdr>
              <w:divsChild>
                <w:div w:id="808017716">
                  <w:marLeft w:val="0"/>
                  <w:marRight w:val="0"/>
                  <w:marTop w:val="0"/>
                  <w:marBottom w:val="0"/>
                  <w:divBdr>
                    <w:top w:val="none" w:sz="0" w:space="0" w:color="auto"/>
                    <w:left w:val="none" w:sz="0" w:space="0" w:color="auto"/>
                    <w:bottom w:val="none" w:sz="0" w:space="0" w:color="auto"/>
                    <w:right w:val="none" w:sz="0" w:space="0" w:color="auto"/>
                  </w:divBdr>
                </w:div>
              </w:divsChild>
            </w:div>
            <w:div w:id="2064938751">
              <w:marLeft w:val="0"/>
              <w:marRight w:val="0"/>
              <w:marTop w:val="0"/>
              <w:marBottom w:val="0"/>
              <w:divBdr>
                <w:top w:val="none" w:sz="0" w:space="0" w:color="auto"/>
                <w:left w:val="none" w:sz="0" w:space="0" w:color="auto"/>
                <w:bottom w:val="none" w:sz="0" w:space="0" w:color="auto"/>
                <w:right w:val="none" w:sz="0" w:space="0" w:color="auto"/>
              </w:divBdr>
              <w:divsChild>
                <w:div w:id="916406760">
                  <w:marLeft w:val="0"/>
                  <w:marRight w:val="0"/>
                  <w:marTop w:val="0"/>
                  <w:marBottom w:val="0"/>
                  <w:divBdr>
                    <w:top w:val="none" w:sz="0" w:space="0" w:color="auto"/>
                    <w:left w:val="none" w:sz="0" w:space="0" w:color="auto"/>
                    <w:bottom w:val="none" w:sz="0" w:space="0" w:color="auto"/>
                    <w:right w:val="none" w:sz="0" w:space="0" w:color="auto"/>
                  </w:divBdr>
                </w:div>
              </w:divsChild>
            </w:div>
            <w:div w:id="2136751504">
              <w:marLeft w:val="0"/>
              <w:marRight w:val="0"/>
              <w:marTop w:val="0"/>
              <w:marBottom w:val="0"/>
              <w:divBdr>
                <w:top w:val="none" w:sz="0" w:space="0" w:color="auto"/>
                <w:left w:val="none" w:sz="0" w:space="0" w:color="auto"/>
                <w:bottom w:val="none" w:sz="0" w:space="0" w:color="auto"/>
                <w:right w:val="none" w:sz="0" w:space="0" w:color="auto"/>
              </w:divBdr>
              <w:divsChild>
                <w:div w:id="146901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008287">
      <w:bodyDiv w:val="1"/>
      <w:marLeft w:val="0"/>
      <w:marRight w:val="0"/>
      <w:marTop w:val="0"/>
      <w:marBottom w:val="0"/>
      <w:divBdr>
        <w:top w:val="none" w:sz="0" w:space="0" w:color="auto"/>
        <w:left w:val="none" w:sz="0" w:space="0" w:color="auto"/>
        <w:bottom w:val="none" w:sz="0" w:space="0" w:color="auto"/>
        <w:right w:val="none" w:sz="0" w:space="0" w:color="auto"/>
      </w:divBdr>
    </w:div>
    <w:div w:id="1269463527">
      <w:bodyDiv w:val="1"/>
      <w:marLeft w:val="0"/>
      <w:marRight w:val="0"/>
      <w:marTop w:val="0"/>
      <w:marBottom w:val="0"/>
      <w:divBdr>
        <w:top w:val="none" w:sz="0" w:space="0" w:color="auto"/>
        <w:left w:val="none" w:sz="0" w:space="0" w:color="auto"/>
        <w:bottom w:val="none" w:sz="0" w:space="0" w:color="auto"/>
        <w:right w:val="none" w:sz="0" w:space="0" w:color="auto"/>
      </w:divBdr>
    </w:div>
    <w:div w:id="1277524839">
      <w:bodyDiv w:val="1"/>
      <w:marLeft w:val="0"/>
      <w:marRight w:val="0"/>
      <w:marTop w:val="0"/>
      <w:marBottom w:val="0"/>
      <w:divBdr>
        <w:top w:val="none" w:sz="0" w:space="0" w:color="auto"/>
        <w:left w:val="none" w:sz="0" w:space="0" w:color="auto"/>
        <w:bottom w:val="none" w:sz="0" w:space="0" w:color="auto"/>
        <w:right w:val="none" w:sz="0" w:space="0" w:color="auto"/>
      </w:divBdr>
    </w:div>
    <w:div w:id="1278097223">
      <w:bodyDiv w:val="1"/>
      <w:marLeft w:val="0"/>
      <w:marRight w:val="0"/>
      <w:marTop w:val="0"/>
      <w:marBottom w:val="0"/>
      <w:divBdr>
        <w:top w:val="none" w:sz="0" w:space="0" w:color="auto"/>
        <w:left w:val="none" w:sz="0" w:space="0" w:color="auto"/>
        <w:bottom w:val="none" w:sz="0" w:space="0" w:color="auto"/>
        <w:right w:val="none" w:sz="0" w:space="0" w:color="auto"/>
      </w:divBdr>
    </w:div>
    <w:div w:id="1286351525">
      <w:bodyDiv w:val="1"/>
      <w:marLeft w:val="0"/>
      <w:marRight w:val="0"/>
      <w:marTop w:val="0"/>
      <w:marBottom w:val="0"/>
      <w:divBdr>
        <w:top w:val="none" w:sz="0" w:space="0" w:color="auto"/>
        <w:left w:val="none" w:sz="0" w:space="0" w:color="auto"/>
        <w:bottom w:val="none" w:sz="0" w:space="0" w:color="auto"/>
        <w:right w:val="none" w:sz="0" w:space="0" w:color="auto"/>
      </w:divBdr>
    </w:div>
    <w:div w:id="1289778410">
      <w:bodyDiv w:val="1"/>
      <w:marLeft w:val="0"/>
      <w:marRight w:val="0"/>
      <w:marTop w:val="0"/>
      <w:marBottom w:val="0"/>
      <w:divBdr>
        <w:top w:val="none" w:sz="0" w:space="0" w:color="auto"/>
        <w:left w:val="none" w:sz="0" w:space="0" w:color="auto"/>
        <w:bottom w:val="none" w:sz="0" w:space="0" w:color="auto"/>
        <w:right w:val="none" w:sz="0" w:space="0" w:color="auto"/>
      </w:divBdr>
      <w:divsChild>
        <w:div w:id="1035085932">
          <w:marLeft w:val="14"/>
          <w:marRight w:val="86"/>
          <w:marTop w:val="0"/>
          <w:marBottom w:val="0"/>
          <w:divBdr>
            <w:top w:val="none" w:sz="0" w:space="0" w:color="auto"/>
            <w:left w:val="none" w:sz="0" w:space="0" w:color="auto"/>
            <w:bottom w:val="none" w:sz="0" w:space="0" w:color="auto"/>
            <w:right w:val="none" w:sz="0" w:space="0" w:color="auto"/>
          </w:divBdr>
        </w:div>
      </w:divsChild>
    </w:div>
    <w:div w:id="1296637970">
      <w:bodyDiv w:val="1"/>
      <w:marLeft w:val="0"/>
      <w:marRight w:val="0"/>
      <w:marTop w:val="0"/>
      <w:marBottom w:val="0"/>
      <w:divBdr>
        <w:top w:val="none" w:sz="0" w:space="0" w:color="auto"/>
        <w:left w:val="none" w:sz="0" w:space="0" w:color="auto"/>
        <w:bottom w:val="none" w:sz="0" w:space="0" w:color="auto"/>
        <w:right w:val="none" w:sz="0" w:space="0" w:color="auto"/>
      </w:divBdr>
    </w:div>
    <w:div w:id="1303461971">
      <w:bodyDiv w:val="1"/>
      <w:marLeft w:val="0"/>
      <w:marRight w:val="0"/>
      <w:marTop w:val="0"/>
      <w:marBottom w:val="0"/>
      <w:divBdr>
        <w:top w:val="none" w:sz="0" w:space="0" w:color="auto"/>
        <w:left w:val="none" w:sz="0" w:space="0" w:color="auto"/>
        <w:bottom w:val="none" w:sz="0" w:space="0" w:color="auto"/>
        <w:right w:val="none" w:sz="0" w:space="0" w:color="auto"/>
      </w:divBdr>
    </w:div>
    <w:div w:id="1310749491">
      <w:bodyDiv w:val="1"/>
      <w:marLeft w:val="0"/>
      <w:marRight w:val="0"/>
      <w:marTop w:val="0"/>
      <w:marBottom w:val="0"/>
      <w:divBdr>
        <w:top w:val="none" w:sz="0" w:space="0" w:color="auto"/>
        <w:left w:val="none" w:sz="0" w:space="0" w:color="auto"/>
        <w:bottom w:val="none" w:sz="0" w:space="0" w:color="auto"/>
        <w:right w:val="none" w:sz="0" w:space="0" w:color="auto"/>
      </w:divBdr>
    </w:div>
    <w:div w:id="1313366004">
      <w:bodyDiv w:val="1"/>
      <w:marLeft w:val="0"/>
      <w:marRight w:val="0"/>
      <w:marTop w:val="0"/>
      <w:marBottom w:val="0"/>
      <w:divBdr>
        <w:top w:val="none" w:sz="0" w:space="0" w:color="auto"/>
        <w:left w:val="none" w:sz="0" w:space="0" w:color="auto"/>
        <w:bottom w:val="none" w:sz="0" w:space="0" w:color="auto"/>
        <w:right w:val="none" w:sz="0" w:space="0" w:color="auto"/>
      </w:divBdr>
    </w:div>
    <w:div w:id="1315795814">
      <w:bodyDiv w:val="1"/>
      <w:marLeft w:val="0"/>
      <w:marRight w:val="0"/>
      <w:marTop w:val="0"/>
      <w:marBottom w:val="0"/>
      <w:divBdr>
        <w:top w:val="none" w:sz="0" w:space="0" w:color="auto"/>
        <w:left w:val="none" w:sz="0" w:space="0" w:color="auto"/>
        <w:bottom w:val="none" w:sz="0" w:space="0" w:color="auto"/>
        <w:right w:val="none" w:sz="0" w:space="0" w:color="auto"/>
      </w:divBdr>
    </w:div>
    <w:div w:id="1316300343">
      <w:bodyDiv w:val="1"/>
      <w:marLeft w:val="0"/>
      <w:marRight w:val="0"/>
      <w:marTop w:val="0"/>
      <w:marBottom w:val="0"/>
      <w:divBdr>
        <w:top w:val="none" w:sz="0" w:space="0" w:color="auto"/>
        <w:left w:val="none" w:sz="0" w:space="0" w:color="auto"/>
        <w:bottom w:val="none" w:sz="0" w:space="0" w:color="auto"/>
        <w:right w:val="none" w:sz="0" w:space="0" w:color="auto"/>
      </w:divBdr>
    </w:div>
    <w:div w:id="1320424165">
      <w:bodyDiv w:val="1"/>
      <w:marLeft w:val="0"/>
      <w:marRight w:val="0"/>
      <w:marTop w:val="0"/>
      <w:marBottom w:val="0"/>
      <w:divBdr>
        <w:top w:val="none" w:sz="0" w:space="0" w:color="auto"/>
        <w:left w:val="none" w:sz="0" w:space="0" w:color="auto"/>
        <w:bottom w:val="none" w:sz="0" w:space="0" w:color="auto"/>
        <w:right w:val="none" w:sz="0" w:space="0" w:color="auto"/>
      </w:divBdr>
    </w:div>
    <w:div w:id="1322273801">
      <w:bodyDiv w:val="1"/>
      <w:marLeft w:val="0"/>
      <w:marRight w:val="0"/>
      <w:marTop w:val="0"/>
      <w:marBottom w:val="0"/>
      <w:divBdr>
        <w:top w:val="none" w:sz="0" w:space="0" w:color="auto"/>
        <w:left w:val="none" w:sz="0" w:space="0" w:color="auto"/>
        <w:bottom w:val="none" w:sz="0" w:space="0" w:color="auto"/>
        <w:right w:val="none" w:sz="0" w:space="0" w:color="auto"/>
      </w:divBdr>
    </w:div>
    <w:div w:id="1328242446">
      <w:bodyDiv w:val="1"/>
      <w:marLeft w:val="0"/>
      <w:marRight w:val="0"/>
      <w:marTop w:val="0"/>
      <w:marBottom w:val="0"/>
      <w:divBdr>
        <w:top w:val="none" w:sz="0" w:space="0" w:color="auto"/>
        <w:left w:val="none" w:sz="0" w:space="0" w:color="auto"/>
        <w:bottom w:val="none" w:sz="0" w:space="0" w:color="auto"/>
        <w:right w:val="none" w:sz="0" w:space="0" w:color="auto"/>
      </w:divBdr>
      <w:divsChild>
        <w:div w:id="1288925924">
          <w:marLeft w:val="0"/>
          <w:marRight w:val="0"/>
          <w:marTop w:val="0"/>
          <w:marBottom w:val="240"/>
          <w:divBdr>
            <w:top w:val="none" w:sz="0" w:space="0" w:color="auto"/>
            <w:left w:val="none" w:sz="0" w:space="0" w:color="auto"/>
            <w:bottom w:val="none" w:sz="0" w:space="0" w:color="auto"/>
            <w:right w:val="none" w:sz="0" w:space="0" w:color="auto"/>
          </w:divBdr>
        </w:div>
      </w:divsChild>
    </w:div>
    <w:div w:id="1355304099">
      <w:bodyDiv w:val="1"/>
      <w:marLeft w:val="0"/>
      <w:marRight w:val="0"/>
      <w:marTop w:val="0"/>
      <w:marBottom w:val="0"/>
      <w:divBdr>
        <w:top w:val="none" w:sz="0" w:space="0" w:color="auto"/>
        <w:left w:val="none" w:sz="0" w:space="0" w:color="auto"/>
        <w:bottom w:val="none" w:sz="0" w:space="0" w:color="auto"/>
        <w:right w:val="none" w:sz="0" w:space="0" w:color="auto"/>
      </w:divBdr>
    </w:div>
    <w:div w:id="1356347451">
      <w:bodyDiv w:val="1"/>
      <w:marLeft w:val="0"/>
      <w:marRight w:val="0"/>
      <w:marTop w:val="0"/>
      <w:marBottom w:val="0"/>
      <w:divBdr>
        <w:top w:val="none" w:sz="0" w:space="0" w:color="auto"/>
        <w:left w:val="none" w:sz="0" w:space="0" w:color="auto"/>
        <w:bottom w:val="none" w:sz="0" w:space="0" w:color="auto"/>
        <w:right w:val="none" w:sz="0" w:space="0" w:color="auto"/>
      </w:divBdr>
      <w:divsChild>
        <w:div w:id="39670158">
          <w:marLeft w:val="547"/>
          <w:marRight w:val="0"/>
          <w:marTop w:val="0"/>
          <w:marBottom w:val="0"/>
          <w:divBdr>
            <w:top w:val="none" w:sz="0" w:space="0" w:color="auto"/>
            <w:left w:val="none" w:sz="0" w:space="0" w:color="auto"/>
            <w:bottom w:val="none" w:sz="0" w:space="0" w:color="auto"/>
            <w:right w:val="none" w:sz="0" w:space="0" w:color="auto"/>
          </w:divBdr>
        </w:div>
      </w:divsChild>
    </w:div>
    <w:div w:id="1363940512">
      <w:bodyDiv w:val="1"/>
      <w:marLeft w:val="0"/>
      <w:marRight w:val="0"/>
      <w:marTop w:val="0"/>
      <w:marBottom w:val="0"/>
      <w:divBdr>
        <w:top w:val="none" w:sz="0" w:space="0" w:color="auto"/>
        <w:left w:val="none" w:sz="0" w:space="0" w:color="auto"/>
        <w:bottom w:val="none" w:sz="0" w:space="0" w:color="auto"/>
        <w:right w:val="none" w:sz="0" w:space="0" w:color="auto"/>
      </w:divBdr>
    </w:div>
    <w:div w:id="1372605851">
      <w:bodyDiv w:val="1"/>
      <w:marLeft w:val="0"/>
      <w:marRight w:val="0"/>
      <w:marTop w:val="0"/>
      <w:marBottom w:val="0"/>
      <w:divBdr>
        <w:top w:val="none" w:sz="0" w:space="0" w:color="auto"/>
        <w:left w:val="none" w:sz="0" w:space="0" w:color="auto"/>
        <w:bottom w:val="none" w:sz="0" w:space="0" w:color="auto"/>
        <w:right w:val="none" w:sz="0" w:space="0" w:color="auto"/>
      </w:divBdr>
    </w:div>
    <w:div w:id="1392265143">
      <w:bodyDiv w:val="1"/>
      <w:marLeft w:val="0"/>
      <w:marRight w:val="0"/>
      <w:marTop w:val="0"/>
      <w:marBottom w:val="0"/>
      <w:divBdr>
        <w:top w:val="none" w:sz="0" w:space="0" w:color="auto"/>
        <w:left w:val="none" w:sz="0" w:space="0" w:color="auto"/>
        <w:bottom w:val="none" w:sz="0" w:space="0" w:color="auto"/>
        <w:right w:val="none" w:sz="0" w:space="0" w:color="auto"/>
      </w:divBdr>
    </w:div>
    <w:div w:id="1393313409">
      <w:bodyDiv w:val="1"/>
      <w:marLeft w:val="0"/>
      <w:marRight w:val="0"/>
      <w:marTop w:val="0"/>
      <w:marBottom w:val="0"/>
      <w:divBdr>
        <w:top w:val="none" w:sz="0" w:space="0" w:color="auto"/>
        <w:left w:val="none" w:sz="0" w:space="0" w:color="auto"/>
        <w:bottom w:val="none" w:sz="0" w:space="0" w:color="auto"/>
        <w:right w:val="none" w:sz="0" w:space="0" w:color="auto"/>
      </w:divBdr>
      <w:divsChild>
        <w:div w:id="208304329">
          <w:marLeft w:val="0"/>
          <w:marRight w:val="0"/>
          <w:marTop w:val="0"/>
          <w:marBottom w:val="0"/>
          <w:divBdr>
            <w:top w:val="none" w:sz="0" w:space="0" w:color="auto"/>
            <w:left w:val="none" w:sz="0" w:space="0" w:color="auto"/>
            <w:bottom w:val="none" w:sz="0" w:space="0" w:color="auto"/>
            <w:right w:val="none" w:sz="0" w:space="0" w:color="auto"/>
          </w:divBdr>
          <w:divsChild>
            <w:div w:id="1307931436">
              <w:marLeft w:val="0"/>
              <w:marRight w:val="0"/>
              <w:marTop w:val="0"/>
              <w:marBottom w:val="0"/>
              <w:divBdr>
                <w:top w:val="none" w:sz="0" w:space="0" w:color="auto"/>
                <w:left w:val="none" w:sz="0" w:space="0" w:color="auto"/>
                <w:bottom w:val="none" w:sz="0" w:space="0" w:color="auto"/>
                <w:right w:val="none" w:sz="0" w:space="0" w:color="auto"/>
              </w:divBdr>
              <w:divsChild>
                <w:div w:id="802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549943">
      <w:bodyDiv w:val="1"/>
      <w:marLeft w:val="0"/>
      <w:marRight w:val="0"/>
      <w:marTop w:val="0"/>
      <w:marBottom w:val="0"/>
      <w:divBdr>
        <w:top w:val="none" w:sz="0" w:space="0" w:color="auto"/>
        <w:left w:val="none" w:sz="0" w:space="0" w:color="auto"/>
        <w:bottom w:val="none" w:sz="0" w:space="0" w:color="auto"/>
        <w:right w:val="none" w:sz="0" w:space="0" w:color="auto"/>
      </w:divBdr>
    </w:div>
    <w:div w:id="1394621477">
      <w:bodyDiv w:val="1"/>
      <w:marLeft w:val="0"/>
      <w:marRight w:val="0"/>
      <w:marTop w:val="0"/>
      <w:marBottom w:val="0"/>
      <w:divBdr>
        <w:top w:val="none" w:sz="0" w:space="0" w:color="auto"/>
        <w:left w:val="none" w:sz="0" w:space="0" w:color="auto"/>
        <w:bottom w:val="none" w:sz="0" w:space="0" w:color="auto"/>
        <w:right w:val="none" w:sz="0" w:space="0" w:color="auto"/>
      </w:divBdr>
    </w:div>
    <w:div w:id="1404177092">
      <w:bodyDiv w:val="1"/>
      <w:marLeft w:val="0"/>
      <w:marRight w:val="0"/>
      <w:marTop w:val="0"/>
      <w:marBottom w:val="0"/>
      <w:divBdr>
        <w:top w:val="none" w:sz="0" w:space="0" w:color="auto"/>
        <w:left w:val="none" w:sz="0" w:space="0" w:color="auto"/>
        <w:bottom w:val="none" w:sz="0" w:space="0" w:color="auto"/>
        <w:right w:val="none" w:sz="0" w:space="0" w:color="auto"/>
      </w:divBdr>
    </w:div>
    <w:div w:id="1404522375">
      <w:bodyDiv w:val="1"/>
      <w:marLeft w:val="0"/>
      <w:marRight w:val="0"/>
      <w:marTop w:val="0"/>
      <w:marBottom w:val="0"/>
      <w:divBdr>
        <w:top w:val="none" w:sz="0" w:space="0" w:color="auto"/>
        <w:left w:val="none" w:sz="0" w:space="0" w:color="auto"/>
        <w:bottom w:val="none" w:sz="0" w:space="0" w:color="auto"/>
        <w:right w:val="none" w:sz="0" w:space="0" w:color="auto"/>
      </w:divBdr>
    </w:div>
    <w:div w:id="1414544145">
      <w:bodyDiv w:val="1"/>
      <w:marLeft w:val="0"/>
      <w:marRight w:val="0"/>
      <w:marTop w:val="0"/>
      <w:marBottom w:val="0"/>
      <w:divBdr>
        <w:top w:val="none" w:sz="0" w:space="0" w:color="auto"/>
        <w:left w:val="none" w:sz="0" w:space="0" w:color="auto"/>
        <w:bottom w:val="none" w:sz="0" w:space="0" w:color="auto"/>
        <w:right w:val="none" w:sz="0" w:space="0" w:color="auto"/>
      </w:divBdr>
    </w:div>
    <w:div w:id="1418406367">
      <w:bodyDiv w:val="1"/>
      <w:marLeft w:val="0"/>
      <w:marRight w:val="0"/>
      <w:marTop w:val="0"/>
      <w:marBottom w:val="0"/>
      <w:divBdr>
        <w:top w:val="none" w:sz="0" w:space="0" w:color="auto"/>
        <w:left w:val="none" w:sz="0" w:space="0" w:color="auto"/>
        <w:bottom w:val="none" w:sz="0" w:space="0" w:color="auto"/>
        <w:right w:val="none" w:sz="0" w:space="0" w:color="auto"/>
      </w:divBdr>
    </w:div>
    <w:div w:id="1424375721">
      <w:bodyDiv w:val="1"/>
      <w:marLeft w:val="0"/>
      <w:marRight w:val="0"/>
      <w:marTop w:val="0"/>
      <w:marBottom w:val="0"/>
      <w:divBdr>
        <w:top w:val="none" w:sz="0" w:space="0" w:color="auto"/>
        <w:left w:val="none" w:sz="0" w:space="0" w:color="auto"/>
        <w:bottom w:val="none" w:sz="0" w:space="0" w:color="auto"/>
        <w:right w:val="none" w:sz="0" w:space="0" w:color="auto"/>
      </w:divBdr>
    </w:div>
    <w:div w:id="1429689437">
      <w:bodyDiv w:val="1"/>
      <w:marLeft w:val="0"/>
      <w:marRight w:val="0"/>
      <w:marTop w:val="0"/>
      <w:marBottom w:val="0"/>
      <w:divBdr>
        <w:top w:val="none" w:sz="0" w:space="0" w:color="auto"/>
        <w:left w:val="none" w:sz="0" w:space="0" w:color="auto"/>
        <w:bottom w:val="none" w:sz="0" w:space="0" w:color="auto"/>
        <w:right w:val="none" w:sz="0" w:space="0" w:color="auto"/>
      </w:divBdr>
    </w:div>
    <w:div w:id="1436942612">
      <w:bodyDiv w:val="1"/>
      <w:marLeft w:val="0"/>
      <w:marRight w:val="0"/>
      <w:marTop w:val="0"/>
      <w:marBottom w:val="0"/>
      <w:divBdr>
        <w:top w:val="none" w:sz="0" w:space="0" w:color="auto"/>
        <w:left w:val="none" w:sz="0" w:space="0" w:color="auto"/>
        <w:bottom w:val="none" w:sz="0" w:space="0" w:color="auto"/>
        <w:right w:val="none" w:sz="0" w:space="0" w:color="auto"/>
      </w:divBdr>
    </w:div>
    <w:div w:id="1441412836">
      <w:bodyDiv w:val="1"/>
      <w:marLeft w:val="0"/>
      <w:marRight w:val="0"/>
      <w:marTop w:val="0"/>
      <w:marBottom w:val="0"/>
      <w:divBdr>
        <w:top w:val="none" w:sz="0" w:space="0" w:color="auto"/>
        <w:left w:val="none" w:sz="0" w:space="0" w:color="auto"/>
        <w:bottom w:val="none" w:sz="0" w:space="0" w:color="auto"/>
        <w:right w:val="none" w:sz="0" w:space="0" w:color="auto"/>
      </w:divBdr>
      <w:divsChild>
        <w:div w:id="2027438604">
          <w:marLeft w:val="0"/>
          <w:marRight w:val="0"/>
          <w:marTop w:val="0"/>
          <w:marBottom w:val="240"/>
          <w:divBdr>
            <w:top w:val="none" w:sz="0" w:space="0" w:color="auto"/>
            <w:left w:val="none" w:sz="0" w:space="0" w:color="auto"/>
            <w:bottom w:val="none" w:sz="0" w:space="0" w:color="auto"/>
            <w:right w:val="none" w:sz="0" w:space="0" w:color="auto"/>
          </w:divBdr>
        </w:div>
      </w:divsChild>
    </w:div>
    <w:div w:id="1446314668">
      <w:bodyDiv w:val="1"/>
      <w:marLeft w:val="0"/>
      <w:marRight w:val="0"/>
      <w:marTop w:val="0"/>
      <w:marBottom w:val="0"/>
      <w:divBdr>
        <w:top w:val="none" w:sz="0" w:space="0" w:color="auto"/>
        <w:left w:val="none" w:sz="0" w:space="0" w:color="auto"/>
        <w:bottom w:val="none" w:sz="0" w:space="0" w:color="auto"/>
        <w:right w:val="none" w:sz="0" w:space="0" w:color="auto"/>
      </w:divBdr>
      <w:divsChild>
        <w:div w:id="1779596783">
          <w:marLeft w:val="0"/>
          <w:marRight w:val="0"/>
          <w:marTop w:val="0"/>
          <w:marBottom w:val="0"/>
          <w:divBdr>
            <w:top w:val="none" w:sz="0" w:space="0" w:color="auto"/>
            <w:left w:val="none" w:sz="0" w:space="0" w:color="auto"/>
            <w:bottom w:val="none" w:sz="0" w:space="0" w:color="auto"/>
            <w:right w:val="none" w:sz="0" w:space="0" w:color="auto"/>
          </w:divBdr>
        </w:div>
      </w:divsChild>
    </w:div>
    <w:div w:id="1446656549">
      <w:bodyDiv w:val="1"/>
      <w:marLeft w:val="0"/>
      <w:marRight w:val="0"/>
      <w:marTop w:val="0"/>
      <w:marBottom w:val="0"/>
      <w:divBdr>
        <w:top w:val="none" w:sz="0" w:space="0" w:color="auto"/>
        <w:left w:val="none" w:sz="0" w:space="0" w:color="auto"/>
        <w:bottom w:val="none" w:sz="0" w:space="0" w:color="auto"/>
        <w:right w:val="none" w:sz="0" w:space="0" w:color="auto"/>
      </w:divBdr>
    </w:div>
    <w:div w:id="1454254362">
      <w:bodyDiv w:val="1"/>
      <w:marLeft w:val="0"/>
      <w:marRight w:val="0"/>
      <w:marTop w:val="0"/>
      <w:marBottom w:val="0"/>
      <w:divBdr>
        <w:top w:val="none" w:sz="0" w:space="0" w:color="auto"/>
        <w:left w:val="none" w:sz="0" w:space="0" w:color="auto"/>
        <w:bottom w:val="none" w:sz="0" w:space="0" w:color="auto"/>
        <w:right w:val="none" w:sz="0" w:space="0" w:color="auto"/>
      </w:divBdr>
      <w:divsChild>
        <w:div w:id="902835208">
          <w:marLeft w:val="0"/>
          <w:marRight w:val="0"/>
          <w:marTop w:val="0"/>
          <w:marBottom w:val="0"/>
          <w:divBdr>
            <w:top w:val="none" w:sz="0" w:space="0" w:color="auto"/>
            <w:left w:val="none" w:sz="0" w:space="0" w:color="auto"/>
            <w:bottom w:val="none" w:sz="0" w:space="0" w:color="auto"/>
            <w:right w:val="none" w:sz="0" w:space="0" w:color="auto"/>
          </w:divBdr>
          <w:divsChild>
            <w:div w:id="32851029">
              <w:marLeft w:val="0"/>
              <w:marRight w:val="0"/>
              <w:marTop w:val="0"/>
              <w:marBottom w:val="0"/>
              <w:divBdr>
                <w:top w:val="none" w:sz="0" w:space="0" w:color="auto"/>
                <w:left w:val="none" w:sz="0" w:space="0" w:color="auto"/>
                <w:bottom w:val="none" w:sz="0" w:space="0" w:color="auto"/>
                <w:right w:val="none" w:sz="0" w:space="0" w:color="auto"/>
              </w:divBdr>
              <w:divsChild>
                <w:div w:id="2123260695">
                  <w:marLeft w:val="0"/>
                  <w:marRight w:val="0"/>
                  <w:marTop w:val="0"/>
                  <w:marBottom w:val="0"/>
                  <w:divBdr>
                    <w:top w:val="none" w:sz="0" w:space="0" w:color="auto"/>
                    <w:left w:val="none" w:sz="0" w:space="0" w:color="auto"/>
                    <w:bottom w:val="none" w:sz="0" w:space="0" w:color="auto"/>
                    <w:right w:val="none" w:sz="0" w:space="0" w:color="auto"/>
                  </w:divBdr>
                </w:div>
              </w:divsChild>
            </w:div>
            <w:div w:id="271060142">
              <w:marLeft w:val="0"/>
              <w:marRight w:val="0"/>
              <w:marTop w:val="0"/>
              <w:marBottom w:val="0"/>
              <w:divBdr>
                <w:top w:val="none" w:sz="0" w:space="0" w:color="auto"/>
                <w:left w:val="none" w:sz="0" w:space="0" w:color="auto"/>
                <w:bottom w:val="none" w:sz="0" w:space="0" w:color="auto"/>
                <w:right w:val="none" w:sz="0" w:space="0" w:color="auto"/>
              </w:divBdr>
              <w:divsChild>
                <w:div w:id="1147555042">
                  <w:marLeft w:val="0"/>
                  <w:marRight w:val="0"/>
                  <w:marTop w:val="0"/>
                  <w:marBottom w:val="0"/>
                  <w:divBdr>
                    <w:top w:val="none" w:sz="0" w:space="0" w:color="auto"/>
                    <w:left w:val="none" w:sz="0" w:space="0" w:color="auto"/>
                    <w:bottom w:val="none" w:sz="0" w:space="0" w:color="auto"/>
                    <w:right w:val="none" w:sz="0" w:space="0" w:color="auto"/>
                  </w:divBdr>
                </w:div>
              </w:divsChild>
            </w:div>
            <w:div w:id="303779929">
              <w:marLeft w:val="0"/>
              <w:marRight w:val="0"/>
              <w:marTop w:val="0"/>
              <w:marBottom w:val="0"/>
              <w:divBdr>
                <w:top w:val="none" w:sz="0" w:space="0" w:color="auto"/>
                <w:left w:val="none" w:sz="0" w:space="0" w:color="auto"/>
                <w:bottom w:val="none" w:sz="0" w:space="0" w:color="auto"/>
                <w:right w:val="none" w:sz="0" w:space="0" w:color="auto"/>
              </w:divBdr>
              <w:divsChild>
                <w:div w:id="428353946">
                  <w:marLeft w:val="0"/>
                  <w:marRight w:val="0"/>
                  <w:marTop w:val="0"/>
                  <w:marBottom w:val="0"/>
                  <w:divBdr>
                    <w:top w:val="none" w:sz="0" w:space="0" w:color="auto"/>
                    <w:left w:val="none" w:sz="0" w:space="0" w:color="auto"/>
                    <w:bottom w:val="none" w:sz="0" w:space="0" w:color="auto"/>
                    <w:right w:val="none" w:sz="0" w:space="0" w:color="auto"/>
                  </w:divBdr>
                </w:div>
              </w:divsChild>
            </w:div>
            <w:div w:id="416445903">
              <w:marLeft w:val="0"/>
              <w:marRight w:val="0"/>
              <w:marTop w:val="0"/>
              <w:marBottom w:val="0"/>
              <w:divBdr>
                <w:top w:val="none" w:sz="0" w:space="0" w:color="auto"/>
                <w:left w:val="none" w:sz="0" w:space="0" w:color="auto"/>
                <w:bottom w:val="none" w:sz="0" w:space="0" w:color="auto"/>
                <w:right w:val="none" w:sz="0" w:space="0" w:color="auto"/>
              </w:divBdr>
              <w:divsChild>
                <w:div w:id="499153582">
                  <w:marLeft w:val="0"/>
                  <w:marRight w:val="0"/>
                  <w:marTop w:val="0"/>
                  <w:marBottom w:val="0"/>
                  <w:divBdr>
                    <w:top w:val="none" w:sz="0" w:space="0" w:color="auto"/>
                    <w:left w:val="none" w:sz="0" w:space="0" w:color="auto"/>
                    <w:bottom w:val="none" w:sz="0" w:space="0" w:color="auto"/>
                    <w:right w:val="none" w:sz="0" w:space="0" w:color="auto"/>
                  </w:divBdr>
                </w:div>
              </w:divsChild>
            </w:div>
            <w:div w:id="459424976">
              <w:marLeft w:val="0"/>
              <w:marRight w:val="0"/>
              <w:marTop w:val="0"/>
              <w:marBottom w:val="0"/>
              <w:divBdr>
                <w:top w:val="none" w:sz="0" w:space="0" w:color="auto"/>
                <w:left w:val="none" w:sz="0" w:space="0" w:color="auto"/>
                <w:bottom w:val="none" w:sz="0" w:space="0" w:color="auto"/>
                <w:right w:val="none" w:sz="0" w:space="0" w:color="auto"/>
              </w:divBdr>
              <w:divsChild>
                <w:div w:id="1979452120">
                  <w:marLeft w:val="0"/>
                  <w:marRight w:val="0"/>
                  <w:marTop w:val="0"/>
                  <w:marBottom w:val="0"/>
                  <w:divBdr>
                    <w:top w:val="none" w:sz="0" w:space="0" w:color="auto"/>
                    <w:left w:val="none" w:sz="0" w:space="0" w:color="auto"/>
                    <w:bottom w:val="none" w:sz="0" w:space="0" w:color="auto"/>
                    <w:right w:val="none" w:sz="0" w:space="0" w:color="auto"/>
                  </w:divBdr>
                </w:div>
              </w:divsChild>
            </w:div>
            <w:div w:id="540292210">
              <w:marLeft w:val="0"/>
              <w:marRight w:val="0"/>
              <w:marTop w:val="0"/>
              <w:marBottom w:val="0"/>
              <w:divBdr>
                <w:top w:val="none" w:sz="0" w:space="0" w:color="auto"/>
                <w:left w:val="none" w:sz="0" w:space="0" w:color="auto"/>
                <w:bottom w:val="none" w:sz="0" w:space="0" w:color="auto"/>
                <w:right w:val="none" w:sz="0" w:space="0" w:color="auto"/>
              </w:divBdr>
              <w:divsChild>
                <w:div w:id="634988861">
                  <w:marLeft w:val="0"/>
                  <w:marRight w:val="0"/>
                  <w:marTop w:val="0"/>
                  <w:marBottom w:val="0"/>
                  <w:divBdr>
                    <w:top w:val="none" w:sz="0" w:space="0" w:color="auto"/>
                    <w:left w:val="none" w:sz="0" w:space="0" w:color="auto"/>
                    <w:bottom w:val="none" w:sz="0" w:space="0" w:color="auto"/>
                    <w:right w:val="none" w:sz="0" w:space="0" w:color="auto"/>
                  </w:divBdr>
                </w:div>
              </w:divsChild>
            </w:div>
            <w:div w:id="587083146">
              <w:marLeft w:val="0"/>
              <w:marRight w:val="0"/>
              <w:marTop w:val="0"/>
              <w:marBottom w:val="0"/>
              <w:divBdr>
                <w:top w:val="none" w:sz="0" w:space="0" w:color="auto"/>
                <w:left w:val="none" w:sz="0" w:space="0" w:color="auto"/>
                <w:bottom w:val="none" w:sz="0" w:space="0" w:color="auto"/>
                <w:right w:val="none" w:sz="0" w:space="0" w:color="auto"/>
              </w:divBdr>
              <w:divsChild>
                <w:div w:id="1718626358">
                  <w:marLeft w:val="0"/>
                  <w:marRight w:val="0"/>
                  <w:marTop w:val="0"/>
                  <w:marBottom w:val="0"/>
                  <w:divBdr>
                    <w:top w:val="none" w:sz="0" w:space="0" w:color="auto"/>
                    <w:left w:val="none" w:sz="0" w:space="0" w:color="auto"/>
                    <w:bottom w:val="none" w:sz="0" w:space="0" w:color="auto"/>
                    <w:right w:val="none" w:sz="0" w:space="0" w:color="auto"/>
                  </w:divBdr>
                </w:div>
              </w:divsChild>
            </w:div>
            <w:div w:id="587813465">
              <w:marLeft w:val="0"/>
              <w:marRight w:val="0"/>
              <w:marTop w:val="0"/>
              <w:marBottom w:val="0"/>
              <w:divBdr>
                <w:top w:val="none" w:sz="0" w:space="0" w:color="auto"/>
                <w:left w:val="none" w:sz="0" w:space="0" w:color="auto"/>
                <w:bottom w:val="none" w:sz="0" w:space="0" w:color="auto"/>
                <w:right w:val="none" w:sz="0" w:space="0" w:color="auto"/>
              </w:divBdr>
              <w:divsChild>
                <w:div w:id="1567764961">
                  <w:marLeft w:val="0"/>
                  <w:marRight w:val="0"/>
                  <w:marTop w:val="0"/>
                  <w:marBottom w:val="0"/>
                  <w:divBdr>
                    <w:top w:val="none" w:sz="0" w:space="0" w:color="auto"/>
                    <w:left w:val="none" w:sz="0" w:space="0" w:color="auto"/>
                    <w:bottom w:val="none" w:sz="0" w:space="0" w:color="auto"/>
                    <w:right w:val="none" w:sz="0" w:space="0" w:color="auto"/>
                  </w:divBdr>
                </w:div>
              </w:divsChild>
            </w:div>
            <w:div w:id="603538683">
              <w:marLeft w:val="0"/>
              <w:marRight w:val="0"/>
              <w:marTop w:val="0"/>
              <w:marBottom w:val="0"/>
              <w:divBdr>
                <w:top w:val="none" w:sz="0" w:space="0" w:color="auto"/>
                <w:left w:val="none" w:sz="0" w:space="0" w:color="auto"/>
                <w:bottom w:val="none" w:sz="0" w:space="0" w:color="auto"/>
                <w:right w:val="none" w:sz="0" w:space="0" w:color="auto"/>
              </w:divBdr>
              <w:divsChild>
                <w:div w:id="1794401308">
                  <w:marLeft w:val="0"/>
                  <w:marRight w:val="0"/>
                  <w:marTop w:val="0"/>
                  <w:marBottom w:val="0"/>
                  <w:divBdr>
                    <w:top w:val="none" w:sz="0" w:space="0" w:color="auto"/>
                    <w:left w:val="none" w:sz="0" w:space="0" w:color="auto"/>
                    <w:bottom w:val="none" w:sz="0" w:space="0" w:color="auto"/>
                    <w:right w:val="none" w:sz="0" w:space="0" w:color="auto"/>
                  </w:divBdr>
                </w:div>
              </w:divsChild>
            </w:div>
            <w:div w:id="724719586">
              <w:marLeft w:val="0"/>
              <w:marRight w:val="0"/>
              <w:marTop w:val="0"/>
              <w:marBottom w:val="0"/>
              <w:divBdr>
                <w:top w:val="none" w:sz="0" w:space="0" w:color="auto"/>
                <w:left w:val="none" w:sz="0" w:space="0" w:color="auto"/>
                <w:bottom w:val="none" w:sz="0" w:space="0" w:color="auto"/>
                <w:right w:val="none" w:sz="0" w:space="0" w:color="auto"/>
              </w:divBdr>
              <w:divsChild>
                <w:div w:id="1629973693">
                  <w:marLeft w:val="0"/>
                  <w:marRight w:val="0"/>
                  <w:marTop w:val="0"/>
                  <w:marBottom w:val="0"/>
                  <w:divBdr>
                    <w:top w:val="none" w:sz="0" w:space="0" w:color="auto"/>
                    <w:left w:val="none" w:sz="0" w:space="0" w:color="auto"/>
                    <w:bottom w:val="none" w:sz="0" w:space="0" w:color="auto"/>
                    <w:right w:val="none" w:sz="0" w:space="0" w:color="auto"/>
                  </w:divBdr>
                </w:div>
              </w:divsChild>
            </w:div>
            <w:div w:id="911432204">
              <w:marLeft w:val="0"/>
              <w:marRight w:val="0"/>
              <w:marTop w:val="0"/>
              <w:marBottom w:val="0"/>
              <w:divBdr>
                <w:top w:val="none" w:sz="0" w:space="0" w:color="auto"/>
                <w:left w:val="none" w:sz="0" w:space="0" w:color="auto"/>
                <w:bottom w:val="none" w:sz="0" w:space="0" w:color="auto"/>
                <w:right w:val="none" w:sz="0" w:space="0" w:color="auto"/>
              </w:divBdr>
              <w:divsChild>
                <w:div w:id="671026388">
                  <w:marLeft w:val="0"/>
                  <w:marRight w:val="0"/>
                  <w:marTop w:val="0"/>
                  <w:marBottom w:val="0"/>
                  <w:divBdr>
                    <w:top w:val="none" w:sz="0" w:space="0" w:color="auto"/>
                    <w:left w:val="none" w:sz="0" w:space="0" w:color="auto"/>
                    <w:bottom w:val="none" w:sz="0" w:space="0" w:color="auto"/>
                    <w:right w:val="none" w:sz="0" w:space="0" w:color="auto"/>
                  </w:divBdr>
                </w:div>
              </w:divsChild>
            </w:div>
            <w:div w:id="986667389">
              <w:marLeft w:val="0"/>
              <w:marRight w:val="0"/>
              <w:marTop w:val="0"/>
              <w:marBottom w:val="0"/>
              <w:divBdr>
                <w:top w:val="none" w:sz="0" w:space="0" w:color="auto"/>
                <w:left w:val="none" w:sz="0" w:space="0" w:color="auto"/>
                <w:bottom w:val="none" w:sz="0" w:space="0" w:color="auto"/>
                <w:right w:val="none" w:sz="0" w:space="0" w:color="auto"/>
              </w:divBdr>
              <w:divsChild>
                <w:div w:id="244339112">
                  <w:marLeft w:val="0"/>
                  <w:marRight w:val="0"/>
                  <w:marTop w:val="0"/>
                  <w:marBottom w:val="0"/>
                  <w:divBdr>
                    <w:top w:val="none" w:sz="0" w:space="0" w:color="auto"/>
                    <w:left w:val="none" w:sz="0" w:space="0" w:color="auto"/>
                    <w:bottom w:val="none" w:sz="0" w:space="0" w:color="auto"/>
                    <w:right w:val="none" w:sz="0" w:space="0" w:color="auto"/>
                  </w:divBdr>
                </w:div>
              </w:divsChild>
            </w:div>
            <w:div w:id="1008100845">
              <w:marLeft w:val="0"/>
              <w:marRight w:val="0"/>
              <w:marTop w:val="0"/>
              <w:marBottom w:val="0"/>
              <w:divBdr>
                <w:top w:val="none" w:sz="0" w:space="0" w:color="auto"/>
                <w:left w:val="none" w:sz="0" w:space="0" w:color="auto"/>
                <w:bottom w:val="none" w:sz="0" w:space="0" w:color="auto"/>
                <w:right w:val="none" w:sz="0" w:space="0" w:color="auto"/>
              </w:divBdr>
              <w:divsChild>
                <w:div w:id="753822142">
                  <w:marLeft w:val="0"/>
                  <w:marRight w:val="0"/>
                  <w:marTop w:val="0"/>
                  <w:marBottom w:val="0"/>
                  <w:divBdr>
                    <w:top w:val="none" w:sz="0" w:space="0" w:color="auto"/>
                    <w:left w:val="none" w:sz="0" w:space="0" w:color="auto"/>
                    <w:bottom w:val="none" w:sz="0" w:space="0" w:color="auto"/>
                    <w:right w:val="none" w:sz="0" w:space="0" w:color="auto"/>
                  </w:divBdr>
                </w:div>
              </w:divsChild>
            </w:div>
            <w:div w:id="1296568298">
              <w:marLeft w:val="0"/>
              <w:marRight w:val="0"/>
              <w:marTop w:val="0"/>
              <w:marBottom w:val="0"/>
              <w:divBdr>
                <w:top w:val="none" w:sz="0" w:space="0" w:color="auto"/>
                <w:left w:val="none" w:sz="0" w:space="0" w:color="auto"/>
                <w:bottom w:val="none" w:sz="0" w:space="0" w:color="auto"/>
                <w:right w:val="none" w:sz="0" w:space="0" w:color="auto"/>
              </w:divBdr>
              <w:divsChild>
                <w:div w:id="1301959171">
                  <w:marLeft w:val="0"/>
                  <w:marRight w:val="0"/>
                  <w:marTop w:val="0"/>
                  <w:marBottom w:val="0"/>
                  <w:divBdr>
                    <w:top w:val="none" w:sz="0" w:space="0" w:color="auto"/>
                    <w:left w:val="none" w:sz="0" w:space="0" w:color="auto"/>
                    <w:bottom w:val="none" w:sz="0" w:space="0" w:color="auto"/>
                    <w:right w:val="none" w:sz="0" w:space="0" w:color="auto"/>
                  </w:divBdr>
                </w:div>
              </w:divsChild>
            </w:div>
            <w:div w:id="1322856562">
              <w:marLeft w:val="0"/>
              <w:marRight w:val="0"/>
              <w:marTop w:val="0"/>
              <w:marBottom w:val="0"/>
              <w:divBdr>
                <w:top w:val="none" w:sz="0" w:space="0" w:color="auto"/>
                <w:left w:val="none" w:sz="0" w:space="0" w:color="auto"/>
                <w:bottom w:val="none" w:sz="0" w:space="0" w:color="auto"/>
                <w:right w:val="none" w:sz="0" w:space="0" w:color="auto"/>
              </w:divBdr>
              <w:divsChild>
                <w:div w:id="1157920445">
                  <w:marLeft w:val="0"/>
                  <w:marRight w:val="0"/>
                  <w:marTop w:val="0"/>
                  <w:marBottom w:val="0"/>
                  <w:divBdr>
                    <w:top w:val="none" w:sz="0" w:space="0" w:color="auto"/>
                    <w:left w:val="none" w:sz="0" w:space="0" w:color="auto"/>
                    <w:bottom w:val="none" w:sz="0" w:space="0" w:color="auto"/>
                    <w:right w:val="none" w:sz="0" w:space="0" w:color="auto"/>
                  </w:divBdr>
                </w:div>
              </w:divsChild>
            </w:div>
            <w:div w:id="1354382416">
              <w:marLeft w:val="0"/>
              <w:marRight w:val="0"/>
              <w:marTop w:val="0"/>
              <w:marBottom w:val="0"/>
              <w:divBdr>
                <w:top w:val="none" w:sz="0" w:space="0" w:color="auto"/>
                <w:left w:val="none" w:sz="0" w:space="0" w:color="auto"/>
                <w:bottom w:val="none" w:sz="0" w:space="0" w:color="auto"/>
                <w:right w:val="none" w:sz="0" w:space="0" w:color="auto"/>
              </w:divBdr>
              <w:divsChild>
                <w:div w:id="750275678">
                  <w:marLeft w:val="0"/>
                  <w:marRight w:val="0"/>
                  <w:marTop w:val="0"/>
                  <w:marBottom w:val="0"/>
                  <w:divBdr>
                    <w:top w:val="none" w:sz="0" w:space="0" w:color="auto"/>
                    <w:left w:val="none" w:sz="0" w:space="0" w:color="auto"/>
                    <w:bottom w:val="none" w:sz="0" w:space="0" w:color="auto"/>
                    <w:right w:val="none" w:sz="0" w:space="0" w:color="auto"/>
                  </w:divBdr>
                </w:div>
              </w:divsChild>
            </w:div>
            <w:div w:id="1453094183">
              <w:marLeft w:val="0"/>
              <w:marRight w:val="0"/>
              <w:marTop w:val="0"/>
              <w:marBottom w:val="0"/>
              <w:divBdr>
                <w:top w:val="none" w:sz="0" w:space="0" w:color="auto"/>
                <w:left w:val="none" w:sz="0" w:space="0" w:color="auto"/>
                <w:bottom w:val="none" w:sz="0" w:space="0" w:color="auto"/>
                <w:right w:val="none" w:sz="0" w:space="0" w:color="auto"/>
              </w:divBdr>
              <w:divsChild>
                <w:div w:id="618028951">
                  <w:marLeft w:val="0"/>
                  <w:marRight w:val="0"/>
                  <w:marTop w:val="0"/>
                  <w:marBottom w:val="0"/>
                  <w:divBdr>
                    <w:top w:val="none" w:sz="0" w:space="0" w:color="auto"/>
                    <w:left w:val="none" w:sz="0" w:space="0" w:color="auto"/>
                    <w:bottom w:val="none" w:sz="0" w:space="0" w:color="auto"/>
                    <w:right w:val="none" w:sz="0" w:space="0" w:color="auto"/>
                  </w:divBdr>
                </w:div>
              </w:divsChild>
            </w:div>
            <w:div w:id="1454136808">
              <w:marLeft w:val="0"/>
              <w:marRight w:val="0"/>
              <w:marTop w:val="0"/>
              <w:marBottom w:val="0"/>
              <w:divBdr>
                <w:top w:val="none" w:sz="0" w:space="0" w:color="auto"/>
                <w:left w:val="none" w:sz="0" w:space="0" w:color="auto"/>
                <w:bottom w:val="none" w:sz="0" w:space="0" w:color="auto"/>
                <w:right w:val="none" w:sz="0" w:space="0" w:color="auto"/>
              </w:divBdr>
              <w:divsChild>
                <w:div w:id="354188292">
                  <w:marLeft w:val="0"/>
                  <w:marRight w:val="0"/>
                  <w:marTop w:val="0"/>
                  <w:marBottom w:val="0"/>
                  <w:divBdr>
                    <w:top w:val="none" w:sz="0" w:space="0" w:color="auto"/>
                    <w:left w:val="none" w:sz="0" w:space="0" w:color="auto"/>
                    <w:bottom w:val="none" w:sz="0" w:space="0" w:color="auto"/>
                    <w:right w:val="none" w:sz="0" w:space="0" w:color="auto"/>
                  </w:divBdr>
                </w:div>
              </w:divsChild>
            </w:div>
            <w:div w:id="1466200754">
              <w:marLeft w:val="0"/>
              <w:marRight w:val="0"/>
              <w:marTop w:val="0"/>
              <w:marBottom w:val="0"/>
              <w:divBdr>
                <w:top w:val="none" w:sz="0" w:space="0" w:color="auto"/>
                <w:left w:val="none" w:sz="0" w:space="0" w:color="auto"/>
                <w:bottom w:val="none" w:sz="0" w:space="0" w:color="auto"/>
                <w:right w:val="none" w:sz="0" w:space="0" w:color="auto"/>
              </w:divBdr>
              <w:divsChild>
                <w:div w:id="698550815">
                  <w:marLeft w:val="0"/>
                  <w:marRight w:val="0"/>
                  <w:marTop w:val="0"/>
                  <w:marBottom w:val="0"/>
                  <w:divBdr>
                    <w:top w:val="none" w:sz="0" w:space="0" w:color="auto"/>
                    <w:left w:val="none" w:sz="0" w:space="0" w:color="auto"/>
                    <w:bottom w:val="none" w:sz="0" w:space="0" w:color="auto"/>
                    <w:right w:val="none" w:sz="0" w:space="0" w:color="auto"/>
                  </w:divBdr>
                </w:div>
              </w:divsChild>
            </w:div>
            <w:div w:id="1623726170">
              <w:marLeft w:val="0"/>
              <w:marRight w:val="0"/>
              <w:marTop w:val="0"/>
              <w:marBottom w:val="0"/>
              <w:divBdr>
                <w:top w:val="none" w:sz="0" w:space="0" w:color="auto"/>
                <w:left w:val="none" w:sz="0" w:space="0" w:color="auto"/>
                <w:bottom w:val="none" w:sz="0" w:space="0" w:color="auto"/>
                <w:right w:val="none" w:sz="0" w:space="0" w:color="auto"/>
              </w:divBdr>
              <w:divsChild>
                <w:div w:id="117066399">
                  <w:marLeft w:val="0"/>
                  <w:marRight w:val="0"/>
                  <w:marTop w:val="0"/>
                  <w:marBottom w:val="0"/>
                  <w:divBdr>
                    <w:top w:val="none" w:sz="0" w:space="0" w:color="auto"/>
                    <w:left w:val="none" w:sz="0" w:space="0" w:color="auto"/>
                    <w:bottom w:val="none" w:sz="0" w:space="0" w:color="auto"/>
                    <w:right w:val="none" w:sz="0" w:space="0" w:color="auto"/>
                  </w:divBdr>
                </w:div>
              </w:divsChild>
            </w:div>
            <w:div w:id="1634748244">
              <w:marLeft w:val="0"/>
              <w:marRight w:val="0"/>
              <w:marTop w:val="0"/>
              <w:marBottom w:val="0"/>
              <w:divBdr>
                <w:top w:val="none" w:sz="0" w:space="0" w:color="auto"/>
                <w:left w:val="none" w:sz="0" w:space="0" w:color="auto"/>
                <w:bottom w:val="none" w:sz="0" w:space="0" w:color="auto"/>
                <w:right w:val="none" w:sz="0" w:space="0" w:color="auto"/>
              </w:divBdr>
              <w:divsChild>
                <w:div w:id="1809130818">
                  <w:marLeft w:val="0"/>
                  <w:marRight w:val="0"/>
                  <w:marTop w:val="0"/>
                  <w:marBottom w:val="0"/>
                  <w:divBdr>
                    <w:top w:val="none" w:sz="0" w:space="0" w:color="auto"/>
                    <w:left w:val="none" w:sz="0" w:space="0" w:color="auto"/>
                    <w:bottom w:val="none" w:sz="0" w:space="0" w:color="auto"/>
                    <w:right w:val="none" w:sz="0" w:space="0" w:color="auto"/>
                  </w:divBdr>
                </w:div>
              </w:divsChild>
            </w:div>
            <w:div w:id="1654986765">
              <w:marLeft w:val="0"/>
              <w:marRight w:val="0"/>
              <w:marTop w:val="0"/>
              <w:marBottom w:val="0"/>
              <w:divBdr>
                <w:top w:val="none" w:sz="0" w:space="0" w:color="auto"/>
                <w:left w:val="none" w:sz="0" w:space="0" w:color="auto"/>
                <w:bottom w:val="none" w:sz="0" w:space="0" w:color="auto"/>
                <w:right w:val="none" w:sz="0" w:space="0" w:color="auto"/>
              </w:divBdr>
              <w:divsChild>
                <w:div w:id="291132177">
                  <w:marLeft w:val="0"/>
                  <w:marRight w:val="0"/>
                  <w:marTop w:val="0"/>
                  <w:marBottom w:val="0"/>
                  <w:divBdr>
                    <w:top w:val="none" w:sz="0" w:space="0" w:color="auto"/>
                    <w:left w:val="none" w:sz="0" w:space="0" w:color="auto"/>
                    <w:bottom w:val="none" w:sz="0" w:space="0" w:color="auto"/>
                    <w:right w:val="none" w:sz="0" w:space="0" w:color="auto"/>
                  </w:divBdr>
                </w:div>
              </w:divsChild>
            </w:div>
            <w:div w:id="1705206186">
              <w:marLeft w:val="0"/>
              <w:marRight w:val="0"/>
              <w:marTop w:val="0"/>
              <w:marBottom w:val="0"/>
              <w:divBdr>
                <w:top w:val="none" w:sz="0" w:space="0" w:color="auto"/>
                <w:left w:val="none" w:sz="0" w:space="0" w:color="auto"/>
                <w:bottom w:val="none" w:sz="0" w:space="0" w:color="auto"/>
                <w:right w:val="none" w:sz="0" w:space="0" w:color="auto"/>
              </w:divBdr>
              <w:divsChild>
                <w:div w:id="1787381974">
                  <w:marLeft w:val="0"/>
                  <w:marRight w:val="0"/>
                  <w:marTop w:val="0"/>
                  <w:marBottom w:val="0"/>
                  <w:divBdr>
                    <w:top w:val="none" w:sz="0" w:space="0" w:color="auto"/>
                    <w:left w:val="none" w:sz="0" w:space="0" w:color="auto"/>
                    <w:bottom w:val="none" w:sz="0" w:space="0" w:color="auto"/>
                    <w:right w:val="none" w:sz="0" w:space="0" w:color="auto"/>
                  </w:divBdr>
                </w:div>
              </w:divsChild>
            </w:div>
            <w:div w:id="1860266754">
              <w:marLeft w:val="0"/>
              <w:marRight w:val="0"/>
              <w:marTop w:val="0"/>
              <w:marBottom w:val="0"/>
              <w:divBdr>
                <w:top w:val="none" w:sz="0" w:space="0" w:color="auto"/>
                <w:left w:val="none" w:sz="0" w:space="0" w:color="auto"/>
                <w:bottom w:val="none" w:sz="0" w:space="0" w:color="auto"/>
                <w:right w:val="none" w:sz="0" w:space="0" w:color="auto"/>
              </w:divBdr>
              <w:divsChild>
                <w:div w:id="1772966740">
                  <w:marLeft w:val="0"/>
                  <w:marRight w:val="0"/>
                  <w:marTop w:val="0"/>
                  <w:marBottom w:val="0"/>
                  <w:divBdr>
                    <w:top w:val="none" w:sz="0" w:space="0" w:color="auto"/>
                    <w:left w:val="none" w:sz="0" w:space="0" w:color="auto"/>
                    <w:bottom w:val="none" w:sz="0" w:space="0" w:color="auto"/>
                    <w:right w:val="none" w:sz="0" w:space="0" w:color="auto"/>
                  </w:divBdr>
                </w:div>
              </w:divsChild>
            </w:div>
            <w:div w:id="1888686621">
              <w:marLeft w:val="0"/>
              <w:marRight w:val="0"/>
              <w:marTop w:val="0"/>
              <w:marBottom w:val="0"/>
              <w:divBdr>
                <w:top w:val="none" w:sz="0" w:space="0" w:color="auto"/>
                <w:left w:val="none" w:sz="0" w:space="0" w:color="auto"/>
                <w:bottom w:val="none" w:sz="0" w:space="0" w:color="auto"/>
                <w:right w:val="none" w:sz="0" w:space="0" w:color="auto"/>
              </w:divBdr>
              <w:divsChild>
                <w:div w:id="627905096">
                  <w:marLeft w:val="0"/>
                  <w:marRight w:val="0"/>
                  <w:marTop w:val="0"/>
                  <w:marBottom w:val="0"/>
                  <w:divBdr>
                    <w:top w:val="none" w:sz="0" w:space="0" w:color="auto"/>
                    <w:left w:val="none" w:sz="0" w:space="0" w:color="auto"/>
                    <w:bottom w:val="none" w:sz="0" w:space="0" w:color="auto"/>
                    <w:right w:val="none" w:sz="0" w:space="0" w:color="auto"/>
                  </w:divBdr>
                </w:div>
              </w:divsChild>
            </w:div>
            <w:div w:id="1918511147">
              <w:marLeft w:val="0"/>
              <w:marRight w:val="0"/>
              <w:marTop w:val="0"/>
              <w:marBottom w:val="0"/>
              <w:divBdr>
                <w:top w:val="none" w:sz="0" w:space="0" w:color="auto"/>
                <w:left w:val="none" w:sz="0" w:space="0" w:color="auto"/>
                <w:bottom w:val="none" w:sz="0" w:space="0" w:color="auto"/>
                <w:right w:val="none" w:sz="0" w:space="0" w:color="auto"/>
              </w:divBdr>
              <w:divsChild>
                <w:div w:id="1162894289">
                  <w:marLeft w:val="0"/>
                  <w:marRight w:val="0"/>
                  <w:marTop w:val="0"/>
                  <w:marBottom w:val="0"/>
                  <w:divBdr>
                    <w:top w:val="none" w:sz="0" w:space="0" w:color="auto"/>
                    <w:left w:val="none" w:sz="0" w:space="0" w:color="auto"/>
                    <w:bottom w:val="none" w:sz="0" w:space="0" w:color="auto"/>
                    <w:right w:val="none" w:sz="0" w:space="0" w:color="auto"/>
                  </w:divBdr>
                </w:div>
              </w:divsChild>
            </w:div>
            <w:div w:id="2067413472">
              <w:marLeft w:val="0"/>
              <w:marRight w:val="0"/>
              <w:marTop w:val="0"/>
              <w:marBottom w:val="0"/>
              <w:divBdr>
                <w:top w:val="none" w:sz="0" w:space="0" w:color="auto"/>
                <w:left w:val="none" w:sz="0" w:space="0" w:color="auto"/>
                <w:bottom w:val="none" w:sz="0" w:space="0" w:color="auto"/>
                <w:right w:val="none" w:sz="0" w:space="0" w:color="auto"/>
              </w:divBdr>
              <w:divsChild>
                <w:div w:id="50347749">
                  <w:marLeft w:val="0"/>
                  <w:marRight w:val="0"/>
                  <w:marTop w:val="0"/>
                  <w:marBottom w:val="0"/>
                  <w:divBdr>
                    <w:top w:val="none" w:sz="0" w:space="0" w:color="auto"/>
                    <w:left w:val="none" w:sz="0" w:space="0" w:color="auto"/>
                    <w:bottom w:val="none" w:sz="0" w:space="0" w:color="auto"/>
                    <w:right w:val="none" w:sz="0" w:space="0" w:color="auto"/>
                  </w:divBdr>
                </w:div>
              </w:divsChild>
            </w:div>
            <w:div w:id="2081948289">
              <w:marLeft w:val="0"/>
              <w:marRight w:val="0"/>
              <w:marTop w:val="0"/>
              <w:marBottom w:val="0"/>
              <w:divBdr>
                <w:top w:val="none" w:sz="0" w:space="0" w:color="auto"/>
                <w:left w:val="none" w:sz="0" w:space="0" w:color="auto"/>
                <w:bottom w:val="none" w:sz="0" w:space="0" w:color="auto"/>
                <w:right w:val="none" w:sz="0" w:space="0" w:color="auto"/>
              </w:divBdr>
              <w:divsChild>
                <w:div w:id="103153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489463">
      <w:bodyDiv w:val="1"/>
      <w:marLeft w:val="0"/>
      <w:marRight w:val="0"/>
      <w:marTop w:val="0"/>
      <w:marBottom w:val="0"/>
      <w:divBdr>
        <w:top w:val="none" w:sz="0" w:space="0" w:color="auto"/>
        <w:left w:val="none" w:sz="0" w:space="0" w:color="auto"/>
        <w:bottom w:val="none" w:sz="0" w:space="0" w:color="auto"/>
        <w:right w:val="none" w:sz="0" w:space="0" w:color="auto"/>
      </w:divBdr>
    </w:div>
    <w:div w:id="1458719818">
      <w:bodyDiv w:val="1"/>
      <w:marLeft w:val="0"/>
      <w:marRight w:val="0"/>
      <w:marTop w:val="0"/>
      <w:marBottom w:val="0"/>
      <w:divBdr>
        <w:top w:val="none" w:sz="0" w:space="0" w:color="auto"/>
        <w:left w:val="none" w:sz="0" w:space="0" w:color="auto"/>
        <w:bottom w:val="none" w:sz="0" w:space="0" w:color="auto"/>
        <w:right w:val="none" w:sz="0" w:space="0" w:color="auto"/>
      </w:divBdr>
    </w:div>
    <w:div w:id="1461414062">
      <w:bodyDiv w:val="1"/>
      <w:marLeft w:val="0"/>
      <w:marRight w:val="0"/>
      <w:marTop w:val="0"/>
      <w:marBottom w:val="0"/>
      <w:divBdr>
        <w:top w:val="none" w:sz="0" w:space="0" w:color="auto"/>
        <w:left w:val="none" w:sz="0" w:space="0" w:color="auto"/>
        <w:bottom w:val="none" w:sz="0" w:space="0" w:color="auto"/>
        <w:right w:val="none" w:sz="0" w:space="0" w:color="auto"/>
      </w:divBdr>
    </w:div>
    <w:div w:id="1469472478">
      <w:bodyDiv w:val="1"/>
      <w:marLeft w:val="0"/>
      <w:marRight w:val="0"/>
      <w:marTop w:val="0"/>
      <w:marBottom w:val="0"/>
      <w:divBdr>
        <w:top w:val="none" w:sz="0" w:space="0" w:color="auto"/>
        <w:left w:val="none" w:sz="0" w:space="0" w:color="auto"/>
        <w:bottom w:val="none" w:sz="0" w:space="0" w:color="auto"/>
        <w:right w:val="none" w:sz="0" w:space="0" w:color="auto"/>
      </w:divBdr>
    </w:div>
    <w:div w:id="1474567727">
      <w:bodyDiv w:val="1"/>
      <w:marLeft w:val="0"/>
      <w:marRight w:val="0"/>
      <w:marTop w:val="0"/>
      <w:marBottom w:val="0"/>
      <w:divBdr>
        <w:top w:val="none" w:sz="0" w:space="0" w:color="auto"/>
        <w:left w:val="none" w:sz="0" w:space="0" w:color="auto"/>
        <w:bottom w:val="none" w:sz="0" w:space="0" w:color="auto"/>
        <w:right w:val="none" w:sz="0" w:space="0" w:color="auto"/>
      </w:divBdr>
    </w:div>
    <w:div w:id="1475633858">
      <w:bodyDiv w:val="1"/>
      <w:marLeft w:val="0"/>
      <w:marRight w:val="0"/>
      <w:marTop w:val="0"/>
      <w:marBottom w:val="0"/>
      <w:divBdr>
        <w:top w:val="none" w:sz="0" w:space="0" w:color="auto"/>
        <w:left w:val="none" w:sz="0" w:space="0" w:color="auto"/>
        <w:bottom w:val="none" w:sz="0" w:space="0" w:color="auto"/>
        <w:right w:val="none" w:sz="0" w:space="0" w:color="auto"/>
      </w:divBdr>
    </w:div>
    <w:div w:id="1480883256">
      <w:bodyDiv w:val="1"/>
      <w:marLeft w:val="0"/>
      <w:marRight w:val="0"/>
      <w:marTop w:val="0"/>
      <w:marBottom w:val="0"/>
      <w:divBdr>
        <w:top w:val="none" w:sz="0" w:space="0" w:color="auto"/>
        <w:left w:val="none" w:sz="0" w:space="0" w:color="auto"/>
        <w:bottom w:val="none" w:sz="0" w:space="0" w:color="auto"/>
        <w:right w:val="none" w:sz="0" w:space="0" w:color="auto"/>
      </w:divBdr>
      <w:divsChild>
        <w:div w:id="1708945541">
          <w:marLeft w:val="274"/>
          <w:marRight w:val="0"/>
          <w:marTop w:val="120"/>
          <w:marBottom w:val="0"/>
          <w:divBdr>
            <w:top w:val="none" w:sz="0" w:space="0" w:color="auto"/>
            <w:left w:val="none" w:sz="0" w:space="0" w:color="auto"/>
            <w:bottom w:val="none" w:sz="0" w:space="0" w:color="auto"/>
            <w:right w:val="none" w:sz="0" w:space="0" w:color="auto"/>
          </w:divBdr>
        </w:div>
      </w:divsChild>
    </w:div>
    <w:div w:id="1482501116">
      <w:bodyDiv w:val="1"/>
      <w:marLeft w:val="0"/>
      <w:marRight w:val="0"/>
      <w:marTop w:val="0"/>
      <w:marBottom w:val="0"/>
      <w:divBdr>
        <w:top w:val="none" w:sz="0" w:space="0" w:color="auto"/>
        <w:left w:val="none" w:sz="0" w:space="0" w:color="auto"/>
        <w:bottom w:val="none" w:sz="0" w:space="0" w:color="auto"/>
        <w:right w:val="none" w:sz="0" w:space="0" w:color="auto"/>
      </w:divBdr>
    </w:div>
    <w:div w:id="1484202190">
      <w:bodyDiv w:val="1"/>
      <w:marLeft w:val="0"/>
      <w:marRight w:val="0"/>
      <w:marTop w:val="0"/>
      <w:marBottom w:val="0"/>
      <w:divBdr>
        <w:top w:val="none" w:sz="0" w:space="0" w:color="auto"/>
        <w:left w:val="none" w:sz="0" w:space="0" w:color="auto"/>
        <w:bottom w:val="none" w:sz="0" w:space="0" w:color="auto"/>
        <w:right w:val="none" w:sz="0" w:space="0" w:color="auto"/>
      </w:divBdr>
    </w:div>
    <w:div w:id="1486434327">
      <w:bodyDiv w:val="1"/>
      <w:marLeft w:val="0"/>
      <w:marRight w:val="0"/>
      <w:marTop w:val="0"/>
      <w:marBottom w:val="0"/>
      <w:divBdr>
        <w:top w:val="none" w:sz="0" w:space="0" w:color="auto"/>
        <w:left w:val="none" w:sz="0" w:space="0" w:color="auto"/>
        <w:bottom w:val="none" w:sz="0" w:space="0" w:color="auto"/>
        <w:right w:val="none" w:sz="0" w:space="0" w:color="auto"/>
      </w:divBdr>
    </w:div>
    <w:div w:id="1495609155">
      <w:bodyDiv w:val="1"/>
      <w:marLeft w:val="0"/>
      <w:marRight w:val="0"/>
      <w:marTop w:val="0"/>
      <w:marBottom w:val="0"/>
      <w:divBdr>
        <w:top w:val="none" w:sz="0" w:space="0" w:color="auto"/>
        <w:left w:val="none" w:sz="0" w:space="0" w:color="auto"/>
        <w:bottom w:val="none" w:sz="0" w:space="0" w:color="auto"/>
        <w:right w:val="none" w:sz="0" w:space="0" w:color="auto"/>
      </w:divBdr>
    </w:div>
    <w:div w:id="1501241032">
      <w:bodyDiv w:val="1"/>
      <w:marLeft w:val="0"/>
      <w:marRight w:val="0"/>
      <w:marTop w:val="0"/>
      <w:marBottom w:val="0"/>
      <w:divBdr>
        <w:top w:val="none" w:sz="0" w:space="0" w:color="auto"/>
        <w:left w:val="none" w:sz="0" w:space="0" w:color="auto"/>
        <w:bottom w:val="none" w:sz="0" w:space="0" w:color="auto"/>
        <w:right w:val="none" w:sz="0" w:space="0" w:color="auto"/>
      </w:divBdr>
    </w:div>
    <w:div w:id="1501970072">
      <w:bodyDiv w:val="1"/>
      <w:marLeft w:val="0"/>
      <w:marRight w:val="0"/>
      <w:marTop w:val="0"/>
      <w:marBottom w:val="0"/>
      <w:divBdr>
        <w:top w:val="none" w:sz="0" w:space="0" w:color="auto"/>
        <w:left w:val="none" w:sz="0" w:space="0" w:color="auto"/>
        <w:bottom w:val="none" w:sz="0" w:space="0" w:color="auto"/>
        <w:right w:val="none" w:sz="0" w:space="0" w:color="auto"/>
      </w:divBdr>
      <w:divsChild>
        <w:div w:id="48382442">
          <w:marLeft w:val="0"/>
          <w:marRight w:val="0"/>
          <w:marTop w:val="0"/>
          <w:marBottom w:val="0"/>
          <w:divBdr>
            <w:top w:val="none" w:sz="0" w:space="0" w:color="auto"/>
            <w:left w:val="none" w:sz="0" w:space="0" w:color="auto"/>
            <w:bottom w:val="none" w:sz="0" w:space="0" w:color="auto"/>
            <w:right w:val="none" w:sz="0" w:space="0" w:color="auto"/>
          </w:divBdr>
          <w:divsChild>
            <w:div w:id="972712647">
              <w:marLeft w:val="0"/>
              <w:marRight w:val="0"/>
              <w:marTop w:val="0"/>
              <w:marBottom w:val="0"/>
              <w:divBdr>
                <w:top w:val="none" w:sz="0" w:space="0" w:color="auto"/>
                <w:left w:val="none" w:sz="0" w:space="0" w:color="auto"/>
                <w:bottom w:val="none" w:sz="0" w:space="0" w:color="auto"/>
                <w:right w:val="none" w:sz="0" w:space="0" w:color="auto"/>
              </w:divBdr>
            </w:div>
          </w:divsChild>
        </w:div>
        <w:div w:id="87772982">
          <w:marLeft w:val="0"/>
          <w:marRight w:val="0"/>
          <w:marTop w:val="0"/>
          <w:marBottom w:val="0"/>
          <w:divBdr>
            <w:top w:val="none" w:sz="0" w:space="0" w:color="auto"/>
            <w:left w:val="none" w:sz="0" w:space="0" w:color="auto"/>
            <w:bottom w:val="none" w:sz="0" w:space="0" w:color="auto"/>
            <w:right w:val="none" w:sz="0" w:space="0" w:color="auto"/>
          </w:divBdr>
          <w:divsChild>
            <w:div w:id="1486630812">
              <w:marLeft w:val="0"/>
              <w:marRight w:val="0"/>
              <w:marTop w:val="0"/>
              <w:marBottom w:val="0"/>
              <w:divBdr>
                <w:top w:val="none" w:sz="0" w:space="0" w:color="auto"/>
                <w:left w:val="none" w:sz="0" w:space="0" w:color="auto"/>
                <w:bottom w:val="none" w:sz="0" w:space="0" w:color="auto"/>
                <w:right w:val="none" w:sz="0" w:space="0" w:color="auto"/>
              </w:divBdr>
            </w:div>
          </w:divsChild>
        </w:div>
        <w:div w:id="106701558">
          <w:marLeft w:val="0"/>
          <w:marRight w:val="0"/>
          <w:marTop w:val="0"/>
          <w:marBottom w:val="0"/>
          <w:divBdr>
            <w:top w:val="none" w:sz="0" w:space="0" w:color="auto"/>
            <w:left w:val="none" w:sz="0" w:space="0" w:color="auto"/>
            <w:bottom w:val="none" w:sz="0" w:space="0" w:color="auto"/>
            <w:right w:val="none" w:sz="0" w:space="0" w:color="auto"/>
          </w:divBdr>
          <w:divsChild>
            <w:div w:id="631251273">
              <w:marLeft w:val="0"/>
              <w:marRight w:val="0"/>
              <w:marTop w:val="0"/>
              <w:marBottom w:val="0"/>
              <w:divBdr>
                <w:top w:val="none" w:sz="0" w:space="0" w:color="auto"/>
                <w:left w:val="none" w:sz="0" w:space="0" w:color="auto"/>
                <w:bottom w:val="none" w:sz="0" w:space="0" w:color="auto"/>
                <w:right w:val="none" w:sz="0" w:space="0" w:color="auto"/>
              </w:divBdr>
            </w:div>
          </w:divsChild>
        </w:div>
        <w:div w:id="129633385">
          <w:marLeft w:val="0"/>
          <w:marRight w:val="0"/>
          <w:marTop w:val="0"/>
          <w:marBottom w:val="0"/>
          <w:divBdr>
            <w:top w:val="none" w:sz="0" w:space="0" w:color="auto"/>
            <w:left w:val="none" w:sz="0" w:space="0" w:color="auto"/>
            <w:bottom w:val="none" w:sz="0" w:space="0" w:color="auto"/>
            <w:right w:val="none" w:sz="0" w:space="0" w:color="auto"/>
          </w:divBdr>
          <w:divsChild>
            <w:div w:id="1507817551">
              <w:marLeft w:val="0"/>
              <w:marRight w:val="0"/>
              <w:marTop w:val="0"/>
              <w:marBottom w:val="0"/>
              <w:divBdr>
                <w:top w:val="none" w:sz="0" w:space="0" w:color="auto"/>
                <w:left w:val="none" w:sz="0" w:space="0" w:color="auto"/>
                <w:bottom w:val="none" w:sz="0" w:space="0" w:color="auto"/>
                <w:right w:val="none" w:sz="0" w:space="0" w:color="auto"/>
              </w:divBdr>
            </w:div>
          </w:divsChild>
        </w:div>
        <w:div w:id="134492985">
          <w:marLeft w:val="0"/>
          <w:marRight w:val="0"/>
          <w:marTop w:val="0"/>
          <w:marBottom w:val="0"/>
          <w:divBdr>
            <w:top w:val="none" w:sz="0" w:space="0" w:color="auto"/>
            <w:left w:val="none" w:sz="0" w:space="0" w:color="auto"/>
            <w:bottom w:val="none" w:sz="0" w:space="0" w:color="auto"/>
            <w:right w:val="none" w:sz="0" w:space="0" w:color="auto"/>
          </w:divBdr>
          <w:divsChild>
            <w:div w:id="1949434153">
              <w:marLeft w:val="0"/>
              <w:marRight w:val="0"/>
              <w:marTop w:val="0"/>
              <w:marBottom w:val="0"/>
              <w:divBdr>
                <w:top w:val="none" w:sz="0" w:space="0" w:color="auto"/>
                <w:left w:val="none" w:sz="0" w:space="0" w:color="auto"/>
                <w:bottom w:val="none" w:sz="0" w:space="0" w:color="auto"/>
                <w:right w:val="none" w:sz="0" w:space="0" w:color="auto"/>
              </w:divBdr>
            </w:div>
          </w:divsChild>
        </w:div>
        <w:div w:id="167600526">
          <w:marLeft w:val="0"/>
          <w:marRight w:val="0"/>
          <w:marTop w:val="0"/>
          <w:marBottom w:val="0"/>
          <w:divBdr>
            <w:top w:val="none" w:sz="0" w:space="0" w:color="auto"/>
            <w:left w:val="none" w:sz="0" w:space="0" w:color="auto"/>
            <w:bottom w:val="none" w:sz="0" w:space="0" w:color="auto"/>
            <w:right w:val="none" w:sz="0" w:space="0" w:color="auto"/>
          </w:divBdr>
          <w:divsChild>
            <w:div w:id="595601851">
              <w:marLeft w:val="0"/>
              <w:marRight w:val="0"/>
              <w:marTop w:val="0"/>
              <w:marBottom w:val="0"/>
              <w:divBdr>
                <w:top w:val="none" w:sz="0" w:space="0" w:color="auto"/>
                <w:left w:val="none" w:sz="0" w:space="0" w:color="auto"/>
                <w:bottom w:val="none" w:sz="0" w:space="0" w:color="auto"/>
                <w:right w:val="none" w:sz="0" w:space="0" w:color="auto"/>
              </w:divBdr>
            </w:div>
          </w:divsChild>
        </w:div>
        <w:div w:id="191040455">
          <w:marLeft w:val="0"/>
          <w:marRight w:val="0"/>
          <w:marTop w:val="0"/>
          <w:marBottom w:val="0"/>
          <w:divBdr>
            <w:top w:val="none" w:sz="0" w:space="0" w:color="auto"/>
            <w:left w:val="none" w:sz="0" w:space="0" w:color="auto"/>
            <w:bottom w:val="none" w:sz="0" w:space="0" w:color="auto"/>
            <w:right w:val="none" w:sz="0" w:space="0" w:color="auto"/>
          </w:divBdr>
          <w:divsChild>
            <w:div w:id="1719743849">
              <w:marLeft w:val="0"/>
              <w:marRight w:val="0"/>
              <w:marTop w:val="0"/>
              <w:marBottom w:val="0"/>
              <w:divBdr>
                <w:top w:val="none" w:sz="0" w:space="0" w:color="auto"/>
                <w:left w:val="none" w:sz="0" w:space="0" w:color="auto"/>
                <w:bottom w:val="none" w:sz="0" w:space="0" w:color="auto"/>
                <w:right w:val="none" w:sz="0" w:space="0" w:color="auto"/>
              </w:divBdr>
            </w:div>
          </w:divsChild>
        </w:div>
        <w:div w:id="247464484">
          <w:marLeft w:val="0"/>
          <w:marRight w:val="0"/>
          <w:marTop w:val="0"/>
          <w:marBottom w:val="0"/>
          <w:divBdr>
            <w:top w:val="none" w:sz="0" w:space="0" w:color="auto"/>
            <w:left w:val="none" w:sz="0" w:space="0" w:color="auto"/>
            <w:bottom w:val="none" w:sz="0" w:space="0" w:color="auto"/>
            <w:right w:val="none" w:sz="0" w:space="0" w:color="auto"/>
          </w:divBdr>
          <w:divsChild>
            <w:div w:id="167789156">
              <w:marLeft w:val="0"/>
              <w:marRight w:val="0"/>
              <w:marTop w:val="0"/>
              <w:marBottom w:val="0"/>
              <w:divBdr>
                <w:top w:val="none" w:sz="0" w:space="0" w:color="auto"/>
                <w:left w:val="none" w:sz="0" w:space="0" w:color="auto"/>
                <w:bottom w:val="none" w:sz="0" w:space="0" w:color="auto"/>
                <w:right w:val="none" w:sz="0" w:space="0" w:color="auto"/>
              </w:divBdr>
            </w:div>
          </w:divsChild>
        </w:div>
        <w:div w:id="256408631">
          <w:marLeft w:val="0"/>
          <w:marRight w:val="0"/>
          <w:marTop w:val="0"/>
          <w:marBottom w:val="0"/>
          <w:divBdr>
            <w:top w:val="none" w:sz="0" w:space="0" w:color="auto"/>
            <w:left w:val="none" w:sz="0" w:space="0" w:color="auto"/>
            <w:bottom w:val="none" w:sz="0" w:space="0" w:color="auto"/>
            <w:right w:val="none" w:sz="0" w:space="0" w:color="auto"/>
          </w:divBdr>
          <w:divsChild>
            <w:div w:id="672609497">
              <w:marLeft w:val="0"/>
              <w:marRight w:val="0"/>
              <w:marTop w:val="0"/>
              <w:marBottom w:val="0"/>
              <w:divBdr>
                <w:top w:val="none" w:sz="0" w:space="0" w:color="auto"/>
                <w:left w:val="none" w:sz="0" w:space="0" w:color="auto"/>
                <w:bottom w:val="none" w:sz="0" w:space="0" w:color="auto"/>
                <w:right w:val="none" w:sz="0" w:space="0" w:color="auto"/>
              </w:divBdr>
            </w:div>
          </w:divsChild>
        </w:div>
        <w:div w:id="257445113">
          <w:marLeft w:val="0"/>
          <w:marRight w:val="0"/>
          <w:marTop w:val="0"/>
          <w:marBottom w:val="0"/>
          <w:divBdr>
            <w:top w:val="none" w:sz="0" w:space="0" w:color="auto"/>
            <w:left w:val="none" w:sz="0" w:space="0" w:color="auto"/>
            <w:bottom w:val="none" w:sz="0" w:space="0" w:color="auto"/>
            <w:right w:val="none" w:sz="0" w:space="0" w:color="auto"/>
          </w:divBdr>
          <w:divsChild>
            <w:div w:id="1180316759">
              <w:marLeft w:val="0"/>
              <w:marRight w:val="0"/>
              <w:marTop w:val="0"/>
              <w:marBottom w:val="0"/>
              <w:divBdr>
                <w:top w:val="none" w:sz="0" w:space="0" w:color="auto"/>
                <w:left w:val="none" w:sz="0" w:space="0" w:color="auto"/>
                <w:bottom w:val="none" w:sz="0" w:space="0" w:color="auto"/>
                <w:right w:val="none" w:sz="0" w:space="0" w:color="auto"/>
              </w:divBdr>
            </w:div>
          </w:divsChild>
        </w:div>
        <w:div w:id="261647504">
          <w:marLeft w:val="0"/>
          <w:marRight w:val="0"/>
          <w:marTop w:val="0"/>
          <w:marBottom w:val="0"/>
          <w:divBdr>
            <w:top w:val="none" w:sz="0" w:space="0" w:color="auto"/>
            <w:left w:val="none" w:sz="0" w:space="0" w:color="auto"/>
            <w:bottom w:val="none" w:sz="0" w:space="0" w:color="auto"/>
            <w:right w:val="none" w:sz="0" w:space="0" w:color="auto"/>
          </w:divBdr>
          <w:divsChild>
            <w:div w:id="898788583">
              <w:marLeft w:val="0"/>
              <w:marRight w:val="0"/>
              <w:marTop w:val="0"/>
              <w:marBottom w:val="0"/>
              <w:divBdr>
                <w:top w:val="none" w:sz="0" w:space="0" w:color="auto"/>
                <w:left w:val="none" w:sz="0" w:space="0" w:color="auto"/>
                <w:bottom w:val="none" w:sz="0" w:space="0" w:color="auto"/>
                <w:right w:val="none" w:sz="0" w:space="0" w:color="auto"/>
              </w:divBdr>
            </w:div>
          </w:divsChild>
        </w:div>
        <w:div w:id="281808755">
          <w:marLeft w:val="0"/>
          <w:marRight w:val="0"/>
          <w:marTop w:val="0"/>
          <w:marBottom w:val="0"/>
          <w:divBdr>
            <w:top w:val="none" w:sz="0" w:space="0" w:color="auto"/>
            <w:left w:val="none" w:sz="0" w:space="0" w:color="auto"/>
            <w:bottom w:val="none" w:sz="0" w:space="0" w:color="auto"/>
            <w:right w:val="none" w:sz="0" w:space="0" w:color="auto"/>
          </w:divBdr>
          <w:divsChild>
            <w:div w:id="1319460307">
              <w:marLeft w:val="0"/>
              <w:marRight w:val="0"/>
              <w:marTop w:val="0"/>
              <w:marBottom w:val="0"/>
              <w:divBdr>
                <w:top w:val="none" w:sz="0" w:space="0" w:color="auto"/>
                <w:left w:val="none" w:sz="0" w:space="0" w:color="auto"/>
                <w:bottom w:val="none" w:sz="0" w:space="0" w:color="auto"/>
                <w:right w:val="none" w:sz="0" w:space="0" w:color="auto"/>
              </w:divBdr>
            </w:div>
          </w:divsChild>
        </w:div>
        <w:div w:id="300423900">
          <w:marLeft w:val="0"/>
          <w:marRight w:val="0"/>
          <w:marTop w:val="0"/>
          <w:marBottom w:val="0"/>
          <w:divBdr>
            <w:top w:val="none" w:sz="0" w:space="0" w:color="auto"/>
            <w:left w:val="none" w:sz="0" w:space="0" w:color="auto"/>
            <w:bottom w:val="none" w:sz="0" w:space="0" w:color="auto"/>
            <w:right w:val="none" w:sz="0" w:space="0" w:color="auto"/>
          </w:divBdr>
          <w:divsChild>
            <w:div w:id="733964876">
              <w:marLeft w:val="0"/>
              <w:marRight w:val="0"/>
              <w:marTop w:val="0"/>
              <w:marBottom w:val="0"/>
              <w:divBdr>
                <w:top w:val="none" w:sz="0" w:space="0" w:color="auto"/>
                <w:left w:val="none" w:sz="0" w:space="0" w:color="auto"/>
                <w:bottom w:val="none" w:sz="0" w:space="0" w:color="auto"/>
                <w:right w:val="none" w:sz="0" w:space="0" w:color="auto"/>
              </w:divBdr>
            </w:div>
          </w:divsChild>
        </w:div>
        <w:div w:id="328338086">
          <w:marLeft w:val="0"/>
          <w:marRight w:val="0"/>
          <w:marTop w:val="0"/>
          <w:marBottom w:val="0"/>
          <w:divBdr>
            <w:top w:val="none" w:sz="0" w:space="0" w:color="auto"/>
            <w:left w:val="none" w:sz="0" w:space="0" w:color="auto"/>
            <w:bottom w:val="none" w:sz="0" w:space="0" w:color="auto"/>
            <w:right w:val="none" w:sz="0" w:space="0" w:color="auto"/>
          </w:divBdr>
          <w:divsChild>
            <w:div w:id="250435717">
              <w:marLeft w:val="0"/>
              <w:marRight w:val="0"/>
              <w:marTop w:val="0"/>
              <w:marBottom w:val="0"/>
              <w:divBdr>
                <w:top w:val="none" w:sz="0" w:space="0" w:color="auto"/>
                <w:left w:val="none" w:sz="0" w:space="0" w:color="auto"/>
                <w:bottom w:val="none" w:sz="0" w:space="0" w:color="auto"/>
                <w:right w:val="none" w:sz="0" w:space="0" w:color="auto"/>
              </w:divBdr>
            </w:div>
          </w:divsChild>
        </w:div>
        <w:div w:id="385643823">
          <w:marLeft w:val="0"/>
          <w:marRight w:val="0"/>
          <w:marTop w:val="0"/>
          <w:marBottom w:val="0"/>
          <w:divBdr>
            <w:top w:val="none" w:sz="0" w:space="0" w:color="auto"/>
            <w:left w:val="none" w:sz="0" w:space="0" w:color="auto"/>
            <w:bottom w:val="none" w:sz="0" w:space="0" w:color="auto"/>
            <w:right w:val="none" w:sz="0" w:space="0" w:color="auto"/>
          </w:divBdr>
          <w:divsChild>
            <w:div w:id="1387143468">
              <w:marLeft w:val="0"/>
              <w:marRight w:val="0"/>
              <w:marTop w:val="0"/>
              <w:marBottom w:val="0"/>
              <w:divBdr>
                <w:top w:val="none" w:sz="0" w:space="0" w:color="auto"/>
                <w:left w:val="none" w:sz="0" w:space="0" w:color="auto"/>
                <w:bottom w:val="none" w:sz="0" w:space="0" w:color="auto"/>
                <w:right w:val="none" w:sz="0" w:space="0" w:color="auto"/>
              </w:divBdr>
            </w:div>
          </w:divsChild>
        </w:div>
        <w:div w:id="502665693">
          <w:marLeft w:val="0"/>
          <w:marRight w:val="0"/>
          <w:marTop w:val="0"/>
          <w:marBottom w:val="0"/>
          <w:divBdr>
            <w:top w:val="none" w:sz="0" w:space="0" w:color="auto"/>
            <w:left w:val="none" w:sz="0" w:space="0" w:color="auto"/>
            <w:bottom w:val="none" w:sz="0" w:space="0" w:color="auto"/>
            <w:right w:val="none" w:sz="0" w:space="0" w:color="auto"/>
          </w:divBdr>
          <w:divsChild>
            <w:div w:id="1604337959">
              <w:marLeft w:val="0"/>
              <w:marRight w:val="0"/>
              <w:marTop w:val="0"/>
              <w:marBottom w:val="0"/>
              <w:divBdr>
                <w:top w:val="none" w:sz="0" w:space="0" w:color="auto"/>
                <w:left w:val="none" w:sz="0" w:space="0" w:color="auto"/>
                <w:bottom w:val="none" w:sz="0" w:space="0" w:color="auto"/>
                <w:right w:val="none" w:sz="0" w:space="0" w:color="auto"/>
              </w:divBdr>
            </w:div>
          </w:divsChild>
        </w:div>
        <w:div w:id="554779256">
          <w:marLeft w:val="0"/>
          <w:marRight w:val="0"/>
          <w:marTop w:val="0"/>
          <w:marBottom w:val="0"/>
          <w:divBdr>
            <w:top w:val="none" w:sz="0" w:space="0" w:color="auto"/>
            <w:left w:val="none" w:sz="0" w:space="0" w:color="auto"/>
            <w:bottom w:val="none" w:sz="0" w:space="0" w:color="auto"/>
            <w:right w:val="none" w:sz="0" w:space="0" w:color="auto"/>
          </w:divBdr>
          <w:divsChild>
            <w:div w:id="575211021">
              <w:marLeft w:val="0"/>
              <w:marRight w:val="0"/>
              <w:marTop w:val="0"/>
              <w:marBottom w:val="0"/>
              <w:divBdr>
                <w:top w:val="none" w:sz="0" w:space="0" w:color="auto"/>
                <w:left w:val="none" w:sz="0" w:space="0" w:color="auto"/>
                <w:bottom w:val="none" w:sz="0" w:space="0" w:color="auto"/>
                <w:right w:val="none" w:sz="0" w:space="0" w:color="auto"/>
              </w:divBdr>
            </w:div>
          </w:divsChild>
        </w:div>
        <w:div w:id="610866051">
          <w:marLeft w:val="0"/>
          <w:marRight w:val="0"/>
          <w:marTop w:val="0"/>
          <w:marBottom w:val="0"/>
          <w:divBdr>
            <w:top w:val="none" w:sz="0" w:space="0" w:color="auto"/>
            <w:left w:val="none" w:sz="0" w:space="0" w:color="auto"/>
            <w:bottom w:val="none" w:sz="0" w:space="0" w:color="auto"/>
            <w:right w:val="none" w:sz="0" w:space="0" w:color="auto"/>
          </w:divBdr>
          <w:divsChild>
            <w:div w:id="808859009">
              <w:marLeft w:val="0"/>
              <w:marRight w:val="0"/>
              <w:marTop w:val="0"/>
              <w:marBottom w:val="0"/>
              <w:divBdr>
                <w:top w:val="none" w:sz="0" w:space="0" w:color="auto"/>
                <w:left w:val="none" w:sz="0" w:space="0" w:color="auto"/>
                <w:bottom w:val="none" w:sz="0" w:space="0" w:color="auto"/>
                <w:right w:val="none" w:sz="0" w:space="0" w:color="auto"/>
              </w:divBdr>
            </w:div>
          </w:divsChild>
        </w:div>
        <w:div w:id="630330457">
          <w:marLeft w:val="0"/>
          <w:marRight w:val="0"/>
          <w:marTop w:val="0"/>
          <w:marBottom w:val="0"/>
          <w:divBdr>
            <w:top w:val="none" w:sz="0" w:space="0" w:color="auto"/>
            <w:left w:val="none" w:sz="0" w:space="0" w:color="auto"/>
            <w:bottom w:val="none" w:sz="0" w:space="0" w:color="auto"/>
            <w:right w:val="none" w:sz="0" w:space="0" w:color="auto"/>
          </w:divBdr>
          <w:divsChild>
            <w:div w:id="2057191329">
              <w:marLeft w:val="0"/>
              <w:marRight w:val="0"/>
              <w:marTop w:val="0"/>
              <w:marBottom w:val="0"/>
              <w:divBdr>
                <w:top w:val="none" w:sz="0" w:space="0" w:color="auto"/>
                <w:left w:val="none" w:sz="0" w:space="0" w:color="auto"/>
                <w:bottom w:val="none" w:sz="0" w:space="0" w:color="auto"/>
                <w:right w:val="none" w:sz="0" w:space="0" w:color="auto"/>
              </w:divBdr>
            </w:div>
          </w:divsChild>
        </w:div>
        <w:div w:id="646663561">
          <w:marLeft w:val="0"/>
          <w:marRight w:val="0"/>
          <w:marTop w:val="0"/>
          <w:marBottom w:val="0"/>
          <w:divBdr>
            <w:top w:val="none" w:sz="0" w:space="0" w:color="auto"/>
            <w:left w:val="none" w:sz="0" w:space="0" w:color="auto"/>
            <w:bottom w:val="none" w:sz="0" w:space="0" w:color="auto"/>
            <w:right w:val="none" w:sz="0" w:space="0" w:color="auto"/>
          </w:divBdr>
          <w:divsChild>
            <w:div w:id="2038502055">
              <w:marLeft w:val="0"/>
              <w:marRight w:val="0"/>
              <w:marTop w:val="0"/>
              <w:marBottom w:val="0"/>
              <w:divBdr>
                <w:top w:val="none" w:sz="0" w:space="0" w:color="auto"/>
                <w:left w:val="none" w:sz="0" w:space="0" w:color="auto"/>
                <w:bottom w:val="none" w:sz="0" w:space="0" w:color="auto"/>
                <w:right w:val="none" w:sz="0" w:space="0" w:color="auto"/>
              </w:divBdr>
            </w:div>
          </w:divsChild>
        </w:div>
        <w:div w:id="651494151">
          <w:marLeft w:val="0"/>
          <w:marRight w:val="0"/>
          <w:marTop w:val="0"/>
          <w:marBottom w:val="0"/>
          <w:divBdr>
            <w:top w:val="none" w:sz="0" w:space="0" w:color="auto"/>
            <w:left w:val="none" w:sz="0" w:space="0" w:color="auto"/>
            <w:bottom w:val="none" w:sz="0" w:space="0" w:color="auto"/>
            <w:right w:val="none" w:sz="0" w:space="0" w:color="auto"/>
          </w:divBdr>
          <w:divsChild>
            <w:div w:id="1762868329">
              <w:marLeft w:val="0"/>
              <w:marRight w:val="0"/>
              <w:marTop w:val="0"/>
              <w:marBottom w:val="0"/>
              <w:divBdr>
                <w:top w:val="none" w:sz="0" w:space="0" w:color="auto"/>
                <w:left w:val="none" w:sz="0" w:space="0" w:color="auto"/>
                <w:bottom w:val="none" w:sz="0" w:space="0" w:color="auto"/>
                <w:right w:val="none" w:sz="0" w:space="0" w:color="auto"/>
              </w:divBdr>
            </w:div>
          </w:divsChild>
        </w:div>
        <w:div w:id="677540504">
          <w:marLeft w:val="0"/>
          <w:marRight w:val="0"/>
          <w:marTop w:val="0"/>
          <w:marBottom w:val="0"/>
          <w:divBdr>
            <w:top w:val="none" w:sz="0" w:space="0" w:color="auto"/>
            <w:left w:val="none" w:sz="0" w:space="0" w:color="auto"/>
            <w:bottom w:val="none" w:sz="0" w:space="0" w:color="auto"/>
            <w:right w:val="none" w:sz="0" w:space="0" w:color="auto"/>
          </w:divBdr>
          <w:divsChild>
            <w:div w:id="486095483">
              <w:marLeft w:val="0"/>
              <w:marRight w:val="0"/>
              <w:marTop w:val="0"/>
              <w:marBottom w:val="0"/>
              <w:divBdr>
                <w:top w:val="none" w:sz="0" w:space="0" w:color="auto"/>
                <w:left w:val="none" w:sz="0" w:space="0" w:color="auto"/>
                <w:bottom w:val="none" w:sz="0" w:space="0" w:color="auto"/>
                <w:right w:val="none" w:sz="0" w:space="0" w:color="auto"/>
              </w:divBdr>
            </w:div>
          </w:divsChild>
        </w:div>
        <w:div w:id="704209821">
          <w:marLeft w:val="0"/>
          <w:marRight w:val="0"/>
          <w:marTop w:val="0"/>
          <w:marBottom w:val="0"/>
          <w:divBdr>
            <w:top w:val="none" w:sz="0" w:space="0" w:color="auto"/>
            <w:left w:val="none" w:sz="0" w:space="0" w:color="auto"/>
            <w:bottom w:val="none" w:sz="0" w:space="0" w:color="auto"/>
            <w:right w:val="none" w:sz="0" w:space="0" w:color="auto"/>
          </w:divBdr>
          <w:divsChild>
            <w:div w:id="448429383">
              <w:marLeft w:val="0"/>
              <w:marRight w:val="0"/>
              <w:marTop w:val="0"/>
              <w:marBottom w:val="0"/>
              <w:divBdr>
                <w:top w:val="none" w:sz="0" w:space="0" w:color="auto"/>
                <w:left w:val="none" w:sz="0" w:space="0" w:color="auto"/>
                <w:bottom w:val="none" w:sz="0" w:space="0" w:color="auto"/>
                <w:right w:val="none" w:sz="0" w:space="0" w:color="auto"/>
              </w:divBdr>
            </w:div>
          </w:divsChild>
        </w:div>
        <w:div w:id="720178655">
          <w:marLeft w:val="0"/>
          <w:marRight w:val="0"/>
          <w:marTop w:val="0"/>
          <w:marBottom w:val="0"/>
          <w:divBdr>
            <w:top w:val="none" w:sz="0" w:space="0" w:color="auto"/>
            <w:left w:val="none" w:sz="0" w:space="0" w:color="auto"/>
            <w:bottom w:val="none" w:sz="0" w:space="0" w:color="auto"/>
            <w:right w:val="none" w:sz="0" w:space="0" w:color="auto"/>
          </w:divBdr>
          <w:divsChild>
            <w:div w:id="539247935">
              <w:marLeft w:val="0"/>
              <w:marRight w:val="0"/>
              <w:marTop w:val="0"/>
              <w:marBottom w:val="0"/>
              <w:divBdr>
                <w:top w:val="none" w:sz="0" w:space="0" w:color="auto"/>
                <w:left w:val="none" w:sz="0" w:space="0" w:color="auto"/>
                <w:bottom w:val="none" w:sz="0" w:space="0" w:color="auto"/>
                <w:right w:val="none" w:sz="0" w:space="0" w:color="auto"/>
              </w:divBdr>
            </w:div>
          </w:divsChild>
        </w:div>
        <w:div w:id="788738741">
          <w:marLeft w:val="0"/>
          <w:marRight w:val="0"/>
          <w:marTop w:val="0"/>
          <w:marBottom w:val="0"/>
          <w:divBdr>
            <w:top w:val="none" w:sz="0" w:space="0" w:color="auto"/>
            <w:left w:val="none" w:sz="0" w:space="0" w:color="auto"/>
            <w:bottom w:val="none" w:sz="0" w:space="0" w:color="auto"/>
            <w:right w:val="none" w:sz="0" w:space="0" w:color="auto"/>
          </w:divBdr>
          <w:divsChild>
            <w:div w:id="556890692">
              <w:marLeft w:val="0"/>
              <w:marRight w:val="0"/>
              <w:marTop w:val="0"/>
              <w:marBottom w:val="0"/>
              <w:divBdr>
                <w:top w:val="none" w:sz="0" w:space="0" w:color="auto"/>
                <w:left w:val="none" w:sz="0" w:space="0" w:color="auto"/>
                <w:bottom w:val="none" w:sz="0" w:space="0" w:color="auto"/>
                <w:right w:val="none" w:sz="0" w:space="0" w:color="auto"/>
              </w:divBdr>
            </w:div>
          </w:divsChild>
        </w:div>
        <w:div w:id="866917221">
          <w:marLeft w:val="0"/>
          <w:marRight w:val="0"/>
          <w:marTop w:val="0"/>
          <w:marBottom w:val="0"/>
          <w:divBdr>
            <w:top w:val="none" w:sz="0" w:space="0" w:color="auto"/>
            <w:left w:val="none" w:sz="0" w:space="0" w:color="auto"/>
            <w:bottom w:val="none" w:sz="0" w:space="0" w:color="auto"/>
            <w:right w:val="none" w:sz="0" w:space="0" w:color="auto"/>
          </w:divBdr>
          <w:divsChild>
            <w:div w:id="390538521">
              <w:marLeft w:val="0"/>
              <w:marRight w:val="0"/>
              <w:marTop w:val="0"/>
              <w:marBottom w:val="0"/>
              <w:divBdr>
                <w:top w:val="none" w:sz="0" w:space="0" w:color="auto"/>
                <w:left w:val="none" w:sz="0" w:space="0" w:color="auto"/>
                <w:bottom w:val="none" w:sz="0" w:space="0" w:color="auto"/>
                <w:right w:val="none" w:sz="0" w:space="0" w:color="auto"/>
              </w:divBdr>
            </w:div>
          </w:divsChild>
        </w:div>
        <w:div w:id="868907859">
          <w:marLeft w:val="0"/>
          <w:marRight w:val="0"/>
          <w:marTop w:val="0"/>
          <w:marBottom w:val="0"/>
          <w:divBdr>
            <w:top w:val="none" w:sz="0" w:space="0" w:color="auto"/>
            <w:left w:val="none" w:sz="0" w:space="0" w:color="auto"/>
            <w:bottom w:val="none" w:sz="0" w:space="0" w:color="auto"/>
            <w:right w:val="none" w:sz="0" w:space="0" w:color="auto"/>
          </w:divBdr>
          <w:divsChild>
            <w:div w:id="859008196">
              <w:marLeft w:val="0"/>
              <w:marRight w:val="0"/>
              <w:marTop w:val="0"/>
              <w:marBottom w:val="0"/>
              <w:divBdr>
                <w:top w:val="none" w:sz="0" w:space="0" w:color="auto"/>
                <w:left w:val="none" w:sz="0" w:space="0" w:color="auto"/>
                <w:bottom w:val="none" w:sz="0" w:space="0" w:color="auto"/>
                <w:right w:val="none" w:sz="0" w:space="0" w:color="auto"/>
              </w:divBdr>
            </w:div>
          </w:divsChild>
        </w:div>
        <w:div w:id="893350188">
          <w:marLeft w:val="0"/>
          <w:marRight w:val="0"/>
          <w:marTop w:val="0"/>
          <w:marBottom w:val="0"/>
          <w:divBdr>
            <w:top w:val="none" w:sz="0" w:space="0" w:color="auto"/>
            <w:left w:val="none" w:sz="0" w:space="0" w:color="auto"/>
            <w:bottom w:val="none" w:sz="0" w:space="0" w:color="auto"/>
            <w:right w:val="none" w:sz="0" w:space="0" w:color="auto"/>
          </w:divBdr>
          <w:divsChild>
            <w:div w:id="2133865804">
              <w:marLeft w:val="0"/>
              <w:marRight w:val="0"/>
              <w:marTop w:val="0"/>
              <w:marBottom w:val="0"/>
              <w:divBdr>
                <w:top w:val="none" w:sz="0" w:space="0" w:color="auto"/>
                <w:left w:val="none" w:sz="0" w:space="0" w:color="auto"/>
                <w:bottom w:val="none" w:sz="0" w:space="0" w:color="auto"/>
                <w:right w:val="none" w:sz="0" w:space="0" w:color="auto"/>
              </w:divBdr>
            </w:div>
          </w:divsChild>
        </w:div>
        <w:div w:id="898856823">
          <w:marLeft w:val="0"/>
          <w:marRight w:val="0"/>
          <w:marTop w:val="0"/>
          <w:marBottom w:val="0"/>
          <w:divBdr>
            <w:top w:val="none" w:sz="0" w:space="0" w:color="auto"/>
            <w:left w:val="none" w:sz="0" w:space="0" w:color="auto"/>
            <w:bottom w:val="none" w:sz="0" w:space="0" w:color="auto"/>
            <w:right w:val="none" w:sz="0" w:space="0" w:color="auto"/>
          </w:divBdr>
          <w:divsChild>
            <w:div w:id="315451681">
              <w:marLeft w:val="0"/>
              <w:marRight w:val="0"/>
              <w:marTop w:val="0"/>
              <w:marBottom w:val="0"/>
              <w:divBdr>
                <w:top w:val="none" w:sz="0" w:space="0" w:color="auto"/>
                <w:left w:val="none" w:sz="0" w:space="0" w:color="auto"/>
                <w:bottom w:val="none" w:sz="0" w:space="0" w:color="auto"/>
                <w:right w:val="none" w:sz="0" w:space="0" w:color="auto"/>
              </w:divBdr>
            </w:div>
          </w:divsChild>
        </w:div>
        <w:div w:id="936404640">
          <w:marLeft w:val="0"/>
          <w:marRight w:val="0"/>
          <w:marTop w:val="0"/>
          <w:marBottom w:val="0"/>
          <w:divBdr>
            <w:top w:val="none" w:sz="0" w:space="0" w:color="auto"/>
            <w:left w:val="none" w:sz="0" w:space="0" w:color="auto"/>
            <w:bottom w:val="none" w:sz="0" w:space="0" w:color="auto"/>
            <w:right w:val="none" w:sz="0" w:space="0" w:color="auto"/>
          </w:divBdr>
          <w:divsChild>
            <w:div w:id="1552227938">
              <w:marLeft w:val="0"/>
              <w:marRight w:val="0"/>
              <w:marTop w:val="0"/>
              <w:marBottom w:val="0"/>
              <w:divBdr>
                <w:top w:val="none" w:sz="0" w:space="0" w:color="auto"/>
                <w:left w:val="none" w:sz="0" w:space="0" w:color="auto"/>
                <w:bottom w:val="none" w:sz="0" w:space="0" w:color="auto"/>
                <w:right w:val="none" w:sz="0" w:space="0" w:color="auto"/>
              </w:divBdr>
            </w:div>
          </w:divsChild>
        </w:div>
        <w:div w:id="970944986">
          <w:marLeft w:val="0"/>
          <w:marRight w:val="0"/>
          <w:marTop w:val="0"/>
          <w:marBottom w:val="0"/>
          <w:divBdr>
            <w:top w:val="none" w:sz="0" w:space="0" w:color="auto"/>
            <w:left w:val="none" w:sz="0" w:space="0" w:color="auto"/>
            <w:bottom w:val="none" w:sz="0" w:space="0" w:color="auto"/>
            <w:right w:val="none" w:sz="0" w:space="0" w:color="auto"/>
          </w:divBdr>
          <w:divsChild>
            <w:div w:id="420028079">
              <w:marLeft w:val="0"/>
              <w:marRight w:val="0"/>
              <w:marTop w:val="0"/>
              <w:marBottom w:val="0"/>
              <w:divBdr>
                <w:top w:val="none" w:sz="0" w:space="0" w:color="auto"/>
                <w:left w:val="none" w:sz="0" w:space="0" w:color="auto"/>
                <w:bottom w:val="none" w:sz="0" w:space="0" w:color="auto"/>
                <w:right w:val="none" w:sz="0" w:space="0" w:color="auto"/>
              </w:divBdr>
            </w:div>
          </w:divsChild>
        </w:div>
        <w:div w:id="1002514798">
          <w:marLeft w:val="0"/>
          <w:marRight w:val="0"/>
          <w:marTop w:val="0"/>
          <w:marBottom w:val="0"/>
          <w:divBdr>
            <w:top w:val="none" w:sz="0" w:space="0" w:color="auto"/>
            <w:left w:val="none" w:sz="0" w:space="0" w:color="auto"/>
            <w:bottom w:val="none" w:sz="0" w:space="0" w:color="auto"/>
            <w:right w:val="none" w:sz="0" w:space="0" w:color="auto"/>
          </w:divBdr>
          <w:divsChild>
            <w:div w:id="641348720">
              <w:marLeft w:val="0"/>
              <w:marRight w:val="0"/>
              <w:marTop w:val="0"/>
              <w:marBottom w:val="0"/>
              <w:divBdr>
                <w:top w:val="none" w:sz="0" w:space="0" w:color="auto"/>
                <w:left w:val="none" w:sz="0" w:space="0" w:color="auto"/>
                <w:bottom w:val="none" w:sz="0" w:space="0" w:color="auto"/>
                <w:right w:val="none" w:sz="0" w:space="0" w:color="auto"/>
              </w:divBdr>
            </w:div>
          </w:divsChild>
        </w:div>
        <w:div w:id="1112556372">
          <w:marLeft w:val="0"/>
          <w:marRight w:val="0"/>
          <w:marTop w:val="0"/>
          <w:marBottom w:val="0"/>
          <w:divBdr>
            <w:top w:val="none" w:sz="0" w:space="0" w:color="auto"/>
            <w:left w:val="none" w:sz="0" w:space="0" w:color="auto"/>
            <w:bottom w:val="none" w:sz="0" w:space="0" w:color="auto"/>
            <w:right w:val="none" w:sz="0" w:space="0" w:color="auto"/>
          </w:divBdr>
          <w:divsChild>
            <w:div w:id="1142696397">
              <w:marLeft w:val="0"/>
              <w:marRight w:val="0"/>
              <w:marTop w:val="0"/>
              <w:marBottom w:val="0"/>
              <w:divBdr>
                <w:top w:val="none" w:sz="0" w:space="0" w:color="auto"/>
                <w:left w:val="none" w:sz="0" w:space="0" w:color="auto"/>
                <w:bottom w:val="none" w:sz="0" w:space="0" w:color="auto"/>
                <w:right w:val="none" w:sz="0" w:space="0" w:color="auto"/>
              </w:divBdr>
            </w:div>
          </w:divsChild>
        </w:div>
        <w:div w:id="1125275185">
          <w:marLeft w:val="0"/>
          <w:marRight w:val="0"/>
          <w:marTop w:val="0"/>
          <w:marBottom w:val="0"/>
          <w:divBdr>
            <w:top w:val="none" w:sz="0" w:space="0" w:color="auto"/>
            <w:left w:val="none" w:sz="0" w:space="0" w:color="auto"/>
            <w:bottom w:val="none" w:sz="0" w:space="0" w:color="auto"/>
            <w:right w:val="none" w:sz="0" w:space="0" w:color="auto"/>
          </w:divBdr>
          <w:divsChild>
            <w:div w:id="1202205054">
              <w:marLeft w:val="0"/>
              <w:marRight w:val="0"/>
              <w:marTop w:val="0"/>
              <w:marBottom w:val="0"/>
              <w:divBdr>
                <w:top w:val="none" w:sz="0" w:space="0" w:color="auto"/>
                <w:left w:val="none" w:sz="0" w:space="0" w:color="auto"/>
                <w:bottom w:val="none" w:sz="0" w:space="0" w:color="auto"/>
                <w:right w:val="none" w:sz="0" w:space="0" w:color="auto"/>
              </w:divBdr>
            </w:div>
          </w:divsChild>
        </w:div>
        <w:div w:id="1132135522">
          <w:marLeft w:val="0"/>
          <w:marRight w:val="0"/>
          <w:marTop w:val="0"/>
          <w:marBottom w:val="0"/>
          <w:divBdr>
            <w:top w:val="none" w:sz="0" w:space="0" w:color="auto"/>
            <w:left w:val="none" w:sz="0" w:space="0" w:color="auto"/>
            <w:bottom w:val="none" w:sz="0" w:space="0" w:color="auto"/>
            <w:right w:val="none" w:sz="0" w:space="0" w:color="auto"/>
          </w:divBdr>
          <w:divsChild>
            <w:div w:id="1023020258">
              <w:marLeft w:val="0"/>
              <w:marRight w:val="0"/>
              <w:marTop w:val="0"/>
              <w:marBottom w:val="0"/>
              <w:divBdr>
                <w:top w:val="none" w:sz="0" w:space="0" w:color="auto"/>
                <w:left w:val="none" w:sz="0" w:space="0" w:color="auto"/>
                <w:bottom w:val="none" w:sz="0" w:space="0" w:color="auto"/>
                <w:right w:val="none" w:sz="0" w:space="0" w:color="auto"/>
              </w:divBdr>
            </w:div>
          </w:divsChild>
        </w:div>
        <w:div w:id="1136142991">
          <w:marLeft w:val="0"/>
          <w:marRight w:val="0"/>
          <w:marTop w:val="0"/>
          <w:marBottom w:val="0"/>
          <w:divBdr>
            <w:top w:val="none" w:sz="0" w:space="0" w:color="auto"/>
            <w:left w:val="none" w:sz="0" w:space="0" w:color="auto"/>
            <w:bottom w:val="none" w:sz="0" w:space="0" w:color="auto"/>
            <w:right w:val="none" w:sz="0" w:space="0" w:color="auto"/>
          </w:divBdr>
          <w:divsChild>
            <w:div w:id="1781296324">
              <w:marLeft w:val="0"/>
              <w:marRight w:val="0"/>
              <w:marTop w:val="0"/>
              <w:marBottom w:val="0"/>
              <w:divBdr>
                <w:top w:val="none" w:sz="0" w:space="0" w:color="auto"/>
                <w:left w:val="none" w:sz="0" w:space="0" w:color="auto"/>
                <w:bottom w:val="none" w:sz="0" w:space="0" w:color="auto"/>
                <w:right w:val="none" w:sz="0" w:space="0" w:color="auto"/>
              </w:divBdr>
            </w:div>
          </w:divsChild>
        </w:div>
        <w:div w:id="1158807613">
          <w:marLeft w:val="0"/>
          <w:marRight w:val="0"/>
          <w:marTop w:val="0"/>
          <w:marBottom w:val="0"/>
          <w:divBdr>
            <w:top w:val="none" w:sz="0" w:space="0" w:color="auto"/>
            <w:left w:val="none" w:sz="0" w:space="0" w:color="auto"/>
            <w:bottom w:val="none" w:sz="0" w:space="0" w:color="auto"/>
            <w:right w:val="none" w:sz="0" w:space="0" w:color="auto"/>
          </w:divBdr>
          <w:divsChild>
            <w:div w:id="857936896">
              <w:marLeft w:val="0"/>
              <w:marRight w:val="0"/>
              <w:marTop w:val="0"/>
              <w:marBottom w:val="0"/>
              <w:divBdr>
                <w:top w:val="none" w:sz="0" w:space="0" w:color="auto"/>
                <w:left w:val="none" w:sz="0" w:space="0" w:color="auto"/>
                <w:bottom w:val="none" w:sz="0" w:space="0" w:color="auto"/>
                <w:right w:val="none" w:sz="0" w:space="0" w:color="auto"/>
              </w:divBdr>
            </w:div>
          </w:divsChild>
        </w:div>
        <w:div w:id="1194222650">
          <w:marLeft w:val="0"/>
          <w:marRight w:val="0"/>
          <w:marTop w:val="0"/>
          <w:marBottom w:val="0"/>
          <w:divBdr>
            <w:top w:val="none" w:sz="0" w:space="0" w:color="auto"/>
            <w:left w:val="none" w:sz="0" w:space="0" w:color="auto"/>
            <w:bottom w:val="none" w:sz="0" w:space="0" w:color="auto"/>
            <w:right w:val="none" w:sz="0" w:space="0" w:color="auto"/>
          </w:divBdr>
          <w:divsChild>
            <w:div w:id="92091397">
              <w:marLeft w:val="0"/>
              <w:marRight w:val="0"/>
              <w:marTop w:val="0"/>
              <w:marBottom w:val="0"/>
              <w:divBdr>
                <w:top w:val="none" w:sz="0" w:space="0" w:color="auto"/>
                <w:left w:val="none" w:sz="0" w:space="0" w:color="auto"/>
                <w:bottom w:val="none" w:sz="0" w:space="0" w:color="auto"/>
                <w:right w:val="none" w:sz="0" w:space="0" w:color="auto"/>
              </w:divBdr>
            </w:div>
          </w:divsChild>
        </w:div>
        <w:div w:id="1234509847">
          <w:marLeft w:val="0"/>
          <w:marRight w:val="0"/>
          <w:marTop w:val="0"/>
          <w:marBottom w:val="0"/>
          <w:divBdr>
            <w:top w:val="none" w:sz="0" w:space="0" w:color="auto"/>
            <w:left w:val="none" w:sz="0" w:space="0" w:color="auto"/>
            <w:bottom w:val="none" w:sz="0" w:space="0" w:color="auto"/>
            <w:right w:val="none" w:sz="0" w:space="0" w:color="auto"/>
          </w:divBdr>
          <w:divsChild>
            <w:div w:id="1166630934">
              <w:marLeft w:val="0"/>
              <w:marRight w:val="0"/>
              <w:marTop w:val="0"/>
              <w:marBottom w:val="0"/>
              <w:divBdr>
                <w:top w:val="none" w:sz="0" w:space="0" w:color="auto"/>
                <w:left w:val="none" w:sz="0" w:space="0" w:color="auto"/>
                <w:bottom w:val="none" w:sz="0" w:space="0" w:color="auto"/>
                <w:right w:val="none" w:sz="0" w:space="0" w:color="auto"/>
              </w:divBdr>
            </w:div>
          </w:divsChild>
        </w:div>
        <w:div w:id="1328167904">
          <w:marLeft w:val="0"/>
          <w:marRight w:val="0"/>
          <w:marTop w:val="0"/>
          <w:marBottom w:val="0"/>
          <w:divBdr>
            <w:top w:val="none" w:sz="0" w:space="0" w:color="auto"/>
            <w:left w:val="none" w:sz="0" w:space="0" w:color="auto"/>
            <w:bottom w:val="none" w:sz="0" w:space="0" w:color="auto"/>
            <w:right w:val="none" w:sz="0" w:space="0" w:color="auto"/>
          </w:divBdr>
          <w:divsChild>
            <w:div w:id="1088236225">
              <w:marLeft w:val="0"/>
              <w:marRight w:val="0"/>
              <w:marTop w:val="0"/>
              <w:marBottom w:val="0"/>
              <w:divBdr>
                <w:top w:val="none" w:sz="0" w:space="0" w:color="auto"/>
                <w:left w:val="none" w:sz="0" w:space="0" w:color="auto"/>
                <w:bottom w:val="none" w:sz="0" w:space="0" w:color="auto"/>
                <w:right w:val="none" w:sz="0" w:space="0" w:color="auto"/>
              </w:divBdr>
            </w:div>
          </w:divsChild>
        </w:div>
        <w:div w:id="1331523685">
          <w:marLeft w:val="0"/>
          <w:marRight w:val="0"/>
          <w:marTop w:val="0"/>
          <w:marBottom w:val="0"/>
          <w:divBdr>
            <w:top w:val="none" w:sz="0" w:space="0" w:color="auto"/>
            <w:left w:val="none" w:sz="0" w:space="0" w:color="auto"/>
            <w:bottom w:val="none" w:sz="0" w:space="0" w:color="auto"/>
            <w:right w:val="none" w:sz="0" w:space="0" w:color="auto"/>
          </w:divBdr>
          <w:divsChild>
            <w:div w:id="851801935">
              <w:marLeft w:val="0"/>
              <w:marRight w:val="0"/>
              <w:marTop w:val="0"/>
              <w:marBottom w:val="0"/>
              <w:divBdr>
                <w:top w:val="none" w:sz="0" w:space="0" w:color="auto"/>
                <w:left w:val="none" w:sz="0" w:space="0" w:color="auto"/>
                <w:bottom w:val="none" w:sz="0" w:space="0" w:color="auto"/>
                <w:right w:val="none" w:sz="0" w:space="0" w:color="auto"/>
              </w:divBdr>
            </w:div>
          </w:divsChild>
        </w:div>
        <w:div w:id="1383556739">
          <w:marLeft w:val="0"/>
          <w:marRight w:val="0"/>
          <w:marTop w:val="0"/>
          <w:marBottom w:val="0"/>
          <w:divBdr>
            <w:top w:val="none" w:sz="0" w:space="0" w:color="auto"/>
            <w:left w:val="none" w:sz="0" w:space="0" w:color="auto"/>
            <w:bottom w:val="none" w:sz="0" w:space="0" w:color="auto"/>
            <w:right w:val="none" w:sz="0" w:space="0" w:color="auto"/>
          </w:divBdr>
          <w:divsChild>
            <w:div w:id="1990934037">
              <w:marLeft w:val="0"/>
              <w:marRight w:val="0"/>
              <w:marTop w:val="0"/>
              <w:marBottom w:val="0"/>
              <w:divBdr>
                <w:top w:val="none" w:sz="0" w:space="0" w:color="auto"/>
                <w:left w:val="none" w:sz="0" w:space="0" w:color="auto"/>
                <w:bottom w:val="none" w:sz="0" w:space="0" w:color="auto"/>
                <w:right w:val="none" w:sz="0" w:space="0" w:color="auto"/>
              </w:divBdr>
            </w:div>
          </w:divsChild>
        </w:div>
        <w:div w:id="1408846273">
          <w:marLeft w:val="0"/>
          <w:marRight w:val="0"/>
          <w:marTop w:val="0"/>
          <w:marBottom w:val="0"/>
          <w:divBdr>
            <w:top w:val="none" w:sz="0" w:space="0" w:color="auto"/>
            <w:left w:val="none" w:sz="0" w:space="0" w:color="auto"/>
            <w:bottom w:val="none" w:sz="0" w:space="0" w:color="auto"/>
            <w:right w:val="none" w:sz="0" w:space="0" w:color="auto"/>
          </w:divBdr>
          <w:divsChild>
            <w:div w:id="1591691725">
              <w:marLeft w:val="0"/>
              <w:marRight w:val="0"/>
              <w:marTop w:val="0"/>
              <w:marBottom w:val="0"/>
              <w:divBdr>
                <w:top w:val="none" w:sz="0" w:space="0" w:color="auto"/>
                <w:left w:val="none" w:sz="0" w:space="0" w:color="auto"/>
                <w:bottom w:val="none" w:sz="0" w:space="0" w:color="auto"/>
                <w:right w:val="none" w:sz="0" w:space="0" w:color="auto"/>
              </w:divBdr>
            </w:div>
          </w:divsChild>
        </w:div>
        <w:div w:id="1440953132">
          <w:marLeft w:val="0"/>
          <w:marRight w:val="0"/>
          <w:marTop w:val="0"/>
          <w:marBottom w:val="0"/>
          <w:divBdr>
            <w:top w:val="none" w:sz="0" w:space="0" w:color="auto"/>
            <w:left w:val="none" w:sz="0" w:space="0" w:color="auto"/>
            <w:bottom w:val="none" w:sz="0" w:space="0" w:color="auto"/>
            <w:right w:val="none" w:sz="0" w:space="0" w:color="auto"/>
          </w:divBdr>
          <w:divsChild>
            <w:div w:id="1763867579">
              <w:marLeft w:val="0"/>
              <w:marRight w:val="0"/>
              <w:marTop w:val="0"/>
              <w:marBottom w:val="0"/>
              <w:divBdr>
                <w:top w:val="none" w:sz="0" w:space="0" w:color="auto"/>
                <w:left w:val="none" w:sz="0" w:space="0" w:color="auto"/>
                <w:bottom w:val="none" w:sz="0" w:space="0" w:color="auto"/>
                <w:right w:val="none" w:sz="0" w:space="0" w:color="auto"/>
              </w:divBdr>
            </w:div>
          </w:divsChild>
        </w:div>
        <w:div w:id="1488009839">
          <w:marLeft w:val="0"/>
          <w:marRight w:val="0"/>
          <w:marTop w:val="0"/>
          <w:marBottom w:val="0"/>
          <w:divBdr>
            <w:top w:val="none" w:sz="0" w:space="0" w:color="auto"/>
            <w:left w:val="none" w:sz="0" w:space="0" w:color="auto"/>
            <w:bottom w:val="none" w:sz="0" w:space="0" w:color="auto"/>
            <w:right w:val="none" w:sz="0" w:space="0" w:color="auto"/>
          </w:divBdr>
          <w:divsChild>
            <w:div w:id="42533353">
              <w:marLeft w:val="0"/>
              <w:marRight w:val="0"/>
              <w:marTop w:val="0"/>
              <w:marBottom w:val="0"/>
              <w:divBdr>
                <w:top w:val="none" w:sz="0" w:space="0" w:color="auto"/>
                <w:left w:val="none" w:sz="0" w:space="0" w:color="auto"/>
                <w:bottom w:val="none" w:sz="0" w:space="0" w:color="auto"/>
                <w:right w:val="none" w:sz="0" w:space="0" w:color="auto"/>
              </w:divBdr>
            </w:div>
          </w:divsChild>
        </w:div>
        <w:div w:id="1500268511">
          <w:marLeft w:val="0"/>
          <w:marRight w:val="0"/>
          <w:marTop w:val="0"/>
          <w:marBottom w:val="0"/>
          <w:divBdr>
            <w:top w:val="none" w:sz="0" w:space="0" w:color="auto"/>
            <w:left w:val="none" w:sz="0" w:space="0" w:color="auto"/>
            <w:bottom w:val="none" w:sz="0" w:space="0" w:color="auto"/>
            <w:right w:val="none" w:sz="0" w:space="0" w:color="auto"/>
          </w:divBdr>
          <w:divsChild>
            <w:div w:id="709692129">
              <w:marLeft w:val="0"/>
              <w:marRight w:val="0"/>
              <w:marTop w:val="0"/>
              <w:marBottom w:val="0"/>
              <w:divBdr>
                <w:top w:val="none" w:sz="0" w:space="0" w:color="auto"/>
                <w:left w:val="none" w:sz="0" w:space="0" w:color="auto"/>
                <w:bottom w:val="none" w:sz="0" w:space="0" w:color="auto"/>
                <w:right w:val="none" w:sz="0" w:space="0" w:color="auto"/>
              </w:divBdr>
            </w:div>
          </w:divsChild>
        </w:div>
        <w:div w:id="1511947160">
          <w:marLeft w:val="0"/>
          <w:marRight w:val="0"/>
          <w:marTop w:val="0"/>
          <w:marBottom w:val="0"/>
          <w:divBdr>
            <w:top w:val="none" w:sz="0" w:space="0" w:color="auto"/>
            <w:left w:val="none" w:sz="0" w:space="0" w:color="auto"/>
            <w:bottom w:val="none" w:sz="0" w:space="0" w:color="auto"/>
            <w:right w:val="none" w:sz="0" w:space="0" w:color="auto"/>
          </w:divBdr>
          <w:divsChild>
            <w:div w:id="844705184">
              <w:marLeft w:val="0"/>
              <w:marRight w:val="0"/>
              <w:marTop w:val="0"/>
              <w:marBottom w:val="0"/>
              <w:divBdr>
                <w:top w:val="none" w:sz="0" w:space="0" w:color="auto"/>
                <w:left w:val="none" w:sz="0" w:space="0" w:color="auto"/>
                <w:bottom w:val="none" w:sz="0" w:space="0" w:color="auto"/>
                <w:right w:val="none" w:sz="0" w:space="0" w:color="auto"/>
              </w:divBdr>
            </w:div>
          </w:divsChild>
        </w:div>
        <w:div w:id="1529828616">
          <w:marLeft w:val="0"/>
          <w:marRight w:val="0"/>
          <w:marTop w:val="0"/>
          <w:marBottom w:val="0"/>
          <w:divBdr>
            <w:top w:val="none" w:sz="0" w:space="0" w:color="auto"/>
            <w:left w:val="none" w:sz="0" w:space="0" w:color="auto"/>
            <w:bottom w:val="none" w:sz="0" w:space="0" w:color="auto"/>
            <w:right w:val="none" w:sz="0" w:space="0" w:color="auto"/>
          </w:divBdr>
          <w:divsChild>
            <w:div w:id="775830321">
              <w:marLeft w:val="0"/>
              <w:marRight w:val="0"/>
              <w:marTop w:val="0"/>
              <w:marBottom w:val="0"/>
              <w:divBdr>
                <w:top w:val="none" w:sz="0" w:space="0" w:color="auto"/>
                <w:left w:val="none" w:sz="0" w:space="0" w:color="auto"/>
                <w:bottom w:val="none" w:sz="0" w:space="0" w:color="auto"/>
                <w:right w:val="none" w:sz="0" w:space="0" w:color="auto"/>
              </w:divBdr>
            </w:div>
          </w:divsChild>
        </w:div>
        <w:div w:id="1561935965">
          <w:marLeft w:val="0"/>
          <w:marRight w:val="0"/>
          <w:marTop w:val="0"/>
          <w:marBottom w:val="0"/>
          <w:divBdr>
            <w:top w:val="none" w:sz="0" w:space="0" w:color="auto"/>
            <w:left w:val="none" w:sz="0" w:space="0" w:color="auto"/>
            <w:bottom w:val="none" w:sz="0" w:space="0" w:color="auto"/>
            <w:right w:val="none" w:sz="0" w:space="0" w:color="auto"/>
          </w:divBdr>
          <w:divsChild>
            <w:div w:id="433792565">
              <w:marLeft w:val="0"/>
              <w:marRight w:val="0"/>
              <w:marTop w:val="0"/>
              <w:marBottom w:val="0"/>
              <w:divBdr>
                <w:top w:val="none" w:sz="0" w:space="0" w:color="auto"/>
                <w:left w:val="none" w:sz="0" w:space="0" w:color="auto"/>
                <w:bottom w:val="none" w:sz="0" w:space="0" w:color="auto"/>
                <w:right w:val="none" w:sz="0" w:space="0" w:color="auto"/>
              </w:divBdr>
            </w:div>
          </w:divsChild>
        </w:div>
        <w:div w:id="1661151800">
          <w:marLeft w:val="0"/>
          <w:marRight w:val="0"/>
          <w:marTop w:val="0"/>
          <w:marBottom w:val="0"/>
          <w:divBdr>
            <w:top w:val="none" w:sz="0" w:space="0" w:color="auto"/>
            <w:left w:val="none" w:sz="0" w:space="0" w:color="auto"/>
            <w:bottom w:val="none" w:sz="0" w:space="0" w:color="auto"/>
            <w:right w:val="none" w:sz="0" w:space="0" w:color="auto"/>
          </w:divBdr>
          <w:divsChild>
            <w:div w:id="985206367">
              <w:marLeft w:val="0"/>
              <w:marRight w:val="0"/>
              <w:marTop w:val="0"/>
              <w:marBottom w:val="0"/>
              <w:divBdr>
                <w:top w:val="none" w:sz="0" w:space="0" w:color="auto"/>
                <w:left w:val="none" w:sz="0" w:space="0" w:color="auto"/>
                <w:bottom w:val="none" w:sz="0" w:space="0" w:color="auto"/>
                <w:right w:val="none" w:sz="0" w:space="0" w:color="auto"/>
              </w:divBdr>
            </w:div>
          </w:divsChild>
        </w:div>
        <w:div w:id="1707559946">
          <w:marLeft w:val="0"/>
          <w:marRight w:val="0"/>
          <w:marTop w:val="0"/>
          <w:marBottom w:val="0"/>
          <w:divBdr>
            <w:top w:val="none" w:sz="0" w:space="0" w:color="auto"/>
            <w:left w:val="none" w:sz="0" w:space="0" w:color="auto"/>
            <w:bottom w:val="none" w:sz="0" w:space="0" w:color="auto"/>
            <w:right w:val="none" w:sz="0" w:space="0" w:color="auto"/>
          </w:divBdr>
          <w:divsChild>
            <w:div w:id="1352754896">
              <w:marLeft w:val="0"/>
              <w:marRight w:val="0"/>
              <w:marTop w:val="0"/>
              <w:marBottom w:val="0"/>
              <w:divBdr>
                <w:top w:val="none" w:sz="0" w:space="0" w:color="auto"/>
                <w:left w:val="none" w:sz="0" w:space="0" w:color="auto"/>
                <w:bottom w:val="none" w:sz="0" w:space="0" w:color="auto"/>
                <w:right w:val="none" w:sz="0" w:space="0" w:color="auto"/>
              </w:divBdr>
            </w:div>
          </w:divsChild>
        </w:div>
        <w:div w:id="1721829207">
          <w:marLeft w:val="0"/>
          <w:marRight w:val="0"/>
          <w:marTop w:val="0"/>
          <w:marBottom w:val="0"/>
          <w:divBdr>
            <w:top w:val="none" w:sz="0" w:space="0" w:color="auto"/>
            <w:left w:val="none" w:sz="0" w:space="0" w:color="auto"/>
            <w:bottom w:val="none" w:sz="0" w:space="0" w:color="auto"/>
            <w:right w:val="none" w:sz="0" w:space="0" w:color="auto"/>
          </w:divBdr>
          <w:divsChild>
            <w:div w:id="331303764">
              <w:marLeft w:val="0"/>
              <w:marRight w:val="0"/>
              <w:marTop w:val="0"/>
              <w:marBottom w:val="0"/>
              <w:divBdr>
                <w:top w:val="none" w:sz="0" w:space="0" w:color="auto"/>
                <w:left w:val="none" w:sz="0" w:space="0" w:color="auto"/>
                <w:bottom w:val="none" w:sz="0" w:space="0" w:color="auto"/>
                <w:right w:val="none" w:sz="0" w:space="0" w:color="auto"/>
              </w:divBdr>
            </w:div>
          </w:divsChild>
        </w:div>
        <w:div w:id="1746997781">
          <w:marLeft w:val="0"/>
          <w:marRight w:val="0"/>
          <w:marTop w:val="0"/>
          <w:marBottom w:val="0"/>
          <w:divBdr>
            <w:top w:val="none" w:sz="0" w:space="0" w:color="auto"/>
            <w:left w:val="none" w:sz="0" w:space="0" w:color="auto"/>
            <w:bottom w:val="none" w:sz="0" w:space="0" w:color="auto"/>
            <w:right w:val="none" w:sz="0" w:space="0" w:color="auto"/>
          </w:divBdr>
          <w:divsChild>
            <w:div w:id="1821388092">
              <w:marLeft w:val="0"/>
              <w:marRight w:val="0"/>
              <w:marTop w:val="0"/>
              <w:marBottom w:val="0"/>
              <w:divBdr>
                <w:top w:val="none" w:sz="0" w:space="0" w:color="auto"/>
                <w:left w:val="none" w:sz="0" w:space="0" w:color="auto"/>
                <w:bottom w:val="none" w:sz="0" w:space="0" w:color="auto"/>
                <w:right w:val="none" w:sz="0" w:space="0" w:color="auto"/>
              </w:divBdr>
            </w:div>
          </w:divsChild>
        </w:div>
        <w:div w:id="1785660780">
          <w:marLeft w:val="0"/>
          <w:marRight w:val="0"/>
          <w:marTop w:val="0"/>
          <w:marBottom w:val="0"/>
          <w:divBdr>
            <w:top w:val="none" w:sz="0" w:space="0" w:color="auto"/>
            <w:left w:val="none" w:sz="0" w:space="0" w:color="auto"/>
            <w:bottom w:val="none" w:sz="0" w:space="0" w:color="auto"/>
            <w:right w:val="none" w:sz="0" w:space="0" w:color="auto"/>
          </w:divBdr>
          <w:divsChild>
            <w:div w:id="204607362">
              <w:marLeft w:val="0"/>
              <w:marRight w:val="0"/>
              <w:marTop w:val="0"/>
              <w:marBottom w:val="0"/>
              <w:divBdr>
                <w:top w:val="none" w:sz="0" w:space="0" w:color="auto"/>
                <w:left w:val="none" w:sz="0" w:space="0" w:color="auto"/>
                <w:bottom w:val="none" w:sz="0" w:space="0" w:color="auto"/>
                <w:right w:val="none" w:sz="0" w:space="0" w:color="auto"/>
              </w:divBdr>
            </w:div>
          </w:divsChild>
        </w:div>
        <w:div w:id="1792630615">
          <w:marLeft w:val="0"/>
          <w:marRight w:val="0"/>
          <w:marTop w:val="0"/>
          <w:marBottom w:val="0"/>
          <w:divBdr>
            <w:top w:val="none" w:sz="0" w:space="0" w:color="auto"/>
            <w:left w:val="none" w:sz="0" w:space="0" w:color="auto"/>
            <w:bottom w:val="none" w:sz="0" w:space="0" w:color="auto"/>
            <w:right w:val="none" w:sz="0" w:space="0" w:color="auto"/>
          </w:divBdr>
          <w:divsChild>
            <w:div w:id="457065730">
              <w:marLeft w:val="0"/>
              <w:marRight w:val="0"/>
              <w:marTop w:val="0"/>
              <w:marBottom w:val="0"/>
              <w:divBdr>
                <w:top w:val="none" w:sz="0" w:space="0" w:color="auto"/>
                <w:left w:val="none" w:sz="0" w:space="0" w:color="auto"/>
                <w:bottom w:val="none" w:sz="0" w:space="0" w:color="auto"/>
                <w:right w:val="none" w:sz="0" w:space="0" w:color="auto"/>
              </w:divBdr>
            </w:div>
          </w:divsChild>
        </w:div>
        <w:div w:id="1799567247">
          <w:marLeft w:val="0"/>
          <w:marRight w:val="0"/>
          <w:marTop w:val="0"/>
          <w:marBottom w:val="0"/>
          <w:divBdr>
            <w:top w:val="none" w:sz="0" w:space="0" w:color="auto"/>
            <w:left w:val="none" w:sz="0" w:space="0" w:color="auto"/>
            <w:bottom w:val="none" w:sz="0" w:space="0" w:color="auto"/>
            <w:right w:val="none" w:sz="0" w:space="0" w:color="auto"/>
          </w:divBdr>
          <w:divsChild>
            <w:div w:id="467162282">
              <w:marLeft w:val="0"/>
              <w:marRight w:val="0"/>
              <w:marTop w:val="0"/>
              <w:marBottom w:val="0"/>
              <w:divBdr>
                <w:top w:val="none" w:sz="0" w:space="0" w:color="auto"/>
                <w:left w:val="none" w:sz="0" w:space="0" w:color="auto"/>
                <w:bottom w:val="none" w:sz="0" w:space="0" w:color="auto"/>
                <w:right w:val="none" w:sz="0" w:space="0" w:color="auto"/>
              </w:divBdr>
            </w:div>
            <w:div w:id="641154967">
              <w:marLeft w:val="0"/>
              <w:marRight w:val="0"/>
              <w:marTop w:val="0"/>
              <w:marBottom w:val="0"/>
              <w:divBdr>
                <w:top w:val="none" w:sz="0" w:space="0" w:color="auto"/>
                <w:left w:val="none" w:sz="0" w:space="0" w:color="auto"/>
                <w:bottom w:val="none" w:sz="0" w:space="0" w:color="auto"/>
                <w:right w:val="none" w:sz="0" w:space="0" w:color="auto"/>
              </w:divBdr>
            </w:div>
            <w:div w:id="690306589">
              <w:marLeft w:val="0"/>
              <w:marRight w:val="0"/>
              <w:marTop w:val="0"/>
              <w:marBottom w:val="0"/>
              <w:divBdr>
                <w:top w:val="none" w:sz="0" w:space="0" w:color="auto"/>
                <w:left w:val="none" w:sz="0" w:space="0" w:color="auto"/>
                <w:bottom w:val="none" w:sz="0" w:space="0" w:color="auto"/>
                <w:right w:val="none" w:sz="0" w:space="0" w:color="auto"/>
              </w:divBdr>
            </w:div>
            <w:div w:id="1377971647">
              <w:marLeft w:val="0"/>
              <w:marRight w:val="0"/>
              <w:marTop w:val="0"/>
              <w:marBottom w:val="0"/>
              <w:divBdr>
                <w:top w:val="none" w:sz="0" w:space="0" w:color="auto"/>
                <w:left w:val="none" w:sz="0" w:space="0" w:color="auto"/>
                <w:bottom w:val="none" w:sz="0" w:space="0" w:color="auto"/>
                <w:right w:val="none" w:sz="0" w:space="0" w:color="auto"/>
              </w:divBdr>
            </w:div>
          </w:divsChild>
        </w:div>
        <w:div w:id="1816333067">
          <w:marLeft w:val="0"/>
          <w:marRight w:val="0"/>
          <w:marTop w:val="0"/>
          <w:marBottom w:val="0"/>
          <w:divBdr>
            <w:top w:val="none" w:sz="0" w:space="0" w:color="auto"/>
            <w:left w:val="none" w:sz="0" w:space="0" w:color="auto"/>
            <w:bottom w:val="none" w:sz="0" w:space="0" w:color="auto"/>
            <w:right w:val="none" w:sz="0" w:space="0" w:color="auto"/>
          </w:divBdr>
          <w:divsChild>
            <w:div w:id="1910799828">
              <w:marLeft w:val="0"/>
              <w:marRight w:val="0"/>
              <w:marTop w:val="0"/>
              <w:marBottom w:val="0"/>
              <w:divBdr>
                <w:top w:val="none" w:sz="0" w:space="0" w:color="auto"/>
                <w:left w:val="none" w:sz="0" w:space="0" w:color="auto"/>
                <w:bottom w:val="none" w:sz="0" w:space="0" w:color="auto"/>
                <w:right w:val="none" w:sz="0" w:space="0" w:color="auto"/>
              </w:divBdr>
            </w:div>
          </w:divsChild>
        </w:div>
        <w:div w:id="1932658357">
          <w:marLeft w:val="0"/>
          <w:marRight w:val="0"/>
          <w:marTop w:val="0"/>
          <w:marBottom w:val="0"/>
          <w:divBdr>
            <w:top w:val="none" w:sz="0" w:space="0" w:color="auto"/>
            <w:left w:val="none" w:sz="0" w:space="0" w:color="auto"/>
            <w:bottom w:val="none" w:sz="0" w:space="0" w:color="auto"/>
            <w:right w:val="none" w:sz="0" w:space="0" w:color="auto"/>
          </w:divBdr>
          <w:divsChild>
            <w:div w:id="1453864623">
              <w:marLeft w:val="0"/>
              <w:marRight w:val="0"/>
              <w:marTop w:val="0"/>
              <w:marBottom w:val="0"/>
              <w:divBdr>
                <w:top w:val="none" w:sz="0" w:space="0" w:color="auto"/>
                <w:left w:val="none" w:sz="0" w:space="0" w:color="auto"/>
                <w:bottom w:val="none" w:sz="0" w:space="0" w:color="auto"/>
                <w:right w:val="none" w:sz="0" w:space="0" w:color="auto"/>
              </w:divBdr>
            </w:div>
          </w:divsChild>
        </w:div>
        <w:div w:id="1936282977">
          <w:marLeft w:val="0"/>
          <w:marRight w:val="0"/>
          <w:marTop w:val="0"/>
          <w:marBottom w:val="0"/>
          <w:divBdr>
            <w:top w:val="none" w:sz="0" w:space="0" w:color="auto"/>
            <w:left w:val="none" w:sz="0" w:space="0" w:color="auto"/>
            <w:bottom w:val="none" w:sz="0" w:space="0" w:color="auto"/>
            <w:right w:val="none" w:sz="0" w:space="0" w:color="auto"/>
          </w:divBdr>
          <w:divsChild>
            <w:div w:id="783036372">
              <w:marLeft w:val="0"/>
              <w:marRight w:val="0"/>
              <w:marTop w:val="0"/>
              <w:marBottom w:val="0"/>
              <w:divBdr>
                <w:top w:val="none" w:sz="0" w:space="0" w:color="auto"/>
                <w:left w:val="none" w:sz="0" w:space="0" w:color="auto"/>
                <w:bottom w:val="none" w:sz="0" w:space="0" w:color="auto"/>
                <w:right w:val="none" w:sz="0" w:space="0" w:color="auto"/>
              </w:divBdr>
            </w:div>
          </w:divsChild>
        </w:div>
        <w:div w:id="1949923700">
          <w:marLeft w:val="0"/>
          <w:marRight w:val="0"/>
          <w:marTop w:val="0"/>
          <w:marBottom w:val="0"/>
          <w:divBdr>
            <w:top w:val="none" w:sz="0" w:space="0" w:color="auto"/>
            <w:left w:val="none" w:sz="0" w:space="0" w:color="auto"/>
            <w:bottom w:val="none" w:sz="0" w:space="0" w:color="auto"/>
            <w:right w:val="none" w:sz="0" w:space="0" w:color="auto"/>
          </w:divBdr>
          <w:divsChild>
            <w:div w:id="743533715">
              <w:marLeft w:val="0"/>
              <w:marRight w:val="0"/>
              <w:marTop w:val="0"/>
              <w:marBottom w:val="0"/>
              <w:divBdr>
                <w:top w:val="none" w:sz="0" w:space="0" w:color="auto"/>
                <w:left w:val="none" w:sz="0" w:space="0" w:color="auto"/>
                <w:bottom w:val="none" w:sz="0" w:space="0" w:color="auto"/>
                <w:right w:val="none" w:sz="0" w:space="0" w:color="auto"/>
              </w:divBdr>
            </w:div>
          </w:divsChild>
        </w:div>
        <w:div w:id="1963228605">
          <w:marLeft w:val="0"/>
          <w:marRight w:val="0"/>
          <w:marTop w:val="0"/>
          <w:marBottom w:val="0"/>
          <w:divBdr>
            <w:top w:val="none" w:sz="0" w:space="0" w:color="auto"/>
            <w:left w:val="none" w:sz="0" w:space="0" w:color="auto"/>
            <w:bottom w:val="none" w:sz="0" w:space="0" w:color="auto"/>
            <w:right w:val="none" w:sz="0" w:space="0" w:color="auto"/>
          </w:divBdr>
          <w:divsChild>
            <w:div w:id="926764888">
              <w:marLeft w:val="0"/>
              <w:marRight w:val="0"/>
              <w:marTop w:val="0"/>
              <w:marBottom w:val="0"/>
              <w:divBdr>
                <w:top w:val="none" w:sz="0" w:space="0" w:color="auto"/>
                <w:left w:val="none" w:sz="0" w:space="0" w:color="auto"/>
                <w:bottom w:val="none" w:sz="0" w:space="0" w:color="auto"/>
                <w:right w:val="none" w:sz="0" w:space="0" w:color="auto"/>
              </w:divBdr>
            </w:div>
          </w:divsChild>
        </w:div>
        <w:div w:id="1975519928">
          <w:marLeft w:val="0"/>
          <w:marRight w:val="0"/>
          <w:marTop w:val="0"/>
          <w:marBottom w:val="0"/>
          <w:divBdr>
            <w:top w:val="none" w:sz="0" w:space="0" w:color="auto"/>
            <w:left w:val="none" w:sz="0" w:space="0" w:color="auto"/>
            <w:bottom w:val="none" w:sz="0" w:space="0" w:color="auto"/>
            <w:right w:val="none" w:sz="0" w:space="0" w:color="auto"/>
          </w:divBdr>
          <w:divsChild>
            <w:div w:id="778451845">
              <w:marLeft w:val="0"/>
              <w:marRight w:val="0"/>
              <w:marTop w:val="0"/>
              <w:marBottom w:val="0"/>
              <w:divBdr>
                <w:top w:val="none" w:sz="0" w:space="0" w:color="auto"/>
                <w:left w:val="none" w:sz="0" w:space="0" w:color="auto"/>
                <w:bottom w:val="none" w:sz="0" w:space="0" w:color="auto"/>
                <w:right w:val="none" w:sz="0" w:space="0" w:color="auto"/>
              </w:divBdr>
            </w:div>
          </w:divsChild>
        </w:div>
        <w:div w:id="2006350876">
          <w:marLeft w:val="0"/>
          <w:marRight w:val="0"/>
          <w:marTop w:val="0"/>
          <w:marBottom w:val="0"/>
          <w:divBdr>
            <w:top w:val="none" w:sz="0" w:space="0" w:color="auto"/>
            <w:left w:val="none" w:sz="0" w:space="0" w:color="auto"/>
            <w:bottom w:val="none" w:sz="0" w:space="0" w:color="auto"/>
            <w:right w:val="none" w:sz="0" w:space="0" w:color="auto"/>
          </w:divBdr>
          <w:divsChild>
            <w:div w:id="1121462908">
              <w:marLeft w:val="0"/>
              <w:marRight w:val="0"/>
              <w:marTop w:val="0"/>
              <w:marBottom w:val="0"/>
              <w:divBdr>
                <w:top w:val="none" w:sz="0" w:space="0" w:color="auto"/>
                <w:left w:val="none" w:sz="0" w:space="0" w:color="auto"/>
                <w:bottom w:val="none" w:sz="0" w:space="0" w:color="auto"/>
                <w:right w:val="none" w:sz="0" w:space="0" w:color="auto"/>
              </w:divBdr>
            </w:div>
          </w:divsChild>
        </w:div>
        <w:div w:id="2041667211">
          <w:marLeft w:val="0"/>
          <w:marRight w:val="0"/>
          <w:marTop w:val="0"/>
          <w:marBottom w:val="0"/>
          <w:divBdr>
            <w:top w:val="none" w:sz="0" w:space="0" w:color="auto"/>
            <w:left w:val="none" w:sz="0" w:space="0" w:color="auto"/>
            <w:bottom w:val="none" w:sz="0" w:space="0" w:color="auto"/>
            <w:right w:val="none" w:sz="0" w:space="0" w:color="auto"/>
          </w:divBdr>
          <w:divsChild>
            <w:div w:id="1404835021">
              <w:marLeft w:val="0"/>
              <w:marRight w:val="0"/>
              <w:marTop w:val="0"/>
              <w:marBottom w:val="0"/>
              <w:divBdr>
                <w:top w:val="none" w:sz="0" w:space="0" w:color="auto"/>
                <w:left w:val="none" w:sz="0" w:space="0" w:color="auto"/>
                <w:bottom w:val="none" w:sz="0" w:space="0" w:color="auto"/>
                <w:right w:val="none" w:sz="0" w:space="0" w:color="auto"/>
              </w:divBdr>
            </w:div>
          </w:divsChild>
        </w:div>
        <w:div w:id="2070178836">
          <w:marLeft w:val="0"/>
          <w:marRight w:val="0"/>
          <w:marTop w:val="0"/>
          <w:marBottom w:val="0"/>
          <w:divBdr>
            <w:top w:val="none" w:sz="0" w:space="0" w:color="auto"/>
            <w:left w:val="none" w:sz="0" w:space="0" w:color="auto"/>
            <w:bottom w:val="none" w:sz="0" w:space="0" w:color="auto"/>
            <w:right w:val="none" w:sz="0" w:space="0" w:color="auto"/>
          </w:divBdr>
          <w:divsChild>
            <w:div w:id="1450201110">
              <w:marLeft w:val="0"/>
              <w:marRight w:val="0"/>
              <w:marTop w:val="0"/>
              <w:marBottom w:val="0"/>
              <w:divBdr>
                <w:top w:val="none" w:sz="0" w:space="0" w:color="auto"/>
                <w:left w:val="none" w:sz="0" w:space="0" w:color="auto"/>
                <w:bottom w:val="none" w:sz="0" w:space="0" w:color="auto"/>
                <w:right w:val="none" w:sz="0" w:space="0" w:color="auto"/>
              </w:divBdr>
            </w:div>
          </w:divsChild>
        </w:div>
        <w:div w:id="2071924491">
          <w:marLeft w:val="0"/>
          <w:marRight w:val="0"/>
          <w:marTop w:val="0"/>
          <w:marBottom w:val="0"/>
          <w:divBdr>
            <w:top w:val="none" w:sz="0" w:space="0" w:color="auto"/>
            <w:left w:val="none" w:sz="0" w:space="0" w:color="auto"/>
            <w:bottom w:val="none" w:sz="0" w:space="0" w:color="auto"/>
            <w:right w:val="none" w:sz="0" w:space="0" w:color="auto"/>
          </w:divBdr>
          <w:divsChild>
            <w:div w:id="498546618">
              <w:marLeft w:val="0"/>
              <w:marRight w:val="0"/>
              <w:marTop w:val="0"/>
              <w:marBottom w:val="0"/>
              <w:divBdr>
                <w:top w:val="none" w:sz="0" w:space="0" w:color="auto"/>
                <w:left w:val="none" w:sz="0" w:space="0" w:color="auto"/>
                <w:bottom w:val="none" w:sz="0" w:space="0" w:color="auto"/>
                <w:right w:val="none" w:sz="0" w:space="0" w:color="auto"/>
              </w:divBdr>
            </w:div>
          </w:divsChild>
        </w:div>
        <w:div w:id="2092196545">
          <w:marLeft w:val="0"/>
          <w:marRight w:val="0"/>
          <w:marTop w:val="0"/>
          <w:marBottom w:val="0"/>
          <w:divBdr>
            <w:top w:val="none" w:sz="0" w:space="0" w:color="auto"/>
            <w:left w:val="none" w:sz="0" w:space="0" w:color="auto"/>
            <w:bottom w:val="none" w:sz="0" w:space="0" w:color="auto"/>
            <w:right w:val="none" w:sz="0" w:space="0" w:color="auto"/>
          </w:divBdr>
          <w:divsChild>
            <w:div w:id="116327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0218151">
      <w:bodyDiv w:val="1"/>
      <w:marLeft w:val="0"/>
      <w:marRight w:val="0"/>
      <w:marTop w:val="0"/>
      <w:marBottom w:val="0"/>
      <w:divBdr>
        <w:top w:val="none" w:sz="0" w:space="0" w:color="auto"/>
        <w:left w:val="none" w:sz="0" w:space="0" w:color="auto"/>
        <w:bottom w:val="none" w:sz="0" w:space="0" w:color="auto"/>
        <w:right w:val="none" w:sz="0" w:space="0" w:color="auto"/>
      </w:divBdr>
    </w:div>
    <w:div w:id="1528912919">
      <w:bodyDiv w:val="1"/>
      <w:marLeft w:val="0"/>
      <w:marRight w:val="0"/>
      <w:marTop w:val="0"/>
      <w:marBottom w:val="0"/>
      <w:divBdr>
        <w:top w:val="none" w:sz="0" w:space="0" w:color="auto"/>
        <w:left w:val="none" w:sz="0" w:space="0" w:color="auto"/>
        <w:bottom w:val="none" w:sz="0" w:space="0" w:color="auto"/>
        <w:right w:val="none" w:sz="0" w:space="0" w:color="auto"/>
      </w:divBdr>
    </w:div>
    <w:div w:id="1532299311">
      <w:bodyDiv w:val="1"/>
      <w:marLeft w:val="0"/>
      <w:marRight w:val="0"/>
      <w:marTop w:val="0"/>
      <w:marBottom w:val="0"/>
      <w:divBdr>
        <w:top w:val="none" w:sz="0" w:space="0" w:color="auto"/>
        <w:left w:val="none" w:sz="0" w:space="0" w:color="auto"/>
        <w:bottom w:val="none" w:sz="0" w:space="0" w:color="auto"/>
        <w:right w:val="none" w:sz="0" w:space="0" w:color="auto"/>
      </w:divBdr>
    </w:div>
    <w:div w:id="1538161611">
      <w:bodyDiv w:val="1"/>
      <w:marLeft w:val="0"/>
      <w:marRight w:val="0"/>
      <w:marTop w:val="0"/>
      <w:marBottom w:val="0"/>
      <w:divBdr>
        <w:top w:val="none" w:sz="0" w:space="0" w:color="auto"/>
        <w:left w:val="none" w:sz="0" w:space="0" w:color="auto"/>
        <w:bottom w:val="none" w:sz="0" w:space="0" w:color="auto"/>
        <w:right w:val="none" w:sz="0" w:space="0" w:color="auto"/>
      </w:divBdr>
    </w:div>
    <w:div w:id="1547252861">
      <w:bodyDiv w:val="1"/>
      <w:marLeft w:val="0"/>
      <w:marRight w:val="0"/>
      <w:marTop w:val="0"/>
      <w:marBottom w:val="0"/>
      <w:divBdr>
        <w:top w:val="none" w:sz="0" w:space="0" w:color="auto"/>
        <w:left w:val="none" w:sz="0" w:space="0" w:color="auto"/>
        <w:bottom w:val="none" w:sz="0" w:space="0" w:color="auto"/>
        <w:right w:val="none" w:sz="0" w:space="0" w:color="auto"/>
      </w:divBdr>
    </w:div>
    <w:div w:id="1547255062">
      <w:bodyDiv w:val="1"/>
      <w:marLeft w:val="0"/>
      <w:marRight w:val="0"/>
      <w:marTop w:val="0"/>
      <w:marBottom w:val="0"/>
      <w:divBdr>
        <w:top w:val="none" w:sz="0" w:space="0" w:color="auto"/>
        <w:left w:val="none" w:sz="0" w:space="0" w:color="auto"/>
        <w:bottom w:val="none" w:sz="0" w:space="0" w:color="auto"/>
        <w:right w:val="none" w:sz="0" w:space="0" w:color="auto"/>
      </w:divBdr>
      <w:divsChild>
        <w:div w:id="412746014">
          <w:marLeft w:val="547"/>
          <w:marRight w:val="0"/>
          <w:marTop w:val="0"/>
          <w:marBottom w:val="0"/>
          <w:divBdr>
            <w:top w:val="none" w:sz="0" w:space="0" w:color="auto"/>
            <w:left w:val="none" w:sz="0" w:space="0" w:color="auto"/>
            <w:bottom w:val="none" w:sz="0" w:space="0" w:color="auto"/>
            <w:right w:val="none" w:sz="0" w:space="0" w:color="auto"/>
          </w:divBdr>
        </w:div>
      </w:divsChild>
    </w:div>
    <w:div w:id="1548489418">
      <w:bodyDiv w:val="1"/>
      <w:marLeft w:val="0"/>
      <w:marRight w:val="0"/>
      <w:marTop w:val="0"/>
      <w:marBottom w:val="0"/>
      <w:divBdr>
        <w:top w:val="none" w:sz="0" w:space="0" w:color="auto"/>
        <w:left w:val="none" w:sz="0" w:space="0" w:color="auto"/>
        <w:bottom w:val="none" w:sz="0" w:space="0" w:color="auto"/>
        <w:right w:val="none" w:sz="0" w:space="0" w:color="auto"/>
      </w:divBdr>
    </w:div>
    <w:div w:id="1557664500">
      <w:bodyDiv w:val="1"/>
      <w:marLeft w:val="0"/>
      <w:marRight w:val="0"/>
      <w:marTop w:val="0"/>
      <w:marBottom w:val="0"/>
      <w:divBdr>
        <w:top w:val="none" w:sz="0" w:space="0" w:color="auto"/>
        <w:left w:val="none" w:sz="0" w:space="0" w:color="auto"/>
        <w:bottom w:val="none" w:sz="0" w:space="0" w:color="auto"/>
        <w:right w:val="none" w:sz="0" w:space="0" w:color="auto"/>
      </w:divBdr>
    </w:div>
    <w:div w:id="1558663869">
      <w:bodyDiv w:val="1"/>
      <w:marLeft w:val="0"/>
      <w:marRight w:val="0"/>
      <w:marTop w:val="0"/>
      <w:marBottom w:val="0"/>
      <w:divBdr>
        <w:top w:val="none" w:sz="0" w:space="0" w:color="auto"/>
        <w:left w:val="none" w:sz="0" w:space="0" w:color="auto"/>
        <w:bottom w:val="none" w:sz="0" w:space="0" w:color="auto"/>
        <w:right w:val="none" w:sz="0" w:space="0" w:color="auto"/>
      </w:divBdr>
    </w:div>
    <w:div w:id="1559627437">
      <w:bodyDiv w:val="1"/>
      <w:marLeft w:val="0"/>
      <w:marRight w:val="0"/>
      <w:marTop w:val="0"/>
      <w:marBottom w:val="0"/>
      <w:divBdr>
        <w:top w:val="none" w:sz="0" w:space="0" w:color="auto"/>
        <w:left w:val="none" w:sz="0" w:space="0" w:color="auto"/>
        <w:bottom w:val="none" w:sz="0" w:space="0" w:color="auto"/>
        <w:right w:val="none" w:sz="0" w:space="0" w:color="auto"/>
      </w:divBdr>
    </w:div>
    <w:div w:id="1561744714">
      <w:bodyDiv w:val="1"/>
      <w:marLeft w:val="0"/>
      <w:marRight w:val="0"/>
      <w:marTop w:val="0"/>
      <w:marBottom w:val="0"/>
      <w:divBdr>
        <w:top w:val="none" w:sz="0" w:space="0" w:color="auto"/>
        <w:left w:val="none" w:sz="0" w:space="0" w:color="auto"/>
        <w:bottom w:val="none" w:sz="0" w:space="0" w:color="auto"/>
        <w:right w:val="none" w:sz="0" w:space="0" w:color="auto"/>
      </w:divBdr>
    </w:div>
    <w:div w:id="1565409836">
      <w:bodyDiv w:val="1"/>
      <w:marLeft w:val="0"/>
      <w:marRight w:val="0"/>
      <w:marTop w:val="0"/>
      <w:marBottom w:val="0"/>
      <w:divBdr>
        <w:top w:val="none" w:sz="0" w:space="0" w:color="auto"/>
        <w:left w:val="none" w:sz="0" w:space="0" w:color="auto"/>
        <w:bottom w:val="none" w:sz="0" w:space="0" w:color="auto"/>
        <w:right w:val="none" w:sz="0" w:space="0" w:color="auto"/>
      </w:divBdr>
    </w:div>
    <w:div w:id="1571580687">
      <w:bodyDiv w:val="1"/>
      <w:marLeft w:val="0"/>
      <w:marRight w:val="0"/>
      <w:marTop w:val="0"/>
      <w:marBottom w:val="0"/>
      <w:divBdr>
        <w:top w:val="none" w:sz="0" w:space="0" w:color="auto"/>
        <w:left w:val="none" w:sz="0" w:space="0" w:color="auto"/>
        <w:bottom w:val="none" w:sz="0" w:space="0" w:color="auto"/>
        <w:right w:val="none" w:sz="0" w:space="0" w:color="auto"/>
      </w:divBdr>
      <w:divsChild>
        <w:div w:id="613902753">
          <w:marLeft w:val="0"/>
          <w:marRight w:val="0"/>
          <w:marTop w:val="0"/>
          <w:marBottom w:val="200"/>
          <w:divBdr>
            <w:top w:val="none" w:sz="0" w:space="0" w:color="auto"/>
            <w:left w:val="none" w:sz="0" w:space="0" w:color="auto"/>
            <w:bottom w:val="none" w:sz="0" w:space="0" w:color="auto"/>
            <w:right w:val="none" w:sz="0" w:space="0" w:color="auto"/>
          </w:divBdr>
        </w:div>
        <w:div w:id="927621593">
          <w:marLeft w:val="0"/>
          <w:marRight w:val="0"/>
          <w:marTop w:val="0"/>
          <w:marBottom w:val="200"/>
          <w:divBdr>
            <w:top w:val="none" w:sz="0" w:space="0" w:color="auto"/>
            <w:left w:val="none" w:sz="0" w:space="0" w:color="auto"/>
            <w:bottom w:val="none" w:sz="0" w:space="0" w:color="auto"/>
            <w:right w:val="none" w:sz="0" w:space="0" w:color="auto"/>
          </w:divBdr>
        </w:div>
        <w:div w:id="1015501772">
          <w:marLeft w:val="0"/>
          <w:marRight w:val="0"/>
          <w:marTop w:val="0"/>
          <w:marBottom w:val="200"/>
          <w:divBdr>
            <w:top w:val="none" w:sz="0" w:space="0" w:color="auto"/>
            <w:left w:val="none" w:sz="0" w:space="0" w:color="auto"/>
            <w:bottom w:val="none" w:sz="0" w:space="0" w:color="auto"/>
            <w:right w:val="none" w:sz="0" w:space="0" w:color="auto"/>
          </w:divBdr>
        </w:div>
      </w:divsChild>
    </w:div>
    <w:div w:id="1571619036">
      <w:bodyDiv w:val="1"/>
      <w:marLeft w:val="0"/>
      <w:marRight w:val="0"/>
      <w:marTop w:val="0"/>
      <w:marBottom w:val="0"/>
      <w:divBdr>
        <w:top w:val="none" w:sz="0" w:space="0" w:color="auto"/>
        <w:left w:val="none" w:sz="0" w:space="0" w:color="auto"/>
        <w:bottom w:val="none" w:sz="0" w:space="0" w:color="auto"/>
        <w:right w:val="none" w:sz="0" w:space="0" w:color="auto"/>
      </w:divBdr>
    </w:div>
    <w:div w:id="1575240035">
      <w:bodyDiv w:val="1"/>
      <w:marLeft w:val="0"/>
      <w:marRight w:val="0"/>
      <w:marTop w:val="0"/>
      <w:marBottom w:val="0"/>
      <w:divBdr>
        <w:top w:val="none" w:sz="0" w:space="0" w:color="auto"/>
        <w:left w:val="none" w:sz="0" w:space="0" w:color="auto"/>
        <w:bottom w:val="none" w:sz="0" w:space="0" w:color="auto"/>
        <w:right w:val="none" w:sz="0" w:space="0" w:color="auto"/>
      </w:divBdr>
    </w:div>
    <w:div w:id="1577130171">
      <w:bodyDiv w:val="1"/>
      <w:marLeft w:val="0"/>
      <w:marRight w:val="0"/>
      <w:marTop w:val="0"/>
      <w:marBottom w:val="0"/>
      <w:divBdr>
        <w:top w:val="none" w:sz="0" w:space="0" w:color="auto"/>
        <w:left w:val="none" w:sz="0" w:space="0" w:color="auto"/>
        <w:bottom w:val="none" w:sz="0" w:space="0" w:color="auto"/>
        <w:right w:val="none" w:sz="0" w:space="0" w:color="auto"/>
      </w:divBdr>
    </w:div>
    <w:div w:id="1580940617">
      <w:bodyDiv w:val="1"/>
      <w:marLeft w:val="0"/>
      <w:marRight w:val="0"/>
      <w:marTop w:val="0"/>
      <w:marBottom w:val="0"/>
      <w:divBdr>
        <w:top w:val="none" w:sz="0" w:space="0" w:color="auto"/>
        <w:left w:val="none" w:sz="0" w:space="0" w:color="auto"/>
        <w:bottom w:val="none" w:sz="0" w:space="0" w:color="auto"/>
        <w:right w:val="none" w:sz="0" w:space="0" w:color="auto"/>
      </w:divBdr>
    </w:div>
    <w:div w:id="1589342269">
      <w:bodyDiv w:val="1"/>
      <w:marLeft w:val="0"/>
      <w:marRight w:val="0"/>
      <w:marTop w:val="0"/>
      <w:marBottom w:val="0"/>
      <w:divBdr>
        <w:top w:val="none" w:sz="0" w:space="0" w:color="auto"/>
        <w:left w:val="none" w:sz="0" w:space="0" w:color="auto"/>
        <w:bottom w:val="none" w:sz="0" w:space="0" w:color="auto"/>
        <w:right w:val="none" w:sz="0" w:space="0" w:color="auto"/>
      </w:divBdr>
    </w:div>
    <w:div w:id="1617365904">
      <w:bodyDiv w:val="1"/>
      <w:marLeft w:val="0"/>
      <w:marRight w:val="0"/>
      <w:marTop w:val="0"/>
      <w:marBottom w:val="0"/>
      <w:divBdr>
        <w:top w:val="none" w:sz="0" w:space="0" w:color="auto"/>
        <w:left w:val="none" w:sz="0" w:space="0" w:color="auto"/>
        <w:bottom w:val="none" w:sz="0" w:space="0" w:color="auto"/>
        <w:right w:val="none" w:sz="0" w:space="0" w:color="auto"/>
      </w:divBdr>
    </w:div>
    <w:div w:id="1620605711">
      <w:bodyDiv w:val="1"/>
      <w:marLeft w:val="0"/>
      <w:marRight w:val="0"/>
      <w:marTop w:val="0"/>
      <w:marBottom w:val="0"/>
      <w:divBdr>
        <w:top w:val="none" w:sz="0" w:space="0" w:color="auto"/>
        <w:left w:val="none" w:sz="0" w:space="0" w:color="auto"/>
        <w:bottom w:val="none" w:sz="0" w:space="0" w:color="auto"/>
        <w:right w:val="none" w:sz="0" w:space="0" w:color="auto"/>
      </w:divBdr>
    </w:div>
    <w:div w:id="1622613091">
      <w:bodyDiv w:val="1"/>
      <w:marLeft w:val="0"/>
      <w:marRight w:val="0"/>
      <w:marTop w:val="0"/>
      <w:marBottom w:val="0"/>
      <w:divBdr>
        <w:top w:val="none" w:sz="0" w:space="0" w:color="auto"/>
        <w:left w:val="none" w:sz="0" w:space="0" w:color="auto"/>
        <w:bottom w:val="none" w:sz="0" w:space="0" w:color="auto"/>
        <w:right w:val="none" w:sz="0" w:space="0" w:color="auto"/>
      </w:divBdr>
    </w:div>
    <w:div w:id="1626472790">
      <w:bodyDiv w:val="1"/>
      <w:marLeft w:val="0"/>
      <w:marRight w:val="0"/>
      <w:marTop w:val="0"/>
      <w:marBottom w:val="0"/>
      <w:divBdr>
        <w:top w:val="none" w:sz="0" w:space="0" w:color="auto"/>
        <w:left w:val="none" w:sz="0" w:space="0" w:color="auto"/>
        <w:bottom w:val="none" w:sz="0" w:space="0" w:color="auto"/>
        <w:right w:val="none" w:sz="0" w:space="0" w:color="auto"/>
      </w:divBdr>
    </w:div>
    <w:div w:id="1634020120">
      <w:bodyDiv w:val="1"/>
      <w:marLeft w:val="0"/>
      <w:marRight w:val="0"/>
      <w:marTop w:val="0"/>
      <w:marBottom w:val="0"/>
      <w:divBdr>
        <w:top w:val="none" w:sz="0" w:space="0" w:color="auto"/>
        <w:left w:val="none" w:sz="0" w:space="0" w:color="auto"/>
        <w:bottom w:val="none" w:sz="0" w:space="0" w:color="auto"/>
        <w:right w:val="none" w:sz="0" w:space="0" w:color="auto"/>
      </w:divBdr>
    </w:div>
    <w:div w:id="1636906807">
      <w:bodyDiv w:val="1"/>
      <w:marLeft w:val="0"/>
      <w:marRight w:val="0"/>
      <w:marTop w:val="0"/>
      <w:marBottom w:val="0"/>
      <w:divBdr>
        <w:top w:val="none" w:sz="0" w:space="0" w:color="auto"/>
        <w:left w:val="none" w:sz="0" w:space="0" w:color="auto"/>
        <w:bottom w:val="none" w:sz="0" w:space="0" w:color="auto"/>
        <w:right w:val="none" w:sz="0" w:space="0" w:color="auto"/>
      </w:divBdr>
      <w:divsChild>
        <w:div w:id="288316325">
          <w:marLeft w:val="14"/>
          <w:marRight w:val="691"/>
          <w:marTop w:val="0"/>
          <w:marBottom w:val="0"/>
          <w:divBdr>
            <w:top w:val="none" w:sz="0" w:space="0" w:color="auto"/>
            <w:left w:val="none" w:sz="0" w:space="0" w:color="auto"/>
            <w:bottom w:val="none" w:sz="0" w:space="0" w:color="auto"/>
            <w:right w:val="none" w:sz="0" w:space="0" w:color="auto"/>
          </w:divBdr>
        </w:div>
        <w:div w:id="1264610085">
          <w:marLeft w:val="14"/>
          <w:marRight w:val="130"/>
          <w:marTop w:val="0"/>
          <w:marBottom w:val="0"/>
          <w:divBdr>
            <w:top w:val="none" w:sz="0" w:space="0" w:color="auto"/>
            <w:left w:val="none" w:sz="0" w:space="0" w:color="auto"/>
            <w:bottom w:val="none" w:sz="0" w:space="0" w:color="auto"/>
            <w:right w:val="none" w:sz="0" w:space="0" w:color="auto"/>
          </w:divBdr>
        </w:div>
        <w:div w:id="1948150862">
          <w:marLeft w:val="14"/>
          <w:marRight w:val="374"/>
          <w:marTop w:val="0"/>
          <w:marBottom w:val="0"/>
          <w:divBdr>
            <w:top w:val="none" w:sz="0" w:space="0" w:color="auto"/>
            <w:left w:val="none" w:sz="0" w:space="0" w:color="auto"/>
            <w:bottom w:val="none" w:sz="0" w:space="0" w:color="auto"/>
            <w:right w:val="none" w:sz="0" w:space="0" w:color="auto"/>
          </w:divBdr>
        </w:div>
      </w:divsChild>
    </w:div>
    <w:div w:id="1637370517">
      <w:bodyDiv w:val="1"/>
      <w:marLeft w:val="0"/>
      <w:marRight w:val="0"/>
      <w:marTop w:val="0"/>
      <w:marBottom w:val="0"/>
      <w:divBdr>
        <w:top w:val="none" w:sz="0" w:space="0" w:color="auto"/>
        <w:left w:val="none" w:sz="0" w:space="0" w:color="auto"/>
        <w:bottom w:val="none" w:sz="0" w:space="0" w:color="auto"/>
        <w:right w:val="none" w:sz="0" w:space="0" w:color="auto"/>
      </w:divBdr>
    </w:div>
    <w:div w:id="1646668220">
      <w:bodyDiv w:val="1"/>
      <w:marLeft w:val="0"/>
      <w:marRight w:val="0"/>
      <w:marTop w:val="0"/>
      <w:marBottom w:val="0"/>
      <w:divBdr>
        <w:top w:val="none" w:sz="0" w:space="0" w:color="auto"/>
        <w:left w:val="none" w:sz="0" w:space="0" w:color="auto"/>
        <w:bottom w:val="none" w:sz="0" w:space="0" w:color="auto"/>
        <w:right w:val="none" w:sz="0" w:space="0" w:color="auto"/>
      </w:divBdr>
    </w:div>
    <w:div w:id="1648630041">
      <w:bodyDiv w:val="1"/>
      <w:marLeft w:val="0"/>
      <w:marRight w:val="0"/>
      <w:marTop w:val="0"/>
      <w:marBottom w:val="0"/>
      <w:divBdr>
        <w:top w:val="none" w:sz="0" w:space="0" w:color="auto"/>
        <w:left w:val="none" w:sz="0" w:space="0" w:color="auto"/>
        <w:bottom w:val="none" w:sz="0" w:space="0" w:color="auto"/>
        <w:right w:val="none" w:sz="0" w:space="0" w:color="auto"/>
      </w:divBdr>
    </w:div>
    <w:div w:id="1651670318">
      <w:bodyDiv w:val="1"/>
      <w:marLeft w:val="0"/>
      <w:marRight w:val="0"/>
      <w:marTop w:val="0"/>
      <w:marBottom w:val="0"/>
      <w:divBdr>
        <w:top w:val="none" w:sz="0" w:space="0" w:color="auto"/>
        <w:left w:val="none" w:sz="0" w:space="0" w:color="auto"/>
        <w:bottom w:val="none" w:sz="0" w:space="0" w:color="auto"/>
        <w:right w:val="none" w:sz="0" w:space="0" w:color="auto"/>
      </w:divBdr>
    </w:div>
    <w:div w:id="1659919171">
      <w:bodyDiv w:val="1"/>
      <w:marLeft w:val="0"/>
      <w:marRight w:val="0"/>
      <w:marTop w:val="0"/>
      <w:marBottom w:val="0"/>
      <w:divBdr>
        <w:top w:val="none" w:sz="0" w:space="0" w:color="auto"/>
        <w:left w:val="none" w:sz="0" w:space="0" w:color="auto"/>
        <w:bottom w:val="none" w:sz="0" w:space="0" w:color="auto"/>
        <w:right w:val="none" w:sz="0" w:space="0" w:color="auto"/>
      </w:divBdr>
    </w:div>
    <w:div w:id="1663502537">
      <w:bodyDiv w:val="1"/>
      <w:marLeft w:val="0"/>
      <w:marRight w:val="0"/>
      <w:marTop w:val="0"/>
      <w:marBottom w:val="0"/>
      <w:divBdr>
        <w:top w:val="none" w:sz="0" w:space="0" w:color="auto"/>
        <w:left w:val="none" w:sz="0" w:space="0" w:color="auto"/>
        <w:bottom w:val="none" w:sz="0" w:space="0" w:color="auto"/>
        <w:right w:val="none" w:sz="0" w:space="0" w:color="auto"/>
      </w:divBdr>
      <w:divsChild>
        <w:div w:id="83848270">
          <w:marLeft w:val="274"/>
          <w:marRight w:val="0"/>
          <w:marTop w:val="0"/>
          <w:marBottom w:val="160"/>
          <w:divBdr>
            <w:top w:val="none" w:sz="0" w:space="0" w:color="auto"/>
            <w:left w:val="none" w:sz="0" w:space="0" w:color="auto"/>
            <w:bottom w:val="none" w:sz="0" w:space="0" w:color="auto"/>
            <w:right w:val="none" w:sz="0" w:space="0" w:color="auto"/>
          </w:divBdr>
        </w:div>
        <w:div w:id="263273290">
          <w:marLeft w:val="274"/>
          <w:marRight w:val="0"/>
          <w:marTop w:val="0"/>
          <w:marBottom w:val="160"/>
          <w:divBdr>
            <w:top w:val="none" w:sz="0" w:space="0" w:color="auto"/>
            <w:left w:val="none" w:sz="0" w:space="0" w:color="auto"/>
            <w:bottom w:val="none" w:sz="0" w:space="0" w:color="auto"/>
            <w:right w:val="none" w:sz="0" w:space="0" w:color="auto"/>
          </w:divBdr>
        </w:div>
        <w:div w:id="684864303">
          <w:marLeft w:val="274"/>
          <w:marRight w:val="0"/>
          <w:marTop w:val="0"/>
          <w:marBottom w:val="160"/>
          <w:divBdr>
            <w:top w:val="none" w:sz="0" w:space="0" w:color="auto"/>
            <w:left w:val="none" w:sz="0" w:space="0" w:color="auto"/>
            <w:bottom w:val="none" w:sz="0" w:space="0" w:color="auto"/>
            <w:right w:val="none" w:sz="0" w:space="0" w:color="auto"/>
          </w:divBdr>
        </w:div>
        <w:div w:id="858861172">
          <w:marLeft w:val="274"/>
          <w:marRight w:val="0"/>
          <w:marTop w:val="0"/>
          <w:marBottom w:val="160"/>
          <w:divBdr>
            <w:top w:val="none" w:sz="0" w:space="0" w:color="auto"/>
            <w:left w:val="none" w:sz="0" w:space="0" w:color="auto"/>
            <w:bottom w:val="none" w:sz="0" w:space="0" w:color="auto"/>
            <w:right w:val="none" w:sz="0" w:space="0" w:color="auto"/>
          </w:divBdr>
        </w:div>
        <w:div w:id="1228343879">
          <w:marLeft w:val="274"/>
          <w:marRight w:val="0"/>
          <w:marTop w:val="0"/>
          <w:marBottom w:val="160"/>
          <w:divBdr>
            <w:top w:val="none" w:sz="0" w:space="0" w:color="auto"/>
            <w:left w:val="none" w:sz="0" w:space="0" w:color="auto"/>
            <w:bottom w:val="none" w:sz="0" w:space="0" w:color="auto"/>
            <w:right w:val="none" w:sz="0" w:space="0" w:color="auto"/>
          </w:divBdr>
        </w:div>
        <w:div w:id="1473450456">
          <w:marLeft w:val="274"/>
          <w:marRight w:val="0"/>
          <w:marTop w:val="0"/>
          <w:marBottom w:val="160"/>
          <w:divBdr>
            <w:top w:val="none" w:sz="0" w:space="0" w:color="auto"/>
            <w:left w:val="none" w:sz="0" w:space="0" w:color="auto"/>
            <w:bottom w:val="none" w:sz="0" w:space="0" w:color="auto"/>
            <w:right w:val="none" w:sz="0" w:space="0" w:color="auto"/>
          </w:divBdr>
        </w:div>
        <w:div w:id="1527331396">
          <w:marLeft w:val="274"/>
          <w:marRight w:val="0"/>
          <w:marTop w:val="0"/>
          <w:marBottom w:val="160"/>
          <w:divBdr>
            <w:top w:val="none" w:sz="0" w:space="0" w:color="auto"/>
            <w:left w:val="none" w:sz="0" w:space="0" w:color="auto"/>
            <w:bottom w:val="none" w:sz="0" w:space="0" w:color="auto"/>
            <w:right w:val="none" w:sz="0" w:space="0" w:color="auto"/>
          </w:divBdr>
        </w:div>
      </w:divsChild>
    </w:div>
    <w:div w:id="1681278594">
      <w:bodyDiv w:val="1"/>
      <w:marLeft w:val="0"/>
      <w:marRight w:val="0"/>
      <w:marTop w:val="0"/>
      <w:marBottom w:val="0"/>
      <w:divBdr>
        <w:top w:val="none" w:sz="0" w:space="0" w:color="auto"/>
        <w:left w:val="none" w:sz="0" w:space="0" w:color="auto"/>
        <w:bottom w:val="none" w:sz="0" w:space="0" w:color="auto"/>
        <w:right w:val="none" w:sz="0" w:space="0" w:color="auto"/>
      </w:divBdr>
    </w:div>
    <w:div w:id="1685522454">
      <w:bodyDiv w:val="1"/>
      <w:marLeft w:val="0"/>
      <w:marRight w:val="0"/>
      <w:marTop w:val="0"/>
      <w:marBottom w:val="0"/>
      <w:divBdr>
        <w:top w:val="none" w:sz="0" w:space="0" w:color="auto"/>
        <w:left w:val="none" w:sz="0" w:space="0" w:color="auto"/>
        <w:bottom w:val="none" w:sz="0" w:space="0" w:color="auto"/>
        <w:right w:val="none" w:sz="0" w:space="0" w:color="auto"/>
      </w:divBdr>
    </w:div>
    <w:div w:id="1687099307">
      <w:bodyDiv w:val="1"/>
      <w:marLeft w:val="0"/>
      <w:marRight w:val="0"/>
      <w:marTop w:val="0"/>
      <w:marBottom w:val="0"/>
      <w:divBdr>
        <w:top w:val="none" w:sz="0" w:space="0" w:color="auto"/>
        <w:left w:val="none" w:sz="0" w:space="0" w:color="auto"/>
        <w:bottom w:val="none" w:sz="0" w:space="0" w:color="auto"/>
        <w:right w:val="none" w:sz="0" w:space="0" w:color="auto"/>
      </w:divBdr>
    </w:div>
    <w:div w:id="1690714154">
      <w:bodyDiv w:val="1"/>
      <w:marLeft w:val="0"/>
      <w:marRight w:val="0"/>
      <w:marTop w:val="0"/>
      <w:marBottom w:val="0"/>
      <w:divBdr>
        <w:top w:val="none" w:sz="0" w:space="0" w:color="auto"/>
        <w:left w:val="none" w:sz="0" w:space="0" w:color="auto"/>
        <w:bottom w:val="none" w:sz="0" w:space="0" w:color="auto"/>
        <w:right w:val="none" w:sz="0" w:space="0" w:color="auto"/>
      </w:divBdr>
    </w:div>
    <w:div w:id="1706711025">
      <w:bodyDiv w:val="1"/>
      <w:marLeft w:val="0"/>
      <w:marRight w:val="0"/>
      <w:marTop w:val="0"/>
      <w:marBottom w:val="0"/>
      <w:divBdr>
        <w:top w:val="none" w:sz="0" w:space="0" w:color="auto"/>
        <w:left w:val="none" w:sz="0" w:space="0" w:color="auto"/>
        <w:bottom w:val="none" w:sz="0" w:space="0" w:color="auto"/>
        <w:right w:val="none" w:sz="0" w:space="0" w:color="auto"/>
      </w:divBdr>
      <w:divsChild>
        <w:div w:id="166597220">
          <w:marLeft w:val="14"/>
          <w:marRight w:val="130"/>
          <w:marTop w:val="0"/>
          <w:marBottom w:val="0"/>
          <w:divBdr>
            <w:top w:val="none" w:sz="0" w:space="0" w:color="auto"/>
            <w:left w:val="none" w:sz="0" w:space="0" w:color="auto"/>
            <w:bottom w:val="none" w:sz="0" w:space="0" w:color="auto"/>
            <w:right w:val="none" w:sz="0" w:space="0" w:color="auto"/>
          </w:divBdr>
        </w:div>
        <w:div w:id="1110734794">
          <w:marLeft w:val="14"/>
          <w:marRight w:val="374"/>
          <w:marTop w:val="0"/>
          <w:marBottom w:val="0"/>
          <w:divBdr>
            <w:top w:val="none" w:sz="0" w:space="0" w:color="auto"/>
            <w:left w:val="none" w:sz="0" w:space="0" w:color="auto"/>
            <w:bottom w:val="none" w:sz="0" w:space="0" w:color="auto"/>
            <w:right w:val="none" w:sz="0" w:space="0" w:color="auto"/>
          </w:divBdr>
        </w:div>
        <w:div w:id="2123107048">
          <w:marLeft w:val="14"/>
          <w:marRight w:val="691"/>
          <w:marTop w:val="0"/>
          <w:marBottom w:val="0"/>
          <w:divBdr>
            <w:top w:val="none" w:sz="0" w:space="0" w:color="auto"/>
            <w:left w:val="none" w:sz="0" w:space="0" w:color="auto"/>
            <w:bottom w:val="none" w:sz="0" w:space="0" w:color="auto"/>
            <w:right w:val="none" w:sz="0" w:space="0" w:color="auto"/>
          </w:divBdr>
        </w:div>
      </w:divsChild>
    </w:div>
    <w:div w:id="1707170100">
      <w:bodyDiv w:val="1"/>
      <w:marLeft w:val="0"/>
      <w:marRight w:val="0"/>
      <w:marTop w:val="0"/>
      <w:marBottom w:val="0"/>
      <w:divBdr>
        <w:top w:val="none" w:sz="0" w:space="0" w:color="auto"/>
        <w:left w:val="none" w:sz="0" w:space="0" w:color="auto"/>
        <w:bottom w:val="none" w:sz="0" w:space="0" w:color="auto"/>
        <w:right w:val="none" w:sz="0" w:space="0" w:color="auto"/>
      </w:divBdr>
    </w:div>
    <w:div w:id="1717655334">
      <w:bodyDiv w:val="1"/>
      <w:marLeft w:val="0"/>
      <w:marRight w:val="0"/>
      <w:marTop w:val="0"/>
      <w:marBottom w:val="0"/>
      <w:divBdr>
        <w:top w:val="none" w:sz="0" w:space="0" w:color="auto"/>
        <w:left w:val="none" w:sz="0" w:space="0" w:color="auto"/>
        <w:bottom w:val="none" w:sz="0" w:space="0" w:color="auto"/>
        <w:right w:val="none" w:sz="0" w:space="0" w:color="auto"/>
      </w:divBdr>
      <w:divsChild>
        <w:div w:id="199902869">
          <w:marLeft w:val="547"/>
          <w:marRight w:val="0"/>
          <w:marTop w:val="0"/>
          <w:marBottom w:val="0"/>
          <w:divBdr>
            <w:top w:val="none" w:sz="0" w:space="0" w:color="auto"/>
            <w:left w:val="none" w:sz="0" w:space="0" w:color="auto"/>
            <w:bottom w:val="none" w:sz="0" w:space="0" w:color="auto"/>
            <w:right w:val="none" w:sz="0" w:space="0" w:color="auto"/>
          </w:divBdr>
        </w:div>
      </w:divsChild>
    </w:div>
    <w:div w:id="1718046886">
      <w:bodyDiv w:val="1"/>
      <w:marLeft w:val="0"/>
      <w:marRight w:val="0"/>
      <w:marTop w:val="0"/>
      <w:marBottom w:val="0"/>
      <w:divBdr>
        <w:top w:val="none" w:sz="0" w:space="0" w:color="auto"/>
        <w:left w:val="none" w:sz="0" w:space="0" w:color="auto"/>
        <w:bottom w:val="none" w:sz="0" w:space="0" w:color="auto"/>
        <w:right w:val="none" w:sz="0" w:space="0" w:color="auto"/>
      </w:divBdr>
      <w:divsChild>
        <w:div w:id="613290670">
          <w:marLeft w:val="1411"/>
          <w:marRight w:val="0"/>
          <w:marTop w:val="0"/>
          <w:marBottom w:val="60"/>
          <w:divBdr>
            <w:top w:val="none" w:sz="0" w:space="0" w:color="auto"/>
            <w:left w:val="none" w:sz="0" w:space="0" w:color="auto"/>
            <w:bottom w:val="none" w:sz="0" w:space="0" w:color="auto"/>
            <w:right w:val="none" w:sz="0" w:space="0" w:color="auto"/>
          </w:divBdr>
        </w:div>
        <w:div w:id="781917785">
          <w:marLeft w:val="1411"/>
          <w:marRight w:val="0"/>
          <w:marTop w:val="0"/>
          <w:marBottom w:val="60"/>
          <w:divBdr>
            <w:top w:val="none" w:sz="0" w:space="0" w:color="auto"/>
            <w:left w:val="none" w:sz="0" w:space="0" w:color="auto"/>
            <w:bottom w:val="none" w:sz="0" w:space="0" w:color="auto"/>
            <w:right w:val="none" w:sz="0" w:space="0" w:color="auto"/>
          </w:divBdr>
        </w:div>
        <w:div w:id="824013025">
          <w:marLeft w:val="1411"/>
          <w:marRight w:val="0"/>
          <w:marTop w:val="0"/>
          <w:marBottom w:val="60"/>
          <w:divBdr>
            <w:top w:val="none" w:sz="0" w:space="0" w:color="auto"/>
            <w:left w:val="none" w:sz="0" w:space="0" w:color="auto"/>
            <w:bottom w:val="none" w:sz="0" w:space="0" w:color="auto"/>
            <w:right w:val="none" w:sz="0" w:space="0" w:color="auto"/>
          </w:divBdr>
        </w:div>
        <w:div w:id="1829444402">
          <w:marLeft w:val="1411"/>
          <w:marRight w:val="0"/>
          <w:marTop w:val="0"/>
          <w:marBottom w:val="60"/>
          <w:divBdr>
            <w:top w:val="none" w:sz="0" w:space="0" w:color="auto"/>
            <w:left w:val="none" w:sz="0" w:space="0" w:color="auto"/>
            <w:bottom w:val="none" w:sz="0" w:space="0" w:color="auto"/>
            <w:right w:val="none" w:sz="0" w:space="0" w:color="auto"/>
          </w:divBdr>
        </w:div>
      </w:divsChild>
    </w:div>
    <w:div w:id="1720745714">
      <w:bodyDiv w:val="1"/>
      <w:marLeft w:val="0"/>
      <w:marRight w:val="0"/>
      <w:marTop w:val="0"/>
      <w:marBottom w:val="0"/>
      <w:divBdr>
        <w:top w:val="none" w:sz="0" w:space="0" w:color="auto"/>
        <w:left w:val="none" w:sz="0" w:space="0" w:color="auto"/>
        <w:bottom w:val="none" w:sz="0" w:space="0" w:color="auto"/>
        <w:right w:val="none" w:sz="0" w:space="0" w:color="auto"/>
      </w:divBdr>
    </w:div>
    <w:div w:id="1721173595">
      <w:bodyDiv w:val="1"/>
      <w:marLeft w:val="0"/>
      <w:marRight w:val="0"/>
      <w:marTop w:val="0"/>
      <w:marBottom w:val="0"/>
      <w:divBdr>
        <w:top w:val="none" w:sz="0" w:space="0" w:color="auto"/>
        <w:left w:val="none" w:sz="0" w:space="0" w:color="auto"/>
        <w:bottom w:val="none" w:sz="0" w:space="0" w:color="auto"/>
        <w:right w:val="none" w:sz="0" w:space="0" w:color="auto"/>
      </w:divBdr>
    </w:div>
    <w:div w:id="1723406098">
      <w:bodyDiv w:val="1"/>
      <w:marLeft w:val="0"/>
      <w:marRight w:val="0"/>
      <w:marTop w:val="0"/>
      <w:marBottom w:val="0"/>
      <w:divBdr>
        <w:top w:val="none" w:sz="0" w:space="0" w:color="auto"/>
        <w:left w:val="none" w:sz="0" w:space="0" w:color="auto"/>
        <w:bottom w:val="none" w:sz="0" w:space="0" w:color="auto"/>
        <w:right w:val="none" w:sz="0" w:space="0" w:color="auto"/>
      </w:divBdr>
    </w:div>
    <w:div w:id="1724863666">
      <w:bodyDiv w:val="1"/>
      <w:marLeft w:val="0"/>
      <w:marRight w:val="0"/>
      <w:marTop w:val="0"/>
      <w:marBottom w:val="0"/>
      <w:divBdr>
        <w:top w:val="none" w:sz="0" w:space="0" w:color="auto"/>
        <w:left w:val="none" w:sz="0" w:space="0" w:color="auto"/>
        <w:bottom w:val="none" w:sz="0" w:space="0" w:color="auto"/>
        <w:right w:val="none" w:sz="0" w:space="0" w:color="auto"/>
      </w:divBdr>
      <w:divsChild>
        <w:div w:id="608317499">
          <w:marLeft w:val="274"/>
          <w:marRight w:val="0"/>
          <w:marTop w:val="120"/>
          <w:marBottom w:val="0"/>
          <w:divBdr>
            <w:top w:val="none" w:sz="0" w:space="0" w:color="auto"/>
            <w:left w:val="none" w:sz="0" w:space="0" w:color="auto"/>
            <w:bottom w:val="none" w:sz="0" w:space="0" w:color="auto"/>
            <w:right w:val="none" w:sz="0" w:space="0" w:color="auto"/>
          </w:divBdr>
        </w:div>
      </w:divsChild>
    </w:div>
    <w:div w:id="1738434590">
      <w:bodyDiv w:val="1"/>
      <w:marLeft w:val="0"/>
      <w:marRight w:val="0"/>
      <w:marTop w:val="0"/>
      <w:marBottom w:val="0"/>
      <w:divBdr>
        <w:top w:val="none" w:sz="0" w:space="0" w:color="auto"/>
        <w:left w:val="none" w:sz="0" w:space="0" w:color="auto"/>
        <w:bottom w:val="none" w:sz="0" w:space="0" w:color="auto"/>
        <w:right w:val="none" w:sz="0" w:space="0" w:color="auto"/>
      </w:divBdr>
    </w:div>
    <w:div w:id="1745448840">
      <w:bodyDiv w:val="1"/>
      <w:marLeft w:val="0"/>
      <w:marRight w:val="0"/>
      <w:marTop w:val="0"/>
      <w:marBottom w:val="0"/>
      <w:divBdr>
        <w:top w:val="none" w:sz="0" w:space="0" w:color="auto"/>
        <w:left w:val="none" w:sz="0" w:space="0" w:color="auto"/>
        <w:bottom w:val="none" w:sz="0" w:space="0" w:color="auto"/>
        <w:right w:val="none" w:sz="0" w:space="0" w:color="auto"/>
      </w:divBdr>
    </w:div>
    <w:div w:id="1748187010">
      <w:bodyDiv w:val="1"/>
      <w:marLeft w:val="0"/>
      <w:marRight w:val="0"/>
      <w:marTop w:val="0"/>
      <w:marBottom w:val="0"/>
      <w:divBdr>
        <w:top w:val="none" w:sz="0" w:space="0" w:color="auto"/>
        <w:left w:val="none" w:sz="0" w:space="0" w:color="auto"/>
        <w:bottom w:val="none" w:sz="0" w:space="0" w:color="auto"/>
        <w:right w:val="none" w:sz="0" w:space="0" w:color="auto"/>
      </w:divBdr>
    </w:div>
    <w:div w:id="1751002311">
      <w:bodyDiv w:val="1"/>
      <w:marLeft w:val="0"/>
      <w:marRight w:val="0"/>
      <w:marTop w:val="0"/>
      <w:marBottom w:val="0"/>
      <w:divBdr>
        <w:top w:val="none" w:sz="0" w:space="0" w:color="auto"/>
        <w:left w:val="none" w:sz="0" w:space="0" w:color="auto"/>
        <w:bottom w:val="none" w:sz="0" w:space="0" w:color="auto"/>
        <w:right w:val="none" w:sz="0" w:space="0" w:color="auto"/>
      </w:divBdr>
    </w:div>
    <w:div w:id="1755978119">
      <w:bodyDiv w:val="1"/>
      <w:marLeft w:val="0"/>
      <w:marRight w:val="0"/>
      <w:marTop w:val="0"/>
      <w:marBottom w:val="0"/>
      <w:divBdr>
        <w:top w:val="none" w:sz="0" w:space="0" w:color="auto"/>
        <w:left w:val="none" w:sz="0" w:space="0" w:color="auto"/>
        <w:bottom w:val="none" w:sz="0" w:space="0" w:color="auto"/>
        <w:right w:val="none" w:sz="0" w:space="0" w:color="auto"/>
      </w:divBdr>
      <w:divsChild>
        <w:div w:id="1651211335">
          <w:marLeft w:val="0"/>
          <w:marRight w:val="0"/>
          <w:marTop w:val="0"/>
          <w:marBottom w:val="240"/>
          <w:divBdr>
            <w:top w:val="none" w:sz="0" w:space="0" w:color="auto"/>
            <w:left w:val="none" w:sz="0" w:space="0" w:color="auto"/>
            <w:bottom w:val="none" w:sz="0" w:space="0" w:color="auto"/>
            <w:right w:val="none" w:sz="0" w:space="0" w:color="auto"/>
          </w:divBdr>
        </w:div>
      </w:divsChild>
    </w:div>
    <w:div w:id="1764107439">
      <w:bodyDiv w:val="1"/>
      <w:marLeft w:val="0"/>
      <w:marRight w:val="0"/>
      <w:marTop w:val="0"/>
      <w:marBottom w:val="0"/>
      <w:divBdr>
        <w:top w:val="none" w:sz="0" w:space="0" w:color="auto"/>
        <w:left w:val="none" w:sz="0" w:space="0" w:color="auto"/>
        <w:bottom w:val="none" w:sz="0" w:space="0" w:color="auto"/>
        <w:right w:val="none" w:sz="0" w:space="0" w:color="auto"/>
      </w:divBdr>
      <w:divsChild>
        <w:div w:id="891310665">
          <w:marLeft w:val="0"/>
          <w:marRight w:val="0"/>
          <w:marTop w:val="0"/>
          <w:marBottom w:val="200"/>
          <w:divBdr>
            <w:top w:val="none" w:sz="0" w:space="0" w:color="auto"/>
            <w:left w:val="none" w:sz="0" w:space="0" w:color="auto"/>
            <w:bottom w:val="none" w:sz="0" w:space="0" w:color="auto"/>
            <w:right w:val="none" w:sz="0" w:space="0" w:color="auto"/>
          </w:divBdr>
        </w:div>
        <w:div w:id="1661158747">
          <w:marLeft w:val="0"/>
          <w:marRight w:val="0"/>
          <w:marTop w:val="0"/>
          <w:marBottom w:val="200"/>
          <w:divBdr>
            <w:top w:val="none" w:sz="0" w:space="0" w:color="auto"/>
            <w:left w:val="none" w:sz="0" w:space="0" w:color="auto"/>
            <w:bottom w:val="none" w:sz="0" w:space="0" w:color="auto"/>
            <w:right w:val="none" w:sz="0" w:space="0" w:color="auto"/>
          </w:divBdr>
        </w:div>
      </w:divsChild>
    </w:div>
    <w:div w:id="1765614627">
      <w:bodyDiv w:val="1"/>
      <w:marLeft w:val="0"/>
      <w:marRight w:val="0"/>
      <w:marTop w:val="0"/>
      <w:marBottom w:val="0"/>
      <w:divBdr>
        <w:top w:val="none" w:sz="0" w:space="0" w:color="auto"/>
        <w:left w:val="none" w:sz="0" w:space="0" w:color="auto"/>
        <w:bottom w:val="none" w:sz="0" w:space="0" w:color="auto"/>
        <w:right w:val="none" w:sz="0" w:space="0" w:color="auto"/>
      </w:divBdr>
    </w:div>
    <w:div w:id="1772895728">
      <w:bodyDiv w:val="1"/>
      <w:marLeft w:val="0"/>
      <w:marRight w:val="0"/>
      <w:marTop w:val="0"/>
      <w:marBottom w:val="0"/>
      <w:divBdr>
        <w:top w:val="none" w:sz="0" w:space="0" w:color="auto"/>
        <w:left w:val="none" w:sz="0" w:space="0" w:color="auto"/>
        <w:bottom w:val="none" w:sz="0" w:space="0" w:color="auto"/>
        <w:right w:val="none" w:sz="0" w:space="0" w:color="auto"/>
      </w:divBdr>
    </w:div>
    <w:div w:id="1775200329">
      <w:bodyDiv w:val="1"/>
      <w:marLeft w:val="0"/>
      <w:marRight w:val="0"/>
      <w:marTop w:val="0"/>
      <w:marBottom w:val="0"/>
      <w:divBdr>
        <w:top w:val="none" w:sz="0" w:space="0" w:color="auto"/>
        <w:left w:val="none" w:sz="0" w:space="0" w:color="auto"/>
        <w:bottom w:val="none" w:sz="0" w:space="0" w:color="auto"/>
        <w:right w:val="none" w:sz="0" w:space="0" w:color="auto"/>
      </w:divBdr>
    </w:div>
    <w:div w:id="1780955113">
      <w:bodyDiv w:val="1"/>
      <w:marLeft w:val="0"/>
      <w:marRight w:val="0"/>
      <w:marTop w:val="0"/>
      <w:marBottom w:val="0"/>
      <w:divBdr>
        <w:top w:val="none" w:sz="0" w:space="0" w:color="auto"/>
        <w:left w:val="none" w:sz="0" w:space="0" w:color="auto"/>
        <w:bottom w:val="none" w:sz="0" w:space="0" w:color="auto"/>
        <w:right w:val="none" w:sz="0" w:space="0" w:color="auto"/>
      </w:divBdr>
      <w:divsChild>
        <w:div w:id="1614551475">
          <w:marLeft w:val="0"/>
          <w:marRight w:val="0"/>
          <w:marTop w:val="0"/>
          <w:marBottom w:val="240"/>
          <w:divBdr>
            <w:top w:val="none" w:sz="0" w:space="0" w:color="auto"/>
            <w:left w:val="none" w:sz="0" w:space="0" w:color="auto"/>
            <w:bottom w:val="none" w:sz="0" w:space="0" w:color="auto"/>
            <w:right w:val="none" w:sz="0" w:space="0" w:color="auto"/>
          </w:divBdr>
        </w:div>
      </w:divsChild>
    </w:div>
    <w:div w:id="1783649407">
      <w:bodyDiv w:val="1"/>
      <w:marLeft w:val="0"/>
      <w:marRight w:val="0"/>
      <w:marTop w:val="0"/>
      <w:marBottom w:val="0"/>
      <w:divBdr>
        <w:top w:val="none" w:sz="0" w:space="0" w:color="auto"/>
        <w:left w:val="none" w:sz="0" w:space="0" w:color="auto"/>
        <w:bottom w:val="none" w:sz="0" w:space="0" w:color="auto"/>
        <w:right w:val="none" w:sz="0" w:space="0" w:color="auto"/>
      </w:divBdr>
      <w:divsChild>
        <w:div w:id="841167138">
          <w:marLeft w:val="274"/>
          <w:marRight w:val="0"/>
          <w:marTop w:val="0"/>
          <w:marBottom w:val="0"/>
          <w:divBdr>
            <w:top w:val="none" w:sz="0" w:space="0" w:color="auto"/>
            <w:left w:val="none" w:sz="0" w:space="0" w:color="auto"/>
            <w:bottom w:val="none" w:sz="0" w:space="0" w:color="auto"/>
            <w:right w:val="none" w:sz="0" w:space="0" w:color="auto"/>
          </w:divBdr>
        </w:div>
      </w:divsChild>
    </w:div>
    <w:div w:id="1785685397">
      <w:bodyDiv w:val="1"/>
      <w:marLeft w:val="0"/>
      <w:marRight w:val="0"/>
      <w:marTop w:val="0"/>
      <w:marBottom w:val="0"/>
      <w:divBdr>
        <w:top w:val="none" w:sz="0" w:space="0" w:color="auto"/>
        <w:left w:val="none" w:sz="0" w:space="0" w:color="auto"/>
        <w:bottom w:val="none" w:sz="0" w:space="0" w:color="auto"/>
        <w:right w:val="none" w:sz="0" w:space="0" w:color="auto"/>
      </w:divBdr>
    </w:div>
    <w:div w:id="1789932265">
      <w:bodyDiv w:val="1"/>
      <w:marLeft w:val="0"/>
      <w:marRight w:val="0"/>
      <w:marTop w:val="0"/>
      <w:marBottom w:val="0"/>
      <w:divBdr>
        <w:top w:val="none" w:sz="0" w:space="0" w:color="auto"/>
        <w:left w:val="none" w:sz="0" w:space="0" w:color="auto"/>
        <w:bottom w:val="none" w:sz="0" w:space="0" w:color="auto"/>
        <w:right w:val="none" w:sz="0" w:space="0" w:color="auto"/>
      </w:divBdr>
      <w:divsChild>
        <w:div w:id="2004501345">
          <w:marLeft w:val="0"/>
          <w:marRight w:val="0"/>
          <w:marTop w:val="0"/>
          <w:marBottom w:val="240"/>
          <w:divBdr>
            <w:top w:val="none" w:sz="0" w:space="0" w:color="auto"/>
            <w:left w:val="none" w:sz="0" w:space="0" w:color="auto"/>
            <w:bottom w:val="none" w:sz="0" w:space="0" w:color="auto"/>
            <w:right w:val="none" w:sz="0" w:space="0" w:color="auto"/>
          </w:divBdr>
        </w:div>
      </w:divsChild>
    </w:div>
    <w:div w:id="1790054117">
      <w:bodyDiv w:val="1"/>
      <w:marLeft w:val="0"/>
      <w:marRight w:val="0"/>
      <w:marTop w:val="0"/>
      <w:marBottom w:val="0"/>
      <w:divBdr>
        <w:top w:val="none" w:sz="0" w:space="0" w:color="auto"/>
        <w:left w:val="none" w:sz="0" w:space="0" w:color="auto"/>
        <w:bottom w:val="none" w:sz="0" w:space="0" w:color="auto"/>
        <w:right w:val="none" w:sz="0" w:space="0" w:color="auto"/>
      </w:divBdr>
    </w:div>
    <w:div w:id="1797287284">
      <w:bodyDiv w:val="1"/>
      <w:marLeft w:val="0"/>
      <w:marRight w:val="0"/>
      <w:marTop w:val="0"/>
      <w:marBottom w:val="0"/>
      <w:divBdr>
        <w:top w:val="none" w:sz="0" w:space="0" w:color="auto"/>
        <w:left w:val="none" w:sz="0" w:space="0" w:color="auto"/>
        <w:bottom w:val="none" w:sz="0" w:space="0" w:color="auto"/>
        <w:right w:val="none" w:sz="0" w:space="0" w:color="auto"/>
      </w:divBdr>
      <w:divsChild>
        <w:div w:id="1169058937">
          <w:marLeft w:val="0"/>
          <w:marRight w:val="0"/>
          <w:marTop w:val="0"/>
          <w:marBottom w:val="240"/>
          <w:divBdr>
            <w:top w:val="none" w:sz="0" w:space="0" w:color="auto"/>
            <w:left w:val="none" w:sz="0" w:space="0" w:color="auto"/>
            <w:bottom w:val="none" w:sz="0" w:space="0" w:color="auto"/>
            <w:right w:val="none" w:sz="0" w:space="0" w:color="auto"/>
          </w:divBdr>
        </w:div>
        <w:div w:id="2027830316">
          <w:marLeft w:val="0"/>
          <w:marRight w:val="0"/>
          <w:marTop w:val="0"/>
          <w:marBottom w:val="240"/>
          <w:divBdr>
            <w:top w:val="none" w:sz="0" w:space="0" w:color="auto"/>
            <w:left w:val="none" w:sz="0" w:space="0" w:color="auto"/>
            <w:bottom w:val="none" w:sz="0" w:space="0" w:color="auto"/>
            <w:right w:val="none" w:sz="0" w:space="0" w:color="auto"/>
          </w:divBdr>
        </w:div>
      </w:divsChild>
    </w:div>
    <w:div w:id="1812016454">
      <w:bodyDiv w:val="1"/>
      <w:marLeft w:val="0"/>
      <w:marRight w:val="0"/>
      <w:marTop w:val="0"/>
      <w:marBottom w:val="0"/>
      <w:divBdr>
        <w:top w:val="none" w:sz="0" w:space="0" w:color="auto"/>
        <w:left w:val="none" w:sz="0" w:space="0" w:color="auto"/>
        <w:bottom w:val="none" w:sz="0" w:space="0" w:color="auto"/>
        <w:right w:val="none" w:sz="0" w:space="0" w:color="auto"/>
      </w:divBdr>
    </w:div>
    <w:div w:id="1820266758">
      <w:bodyDiv w:val="1"/>
      <w:marLeft w:val="0"/>
      <w:marRight w:val="0"/>
      <w:marTop w:val="0"/>
      <w:marBottom w:val="0"/>
      <w:divBdr>
        <w:top w:val="none" w:sz="0" w:space="0" w:color="auto"/>
        <w:left w:val="none" w:sz="0" w:space="0" w:color="auto"/>
        <w:bottom w:val="none" w:sz="0" w:space="0" w:color="auto"/>
        <w:right w:val="none" w:sz="0" w:space="0" w:color="auto"/>
      </w:divBdr>
    </w:div>
    <w:div w:id="1822310311">
      <w:bodyDiv w:val="1"/>
      <w:marLeft w:val="0"/>
      <w:marRight w:val="0"/>
      <w:marTop w:val="0"/>
      <w:marBottom w:val="0"/>
      <w:divBdr>
        <w:top w:val="none" w:sz="0" w:space="0" w:color="auto"/>
        <w:left w:val="none" w:sz="0" w:space="0" w:color="auto"/>
        <w:bottom w:val="none" w:sz="0" w:space="0" w:color="auto"/>
        <w:right w:val="none" w:sz="0" w:space="0" w:color="auto"/>
      </w:divBdr>
    </w:div>
    <w:div w:id="1832326648">
      <w:bodyDiv w:val="1"/>
      <w:marLeft w:val="0"/>
      <w:marRight w:val="0"/>
      <w:marTop w:val="0"/>
      <w:marBottom w:val="0"/>
      <w:divBdr>
        <w:top w:val="none" w:sz="0" w:space="0" w:color="auto"/>
        <w:left w:val="none" w:sz="0" w:space="0" w:color="auto"/>
        <w:bottom w:val="none" w:sz="0" w:space="0" w:color="auto"/>
        <w:right w:val="none" w:sz="0" w:space="0" w:color="auto"/>
      </w:divBdr>
    </w:div>
    <w:div w:id="1832403947">
      <w:bodyDiv w:val="1"/>
      <w:marLeft w:val="0"/>
      <w:marRight w:val="0"/>
      <w:marTop w:val="0"/>
      <w:marBottom w:val="0"/>
      <w:divBdr>
        <w:top w:val="none" w:sz="0" w:space="0" w:color="auto"/>
        <w:left w:val="none" w:sz="0" w:space="0" w:color="auto"/>
        <w:bottom w:val="none" w:sz="0" w:space="0" w:color="auto"/>
        <w:right w:val="none" w:sz="0" w:space="0" w:color="auto"/>
      </w:divBdr>
    </w:div>
    <w:div w:id="1834760651">
      <w:bodyDiv w:val="1"/>
      <w:marLeft w:val="0"/>
      <w:marRight w:val="0"/>
      <w:marTop w:val="0"/>
      <w:marBottom w:val="0"/>
      <w:divBdr>
        <w:top w:val="none" w:sz="0" w:space="0" w:color="auto"/>
        <w:left w:val="none" w:sz="0" w:space="0" w:color="auto"/>
        <w:bottom w:val="none" w:sz="0" w:space="0" w:color="auto"/>
        <w:right w:val="none" w:sz="0" w:space="0" w:color="auto"/>
      </w:divBdr>
    </w:div>
    <w:div w:id="1836721534">
      <w:bodyDiv w:val="1"/>
      <w:marLeft w:val="0"/>
      <w:marRight w:val="0"/>
      <w:marTop w:val="0"/>
      <w:marBottom w:val="0"/>
      <w:divBdr>
        <w:top w:val="none" w:sz="0" w:space="0" w:color="auto"/>
        <w:left w:val="none" w:sz="0" w:space="0" w:color="auto"/>
        <w:bottom w:val="none" w:sz="0" w:space="0" w:color="auto"/>
        <w:right w:val="none" w:sz="0" w:space="0" w:color="auto"/>
      </w:divBdr>
    </w:div>
    <w:div w:id="1840728191">
      <w:bodyDiv w:val="1"/>
      <w:marLeft w:val="0"/>
      <w:marRight w:val="0"/>
      <w:marTop w:val="0"/>
      <w:marBottom w:val="0"/>
      <w:divBdr>
        <w:top w:val="none" w:sz="0" w:space="0" w:color="auto"/>
        <w:left w:val="none" w:sz="0" w:space="0" w:color="auto"/>
        <w:bottom w:val="none" w:sz="0" w:space="0" w:color="auto"/>
        <w:right w:val="none" w:sz="0" w:space="0" w:color="auto"/>
      </w:divBdr>
    </w:div>
    <w:div w:id="1852334529">
      <w:bodyDiv w:val="1"/>
      <w:marLeft w:val="0"/>
      <w:marRight w:val="0"/>
      <w:marTop w:val="0"/>
      <w:marBottom w:val="0"/>
      <w:divBdr>
        <w:top w:val="none" w:sz="0" w:space="0" w:color="auto"/>
        <w:left w:val="none" w:sz="0" w:space="0" w:color="auto"/>
        <w:bottom w:val="none" w:sz="0" w:space="0" w:color="auto"/>
        <w:right w:val="none" w:sz="0" w:space="0" w:color="auto"/>
      </w:divBdr>
    </w:div>
    <w:div w:id="1854032870">
      <w:bodyDiv w:val="1"/>
      <w:marLeft w:val="0"/>
      <w:marRight w:val="0"/>
      <w:marTop w:val="0"/>
      <w:marBottom w:val="0"/>
      <w:divBdr>
        <w:top w:val="none" w:sz="0" w:space="0" w:color="auto"/>
        <w:left w:val="none" w:sz="0" w:space="0" w:color="auto"/>
        <w:bottom w:val="none" w:sz="0" w:space="0" w:color="auto"/>
        <w:right w:val="none" w:sz="0" w:space="0" w:color="auto"/>
      </w:divBdr>
    </w:div>
    <w:div w:id="1860703531">
      <w:bodyDiv w:val="1"/>
      <w:marLeft w:val="0"/>
      <w:marRight w:val="0"/>
      <w:marTop w:val="0"/>
      <w:marBottom w:val="0"/>
      <w:divBdr>
        <w:top w:val="none" w:sz="0" w:space="0" w:color="auto"/>
        <w:left w:val="none" w:sz="0" w:space="0" w:color="auto"/>
        <w:bottom w:val="none" w:sz="0" w:space="0" w:color="auto"/>
        <w:right w:val="none" w:sz="0" w:space="0" w:color="auto"/>
      </w:divBdr>
    </w:div>
    <w:div w:id="1861771203">
      <w:bodyDiv w:val="1"/>
      <w:marLeft w:val="0"/>
      <w:marRight w:val="0"/>
      <w:marTop w:val="0"/>
      <w:marBottom w:val="0"/>
      <w:divBdr>
        <w:top w:val="none" w:sz="0" w:space="0" w:color="auto"/>
        <w:left w:val="none" w:sz="0" w:space="0" w:color="auto"/>
        <w:bottom w:val="none" w:sz="0" w:space="0" w:color="auto"/>
        <w:right w:val="none" w:sz="0" w:space="0" w:color="auto"/>
      </w:divBdr>
    </w:div>
    <w:div w:id="1863591127">
      <w:bodyDiv w:val="1"/>
      <w:marLeft w:val="0"/>
      <w:marRight w:val="0"/>
      <w:marTop w:val="0"/>
      <w:marBottom w:val="0"/>
      <w:divBdr>
        <w:top w:val="none" w:sz="0" w:space="0" w:color="auto"/>
        <w:left w:val="none" w:sz="0" w:space="0" w:color="auto"/>
        <w:bottom w:val="none" w:sz="0" w:space="0" w:color="auto"/>
        <w:right w:val="none" w:sz="0" w:space="0" w:color="auto"/>
      </w:divBdr>
      <w:divsChild>
        <w:div w:id="1345937997">
          <w:marLeft w:val="0"/>
          <w:marRight w:val="0"/>
          <w:marTop w:val="0"/>
          <w:marBottom w:val="0"/>
          <w:divBdr>
            <w:top w:val="none" w:sz="0" w:space="0" w:color="auto"/>
            <w:left w:val="none" w:sz="0" w:space="0" w:color="auto"/>
            <w:bottom w:val="none" w:sz="0" w:space="0" w:color="auto"/>
            <w:right w:val="none" w:sz="0" w:space="0" w:color="auto"/>
          </w:divBdr>
        </w:div>
      </w:divsChild>
    </w:div>
    <w:div w:id="1872306191">
      <w:bodyDiv w:val="1"/>
      <w:marLeft w:val="0"/>
      <w:marRight w:val="0"/>
      <w:marTop w:val="0"/>
      <w:marBottom w:val="0"/>
      <w:divBdr>
        <w:top w:val="none" w:sz="0" w:space="0" w:color="auto"/>
        <w:left w:val="none" w:sz="0" w:space="0" w:color="auto"/>
        <w:bottom w:val="none" w:sz="0" w:space="0" w:color="auto"/>
        <w:right w:val="none" w:sz="0" w:space="0" w:color="auto"/>
      </w:divBdr>
    </w:div>
    <w:div w:id="1872449905">
      <w:bodyDiv w:val="1"/>
      <w:marLeft w:val="0"/>
      <w:marRight w:val="0"/>
      <w:marTop w:val="0"/>
      <w:marBottom w:val="0"/>
      <w:divBdr>
        <w:top w:val="none" w:sz="0" w:space="0" w:color="auto"/>
        <w:left w:val="none" w:sz="0" w:space="0" w:color="auto"/>
        <w:bottom w:val="none" w:sz="0" w:space="0" w:color="auto"/>
        <w:right w:val="none" w:sz="0" w:space="0" w:color="auto"/>
      </w:divBdr>
    </w:div>
    <w:div w:id="1878540593">
      <w:bodyDiv w:val="1"/>
      <w:marLeft w:val="0"/>
      <w:marRight w:val="0"/>
      <w:marTop w:val="0"/>
      <w:marBottom w:val="0"/>
      <w:divBdr>
        <w:top w:val="none" w:sz="0" w:space="0" w:color="auto"/>
        <w:left w:val="none" w:sz="0" w:space="0" w:color="auto"/>
        <w:bottom w:val="none" w:sz="0" w:space="0" w:color="auto"/>
        <w:right w:val="none" w:sz="0" w:space="0" w:color="auto"/>
      </w:divBdr>
      <w:divsChild>
        <w:div w:id="861823259">
          <w:marLeft w:val="274"/>
          <w:marRight w:val="0"/>
          <w:marTop w:val="120"/>
          <w:marBottom w:val="0"/>
          <w:divBdr>
            <w:top w:val="none" w:sz="0" w:space="0" w:color="auto"/>
            <w:left w:val="none" w:sz="0" w:space="0" w:color="auto"/>
            <w:bottom w:val="none" w:sz="0" w:space="0" w:color="auto"/>
            <w:right w:val="none" w:sz="0" w:space="0" w:color="auto"/>
          </w:divBdr>
        </w:div>
      </w:divsChild>
    </w:div>
    <w:div w:id="1878814708">
      <w:bodyDiv w:val="1"/>
      <w:marLeft w:val="0"/>
      <w:marRight w:val="0"/>
      <w:marTop w:val="0"/>
      <w:marBottom w:val="0"/>
      <w:divBdr>
        <w:top w:val="none" w:sz="0" w:space="0" w:color="auto"/>
        <w:left w:val="none" w:sz="0" w:space="0" w:color="auto"/>
        <w:bottom w:val="none" w:sz="0" w:space="0" w:color="auto"/>
        <w:right w:val="none" w:sz="0" w:space="0" w:color="auto"/>
      </w:divBdr>
    </w:div>
    <w:div w:id="1880122202">
      <w:bodyDiv w:val="1"/>
      <w:marLeft w:val="0"/>
      <w:marRight w:val="0"/>
      <w:marTop w:val="0"/>
      <w:marBottom w:val="0"/>
      <w:divBdr>
        <w:top w:val="none" w:sz="0" w:space="0" w:color="auto"/>
        <w:left w:val="none" w:sz="0" w:space="0" w:color="auto"/>
        <w:bottom w:val="none" w:sz="0" w:space="0" w:color="auto"/>
        <w:right w:val="none" w:sz="0" w:space="0" w:color="auto"/>
      </w:divBdr>
    </w:div>
    <w:div w:id="1894267269">
      <w:bodyDiv w:val="1"/>
      <w:marLeft w:val="0"/>
      <w:marRight w:val="0"/>
      <w:marTop w:val="0"/>
      <w:marBottom w:val="0"/>
      <w:divBdr>
        <w:top w:val="none" w:sz="0" w:space="0" w:color="auto"/>
        <w:left w:val="none" w:sz="0" w:space="0" w:color="auto"/>
        <w:bottom w:val="none" w:sz="0" w:space="0" w:color="auto"/>
        <w:right w:val="none" w:sz="0" w:space="0" w:color="auto"/>
      </w:divBdr>
      <w:divsChild>
        <w:div w:id="915432131">
          <w:marLeft w:val="547"/>
          <w:marRight w:val="0"/>
          <w:marTop w:val="0"/>
          <w:marBottom w:val="0"/>
          <w:divBdr>
            <w:top w:val="none" w:sz="0" w:space="0" w:color="auto"/>
            <w:left w:val="none" w:sz="0" w:space="0" w:color="auto"/>
            <w:bottom w:val="none" w:sz="0" w:space="0" w:color="auto"/>
            <w:right w:val="none" w:sz="0" w:space="0" w:color="auto"/>
          </w:divBdr>
        </w:div>
      </w:divsChild>
    </w:div>
    <w:div w:id="1897693045">
      <w:bodyDiv w:val="1"/>
      <w:marLeft w:val="0"/>
      <w:marRight w:val="0"/>
      <w:marTop w:val="0"/>
      <w:marBottom w:val="0"/>
      <w:divBdr>
        <w:top w:val="none" w:sz="0" w:space="0" w:color="auto"/>
        <w:left w:val="none" w:sz="0" w:space="0" w:color="auto"/>
        <w:bottom w:val="none" w:sz="0" w:space="0" w:color="auto"/>
        <w:right w:val="none" w:sz="0" w:space="0" w:color="auto"/>
      </w:divBdr>
    </w:div>
    <w:div w:id="1898542525">
      <w:bodyDiv w:val="1"/>
      <w:marLeft w:val="0"/>
      <w:marRight w:val="0"/>
      <w:marTop w:val="0"/>
      <w:marBottom w:val="0"/>
      <w:divBdr>
        <w:top w:val="none" w:sz="0" w:space="0" w:color="auto"/>
        <w:left w:val="none" w:sz="0" w:space="0" w:color="auto"/>
        <w:bottom w:val="none" w:sz="0" w:space="0" w:color="auto"/>
        <w:right w:val="none" w:sz="0" w:space="0" w:color="auto"/>
      </w:divBdr>
    </w:div>
    <w:div w:id="1913005452">
      <w:bodyDiv w:val="1"/>
      <w:marLeft w:val="0"/>
      <w:marRight w:val="0"/>
      <w:marTop w:val="0"/>
      <w:marBottom w:val="0"/>
      <w:divBdr>
        <w:top w:val="none" w:sz="0" w:space="0" w:color="auto"/>
        <w:left w:val="none" w:sz="0" w:space="0" w:color="auto"/>
        <w:bottom w:val="none" w:sz="0" w:space="0" w:color="auto"/>
        <w:right w:val="none" w:sz="0" w:space="0" w:color="auto"/>
      </w:divBdr>
    </w:div>
    <w:div w:id="1914507663">
      <w:bodyDiv w:val="1"/>
      <w:marLeft w:val="0"/>
      <w:marRight w:val="0"/>
      <w:marTop w:val="0"/>
      <w:marBottom w:val="0"/>
      <w:divBdr>
        <w:top w:val="none" w:sz="0" w:space="0" w:color="auto"/>
        <w:left w:val="none" w:sz="0" w:space="0" w:color="auto"/>
        <w:bottom w:val="none" w:sz="0" w:space="0" w:color="auto"/>
        <w:right w:val="none" w:sz="0" w:space="0" w:color="auto"/>
      </w:divBdr>
    </w:div>
    <w:div w:id="1923484683">
      <w:bodyDiv w:val="1"/>
      <w:marLeft w:val="0"/>
      <w:marRight w:val="0"/>
      <w:marTop w:val="0"/>
      <w:marBottom w:val="0"/>
      <w:divBdr>
        <w:top w:val="none" w:sz="0" w:space="0" w:color="auto"/>
        <w:left w:val="none" w:sz="0" w:space="0" w:color="auto"/>
        <w:bottom w:val="none" w:sz="0" w:space="0" w:color="auto"/>
        <w:right w:val="none" w:sz="0" w:space="0" w:color="auto"/>
      </w:divBdr>
    </w:div>
    <w:div w:id="1927685668">
      <w:bodyDiv w:val="1"/>
      <w:marLeft w:val="0"/>
      <w:marRight w:val="0"/>
      <w:marTop w:val="0"/>
      <w:marBottom w:val="0"/>
      <w:divBdr>
        <w:top w:val="none" w:sz="0" w:space="0" w:color="auto"/>
        <w:left w:val="none" w:sz="0" w:space="0" w:color="auto"/>
        <w:bottom w:val="none" w:sz="0" w:space="0" w:color="auto"/>
        <w:right w:val="none" w:sz="0" w:space="0" w:color="auto"/>
      </w:divBdr>
    </w:div>
    <w:div w:id="1927881349">
      <w:bodyDiv w:val="1"/>
      <w:marLeft w:val="0"/>
      <w:marRight w:val="0"/>
      <w:marTop w:val="0"/>
      <w:marBottom w:val="0"/>
      <w:divBdr>
        <w:top w:val="none" w:sz="0" w:space="0" w:color="auto"/>
        <w:left w:val="none" w:sz="0" w:space="0" w:color="auto"/>
        <w:bottom w:val="none" w:sz="0" w:space="0" w:color="auto"/>
        <w:right w:val="none" w:sz="0" w:space="0" w:color="auto"/>
      </w:divBdr>
      <w:divsChild>
        <w:div w:id="1883249245">
          <w:marLeft w:val="0"/>
          <w:marRight w:val="0"/>
          <w:marTop w:val="0"/>
          <w:marBottom w:val="200"/>
          <w:divBdr>
            <w:top w:val="none" w:sz="0" w:space="0" w:color="auto"/>
            <w:left w:val="none" w:sz="0" w:space="0" w:color="auto"/>
            <w:bottom w:val="none" w:sz="0" w:space="0" w:color="auto"/>
            <w:right w:val="none" w:sz="0" w:space="0" w:color="auto"/>
          </w:divBdr>
        </w:div>
      </w:divsChild>
    </w:div>
    <w:div w:id="1929582564">
      <w:bodyDiv w:val="1"/>
      <w:marLeft w:val="0"/>
      <w:marRight w:val="0"/>
      <w:marTop w:val="0"/>
      <w:marBottom w:val="0"/>
      <w:divBdr>
        <w:top w:val="none" w:sz="0" w:space="0" w:color="auto"/>
        <w:left w:val="none" w:sz="0" w:space="0" w:color="auto"/>
        <w:bottom w:val="none" w:sz="0" w:space="0" w:color="auto"/>
        <w:right w:val="none" w:sz="0" w:space="0" w:color="auto"/>
      </w:divBdr>
    </w:div>
    <w:div w:id="1933472029">
      <w:bodyDiv w:val="1"/>
      <w:marLeft w:val="0"/>
      <w:marRight w:val="0"/>
      <w:marTop w:val="0"/>
      <w:marBottom w:val="0"/>
      <w:divBdr>
        <w:top w:val="none" w:sz="0" w:space="0" w:color="auto"/>
        <w:left w:val="none" w:sz="0" w:space="0" w:color="auto"/>
        <w:bottom w:val="none" w:sz="0" w:space="0" w:color="auto"/>
        <w:right w:val="none" w:sz="0" w:space="0" w:color="auto"/>
      </w:divBdr>
      <w:divsChild>
        <w:div w:id="399795286">
          <w:marLeft w:val="0"/>
          <w:marRight w:val="0"/>
          <w:marTop w:val="0"/>
          <w:marBottom w:val="200"/>
          <w:divBdr>
            <w:top w:val="none" w:sz="0" w:space="0" w:color="auto"/>
            <w:left w:val="none" w:sz="0" w:space="0" w:color="auto"/>
            <w:bottom w:val="none" w:sz="0" w:space="0" w:color="auto"/>
            <w:right w:val="none" w:sz="0" w:space="0" w:color="auto"/>
          </w:divBdr>
        </w:div>
        <w:div w:id="516583832">
          <w:marLeft w:val="0"/>
          <w:marRight w:val="0"/>
          <w:marTop w:val="0"/>
          <w:marBottom w:val="200"/>
          <w:divBdr>
            <w:top w:val="none" w:sz="0" w:space="0" w:color="auto"/>
            <w:left w:val="none" w:sz="0" w:space="0" w:color="auto"/>
            <w:bottom w:val="none" w:sz="0" w:space="0" w:color="auto"/>
            <w:right w:val="none" w:sz="0" w:space="0" w:color="auto"/>
          </w:divBdr>
        </w:div>
      </w:divsChild>
    </w:div>
    <w:div w:id="1934124912">
      <w:bodyDiv w:val="1"/>
      <w:marLeft w:val="0"/>
      <w:marRight w:val="0"/>
      <w:marTop w:val="0"/>
      <w:marBottom w:val="0"/>
      <w:divBdr>
        <w:top w:val="none" w:sz="0" w:space="0" w:color="auto"/>
        <w:left w:val="none" w:sz="0" w:space="0" w:color="auto"/>
        <w:bottom w:val="none" w:sz="0" w:space="0" w:color="auto"/>
        <w:right w:val="none" w:sz="0" w:space="0" w:color="auto"/>
      </w:divBdr>
    </w:div>
    <w:div w:id="1939874430">
      <w:bodyDiv w:val="1"/>
      <w:marLeft w:val="0"/>
      <w:marRight w:val="0"/>
      <w:marTop w:val="0"/>
      <w:marBottom w:val="0"/>
      <w:divBdr>
        <w:top w:val="none" w:sz="0" w:space="0" w:color="auto"/>
        <w:left w:val="none" w:sz="0" w:space="0" w:color="auto"/>
        <w:bottom w:val="none" w:sz="0" w:space="0" w:color="auto"/>
        <w:right w:val="none" w:sz="0" w:space="0" w:color="auto"/>
      </w:divBdr>
      <w:divsChild>
        <w:div w:id="100148773">
          <w:marLeft w:val="547"/>
          <w:marRight w:val="0"/>
          <w:marTop w:val="0"/>
          <w:marBottom w:val="0"/>
          <w:divBdr>
            <w:top w:val="none" w:sz="0" w:space="0" w:color="auto"/>
            <w:left w:val="none" w:sz="0" w:space="0" w:color="auto"/>
            <w:bottom w:val="none" w:sz="0" w:space="0" w:color="auto"/>
            <w:right w:val="none" w:sz="0" w:space="0" w:color="auto"/>
          </w:divBdr>
        </w:div>
        <w:div w:id="369107631">
          <w:marLeft w:val="547"/>
          <w:marRight w:val="0"/>
          <w:marTop w:val="0"/>
          <w:marBottom w:val="0"/>
          <w:divBdr>
            <w:top w:val="none" w:sz="0" w:space="0" w:color="auto"/>
            <w:left w:val="none" w:sz="0" w:space="0" w:color="auto"/>
            <w:bottom w:val="none" w:sz="0" w:space="0" w:color="auto"/>
            <w:right w:val="none" w:sz="0" w:space="0" w:color="auto"/>
          </w:divBdr>
        </w:div>
        <w:div w:id="756949129">
          <w:marLeft w:val="547"/>
          <w:marRight w:val="0"/>
          <w:marTop w:val="0"/>
          <w:marBottom w:val="0"/>
          <w:divBdr>
            <w:top w:val="none" w:sz="0" w:space="0" w:color="auto"/>
            <w:left w:val="none" w:sz="0" w:space="0" w:color="auto"/>
            <w:bottom w:val="none" w:sz="0" w:space="0" w:color="auto"/>
            <w:right w:val="none" w:sz="0" w:space="0" w:color="auto"/>
          </w:divBdr>
        </w:div>
        <w:div w:id="1282803018">
          <w:marLeft w:val="547"/>
          <w:marRight w:val="0"/>
          <w:marTop w:val="0"/>
          <w:marBottom w:val="0"/>
          <w:divBdr>
            <w:top w:val="none" w:sz="0" w:space="0" w:color="auto"/>
            <w:left w:val="none" w:sz="0" w:space="0" w:color="auto"/>
            <w:bottom w:val="none" w:sz="0" w:space="0" w:color="auto"/>
            <w:right w:val="none" w:sz="0" w:space="0" w:color="auto"/>
          </w:divBdr>
        </w:div>
        <w:div w:id="2012177738">
          <w:marLeft w:val="547"/>
          <w:marRight w:val="0"/>
          <w:marTop w:val="0"/>
          <w:marBottom w:val="0"/>
          <w:divBdr>
            <w:top w:val="none" w:sz="0" w:space="0" w:color="auto"/>
            <w:left w:val="none" w:sz="0" w:space="0" w:color="auto"/>
            <w:bottom w:val="none" w:sz="0" w:space="0" w:color="auto"/>
            <w:right w:val="none" w:sz="0" w:space="0" w:color="auto"/>
          </w:divBdr>
        </w:div>
      </w:divsChild>
    </w:div>
    <w:div w:id="1966307457">
      <w:bodyDiv w:val="1"/>
      <w:marLeft w:val="0"/>
      <w:marRight w:val="0"/>
      <w:marTop w:val="0"/>
      <w:marBottom w:val="0"/>
      <w:divBdr>
        <w:top w:val="none" w:sz="0" w:space="0" w:color="auto"/>
        <w:left w:val="none" w:sz="0" w:space="0" w:color="auto"/>
        <w:bottom w:val="none" w:sz="0" w:space="0" w:color="auto"/>
        <w:right w:val="none" w:sz="0" w:space="0" w:color="auto"/>
      </w:divBdr>
    </w:div>
    <w:div w:id="1967471460">
      <w:bodyDiv w:val="1"/>
      <w:marLeft w:val="0"/>
      <w:marRight w:val="0"/>
      <w:marTop w:val="0"/>
      <w:marBottom w:val="0"/>
      <w:divBdr>
        <w:top w:val="none" w:sz="0" w:space="0" w:color="auto"/>
        <w:left w:val="none" w:sz="0" w:space="0" w:color="auto"/>
        <w:bottom w:val="none" w:sz="0" w:space="0" w:color="auto"/>
        <w:right w:val="none" w:sz="0" w:space="0" w:color="auto"/>
      </w:divBdr>
    </w:div>
    <w:div w:id="1969388957">
      <w:bodyDiv w:val="1"/>
      <w:marLeft w:val="0"/>
      <w:marRight w:val="0"/>
      <w:marTop w:val="0"/>
      <w:marBottom w:val="0"/>
      <w:divBdr>
        <w:top w:val="none" w:sz="0" w:space="0" w:color="auto"/>
        <w:left w:val="none" w:sz="0" w:space="0" w:color="auto"/>
        <w:bottom w:val="none" w:sz="0" w:space="0" w:color="auto"/>
        <w:right w:val="none" w:sz="0" w:space="0" w:color="auto"/>
      </w:divBdr>
    </w:div>
    <w:div w:id="1970471108">
      <w:bodyDiv w:val="1"/>
      <w:marLeft w:val="0"/>
      <w:marRight w:val="0"/>
      <w:marTop w:val="0"/>
      <w:marBottom w:val="0"/>
      <w:divBdr>
        <w:top w:val="none" w:sz="0" w:space="0" w:color="auto"/>
        <w:left w:val="none" w:sz="0" w:space="0" w:color="auto"/>
        <w:bottom w:val="none" w:sz="0" w:space="0" w:color="auto"/>
        <w:right w:val="none" w:sz="0" w:space="0" w:color="auto"/>
      </w:divBdr>
    </w:div>
    <w:div w:id="1975476463">
      <w:bodyDiv w:val="1"/>
      <w:marLeft w:val="0"/>
      <w:marRight w:val="0"/>
      <w:marTop w:val="0"/>
      <w:marBottom w:val="0"/>
      <w:divBdr>
        <w:top w:val="none" w:sz="0" w:space="0" w:color="auto"/>
        <w:left w:val="none" w:sz="0" w:space="0" w:color="auto"/>
        <w:bottom w:val="none" w:sz="0" w:space="0" w:color="auto"/>
        <w:right w:val="none" w:sz="0" w:space="0" w:color="auto"/>
      </w:divBdr>
    </w:div>
    <w:div w:id="1976107471">
      <w:bodyDiv w:val="1"/>
      <w:marLeft w:val="0"/>
      <w:marRight w:val="0"/>
      <w:marTop w:val="0"/>
      <w:marBottom w:val="0"/>
      <w:divBdr>
        <w:top w:val="none" w:sz="0" w:space="0" w:color="auto"/>
        <w:left w:val="none" w:sz="0" w:space="0" w:color="auto"/>
        <w:bottom w:val="none" w:sz="0" w:space="0" w:color="auto"/>
        <w:right w:val="none" w:sz="0" w:space="0" w:color="auto"/>
      </w:divBdr>
    </w:div>
    <w:div w:id="1977908296">
      <w:bodyDiv w:val="1"/>
      <w:marLeft w:val="0"/>
      <w:marRight w:val="0"/>
      <w:marTop w:val="0"/>
      <w:marBottom w:val="0"/>
      <w:divBdr>
        <w:top w:val="none" w:sz="0" w:space="0" w:color="auto"/>
        <w:left w:val="none" w:sz="0" w:space="0" w:color="auto"/>
        <w:bottom w:val="none" w:sz="0" w:space="0" w:color="auto"/>
        <w:right w:val="none" w:sz="0" w:space="0" w:color="auto"/>
      </w:divBdr>
    </w:div>
    <w:div w:id="1982076186">
      <w:bodyDiv w:val="1"/>
      <w:marLeft w:val="0"/>
      <w:marRight w:val="0"/>
      <w:marTop w:val="0"/>
      <w:marBottom w:val="0"/>
      <w:divBdr>
        <w:top w:val="none" w:sz="0" w:space="0" w:color="auto"/>
        <w:left w:val="none" w:sz="0" w:space="0" w:color="auto"/>
        <w:bottom w:val="none" w:sz="0" w:space="0" w:color="auto"/>
        <w:right w:val="none" w:sz="0" w:space="0" w:color="auto"/>
      </w:divBdr>
    </w:div>
    <w:div w:id="1998066864">
      <w:bodyDiv w:val="1"/>
      <w:marLeft w:val="0"/>
      <w:marRight w:val="0"/>
      <w:marTop w:val="0"/>
      <w:marBottom w:val="0"/>
      <w:divBdr>
        <w:top w:val="none" w:sz="0" w:space="0" w:color="auto"/>
        <w:left w:val="none" w:sz="0" w:space="0" w:color="auto"/>
        <w:bottom w:val="none" w:sz="0" w:space="0" w:color="auto"/>
        <w:right w:val="none" w:sz="0" w:space="0" w:color="auto"/>
      </w:divBdr>
    </w:div>
    <w:div w:id="2005544400">
      <w:bodyDiv w:val="1"/>
      <w:marLeft w:val="0"/>
      <w:marRight w:val="0"/>
      <w:marTop w:val="0"/>
      <w:marBottom w:val="0"/>
      <w:divBdr>
        <w:top w:val="none" w:sz="0" w:space="0" w:color="auto"/>
        <w:left w:val="none" w:sz="0" w:space="0" w:color="auto"/>
        <w:bottom w:val="none" w:sz="0" w:space="0" w:color="auto"/>
        <w:right w:val="none" w:sz="0" w:space="0" w:color="auto"/>
      </w:divBdr>
    </w:div>
    <w:div w:id="2006274910">
      <w:bodyDiv w:val="1"/>
      <w:marLeft w:val="0"/>
      <w:marRight w:val="0"/>
      <w:marTop w:val="0"/>
      <w:marBottom w:val="0"/>
      <w:divBdr>
        <w:top w:val="none" w:sz="0" w:space="0" w:color="auto"/>
        <w:left w:val="none" w:sz="0" w:space="0" w:color="auto"/>
        <w:bottom w:val="none" w:sz="0" w:space="0" w:color="auto"/>
        <w:right w:val="none" w:sz="0" w:space="0" w:color="auto"/>
      </w:divBdr>
    </w:div>
    <w:div w:id="2012565173">
      <w:bodyDiv w:val="1"/>
      <w:marLeft w:val="0"/>
      <w:marRight w:val="0"/>
      <w:marTop w:val="0"/>
      <w:marBottom w:val="0"/>
      <w:divBdr>
        <w:top w:val="none" w:sz="0" w:space="0" w:color="auto"/>
        <w:left w:val="none" w:sz="0" w:space="0" w:color="auto"/>
        <w:bottom w:val="none" w:sz="0" w:space="0" w:color="auto"/>
        <w:right w:val="none" w:sz="0" w:space="0" w:color="auto"/>
      </w:divBdr>
    </w:div>
    <w:div w:id="2015716684">
      <w:bodyDiv w:val="1"/>
      <w:marLeft w:val="0"/>
      <w:marRight w:val="0"/>
      <w:marTop w:val="0"/>
      <w:marBottom w:val="0"/>
      <w:divBdr>
        <w:top w:val="none" w:sz="0" w:space="0" w:color="auto"/>
        <w:left w:val="none" w:sz="0" w:space="0" w:color="auto"/>
        <w:bottom w:val="none" w:sz="0" w:space="0" w:color="auto"/>
        <w:right w:val="none" w:sz="0" w:space="0" w:color="auto"/>
      </w:divBdr>
    </w:div>
    <w:div w:id="2019698459">
      <w:bodyDiv w:val="1"/>
      <w:marLeft w:val="0"/>
      <w:marRight w:val="0"/>
      <w:marTop w:val="0"/>
      <w:marBottom w:val="0"/>
      <w:divBdr>
        <w:top w:val="none" w:sz="0" w:space="0" w:color="auto"/>
        <w:left w:val="none" w:sz="0" w:space="0" w:color="auto"/>
        <w:bottom w:val="none" w:sz="0" w:space="0" w:color="auto"/>
        <w:right w:val="none" w:sz="0" w:space="0" w:color="auto"/>
      </w:divBdr>
      <w:divsChild>
        <w:div w:id="116880340">
          <w:marLeft w:val="14"/>
          <w:marRight w:val="130"/>
          <w:marTop w:val="0"/>
          <w:marBottom w:val="0"/>
          <w:divBdr>
            <w:top w:val="none" w:sz="0" w:space="0" w:color="auto"/>
            <w:left w:val="none" w:sz="0" w:space="0" w:color="auto"/>
            <w:bottom w:val="none" w:sz="0" w:space="0" w:color="auto"/>
            <w:right w:val="none" w:sz="0" w:space="0" w:color="auto"/>
          </w:divBdr>
        </w:div>
        <w:div w:id="239292350">
          <w:marLeft w:val="14"/>
          <w:marRight w:val="374"/>
          <w:marTop w:val="0"/>
          <w:marBottom w:val="0"/>
          <w:divBdr>
            <w:top w:val="none" w:sz="0" w:space="0" w:color="auto"/>
            <w:left w:val="none" w:sz="0" w:space="0" w:color="auto"/>
            <w:bottom w:val="none" w:sz="0" w:space="0" w:color="auto"/>
            <w:right w:val="none" w:sz="0" w:space="0" w:color="auto"/>
          </w:divBdr>
        </w:div>
        <w:div w:id="1965577986">
          <w:marLeft w:val="14"/>
          <w:marRight w:val="691"/>
          <w:marTop w:val="0"/>
          <w:marBottom w:val="0"/>
          <w:divBdr>
            <w:top w:val="none" w:sz="0" w:space="0" w:color="auto"/>
            <w:left w:val="none" w:sz="0" w:space="0" w:color="auto"/>
            <w:bottom w:val="none" w:sz="0" w:space="0" w:color="auto"/>
            <w:right w:val="none" w:sz="0" w:space="0" w:color="auto"/>
          </w:divBdr>
        </w:div>
      </w:divsChild>
    </w:div>
    <w:div w:id="2020307549">
      <w:bodyDiv w:val="1"/>
      <w:marLeft w:val="0"/>
      <w:marRight w:val="0"/>
      <w:marTop w:val="0"/>
      <w:marBottom w:val="0"/>
      <w:divBdr>
        <w:top w:val="none" w:sz="0" w:space="0" w:color="auto"/>
        <w:left w:val="none" w:sz="0" w:space="0" w:color="auto"/>
        <w:bottom w:val="none" w:sz="0" w:space="0" w:color="auto"/>
        <w:right w:val="none" w:sz="0" w:space="0" w:color="auto"/>
      </w:divBdr>
      <w:divsChild>
        <w:div w:id="126171179">
          <w:marLeft w:val="0"/>
          <w:marRight w:val="0"/>
          <w:marTop w:val="0"/>
          <w:marBottom w:val="0"/>
          <w:divBdr>
            <w:top w:val="none" w:sz="0" w:space="0" w:color="auto"/>
            <w:left w:val="none" w:sz="0" w:space="0" w:color="auto"/>
            <w:bottom w:val="none" w:sz="0" w:space="0" w:color="auto"/>
            <w:right w:val="none" w:sz="0" w:space="0" w:color="auto"/>
          </w:divBdr>
        </w:div>
        <w:div w:id="1391415678">
          <w:marLeft w:val="0"/>
          <w:marRight w:val="0"/>
          <w:marTop w:val="0"/>
          <w:marBottom w:val="0"/>
          <w:divBdr>
            <w:top w:val="none" w:sz="0" w:space="0" w:color="auto"/>
            <w:left w:val="none" w:sz="0" w:space="0" w:color="auto"/>
            <w:bottom w:val="none" w:sz="0" w:space="0" w:color="auto"/>
            <w:right w:val="none" w:sz="0" w:space="0" w:color="auto"/>
          </w:divBdr>
        </w:div>
        <w:div w:id="1705443355">
          <w:marLeft w:val="0"/>
          <w:marRight w:val="0"/>
          <w:marTop w:val="0"/>
          <w:marBottom w:val="0"/>
          <w:divBdr>
            <w:top w:val="none" w:sz="0" w:space="0" w:color="auto"/>
            <w:left w:val="none" w:sz="0" w:space="0" w:color="auto"/>
            <w:bottom w:val="none" w:sz="0" w:space="0" w:color="auto"/>
            <w:right w:val="none" w:sz="0" w:space="0" w:color="auto"/>
          </w:divBdr>
        </w:div>
      </w:divsChild>
    </w:div>
    <w:div w:id="2021160726">
      <w:bodyDiv w:val="1"/>
      <w:marLeft w:val="0"/>
      <w:marRight w:val="0"/>
      <w:marTop w:val="0"/>
      <w:marBottom w:val="0"/>
      <w:divBdr>
        <w:top w:val="none" w:sz="0" w:space="0" w:color="auto"/>
        <w:left w:val="none" w:sz="0" w:space="0" w:color="auto"/>
        <w:bottom w:val="none" w:sz="0" w:space="0" w:color="auto"/>
        <w:right w:val="none" w:sz="0" w:space="0" w:color="auto"/>
      </w:divBdr>
    </w:div>
    <w:div w:id="2022465198">
      <w:bodyDiv w:val="1"/>
      <w:marLeft w:val="0"/>
      <w:marRight w:val="0"/>
      <w:marTop w:val="0"/>
      <w:marBottom w:val="0"/>
      <w:divBdr>
        <w:top w:val="none" w:sz="0" w:space="0" w:color="auto"/>
        <w:left w:val="none" w:sz="0" w:space="0" w:color="auto"/>
        <w:bottom w:val="none" w:sz="0" w:space="0" w:color="auto"/>
        <w:right w:val="none" w:sz="0" w:space="0" w:color="auto"/>
      </w:divBdr>
    </w:div>
    <w:div w:id="2026520128">
      <w:bodyDiv w:val="1"/>
      <w:marLeft w:val="0"/>
      <w:marRight w:val="0"/>
      <w:marTop w:val="0"/>
      <w:marBottom w:val="0"/>
      <w:divBdr>
        <w:top w:val="none" w:sz="0" w:space="0" w:color="auto"/>
        <w:left w:val="none" w:sz="0" w:space="0" w:color="auto"/>
        <w:bottom w:val="none" w:sz="0" w:space="0" w:color="auto"/>
        <w:right w:val="none" w:sz="0" w:space="0" w:color="auto"/>
      </w:divBdr>
    </w:div>
    <w:div w:id="2040623127">
      <w:bodyDiv w:val="1"/>
      <w:marLeft w:val="0"/>
      <w:marRight w:val="0"/>
      <w:marTop w:val="0"/>
      <w:marBottom w:val="0"/>
      <w:divBdr>
        <w:top w:val="none" w:sz="0" w:space="0" w:color="auto"/>
        <w:left w:val="none" w:sz="0" w:space="0" w:color="auto"/>
        <w:bottom w:val="none" w:sz="0" w:space="0" w:color="auto"/>
        <w:right w:val="none" w:sz="0" w:space="0" w:color="auto"/>
      </w:divBdr>
    </w:div>
    <w:div w:id="2042238303">
      <w:bodyDiv w:val="1"/>
      <w:marLeft w:val="0"/>
      <w:marRight w:val="0"/>
      <w:marTop w:val="0"/>
      <w:marBottom w:val="0"/>
      <w:divBdr>
        <w:top w:val="none" w:sz="0" w:space="0" w:color="auto"/>
        <w:left w:val="none" w:sz="0" w:space="0" w:color="auto"/>
        <w:bottom w:val="none" w:sz="0" w:space="0" w:color="auto"/>
        <w:right w:val="none" w:sz="0" w:space="0" w:color="auto"/>
      </w:divBdr>
    </w:div>
    <w:div w:id="2046059029">
      <w:bodyDiv w:val="1"/>
      <w:marLeft w:val="0"/>
      <w:marRight w:val="0"/>
      <w:marTop w:val="0"/>
      <w:marBottom w:val="0"/>
      <w:divBdr>
        <w:top w:val="none" w:sz="0" w:space="0" w:color="auto"/>
        <w:left w:val="none" w:sz="0" w:space="0" w:color="auto"/>
        <w:bottom w:val="none" w:sz="0" w:space="0" w:color="auto"/>
        <w:right w:val="none" w:sz="0" w:space="0" w:color="auto"/>
      </w:divBdr>
    </w:div>
    <w:div w:id="2056343646">
      <w:bodyDiv w:val="1"/>
      <w:marLeft w:val="0"/>
      <w:marRight w:val="0"/>
      <w:marTop w:val="0"/>
      <w:marBottom w:val="0"/>
      <w:divBdr>
        <w:top w:val="none" w:sz="0" w:space="0" w:color="auto"/>
        <w:left w:val="none" w:sz="0" w:space="0" w:color="auto"/>
        <w:bottom w:val="none" w:sz="0" w:space="0" w:color="auto"/>
        <w:right w:val="none" w:sz="0" w:space="0" w:color="auto"/>
      </w:divBdr>
    </w:div>
    <w:div w:id="2057118916">
      <w:bodyDiv w:val="1"/>
      <w:marLeft w:val="0"/>
      <w:marRight w:val="0"/>
      <w:marTop w:val="0"/>
      <w:marBottom w:val="0"/>
      <w:divBdr>
        <w:top w:val="none" w:sz="0" w:space="0" w:color="auto"/>
        <w:left w:val="none" w:sz="0" w:space="0" w:color="auto"/>
        <w:bottom w:val="none" w:sz="0" w:space="0" w:color="auto"/>
        <w:right w:val="none" w:sz="0" w:space="0" w:color="auto"/>
      </w:divBdr>
    </w:div>
    <w:div w:id="2059624086">
      <w:bodyDiv w:val="1"/>
      <w:marLeft w:val="0"/>
      <w:marRight w:val="0"/>
      <w:marTop w:val="0"/>
      <w:marBottom w:val="0"/>
      <w:divBdr>
        <w:top w:val="none" w:sz="0" w:space="0" w:color="auto"/>
        <w:left w:val="none" w:sz="0" w:space="0" w:color="auto"/>
        <w:bottom w:val="none" w:sz="0" w:space="0" w:color="auto"/>
        <w:right w:val="none" w:sz="0" w:space="0" w:color="auto"/>
      </w:divBdr>
      <w:divsChild>
        <w:div w:id="65300508">
          <w:marLeft w:val="0"/>
          <w:marRight w:val="0"/>
          <w:marTop w:val="0"/>
          <w:marBottom w:val="0"/>
          <w:divBdr>
            <w:top w:val="none" w:sz="0" w:space="0" w:color="auto"/>
            <w:left w:val="none" w:sz="0" w:space="0" w:color="auto"/>
            <w:bottom w:val="none" w:sz="0" w:space="0" w:color="auto"/>
            <w:right w:val="none" w:sz="0" w:space="0" w:color="auto"/>
          </w:divBdr>
          <w:divsChild>
            <w:div w:id="1749889204">
              <w:marLeft w:val="0"/>
              <w:marRight w:val="0"/>
              <w:marTop w:val="0"/>
              <w:marBottom w:val="0"/>
              <w:divBdr>
                <w:top w:val="none" w:sz="0" w:space="0" w:color="auto"/>
                <w:left w:val="none" w:sz="0" w:space="0" w:color="auto"/>
                <w:bottom w:val="none" w:sz="0" w:space="0" w:color="auto"/>
                <w:right w:val="none" w:sz="0" w:space="0" w:color="auto"/>
              </w:divBdr>
            </w:div>
          </w:divsChild>
        </w:div>
        <w:div w:id="195049589">
          <w:marLeft w:val="0"/>
          <w:marRight w:val="0"/>
          <w:marTop w:val="0"/>
          <w:marBottom w:val="0"/>
          <w:divBdr>
            <w:top w:val="none" w:sz="0" w:space="0" w:color="auto"/>
            <w:left w:val="none" w:sz="0" w:space="0" w:color="auto"/>
            <w:bottom w:val="none" w:sz="0" w:space="0" w:color="auto"/>
            <w:right w:val="none" w:sz="0" w:space="0" w:color="auto"/>
          </w:divBdr>
          <w:divsChild>
            <w:div w:id="732195250">
              <w:marLeft w:val="0"/>
              <w:marRight w:val="0"/>
              <w:marTop w:val="0"/>
              <w:marBottom w:val="0"/>
              <w:divBdr>
                <w:top w:val="none" w:sz="0" w:space="0" w:color="auto"/>
                <w:left w:val="none" w:sz="0" w:space="0" w:color="auto"/>
                <w:bottom w:val="none" w:sz="0" w:space="0" w:color="auto"/>
                <w:right w:val="none" w:sz="0" w:space="0" w:color="auto"/>
              </w:divBdr>
            </w:div>
          </w:divsChild>
        </w:div>
        <w:div w:id="1089160293">
          <w:marLeft w:val="0"/>
          <w:marRight w:val="0"/>
          <w:marTop w:val="0"/>
          <w:marBottom w:val="0"/>
          <w:divBdr>
            <w:top w:val="none" w:sz="0" w:space="0" w:color="auto"/>
            <w:left w:val="none" w:sz="0" w:space="0" w:color="auto"/>
            <w:bottom w:val="none" w:sz="0" w:space="0" w:color="auto"/>
            <w:right w:val="none" w:sz="0" w:space="0" w:color="auto"/>
          </w:divBdr>
          <w:divsChild>
            <w:div w:id="1097751106">
              <w:marLeft w:val="0"/>
              <w:marRight w:val="0"/>
              <w:marTop w:val="0"/>
              <w:marBottom w:val="0"/>
              <w:divBdr>
                <w:top w:val="none" w:sz="0" w:space="0" w:color="auto"/>
                <w:left w:val="none" w:sz="0" w:space="0" w:color="auto"/>
                <w:bottom w:val="none" w:sz="0" w:space="0" w:color="auto"/>
                <w:right w:val="none" w:sz="0" w:space="0" w:color="auto"/>
              </w:divBdr>
            </w:div>
          </w:divsChild>
        </w:div>
        <w:div w:id="1475444014">
          <w:marLeft w:val="0"/>
          <w:marRight w:val="0"/>
          <w:marTop w:val="0"/>
          <w:marBottom w:val="0"/>
          <w:divBdr>
            <w:top w:val="none" w:sz="0" w:space="0" w:color="auto"/>
            <w:left w:val="none" w:sz="0" w:space="0" w:color="auto"/>
            <w:bottom w:val="none" w:sz="0" w:space="0" w:color="auto"/>
            <w:right w:val="none" w:sz="0" w:space="0" w:color="auto"/>
          </w:divBdr>
          <w:divsChild>
            <w:div w:id="1947080614">
              <w:marLeft w:val="0"/>
              <w:marRight w:val="0"/>
              <w:marTop w:val="0"/>
              <w:marBottom w:val="0"/>
              <w:divBdr>
                <w:top w:val="none" w:sz="0" w:space="0" w:color="auto"/>
                <w:left w:val="none" w:sz="0" w:space="0" w:color="auto"/>
                <w:bottom w:val="none" w:sz="0" w:space="0" w:color="auto"/>
                <w:right w:val="none" w:sz="0" w:space="0" w:color="auto"/>
              </w:divBdr>
            </w:div>
          </w:divsChild>
        </w:div>
        <w:div w:id="1911500962">
          <w:marLeft w:val="0"/>
          <w:marRight w:val="0"/>
          <w:marTop w:val="0"/>
          <w:marBottom w:val="0"/>
          <w:divBdr>
            <w:top w:val="none" w:sz="0" w:space="0" w:color="auto"/>
            <w:left w:val="none" w:sz="0" w:space="0" w:color="auto"/>
            <w:bottom w:val="none" w:sz="0" w:space="0" w:color="auto"/>
            <w:right w:val="none" w:sz="0" w:space="0" w:color="auto"/>
          </w:divBdr>
          <w:divsChild>
            <w:div w:id="579947902">
              <w:marLeft w:val="0"/>
              <w:marRight w:val="0"/>
              <w:marTop w:val="0"/>
              <w:marBottom w:val="0"/>
              <w:divBdr>
                <w:top w:val="none" w:sz="0" w:space="0" w:color="auto"/>
                <w:left w:val="none" w:sz="0" w:space="0" w:color="auto"/>
                <w:bottom w:val="none" w:sz="0" w:space="0" w:color="auto"/>
                <w:right w:val="none" w:sz="0" w:space="0" w:color="auto"/>
              </w:divBdr>
            </w:div>
          </w:divsChild>
        </w:div>
        <w:div w:id="2088262074">
          <w:marLeft w:val="0"/>
          <w:marRight w:val="0"/>
          <w:marTop w:val="0"/>
          <w:marBottom w:val="0"/>
          <w:divBdr>
            <w:top w:val="none" w:sz="0" w:space="0" w:color="auto"/>
            <w:left w:val="none" w:sz="0" w:space="0" w:color="auto"/>
            <w:bottom w:val="none" w:sz="0" w:space="0" w:color="auto"/>
            <w:right w:val="none" w:sz="0" w:space="0" w:color="auto"/>
          </w:divBdr>
          <w:divsChild>
            <w:div w:id="1757365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465798">
      <w:bodyDiv w:val="1"/>
      <w:marLeft w:val="0"/>
      <w:marRight w:val="0"/>
      <w:marTop w:val="0"/>
      <w:marBottom w:val="0"/>
      <w:divBdr>
        <w:top w:val="none" w:sz="0" w:space="0" w:color="auto"/>
        <w:left w:val="none" w:sz="0" w:space="0" w:color="auto"/>
        <w:bottom w:val="none" w:sz="0" w:space="0" w:color="auto"/>
        <w:right w:val="none" w:sz="0" w:space="0" w:color="auto"/>
      </w:divBdr>
    </w:div>
    <w:div w:id="2075809143">
      <w:bodyDiv w:val="1"/>
      <w:marLeft w:val="0"/>
      <w:marRight w:val="0"/>
      <w:marTop w:val="0"/>
      <w:marBottom w:val="0"/>
      <w:divBdr>
        <w:top w:val="none" w:sz="0" w:space="0" w:color="auto"/>
        <w:left w:val="none" w:sz="0" w:space="0" w:color="auto"/>
        <w:bottom w:val="none" w:sz="0" w:space="0" w:color="auto"/>
        <w:right w:val="none" w:sz="0" w:space="0" w:color="auto"/>
      </w:divBdr>
    </w:div>
    <w:div w:id="2083525493">
      <w:bodyDiv w:val="1"/>
      <w:marLeft w:val="0"/>
      <w:marRight w:val="0"/>
      <w:marTop w:val="0"/>
      <w:marBottom w:val="0"/>
      <w:divBdr>
        <w:top w:val="none" w:sz="0" w:space="0" w:color="auto"/>
        <w:left w:val="none" w:sz="0" w:space="0" w:color="auto"/>
        <w:bottom w:val="none" w:sz="0" w:space="0" w:color="auto"/>
        <w:right w:val="none" w:sz="0" w:space="0" w:color="auto"/>
      </w:divBdr>
      <w:divsChild>
        <w:div w:id="1777290072">
          <w:marLeft w:val="0"/>
          <w:marRight w:val="0"/>
          <w:marTop w:val="0"/>
          <w:marBottom w:val="240"/>
          <w:divBdr>
            <w:top w:val="none" w:sz="0" w:space="0" w:color="auto"/>
            <w:left w:val="none" w:sz="0" w:space="0" w:color="auto"/>
            <w:bottom w:val="none" w:sz="0" w:space="0" w:color="auto"/>
            <w:right w:val="none" w:sz="0" w:space="0" w:color="auto"/>
          </w:divBdr>
        </w:div>
      </w:divsChild>
    </w:div>
    <w:div w:id="2085492619">
      <w:bodyDiv w:val="1"/>
      <w:marLeft w:val="0"/>
      <w:marRight w:val="0"/>
      <w:marTop w:val="0"/>
      <w:marBottom w:val="0"/>
      <w:divBdr>
        <w:top w:val="none" w:sz="0" w:space="0" w:color="auto"/>
        <w:left w:val="none" w:sz="0" w:space="0" w:color="auto"/>
        <w:bottom w:val="none" w:sz="0" w:space="0" w:color="auto"/>
        <w:right w:val="none" w:sz="0" w:space="0" w:color="auto"/>
      </w:divBdr>
    </w:div>
    <w:div w:id="2092459546">
      <w:bodyDiv w:val="1"/>
      <w:marLeft w:val="0"/>
      <w:marRight w:val="0"/>
      <w:marTop w:val="0"/>
      <w:marBottom w:val="0"/>
      <w:divBdr>
        <w:top w:val="none" w:sz="0" w:space="0" w:color="auto"/>
        <w:left w:val="none" w:sz="0" w:space="0" w:color="auto"/>
        <w:bottom w:val="none" w:sz="0" w:space="0" w:color="auto"/>
        <w:right w:val="none" w:sz="0" w:space="0" w:color="auto"/>
      </w:divBdr>
    </w:div>
    <w:div w:id="2100713162">
      <w:bodyDiv w:val="1"/>
      <w:marLeft w:val="0"/>
      <w:marRight w:val="0"/>
      <w:marTop w:val="0"/>
      <w:marBottom w:val="0"/>
      <w:divBdr>
        <w:top w:val="none" w:sz="0" w:space="0" w:color="auto"/>
        <w:left w:val="none" w:sz="0" w:space="0" w:color="auto"/>
        <w:bottom w:val="none" w:sz="0" w:space="0" w:color="auto"/>
        <w:right w:val="none" w:sz="0" w:space="0" w:color="auto"/>
      </w:divBdr>
    </w:div>
    <w:div w:id="2100976828">
      <w:bodyDiv w:val="1"/>
      <w:marLeft w:val="0"/>
      <w:marRight w:val="0"/>
      <w:marTop w:val="0"/>
      <w:marBottom w:val="0"/>
      <w:divBdr>
        <w:top w:val="none" w:sz="0" w:space="0" w:color="auto"/>
        <w:left w:val="none" w:sz="0" w:space="0" w:color="auto"/>
        <w:bottom w:val="none" w:sz="0" w:space="0" w:color="auto"/>
        <w:right w:val="none" w:sz="0" w:space="0" w:color="auto"/>
      </w:divBdr>
    </w:div>
    <w:div w:id="2101825745">
      <w:bodyDiv w:val="1"/>
      <w:marLeft w:val="0"/>
      <w:marRight w:val="0"/>
      <w:marTop w:val="0"/>
      <w:marBottom w:val="0"/>
      <w:divBdr>
        <w:top w:val="none" w:sz="0" w:space="0" w:color="auto"/>
        <w:left w:val="none" w:sz="0" w:space="0" w:color="auto"/>
        <w:bottom w:val="none" w:sz="0" w:space="0" w:color="auto"/>
        <w:right w:val="none" w:sz="0" w:space="0" w:color="auto"/>
      </w:divBdr>
      <w:divsChild>
        <w:div w:id="1702126665">
          <w:marLeft w:val="547"/>
          <w:marRight w:val="0"/>
          <w:marTop w:val="0"/>
          <w:marBottom w:val="0"/>
          <w:divBdr>
            <w:top w:val="none" w:sz="0" w:space="0" w:color="auto"/>
            <w:left w:val="none" w:sz="0" w:space="0" w:color="auto"/>
            <w:bottom w:val="none" w:sz="0" w:space="0" w:color="auto"/>
            <w:right w:val="none" w:sz="0" w:space="0" w:color="auto"/>
          </w:divBdr>
        </w:div>
      </w:divsChild>
    </w:div>
    <w:div w:id="2104179118">
      <w:bodyDiv w:val="1"/>
      <w:marLeft w:val="0"/>
      <w:marRight w:val="0"/>
      <w:marTop w:val="0"/>
      <w:marBottom w:val="0"/>
      <w:divBdr>
        <w:top w:val="none" w:sz="0" w:space="0" w:color="auto"/>
        <w:left w:val="none" w:sz="0" w:space="0" w:color="auto"/>
        <w:bottom w:val="none" w:sz="0" w:space="0" w:color="auto"/>
        <w:right w:val="none" w:sz="0" w:space="0" w:color="auto"/>
      </w:divBdr>
    </w:div>
    <w:div w:id="2104645132">
      <w:bodyDiv w:val="1"/>
      <w:marLeft w:val="0"/>
      <w:marRight w:val="0"/>
      <w:marTop w:val="0"/>
      <w:marBottom w:val="0"/>
      <w:divBdr>
        <w:top w:val="none" w:sz="0" w:space="0" w:color="auto"/>
        <w:left w:val="none" w:sz="0" w:space="0" w:color="auto"/>
        <w:bottom w:val="none" w:sz="0" w:space="0" w:color="auto"/>
        <w:right w:val="none" w:sz="0" w:space="0" w:color="auto"/>
      </w:divBdr>
    </w:div>
    <w:div w:id="2121298798">
      <w:bodyDiv w:val="1"/>
      <w:marLeft w:val="0"/>
      <w:marRight w:val="0"/>
      <w:marTop w:val="0"/>
      <w:marBottom w:val="0"/>
      <w:divBdr>
        <w:top w:val="none" w:sz="0" w:space="0" w:color="auto"/>
        <w:left w:val="none" w:sz="0" w:space="0" w:color="auto"/>
        <w:bottom w:val="none" w:sz="0" w:space="0" w:color="auto"/>
        <w:right w:val="none" w:sz="0" w:space="0" w:color="auto"/>
      </w:divBdr>
    </w:div>
    <w:div w:id="2128234076">
      <w:bodyDiv w:val="1"/>
      <w:marLeft w:val="0"/>
      <w:marRight w:val="0"/>
      <w:marTop w:val="0"/>
      <w:marBottom w:val="0"/>
      <w:divBdr>
        <w:top w:val="none" w:sz="0" w:space="0" w:color="auto"/>
        <w:left w:val="none" w:sz="0" w:space="0" w:color="auto"/>
        <w:bottom w:val="none" w:sz="0" w:space="0" w:color="auto"/>
        <w:right w:val="none" w:sz="0" w:space="0" w:color="auto"/>
      </w:divBdr>
      <w:divsChild>
        <w:div w:id="545261965">
          <w:marLeft w:val="14"/>
          <w:marRight w:val="374"/>
          <w:marTop w:val="0"/>
          <w:marBottom w:val="0"/>
          <w:divBdr>
            <w:top w:val="none" w:sz="0" w:space="0" w:color="auto"/>
            <w:left w:val="none" w:sz="0" w:space="0" w:color="auto"/>
            <w:bottom w:val="none" w:sz="0" w:space="0" w:color="auto"/>
            <w:right w:val="none" w:sz="0" w:space="0" w:color="auto"/>
          </w:divBdr>
        </w:div>
        <w:div w:id="1154684476">
          <w:marLeft w:val="14"/>
          <w:marRight w:val="691"/>
          <w:marTop w:val="0"/>
          <w:marBottom w:val="0"/>
          <w:divBdr>
            <w:top w:val="none" w:sz="0" w:space="0" w:color="auto"/>
            <w:left w:val="none" w:sz="0" w:space="0" w:color="auto"/>
            <w:bottom w:val="none" w:sz="0" w:space="0" w:color="auto"/>
            <w:right w:val="none" w:sz="0" w:space="0" w:color="auto"/>
          </w:divBdr>
        </w:div>
        <w:div w:id="1743526523">
          <w:marLeft w:val="14"/>
          <w:marRight w:val="130"/>
          <w:marTop w:val="0"/>
          <w:marBottom w:val="0"/>
          <w:divBdr>
            <w:top w:val="none" w:sz="0" w:space="0" w:color="auto"/>
            <w:left w:val="none" w:sz="0" w:space="0" w:color="auto"/>
            <w:bottom w:val="none" w:sz="0" w:space="0" w:color="auto"/>
            <w:right w:val="none" w:sz="0" w:space="0" w:color="auto"/>
          </w:divBdr>
        </w:div>
      </w:divsChild>
    </w:div>
    <w:div w:id="2128546934">
      <w:bodyDiv w:val="1"/>
      <w:marLeft w:val="0"/>
      <w:marRight w:val="0"/>
      <w:marTop w:val="0"/>
      <w:marBottom w:val="0"/>
      <w:divBdr>
        <w:top w:val="none" w:sz="0" w:space="0" w:color="auto"/>
        <w:left w:val="none" w:sz="0" w:space="0" w:color="auto"/>
        <w:bottom w:val="none" w:sz="0" w:space="0" w:color="auto"/>
        <w:right w:val="none" w:sz="0" w:space="0" w:color="auto"/>
      </w:divBdr>
    </w:div>
    <w:div w:id="2131312034">
      <w:bodyDiv w:val="1"/>
      <w:marLeft w:val="0"/>
      <w:marRight w:val="0"/>
      <w:marTop w:val="0"/>
      <w:marBottom w:val="0"/>
      <w:divBdr>
        <w:top w:val="none" w:sz="0" w:space="0" w:color="auto"/>
        <w:left w:val="none" w:sz="0" w:space="0" w:color="auto"/>
        <w:bottom w:val="none" w:sz="0" w:space="0" w:color="auto"/>
        <w:right w:val="none" w:sz="0" w:space="0" w:color="auto"/>
      </w:divBdr>
    </w:div>
    <w:div w:id="2132286889">
      <w:bodyDiv w:val="1"/>
      <w:marLeft w:val="0"/>
      <w:marRight w:val="0"/>
      <w:marTop w:val="0"/>
      <w:marBottom w:val="0"/>
      <w:divBdr>
        <w:top w:val="none" w:sz="0" w:space="0" w:color="auto"/>
        <w:left w:val="none" w:sz="0" w:space="0" w:color="auto"/>
        <w:bottom w:val="none" w:sz="0" w:space="0" w:color="auto"/>
        <w:right w:val="none" w:sz="0" w:space="0" w:color="auto"/>
      </w:divBdr>
      <w:divsChild>
        <w:div w:id="304430392">
          <w:marLeft w:val="0"/>
          <w:marRight w:val="0"/>
          <w:marTop w:val="0"/>
          <w:marBottom w:val="200"/>
          <w:divBdr>
            <w:top w:val="none" w:sz="0" w:space="0" w:color="auto"/>
            <w:left w:val="none" w:sz="0" w:space="0" w:color="auto"/>
            <w:bottom w:val="none" w:sz="0" w:space="0" w:color="auto"/>
            <w:right w:val="none" w:sz="0" w:space="0" w:color="auto"/>
          </w:divBdr>
        </w:div>
        <w:div w:id="1474445832">
          <w:marLeft w:val="0"/>
          <w:marRight w:val="0"/>
          <w:marTop w:val="0"/>
          <w:marBottom w:val="200"/>
          <w:divBdr>
            <w:top w:val="none" w:sz="0" w:space="0" w:color="auto"/>
            <w:left w:val="none" w:sz="0" w:space="0" w:color="auto"/>
            <w:bottom w:val="none" w:sz="0" w:space="0" w:color="auto"/>
            <w:right w:val="none" w:sz="0" w:space="0" w:color="auto"/>
          </w:divBdr>
        </w:div>
        <w:div w:id="1507093048">
          <w:marLeft w:val="0"/>
          <w:marRight w:val="0"/>
          <w:marTop w:val="0"/>
          <w:marBottom w:val="200"/>
          <w:divBdr>
            <w:top w:val="none" w:sz="0" w:space="0" w:color="auto"/>
            <w:left w:val="none" w:sz="0" w:space="0" w:color="auto"/>
            <w:bottom w:val="none" w:sz="0" w:space="0" w:color="auto"/>
            <w:right w:val="none" w:sz="0" w:space="0" w:color="auto"/>
          </w:divBdr>
        </w:div>
      </w:divsChild>
    </w:div>
    <w:div w:id="2135714035">
      <w:bodyDiv w:val="1"/>
      <w:marLeft w:val="0"/>
      <w:marRight w:val="0"/>
      <w:marTop w:val="0"/>
      <w:marBottom w:val="0"/>
      <w:divBdr>
        <w:top w:val="none" w:sz="0" w:space="0" w:color="auto"/>
        <w:left w:val="none" w:sz="0" w:space="0" w:color="auto"/>
        <w:bottom w:val="none" w:sz="0" w:space="0" w:color="auto"/>
        <w:right w:val="none" w:sz="0" w:space="0" w:color="auto"/>
      </w:divBdr>
    </w:div>
    <w:div w:id="2142114032">
      <w:bodyDiv w:val="1"/>
      <w:marLeft w:val="0"/>
      <w:marRight w:val="0"/>
      <w:marTop w:val="0"/>
      <w:marBottom w:val="0"/>
      <w:divBdr>
        <w:top w:val="none" w:sz="0" w:space="0" w:color="auto"/>
        <w:left w:val="none" w:sz="0" w:space="0" w:color="auto"/>
        <w:bottom w:val="none" w:sz="0" w:space="0" w:color="auto"/>
        <w:right w:val="none" w:sz="0" w:space="0" w:color="auto"/>
      </w:divBdr>
    </w:div>
    <w:div w:id="2144301647">
      <w:bodyDiv w:val="1"/>
      <w:marLeft w:val="0"/>
      <w:marRight w:val="0"/>
      <w:marTop w:val="0"/>
      <w:marBottom w:val="0"/>
      <w:divBdr>
        <w:top w:val="none" w:sz="0" w:space="0" w:color="auto"/>
        <w:left w:val="none" w:sz="0" w:space="0" w:color="auto"/>
        <w:bottom w:val="none" w:sz="0" w:space="0" w:color="auto"/>
        <w:right w:val="none" w:sz="0" w:space="0" w:color="auto"/>
      </w:divBdr>
      <w:divsChild>
        <w:div w:id="348944656">
          <w:marLeft w:val="0"/>
          <w:marRight w:val="0"/>
          <w:marTop w:val="0"/>
          <w:marBottom w:val="0"/>
          <w:divBdr>
            <w:top w:val="none" w:sz="0" w:space="0" w:color="auto"/>
            <w:left w:val="none" w:sz="0" w:space="0" w:color="auto"/>
            <w:bottom w:val="none" w:sz="0" w:space="0" w:color="auto"/>
            <w:right w:val="none" w:sz="0" w:space="0" w:color="auto"/>
          </w:divBdr>
          <w:divsChild>
            <w:div w:id="10224812">
              <w:marLeft w:val="0"/>
              <w:marRight w:val="0"/>
              <w:marTop w:val="0"/>
              <w:marBottom w:val="0"/>
              <w:divBdr>
                <w:top w:val="none" w:sz="0" w:space="0" w:color="auto"/>
                <w:left w:val="none" w:sz="0" w:space="0" w:color="auto"/>
                <w:bottom w:val="none" w:sz="0" w:space="0" w:color="auto"/>
                <w:right w:val="none" w:sz="0" w:space="0" w:color="auto"/>
              </w:divBdr>
              <w:divsChild>
                <w:div w:id="1185440585">
                  <w:marLeft w:val="0"/>
                  <w:marRight w:val="0"/>
                  <w:marTop w:val="0"/>
                  <w:marBottom w:val="0"/>
                  <w:divBdr>
                    <w:top w:val="none" w:sz="0" w:space="0" w:color="auto"/>
                    <w:left w:val="none" w:sz="0" w:space="0" w:color="auto"/>
                    <w:bottom w:val="none" w:sz="0" w:space="0" w:color="auto"/>
                    <w:right w:val="none" w:sz="0" w:space="0" w:color="auto"/>
                  </w:divBdr>
                </w:div>
              </w:divsChild>
            </w:div>
            <w:div w:id="64958144">
              <w:marLeft w:val="0"/>
              <w:marRight w:val="0"/>
              <w:marTop w:val="0"/>
              <w:marBottom w:val="0"/>
              <w:divBdr>
                <w:top w:val="none" w:sz="0" w:space="0" w:color="auto"/>
                <w:left w:val="none" w:sz="0" w:space="0" w:color="auto"/>
                <w:bottom w:val="none" w:sz="0" w:space="0" w:color="auto"/>
                <w:right w:val="none" w:sz="0" w:space="0" w:color="auto"/>
              </w:divBdr>
              <w:divsChild>
                <w:div w:id="1407266953">
                  <w:marLeft w:val="0"/>
                  <w:marRight w:val="0"/>
                  <w:marTop w:val="0"/>
                  <w:marBottom w:val="0"/>
                  <w:divBdr>
                    <w:top w:val="none" w:sz="0" w:space="0" w:color="auto"/>
                    <w:left w:val="none" w:sz="0" w:space="0" w:color="auto"/>
                    <w:bottom w:val="none" w:sz="0" w:space="0" w:color="auto"/>
                    <w:right w:val="none" w:sz="0" w:space="0" w:color="auto"/>
                  </w:divBdr>
                </w:div>
              </w:divsChild>
            </w:div>
            <w:div w:id="71897137">
              <w:marLeft w:val="0"/>
              <w:marRight w:val="0"/>
              <w:marTop w:val="0"/>
              <w:marBottom w:val="0"/>
              <w:divBdr>
                <w:top w:val="none" w:sz="0" w:space="0" w:color="auto"/>
                <w:left w:val="none" w:sz="0" w:space="0" w:color="auto"/>
                <w:bottom w:val="none" w:sz="0" w:space="0" w:color="auto"/>
                <w:right w:val="none" w:sz="0" w:space="0" w:color="auto"/>
              </w:divBdr>
              <w:divsChild>
                <w:div w:id="1364984138">
                  <w:marLeft w:val="0"/>
                  <w:marRight w:val="0"/>
                  <w:marTop w:val="0"/>
                  <w:marBottom w:val="0"/>
                  <w:divBdr>
                    <w:top w:val="none" w:sz="0" w:space="0" w:color="auto"/>
                    <w:left w:val="none" w:sz="0" w:space="0" w:color="auto"/>
                    <w:bottom w:val="none" w:sz="0" w:space="0" w:color="auto"/>
                    <w:right w:val="none" w:sz="0" w:space="0" w:color="auto"/>
                  </w:divBdr>
                </w:div>
              </w:divsChild>
            </w:div>
            <w:div w:id="128717982">
              <w:marLeft w:val="0"/>
              <w:marRight w:val="0"/>
              <w:marTop w:val="0"/>
              <w:marBottom w:val="0"/>
              <w:divBdr>
                <w:top w:val="none" w:sz="0" w:space="0" w:color="auto"/>
                <w:left w:val="none" w:sz="0" w:space="0" w:color="auto"/>
                <w:bottom w:val="none" w:sz="0" w:space="0" w:color="auto"/>
                <w:right w:val="none" w:sz="0" w:space="0" w:color="auto"/>
              </w:divBdr>
              <w:divsChild>
                <w:div w:id="40328435">
                  <w:marLeft w:val="0"/>
                  <w:marRight w:val="0"/>
                  <w:marTop w:val="0"/>
                  <w:marBottom w:val="0"/>
                  <w:divBdr>
                    <w:top w:val="none" w:sz="0" w:space="0" w:color="auto"/>
                    <w:left w:val="none" w:sz="0" w:space="0" w:color="auto"/>
                    <w:bottom w:val="none" w:sz="0" w:space="0" w:color="auto"/>
                    <w:right w:val="none" w:sz="0" w:space="0" w:color="auto"/>
                  </w:divBdr>
                </w:div>
              </w:divsChild>
            </w:div>
            <w:div w:id="132211848">
              <w:marLeft w:val="0"/>
              <w:marRight w:val="0"/>
              <w:marTop w:val="0"/>
              <w:marBottom w:val="0"/>
              <w:divBdr>
                <w:top w:val="none" w:sz="0" w:space="0" w:color="auto"/>
                <w:left w:val="none" w:sz="0" w:space="0" w:color="auto"/>
                <w:bottom w:val="none" w:sz="0" w:space="0" w:color="auto"/>
                <w:right w:val="none" w:sz="0" w:space="0" w:color="auto"/>
              </w:divBdr>
              <w:divsChild>
                <w:div w:id="1585987478">
                  <w:marLeft w:val="0"/>
                  <w:marRight w:val="0"/>
                  <w:marTop w:val="0"/>
                  <w:marBottom w:val="0"/>
                  <w:divBdr>
                    <w:top w:val="none" w:sz="0" w:space="0" w:color="auto"/>
                    <w:left w:val="none" w:sz="0" w:space="0" w:color="auto"/>
                    <w:bottom w:val="none" w:sz="0" w:space="0" w:color="auto"/>
                    <w:right w:val="none" w:sz="0" w:space="0" w:color="auto"/>
                  </w:divBdr>
                </w:div>
              </w:divsChild>
            </w:div>
            <w:div w:id="272051799">
              <w:marLeft w:val="0"/>
              <w:marRight w:val="0"/>
              <w:marTop w:val="0"/>
              <w:marBottom w:val="0"/>
              <w:divBdr>
                <w:top w:val="none" w:sz="0" w:space="0" w:color="auto"/>
                <w:left w:val="none" w:sz="0" w:space="0" w:color="auto"/>
                <w:bottom w:val="none" w:sz="0" w:space="0" w:color="auto"/>
                <w:right w:val="none" w:sz="0" w:space="0" w:color="auto"/>
              </w:divBdr>
              <w:divsChild>
                <w:div w:id="96369903">
                  <w:marLeft w:val="0"/>
                  <w:marRight w:val="0"/>
                  <w:marTop w:val="0"/>
                  <w:marBottom w:val="0"/>
                  <w:divBdr>
                    <w:top w:val="none" w:sz="0" w:space="0" w:color="auto"/>
                    <w:left w:val="none" w:sz="0" w:space="0" w:color="auto"/>
                    <w:bottom w:val="none" w:sz="0" w:space="0" w:color="auto"/>
                    <w:right w:val="none" w:sz="0" w:space="0" w:color="auto"/>
                  </w:divBdr>
                </w:div>
              </w:divsChild>
            </w:div>
            <w:div w:id="349140024">
              <w:marLeft w:val="0"/>
              <w:marRight w:val="0"/>
              <w:marTop w:val="0"/>
              <w:marBottom w:val="0"/>
              <w:divBdr>
                <w:top w:val="none" w:sz="0" w:space="0" w:color="auto"/>
                <w:left w:val="none" w:sz="0" w:space="0" w:color="auto"/>
                <w:bottom w:val="none" w:sz="0" w:space="0" w:color="auto"/>
                <w:right w:val="none" w:sz="0" w:space="0" w:color="auto"/>
              </w:divBdr>
              <w:divsChild>
                <w:div w:id="1036928823">
                  <w:marLeft w:val="0"/>
                  <w:marRight w:val="0"/>
                  <w:marTop w:val="0"/>
                  <w:marBottom w:val="0"/>
                  <w:divBdr>
                    <w:top w:val="none" w:sz="0" w:space="0" w:color="auto"/>
                    <w:left w:val="none" w:sz="0" w:space="0" w:color="auto"/>
                    <w:bottom w:val="none" w:sz="0" w:space="0" w:color="auto"/>
                    <w:right w:val="none" w:sz="0" w:space="0" w:color="auto"/>
                  </w:divBdr>
                </w:div>
              </w:divsChild>
            </w:div>
            <w:div w:id="358238538">
              <w:marLeft w:val="0"/>
              <w:marRight w:val="0"/>
              <w:marTop w:val="0"/>
              <w:marBottom w:val="0"/>
              <w:divBdr>
                <w:top w:val="none" w:sz="0" w:space="0" w:color="auto"/>
                <w:left w:val="none" w:sz="0" w:space="0" w:color="auto"/>
                <w:bottom w:val="none" w:sz="0" w:space="0" w:color="auto"/>
                <w:right w:val="none" w:sz="0" w:space="0" w:color="auto"/>
              </w:divBdr>
              <w:divsChild>
                <w:div w:id="916553364">
                  <w:marLeft w:val="0"/>
                  <w:marRight w:val="0"/>
                  <w:marTop w:val="0"/>
                  <w:marBottom w:val="0"/>
                  <w:divBdr>
                    <w:top w:val="none" w:sz="0" w:space="0" w:color="auto"/>
                    <w:left w:val="none" w:sz="0" w:space="0" w:color="auto"/>
                    <w:bottom w:val="none" w:sz="0" w:space="0" w:color="auto"/>
                    <w:right w:val="none" w:sz="0" w:space="0" w:color="auto"/>
                  </w:divBdr>
                </w:div>
              </w:divsChild>
            </w:div>
            <w:div w:id="362052213">
              <w:marLeft w:val="0"/>
              <w:marRight w:val="0"/>
              <w:marTop w:val="0"/>
              <w:marBottom w:val="0"/>
              <w:divBdr>
                <w:top w:val="none" w:sz="0" w:space="0" w:color="auto"/>
                <w:left w:val="none" w:sz="0" w:space="0" w:color="auto"/>
                <w:bottom w:val="none" w:sz="0" w:space="0" w:color="auto"/>
                <w:right w:val="none" w:sz="0" w:space="0" w:color="auto"/>
              </w:divBdr>
              <w:divsChild>
                <w:div w:id="231621037">
                  <w:marLeft w:val="0"/>
                  <w:marRight w:val="0"/>
                  <w:marTop w:val="0"/>
                  <w:marBottom w:val="0"/>
                  <w:divBdr>
                    <w:top w:val="none" w:sz="0" w:space="0" w:color="auto"/>
                    <w:left w:val="none" w:sz="0" w:space="0" w:color="auto"/>
                    <w:bottom w:val="none" w:sz="0" w:space="0" w:color="auto"/>
                    <w:right w:val="none" w:sz="0" w:space="0" w:color="auto"/>
                  </w:divBdr>
                </w:div>
              </w:divsChild>
            </w:div>
            <w:div w:id="383330830">
              <w:marLeft w:val="0"/>
              <w:marRight w:val="0"/>
              <w:marTop w:val="0"/>
              <w:marBottom w:val="0"/>
              <w:divBdr>
                <w:top w:val="none" w:sz="0" w:space="0" w:color="auto"/>
                <w:left w:val="none" w:sz="0" w:space="0" w:color="auto"/>
                <w:bottom w:val="none" w:sz="0" w:space="0" w:color="auto"/>
                <w:right w:val="none" w:sz="0" w:space="0" w:color="auto"/>
              </w:divBdr>
              <w:divsChild>
                <w:div w:id="215708150">
                  <w:marLeft w:val="0"/>
                  <w:marRight w:val="0"/>
                  <w:marTop w:val="0"/>
                  <w:marBottom w:val="0"/>
                  <w:divBdr>
                    <w:top w:val="none" w:sz="0" w:space="0" w:color="auto"/>
                    <w:left w:val="none" w:sz="0" w:space="0" w:color="auto"/>
                    <w:bottom w:val="none" w:sz="0" w:space="0" w:color="auto"/>
                    <w:right w:val="none" w:sz="0" w:space="0" w:color="auto"/>
                  </w:divBdr>
                </w:div>
              </w:divsChild>
            </w:div>
            <w:div w:id="393891856">
              <w:marLeft w:val="0"/>
              <w:marRight w:val="0"/>
              <w:marTop w:val="0"/>
              <w:marBottom w:val="0"/>
              <w:divBdr>
                <w:top w:val="none" w:sz="0" w:space="0" w:color="auto"/>
                <w:left w:val="none" w:sz="0" w:space="0" w:color="auto"/>
                <w:bottom w:val="none" w:sz="0" w:space="0" w:color="auto"/>
                <w:right w:val="none" w:sz="0" w:space="0" w:color="auto"/>
              </w:divBdr>
              <w:divsChild>
                <w:div w:id="1040133184">
                  <w:marLeft w:val="0"/>
                  <w:marRight w:val="0"/>
                  <w:marTop w:val="0"/>
                  <w:marBottom w:val="0"/>
                  <w:divBdr>
                    <w:top w:val="none" w:sz="0" w:space="0" w:color="auto"/>
                    <w:left w:val="none" w:sz="0" w:space="0" w:color="auto"/>
                    <w:bottom w:val="none" w:sz="0" w:space="0" w:color="auto"/>
                    <w:right w:val="none" w:sz="0" w:space="0" w:color="auto"/>
                  </w:divBdr>
                </w:div>
              </w:divsChild>
            </w:div>
            <w:div w:id="427389188">
              <w:marLeft w:val="0"/>
              <w:marRight w:val="0"/>
              <w:marTop w:val="0"/>
              <w:marBottom w:val="0"/>
              <w:divBdr>
                <w:top w:val="none" w:sz="0" w:space="0" w:color="auto"/>
                <w:left w:val="none" w:sz="0" w:space="0" w:color="auto"/>
                <w:bottom w:val="none" w:sz="0" w:space="0" w:color="auto"/>
                <w:right w:val="none" w:sz="0" w:space="0" w:color="auto"/>
              </w:divBdr>
              <w:divsChild>
                <w:div w:id="800195128">
                  <w:marLeft w:val="0"/>
                  <w:marRight w:val="0"/>
                  <w:marTop w:val="0"/>
                  <w:marBottom w:val="0"/>
                  <w:divBdr>
                    <w:top w:val="none" w:sz="0" w:space="0" w:color="auto"/>
                    <w:left w:val="none" w:sz="0" w:space="0" w:color="auto"/>
                    <w:bottom w:val="none" w:sz="0" w:space="0" w:color="auto"/>
                    <w:right w:val="none" w:sz="0" w:space="0" w:color="auto"/>
                  </w:divBdr>
                </w:div>
              </w:divsChild>
            </w:div>
            <w:div w:id="461970393">
              <w:marLeft w:val="0"/>
              <w:marRight w:val="0"/>
              <w:marTop w:val="0"/>
              <w:marBottom w:val="0"/>
              <w:divBdr>
                <w:top w:val="none" w:sz="0" w:space="0" w:color="auto"/>
                <w:left w:val="none" w:sz="0" w:space="0" w:color="auto"/>
                <w:bottom w:val="none" w:sz="0" w:space="0" w:color="auto"/>
                <w:right w:val="none" w:sz="0" w:space="0" w:color="auto"/>
              </w:divBdr>
              <w:divsChild>
                <w:div w:id="1561213987">
                  <w:marLeft w:val="0"/>
                  <w:marRight w:val="0"/>
                  <w:marTop w:val="0"/>
                  <w:marBottom w:val="0"/>
                  <w:divBdr>
                    <w:top w:val="none" w:sz="0" w:space="0" w:color="auto"/>
                    <w:left w:val="none" w:sz="0" w:space="0" w:color="auto"/>
                    <w:bottom w:val="none" w:sz="0" w:space="0" w:color="auto"/>
                    <w:right w:val="none" w:sz="0" w:space="0" w:color="auto"/>
                  </w:divBdr>
                </w:div>
              </w:divsChild>
            </w:div>
            <w:div w:id="479620874">
              <w:marLeft w:val="0"/>
              <w:marRight w:val="0"/>
              <w:marTop w:val="0"/>
              <w:marBottom w:val="0"/>
              <w:divBdr>
                <w:top w:val="none" w:sz="0" w:space="0" w:color="auto"/>
                <w:left w:val="none" w:sz="0" w:space="0" w:color="auto"/>
                <w:bottom w:val="none" w:sz="0" w:space="0" w:color="auto"/>
                <w:right w:val="none" w:sz="0" w:space="0" w:color="auto"/>
              </w:divBdr>
              <w:divsChild>
                <w:div w:id="314770766">
                  <w:marLeft w:val="0"/>
                  <w:marRight w:val="0"/>
                  <w:marTop w:val="0"/>
                  <w:marBottom w:val="0"/>
                  <w:divBdr>
                    <w:top w:val="none" w:sz="0" w:space="0" w:color="auto"/>
                    <w:left w:val="none" w:sz="0" w:space="0" w:color="auto"/>
                    <w:bottom w:val="none" w:sz="0" w:space="0" w:color="auto"/>
                    <w:right w:val="none" w:sz="0" w:space="0" w:color="auto"/>
                  </w:divBdr>
                </w:div>
              </w:divsChild>
            </w:div>
            <w:div w:id="521821169">
              <w:marLeft w:val="0"/>
              <w:marRight w:val="0"/>
              <w:marTop w:val="0"/>
              <w:marBottom w:val="0"/>
              <w:divBdr>
                <w:top w:val="none" w:sz="0" w:space="0" w:color="auto"/>
                <w:left w:val="none" w:sz="0" w:space="0" w:color="auto"/>
                <w:bottom w:val="none" w:sz="0" w:space="0" w:color="auto"/>
                <w:right w:val="none" w:sz="0" w:space="0" w:color="auto"/>
              </w:divBdr>
              <w:divsChild>
                <w:div w:id="656962202">
                  <w:marLeft w:val="0"/>
                  <w:marRight w:val="0"/>
                  <w:marTop w:val="0"/>
                  <w:marBottom w:val="0"/>
                  <w:divBdr>
                    <w:top w:val="none" w:sz="0" w:space="0" w:color="auto"/>
                    <w:left w:val="none" w:sz="0" w:space="0" w:color="auto"/>
                    <w:bottom w:val="none" w:sz="0" w:space="0" w:color="auto"/>
                    <w:right w:val="none" w:sz="0" w:space="0" w:color="auto"/>
                  </w:divBdr>
                </w:div>
              </w:divsChild>
            </w:div>
            <w:div w:id="542448401">
              <w:marLeft w:val="0"/>
              <w:marRight w:val="0"/>
              <w:marTop w:val="0"/>
              <w:marBottom w:val="0"/>
              <w:divBdr>
                <w:top w:val="none" w:sz="0" w:space="0" w:color="auto"/>
                <w:left w:val="none" w:sz="0" w:space="0" w:color="auto"/>
                <w:bottom w:val="none" w:sz="0" w:space="0" w:color="auto"/>
                <w:right w:val="none" w:sz="0" w:space="0" w:color="auto"/>
              </w:divBdr>
              <w:divsChild>
                <w:div w:id="270668048">
                  <w:marLeft w:val="0"/>
                  <w:marRight w:val="0"/>
                  <w:marTop w:val="0"/>
                  <w:marBottom w:val="0"/>
                  <w:divBdr>
                    <w:top w:val="none" w:sz="0" w:space="0" w:color="auto"/>
                    <w:left w:val="none" w:sz="0" w:space="0" w:color="auto"/>
                    <w:bottom w:val="none" w:sz="0" w:space="0" w:color="auto"/>
                    <w:right w:val="none" w:sz="0" w:space="0" w:color="auto"/>
                  </w:divBdr>
                </w:div>
              </w:divsChild>
            </w:div>
            <w:div w:id="564730479">
              <w:marLeft w:val="0"/>
              <w:marRight w:val="0"/>
              <w:marTop w:val="0"/>
              <w:marBottom w:val="0"/>
              <w:divBdr>
                <w:top w:val="none" w:sz="0" w:space="0" w:color="auto"/>
                <w:left w:val="none" w:sz="0" w:space="0" w:color="auto"/>
                <w:bottom w:val="none" w:sz="0" w:space="0" w:color="auto"/>
                <w:right w:val="none" w:sz="0" w:space="0" w:color="auto"/>
              </w:divBdr>
              <w:divsChild>
                <w:div w:id="994991211">
                  <w:marLeft w:val="0"/>
                  <w:marRight w:val="0"/>
                  <w:marTop w:val="0"/>
                  <w:marBottom w:val="0"/>
                  <w:divBdr>
                    <w:top w:val="none" w:sz="0" w:space="0" w:color="auto"/>
                    <w:left w:val="none" w:sz="0" w:space="0" w:color="auto"/>
                    <w:bottom w:val="none" w:sz="0" w:space="0" w:color="auto"/>
                    <w:right w:val="none" w:sz="0" w:space="0" w:color="auto"/>
                  </w:divBdr>
                </w:div>
              </w:divsChild>
            </w:div>
            <w:div w:id="587692028">
              <w:marLeft w:val="0"/>
              <w:marRight w:val="0"/>
              <w:marTop w:val="0"/>
              <w:marBottom w:val="0"/>
              <w:divBdr>
                <w:top w:val="none" w:sz="0" w:space="0" w:color="auto"/>
                <w:left w:val="none" w:sz="0" w:space="0" w:color="auto"/>
                <w:bottom w:val="none" w:sz="0" w:space="0" w:color="auto"/>
                <w:right w:val="none" w:sz="0" w:space="0" w:color="auto"/>
              </w:divBdr>
              <w:divsChild>
                <w:div w:id="1624265891">
                  <w:marLeft w:val="0"/>
                  <w:marRight w:val="0"/>
                  <w:marTop w:val="0"/>
                  <w:marBottom w:val="0"/>
                  <w:divBdr>
                    <w:top w:val="none" w:sz="0" w:space="0" w:color="auto"/>
                    <w:left w:val="none" w:sz="0" w:space="0" w:color="auto"/>
                    <w:bottom w:val="none" w:sz="0" w:space="0" w:color="auto"/>
                    <w:right w:val="none" w:sz="0" w:space="0" w:color="auto"/>
                  </w:divBdr>
                </w:div>
              </w:divsChild>
            </w:div>
            <w:div w:id="648438621">
              <w:marLeft w:val="0"/>
              <w:marRight w:val="0"/>
              <w:marTop w:val="0"/>
              <w:marBottom w:val="0"/>
              <w:divBdr>
                <w:top w:val="none" w:sz="0" w:space="0" w:color="auto"/>
                <w:left w:val="none" w:sz="0" w:space="0" w:color="auto"/>
                <w:bottom w:val="none" w:sz="0" w:space="0" w:color="auto"/>
                <w:right w:val="none" w:sz="0" w:space="0" w:color="auto"/>
              </w:divBdr>
              <w:divsChild>
                <w:div w:id="1491142227">
                  <w:marLeft w:val="0"/>
                  <w:marRight w:val="0"/>
                  <w:marTop w:val="0"/>
                  <w:marBottom w:val="0"/>
                  <w:divBdr>
                    <w:top w:val="none" w:sz="0" w:space="0" w:color="auto"/>
                    <w:left w:val="none" w:sz="0" w:space="0" w:color="auto"/>
                    <w:bottom w:val="none" w:sz="0" w:space="0" w:color="auto"/>
                    <w:right w:val="none" w:sz="0" w:space="0" w:color="auto"/>
                  </w:divBdr>
                </w:div>
              </w:divsChild>
            </w:div>
            <w:div w:id="681588991">
              <w:marLeft w:val="0"/>
              <w:marRight w:val="0"/>
              <w:marTop w:val="0"/>
              <w:marBottom w:val="0"/>
              <w:divBdr>
                <w:top w:val="none" w:sz="0" w:space="0" w:color="auto"/>
                <w:left w:val="none" w:sz="0" w:space="0" w:color="auto"/>
                <w:bottom w:val="none" w:sz="0" w:space="0" w:color="auto"/>
                <w:right w:val="none" w:sz="0" w:space="0" w:color="auto"/>
              </w:divBdr>
              <w:divsChild>
                <w:div w:id="2143644580">
                  <w:marLeft w:val="0"/>
                  <w:marRight w:val="0"/>
                  <w:marTop w:val="0"/>
                  <w:marBottom w:val="0"/>
                  <w:divBdr>
                    <w:top w:val="none" w:sz="0" w:space="0" w:color="auto"/>
                    <w:left w:val="none" w:sz="0" w:space="0" w:color="auto"/>
                    <w:bottom w:val="none" w:sz="0" w:space="0" w:color="auto"/>
                    <w:right w:val="none" w:sz="0" w:space="0" w:color="auto"/>
                  </w:divBdr>
                </w:div>
              </w:divsChild>
            </w:div>
            <w:div w:id="687560696">
              <w:marLeft w:val="0"/>
              <w:marRight w:val="0"/>
              <w:marTop w:val="0"/>
              <w:marBottom w:val="0"/>
              <w:divBdr>
                <w:top w:val="none" w:sz="0" w:space="0" w:color="auto"/>
                <w:left w:val="none" w:sz="0" w:space="0" w:color="auto"/>
                <w:bottom w:val="none" w:sz="0" w:space="0" w:color="auto"/>
                <w:right w:val="none" w:sz="0" w:space="0" w:color="auto"/>
              </w:divBdr>
              <w:divsChild>
                <w:div w:id="206258615">
                  <w:marLeft w:val="0"/>
                  <w:marRight w:val="0"/>
                  <w:marTop w:val="0"/>
                  <w:marBottom w:val="0"/>
                  <w:divBdr>
                    <w:top w:val="none" w:sz="0" w:space="0" w:color="auto"/>
                    <w:left w:val="none" w:sz="0" w:space="0" w:color="auto"/>
                    <w:bottom w:val="none" w:sz="0" w:space="0" w:color="auto"/>
                    <w:right w:val="none" w:sz="0" w:space="0" w:color="auto"/>
                  </w:divBdr>
                </w:div>
              </w:divsChild>
            </w:div>
            <w:div w:id="795490042">
              <w:marLeft w:val="0"/>
              <w:marRight w:val="0"/>
              <w:marTop w:val="0"/>
              <w:marBottom w:val="0"/>
              <w:divBdr>
                <w:top w:val="none" w:sz="0" w:space="0" w:color="auto"/>
                <w:left w:val="none" w:sz="0" w:space="0" w:color="auto"/>
                <w:bottom w:val="none" w:sz="0" w:space="0" w:color="auto"/>
                <w:right w:val="none" w:sz="0" w:space="0" w:color="auto"/>
              </w:divBdr>
              <w:divsChild>
                <w:div w:id="1984772928">
                  <w:marLeft w:val="0"/>
                  <w:marRight w:val="0"/>
                  <w:marTop w:val="0"/>
                  <w:marBottom w:val="0"/>
                  <w:divBdr>
                    <w:top w:val="none" w:sz="0" w:space="0" w:color="auto"/>
                    <w:left w:val="none" w:sz="0" w:space="0" w:color="auto"/>
                    <w:bottom w:val="none" w:sz="0" w:space="0" w:color="auto"/>
                    <w:right w:val="none" w:sz="0" w:space="0" w:color="auto"/>
                  </w:divBdr>
                </w:div>
              </w:divsChild>
            </w:div>
            <w:div w:id="824006637">
              <w:marLeft w:val="0"/>
              <w:marRight w:val="0"/>
              <w:marTop w:val="0"/>
              <w:marBottom w:val="0"/>
              <w:divBdr>
                <w:top w:val="none" w:sz="0" w:space="0" w:color="auto"/>
                <w:left w:val="none" w:sz="0" w:space="0" w:color="auto"/>
                <w:bottom w:val="none" w:sz="0" w:space="0" w:color="auto"/>
                <w:right w:val="none" w:sz="0" w:space="0" w:color="auto"/>
              </w:divBdr>
              <w:divsChild>
                <w:div w:id="78672869">
                  <w:marLeft w:val="0"/>
                  <w:marRight w:val="0"/>
                  <w:marTop w:val="0"/>
                  <w:marBottom w:val="0"/>
                  <w:divBdr>
                    <w:top w:val="none" w:sz="0" w:space="0" w:color="auto"/>
                    <w:left w:val="none" w:sz="0" w:space="0" w:color="auto"/>
                    <w:bottom w:val="none" w:sz="0" w:space="0" w:color="auto"/>
                    <w:right w:val="none" w:sz="0" w:space="0" w:color="auto"/>
                  </w:divBdr>
                </w:div>
              </w:divsChild>
            </w:div>
            <w:div w:id="882520098">
              <w:marLeft w:val="0"/>
              <w:marRight w:val="0"/>
              <w:marTop w:val="0"/>
              <w:marBottom w:val="0"/>
              <w:divBdr>
                <w:top w:val="none" w:sz="0" w:space="0" w:color="auto"/>
                <w:left w:val="none" w:sz="0" w:space="0" w:color="auto"/>
                <w:bottom w:val="none" w:sz="0" w:space="0" w:color="auto"/>
                <w:right w:val="none" w:sz="0" w:space="0" w:color="auto"/>
              </w:divBdr>
              <w:divsChild>
                <w:div w:id="704479095">
                  <w:marLeft w:val="0"/>
                  <w:marRight w:val="0"/>
                  <w:marTop w:val="0"/>
                  <w:marBottom w:val="0"/>
                  <w:divBdr>
                    <w:top w:val="none" w:sz="0" w:space="0" w:color="auto"/>
                    <w:left w:val="none" w:sz="0" w:space="0" w:color="auto"/>
                    <w:bottom w:val="none" w:sz="0" w:space="0" w:color="auto"/>
                    <w:right w:val="none" w:sz="0" w:space="0" w:color="auto"/>
                  </w:divBdr>
                </w:div>
              </w:divsChild>
            </w:div>
            <w:div w:id="974749558">
              <w:marLeft w:val="0"/>
              <w:marRight w:val="0"/>
              <w:marTop w:val="0"/>
              <w:marBottom w:val="0"/>
              <w:divBdr>
                <w:top w:val="none" w:sz="0" w:space="0" w:color="auto"/>
                <w:left w:val="none" w:sz="0" w:space="0" w:color="auto"/>
                <w:bottom w:val="none" w:sz="0" w:space="0" w:color="auto"/>
                <w:right w:val="none" w:sz="0" w:space="0" w:color="auto"/>
              </w:divBdr>
              <w:divsChild>
                <w:div w:id="359235461">
                  <w:marLeft w:val="0"/>
                  <w:marRight w:val="0"/>
                  <w:marTop w:val="0"/>
                  <w:marBottom w:val="0"/>
                  <w:divBdr>
                    <w:top w:val="none" w:sz="0" w:space="0" w:color="auto"/>
                    <w:left w:val="none" w:sz="0" w:space="0" w:color="auto"/>
                    <w:bottom w:val="none" w:sz="0" w:space="0" w:color="auto"/>
                    <w:right w:val="none" w:sz="0" w:space="0" w:color="auto"/>
                  </w:divBdr>
                </w:div>
              </w:divsChild>
            </w:div>
            <w:div w:id="988634278">
              <w:marLeft w:val="0"/>
              <w:marRight w:val="0"/>
              <w:marTop w:val="0"/>
              <w:marBottom w:val="0"/>
              <w:divBdr>
                <w:top w:val="none" w:sz="0" w:space="0" w:color="auto"/>
                <w:left w:val="none" w:sz="0" w:space="0" w:color="auto"/>
                <w:bottom w:val="none" w:sz="0" w:space="0" w:color="auto"/>
                <w:right w:val="none" w:sz="0" w:space="0" w:color="auto"/>
              </w:divBdr>
              <w:divsChild>
                <w:div w:id="324359435">
                  <w:marLeft w:val="0"/>
                  <w:marRight w:val="0"/>
                  <w:marTop w:val="0"/>
                  <w:marBottom w:val="0"/>
                  <w:divBdr>
                    <w:top w:val="none" w:sz="0" w:space="0" w:color="auto"/>
                    <w:left w:val="none" w:sz="0" w:space="0" w:color="auto"/>
                    <w:bottom w:val="none" w:sz="0" w:space="0" w:color="auto"/>
                    <w:right w:val="none" w:sz="0" w:space="0" w:color="auto"/>
                  </w:divBdr>
                </w:div>
              </w:divsChild>
            </w:div>
            <w:div w:id="1020935417">
              <w:marLeft w:val="0"/>
              <w:marRight w:val="0"/>
              <w:marTop w:val="0"/>
              <w:marBottom w:val="0"/>
              <w:divBdr>
                <w:top w:val="none" w:sz="0" w:space="0" w:color="auto"/>
                <w:left w:val="none" w:sz="0" w:space="0" w:color="auto"/>
                <w:bottom w:val="none" w:sz="0" w:space="0" w:color="auto"/>
                <w:right w:val="none" w:sz="0" w:space="0" w:color="auto"/>
              </w:divBdr>
              <w:divsChild>
                <w:div w:id="1785418022">
                  <w:marLeft w:val="0"/>
                  <w:marRight w:val="0"/>
                  <w:marTop w:val="0"/>
                  <w:marBottom w:val="0"/>
                  <w:divBdr>
                    <w:top w:val="none" w:sz="0" w:space="0" w:color="auto"/>
                    <w:left w:val="none" w:sz="0" w:space="0" w:color="auto"/>
                    <w:bottom w:val="none" w:sz="0" w:space="0" w:color="auto"/>
                    <w:right w:val="none" w:sz="0" w:space="0" w:color="auto"/>
                  </w:divBdr>
                </w:div>
              </w:divsChild>
            </w:div>
            <w:div w:id="1076627256">
              <w:marLeft w:val="0"/>
              <w:marRight w:val="0"/>
              <w:marTop w:val="0"/>
              <w:marBottom w:val="0"/>
              <w:divBdr>
                <w:top w:val="none" w:sz="0" w:space="0" w:color="auto"/>
                <w:left w:val="none" w:sz="0" w:space="0" w:color="auto"/>
                <w:bottom w:val="none" w:sz="0" w:space="0" w:color="auto"/>
                <w:right w:val="none" w:sz="0" w:space="0" w:color="auto"/>
              </w:divBdr>
              <w:divsChild>
                <w:div w:id="1457480359">
                  <w:marLeft w:val="0"/>
                  <w:marRight w:val="0"/>
                  <w:marTop w:val="0"/>
                  <w:marBottom w:val="0"/>
                  <w:divBdr>
                    <w:top w:val="none" w:sz="0" w:space="0" w:color="auto"/>
                    <w:left w:val="none" w:sz="0" w:space="0" w:color="auto"/>
                    <w:bottom w:val="none" w:sz="0" w:space="0" w:color="auto"/>
                    <w:right w:val="none" w:sz="0" w:space="0" w:color="auto"/>
                  </w:divBdr>
                </w:div>
              </w:divsChild>
            </w:div>
            <w:div w:id="1095518622">
              <w:marLeft w:val="0"/>
              <w:marRight w:val="0"/>
              <w:marTop w:val="0"/>
              <w:marBottom w:val="0"/>
              <w:divBdr>
                <w:top w:val="none" w:sz="0" w:space="0" w:color="auto"/>
                <w:left w:val="none" w:sz="0" w:space="0" w:color="auto"/>
                <w:bottom w:val="none" w:sz="0" w:space="0" w:color="auto"/>
                <w:right w:val="none" w:sz="0" w:space="0" w:color="auto"/>
              </w:divBdr>
              <w:divsChild>
                <w:div w:id="1781148670">
                  <w:marLeft w:val="0"/>
                  <w:marRight w:val="0"/>
                  <w:marTop w:val="0"/>
                  <w:marBottom w:val="0"/>
                  <w:divBdr>
                    <w:top w:val="none" w:sz="0" w:space="0" w:color="auto"/>
                    <w:left w:val="none" w:sz="0" w:space="0" w:color="auto"/>
                    <w:bottom w:val="none" w:sz="0" w:space="0" w:color="auto"/>
                    <w:right w:val="none" w:sz="0" w:space="0" w:color="auto"/>
                  </w:divBdr>
                </w:div>
              </w:divsChild>
            </w:div>
            <w:div w:id="1118328769">
              <w:marLeft w:val="0"/>
              <w:marRight w:val="0"/>
              <w:marTop w:val="0"/>
              <w:marBottom w:val="0"/>
              <w:divBdr>
                <w:top w:val="none" w:sz="0" w:space="0" w:color="auto"/>
                <w:left w:val="none" w:sz="0" w:space="0" w:color="auto"/>
                <w:bottom w:val="none" w:sz="0" w:space="0" w:color="auto"/>
                <w:right w:val="none" w:sz="0" w:space="0" w:color="auto"/>
              </w:divBdr>
              <w:divsChild>
                <w:div w:id="600189626">
                  <w:marLeft w:val="0"/>
                  <w:marRight w:val="0"/>
                  <w:marTop w:val="0"/>
                  <w:marBottom w:val="0"/>
                  <w:divBdr>
                    <w:top w:val="none" w:sz="0" w:space="0" w:color="auto"/>
                    <w:left w:val="none" w:sz="0" w:space="0" w:color="auto"/>
                    <w:bottom w:val="none" w:sz="0" w:space="0" w:color="auto"/>
                    <w:right w:val="none" w:sz="0" w:space="0" w:color="auto"/>
                  </w:divBdr>
                </w:div>
              </w:divsChild>
            </w:div>
            <w:div w:id="1124692628">
              <w:marLeft w:val="0"/>
              <w:marRight w:val="0"/>
              <w:marTop w:val="0"/>
              <w:marBottom w:val="0"/>
              <w:divBdr>
                <w:top w:val="none" w:sz="0" w:space="0" w:color="auto"/>
                <w:left w:val="none" w:sz="0" w:space="0" w:color="auto"/>
                <w:bottom w:val="none" w:sz="0" w:space="0" w:color="auto"/>
                <w:right w:val="none" w:sz="0" w:space="0" w:color="auto"/>
              </w:divBdr>
              <w:divsChild>
                <w:div w:id="100272697">
                  <w:marLeft w:val="0"/>
                  <w:marRight w:val="0"/>
                  <w:marTop w:val="0"/>
                  <w:marBottom w:val="0"/>
                  <w:divBdr>
                    <w:top w:val="none" w:sz="0" w:space="0" w:color="auto"/>
                    <w:left w:val="none" w:sz="0" w:space="0" w:color="auto"/>
                    <w:bottom w:val="none" w:sz="0" w:space="0" w:color="auto"/>
                    <w:right w:val="none" w:sz="0" w:space="0" w:color="auto"/>
                  </w:divBdr>
                </w:div>
              </w:divsChild>
            </w:div>
            <w:div w:id="1126971236">
              <w:marLeft w:val="0"/>
              <w:marRight w:val="0"/>
              <w:marTop w:val="0"/>
              <w:marBottom w:val="0"/>
              <w:divBdr>
                <w:top w:val="none" w:sz="0" w:space="0" w:color="auto"/>
                <w:left w:val="none" w:sz="0" w:space="0" w:color="auto"/>
                <w:bottom w:val="none" w:sz="0" w:space="0" w:color="auto"/>
                <w:right w:val="none" w:sz="0" w:space="0" w:color="auto"/>
              </w:divBdr>
              <w:divsChild>
                <w:div w:id="1803882505">
                  <w:marLeft w:val="0"/>
                  <w:marRight w:val="0"/>
                  <w:marTop w:val="0"/>
                  <w:marBottom w:val="0"/>
                  <w:divBdr>
                    <w:top w:val="none" w:sz="0" w:space="0" w:color="auto"/>
                    <w:left w:val="none" w:sz="0" w:space="0" w:color="auto"/>
                    <w:bottom w:val="none" w:sz="0" w:space="0" w:color="auto"/>
                    <w:right w:val="none" w:sz="0" w:space="0" w:color="auto"/>
                  </w:divBdr>
                </w:div>
              </w:divsChild>
            </w:div>
            <w:div w:id="1192180535">
              <w:marLeft w:val="0"/>
              <w:marRight w:val="0"/>
              <w:marTop w:val="0"/>
              <w:marBottom w:val="0"/>
              <w:divBdr>
                <w:top w:val="none" w:sz="0" w:space="0" w:color="auto"/>
                <w:left w:val="none" w:sz="0" w:space="0" w:color="auto"/>
                <w:bottom w:val="none" w:sz="0" w:space="0" w:color="auto"/>
                <w:right w:val="none" w:sz="0" w:space="0" w:color="auto"/>
              </w:divBdr>
              <w:divsChild>
                <w:div w:id="766773861">
                  <w:marLeft w:val="0"/>
                  <w:marRight w:val="0"/>
                  <w:marTop w:val="0"/>
                  <w:marBottom w:val="0"/>
                  <w:divBdr>
                    <w:top w:val="none" w:sz="0" w:space="0" w:color="auto"/>
                    <w:left w:val="none" w:sz="0" w:space="0" w:color="auto"/>
                    <w:bottom w:val="none" w:sz="0" w:space="0" w:color="auto"/>
                    <w:right w:val="none" w:sz="0" w:space="0" w:color="auto"/>
                  </w:divBdr>
                </w:div>
              </w:divsChild>
            </w:div>
            <w:div w:id="1211572997">
              <w:marLeft w:val="0"/>
              <w:marRight w:val="0"/>
              <w:marTop w:val="0"/>
              <w:marBottom w:val="0"/>
              <w:divBdr>
                <w:top w:val="none" w:sz="0" w:space="0" w:color="auto"/>
                <w:left w:val="none" w:sz="0" w:space="0" w:color="auto"/>
                <w:bottom w:val="none" w:sz="0" w:space="0" w:color="auto"/>
                <w:right w:val="none" w:sz="0" w:space="0" w:color="auto"/>
              </w:divBdr>
              <w:divsChild>
                <w:div w:id="1248929516">
                  <w:marLeft w:val="0"/>
                  <w:marRight w:val="0"/>
                  <w:marTop w:val="0"/>
                  <w:marBottom w:val="0"/>
                  <w:divBdr>
                    <w:top w:val="none" w:sz="0" w:space="0" w:color="auto"/>
                    <w:left w:val="none" w:sz="0" w:space="0" w:color="auto"/>
                    <w:bottom w:val="none" w:sz="0" w:space="0" w:color="auto"/>
                    <w:right w:val="none" w:sz="0" w:space="0" w:color="auto"/>
                  </w:divBdr>
                </w:div>
              </w:divsChild>
            </w:div>
            <w:div w:id="1214926982">
              <w:marLeft w:val="0"/>
              <w:marRight w:val="0"/>
              <w:marTop w:val="0"/>
              <w:marBottom w:val="0"/>
              <w:divBdr>
                <w:top w:val="none" w:sz="0" w:space="0" w:color="auto"/>
                <w:left w:val="none" w:sz="0" w:space="0" w:color="auto"/>
                <w:bottom w:val="none" w:sz="0" w:space="0" w:color="auto"/>
                <w:right w:val="none" w:sz="0" w:space="0" w:color="auto"/>
              </w:divBdr>
              <w:divsChild>
                <w:div w:id="2072922849">
                  <w:marLeft w:val="0"/>
                  <w:marRight w:val="0"/>
                  <w:marTop w:val="0"/>
                  <w:marBottom w:val="0"/>
                  <w:divBdr>
                    <w:top w:val="none" w:sz="0" w:space="0" w:color="auto"/>
                    <w:left w:val="none" w:sz="0" w:space="0" w:color="auto"/>
                    <w:bottom w:val="none" w:sz="0" w:space="0" w:color="auto"/>
                    <w:right w:val="none" w:sz="0" w:space="0" w:color="auto"/>
                  </w:divBdr>
                </w:div>
              </w:divsChild>
            </w:div>
            <w:div w:id="1262494486">
              <w:marLeft w:val="0"/>
              <w:marRight w:val="0"/>
              <w:marTop w:val="0"/>
              <w:marBottom w:val="0"/>
              <w:divBdr>
                <w:top w:val="none" w:sz="0" w:space="0" w:color="auto"/>
                <w:left w:val="none" w:sz="0" w:space="0" w:color="auto"/>
                <w:bottom w:val="none" w:sz="0" w:space="0" w:color="auto"/>
                <w:right w:val="none" w:sz="0" w:space="0" w:color="auto"/>
              </w:divBdr>
              <w:divsChild>
                <w:div w:id="894900428">
                  <w:marLeft w:val="0"/>
                  <w:marRight w:val="0"/>
                  <w:marTop w:val="0"/>
                  <w:marBottom w:val="0"/>
                  <w:divBdr>
                    <w:top w:val="none" w:sz="0" w:space="0" w:color="auto"/>
                    <w:left w:val="none" w:sz="0" w:space="0" w:color="auto"/>
                    <w:bottom w:val="none" w:sz="0" w:space="0" w:color="auto"/>
                    <w:right w:val="none" w:sz="0" w:space="0" w:color="auto"/>
                  </w:divBdr>
                </w:div>
              </w:divsChild>
            </w:div>
            <w:div w:id="1310525010">
              <w:marLeft w:val="0"/>
              <w:marRight w:val="0"/>
              <w:marTop w:val="0"/>
              <w:marBottom w:val="0"/>
              <w:divBdr>
                <w:top w:val="none" w:sz="0" w:space="0" w:color="auto"/>
                <w:left w:val="none" w:sz="0" w:space="0" w:color="auto"/>
                <w:bottom w:val="none" w:sz="0" w:space="0" w:color="auto"/>
                <w:right w:val="none" w:sz="0" w:space="0" w:color="auto"/>
              </w:divBdr>
              <w:divsChild>
                <w:div w:id="1680308728">
                  <w:marLeft w:val="0"/>
                  <w:marRight w:val="0"/>
                  <w:marTop w:val="0"/>
                  <w:marBottom w:val="0"/>
                  <w:divBdr>
                    <w:top w:val="none" w:sz="0" w:space="0" w:color="auto"/>
                    <w:left w:val="none" w:sz="0" w:space="0" w:color="auto"/>
                    <w:bottom w:val="none" w:sz="0" w:space="0" w:color="auto"/>
                    <w:right w:val="none" w:sz="0" w:space="0" w:color="auto"/>
                  </w:divBdr>
                </w:div>
              </w:divsChild>
            </w:div>
            <w:div w:id="1439178178">
              <w:marLeft w:val="0"/>
              <w:marRight w:val="0"/>
              <w:marTop w:val="0"/>
              <w:marBottom w:val="0"/>
              <w:divBdr>
                <w:top w:val="none" w:sz="0" w:space="0" w:color="auto"/>
                <w:left w:val="none" w:sz="0" w:space="0" w:color="auto"/>
                <w:bottom w:val="none" w:sz="0" w:space="0" w:color="auto"/>
                <w:right w:val="none" w:sz="0" w:space="0" w:color="auto"/>
              </w:divBdr>
              <w:divsChild>
                <w:div w:id="171844035">
                  <w:marLeft w:val="0"/>
                  <w:marRight w:val="0"/>
                  <w:marTop w:val="0"/>
                  <w:marBottom w:val="0"/>
                  <w:divBdr>
                    <w:top w:val="none" w:sz="0" w:space="0" w:color="auto"/>
                    <w:left w:val="none" w:sz="0" w:space="0" w:color="auto"/>
                    <w:bottom w:val="none" w:sz="0" w:space="0" w:color="auto"/>
                    <w:right w:val="none" w:sz="0" w:space="0" w:color="auto"/>
                  </w:divBdr>
                </w:div>
              </w:divsChild>
            </w:div>
            <w:div w:id="1584070927">
              <w:marLeft w:val="0"/>
              <w:marRight w:val="0"/>
              <w:marTop w:val="0"/>
              <w:marBottom w:val="0"/>
              <w:divBdr>
                <w:top w:val="none" w:sz="0" w:space="0" w:color="auto"/>
                <w:left w:val="none" w:sz="0" w:space="0" w:color="auto"/>
                <w:bottom w:val="none" w:sz="0" w:space="0" w:color="auto"/>
                <w:right w:val="none" w:sz="0" w:space="0" w:color="auto"/>
              </w:divBdr>
              <w:divsChild>
                <w:div w:id="1927030329">
                  <w:marLeft w:val="0"/>
                  <w:marRight w:val="0"/>
                  <w:marTop w:val="0"/>
                  <w:marBottom w:val="0"/>
                  <w:divBdr>
                    <w:top w:val="none" w:sz="0" w:space="0" w:color="auto"/>
                    <w:left w:val="none" w:sz="0" w:space="0" w:color="auto"/>
                    <w:bottom w:val="none" w:sz="0" w:space="0" w:color="auto"/>
                    <w:right w:val="none" w:sz="0" w:space="0" w:color="auto"/>
                  </w:divBdr>
                </w:div>
              </w:divsChild>
            </w:div>
            <w:div w:id="1652296231">
              <w:marLeft w:val="0"/>
              <w:marRight w:val="0"/>
              <w:marTop w:val="0"/>
              <w:marBottom w:val="0"/>
              <w:divBdr>
                <w:top w:val="none" w:sz="0" w:space="0" w:color="auto"/>
                <w:left w:val="none" w:sz="0" w:space="0" w:color="auto"/>
                <w:bottom w:val="none" w:sz="0" w:space="0" w:color="auto"/>
                <w:right w:val="none" w:sz="0" w:space="0" w:color="auto"/>
              </w:divBdr>
              <w:divsChild>
                <w:div w:id="637536859">
                  <w:marLeft w:val="0"/>
                  <w:marRight w:val="0"/>
                  <w:marTop w:val="0"/>
                  <w:marBottom w:val="0"/>
                  <w:divBdr>
                    <w:top w:val="none" w:sz="0" w:space="0" w:color="auto"/>
                    <w:left w:val="none" w:sz="0" w:space="0" w:color="auto"/>
                    <w:bottom w:val="none" w:sz="0" w:space="0" w:color="auto"/>
                    <w:right w:val="none" w:sz="0" w:space="0" w:color="auto"/>
                  </w:divBdr>
                </w:div>
              </w:divsChild>
            </w:div>
            <w:div w:id="1675648846">
              <w:marLeft w:val="0"/>
              <w:marRight w:val="0"/>
              <w:marTop w:val="0"/>
              <w:marBottom w:val="0"/>
              <w:divBdr>
                <w:top w:val="none" w:sz="0" w:space="0" w:color="auto"/>
                <w:left w:val="none" w:sz="0" w:space="0" w:color="auto"/>
                <w:bottom w:val="none" w:sz="0" w:space="0" w:color="auto"/>
                <w:right w:val="none" w:sz="0" w:space="0" w:color="auto"/>
              </w:divBdr>
              <w:divsChild>
                <w:div w:id="1772434051">
                  <w:marLeft w:val="0"/>
                  <w:marRight w:val="0"/>
                  <w:marTop w:val="0"/>
                  <w:marBottom w:val="0"/>
                  <w:divBdr>
                    <w:top w:val="none" w:sz="0" w:space="0" w:color="auto"/>
                    <w:left w:val="none" w:sz="0" w:space="0" w:color="auto"/>
                    <w:bottom w:val="none" w:sz="0" w:space="0" w:color="auto"/>
                    <w:right w:val="none" w:sz="0" w:space="0" w:color="auto"/>
                  </w:divBdr>
                </w:div>
              </w:divsChild>
            </w:div>
            <w:div w:id="1681616650">
              <w:marLeft w:val="0"/>
              <w:marRight w:val="0"/>
              <w:marTop w:val="0"/>
              <w:marBottom w:val="0"/>
              <w:divBdr>
                <w:top w:val="none" w:sz="0" w:space="0" w:color="auto"/>
                <w:left w:val="none" w:sz="0" w:space="0" w:color="auto"/>
                <w:bottom w:val="none" w:sz="0" w:space="0" w:color="auto"/>
                <w:right w:val="none" w:sz="0" w:space="0" w:color="auto"/>
              </w:divBdr>
              <w:divsChild>
                <w:div w:id="1960186247">
                  <w:marLeft w:val="0"/>
                  <w:marRight w:val="0"/>
                  <w:marTop w:val="0"/>
                  <w:marBottom w:val="0"/>
                  <w:divBdr>
                    <w:top w:val="none" w:sz="0" w:space="0" w:color="auto"/>
                    <w:left w:val="none" w:sz="0" w:space="0" w:color="auto"/>
                    <w:bottom w:val="none" w:sz="0" w:space="0" w:color="auto"/>
                    <w:right w:val="none" w:sz="0" w:space="0" w:color="auto"/>
                  </w:divBdr>
                </w:div>
              </w:divsChild>
            </w:div>
            <w:div w:id="1699964647">
              <w:marLeft w:val="0"/>
              <w:marRight w:val="0"/>
              <w:marTop w:val="0"/>
              <w:marBottom w:val="0"/>
              <w:divBdr>
                <w:top w:val="none" w:sz="0" w:space="0" w:color="auto"/>
                <w:left w:val="none" w:sz="0" w:space="0" w:color="auto"/>
                <w:bottom w:val="none" w:sz="0" w:space="0" w:color="auto"/>
                <w:right w:val="none" w:sz="0" w:space="0" w:color="auto"/>
              </w:divBdr>
              <w:divsChild>
                <w:div w:id="140540352">
                  <w:marLeft w:val="0"/>
                  <w:marRight w:val="0"/>
                  <w:marTop w:val="0"/>
                  <w:marBottom w:val="0"/>
                  <w:divBdr>
                    <w:top w:val="none" w:sz="0" w:space="0" w:color="auto"/>
                    <w:left w:val="none" w:sz="0" w:space="0" w:color="auto"/>
                    <w:bottom w:val="none" w:sz="0" w:space="0" w:color="auto"/>
                    <w:right w:val="none" w:sz="0" w:space="0" w:color="auto"/>
                  </w:divBdr>
                </w:div>
              </w:divsChild>
            </w:div>
            <w:div w:id="1741054138">
              <w:marLeft w:val="0"/>
              <w:marRight w:val="0"/>
              <w:marTop w:val="0"/>
              <w:marBottom w:val="0"/>
              <w:divBdr>
                <w:top w:val="none" w:sz="0" w:space="0" w:color="auto"/>
                <w:left w:val="none" w:sz="0" w:space="0" w:color="auto"/>
                <w:bottom w:val="none" w:sz="0" w:space="0" w:color="auto"/>
                <w:right w:val="none" w:sz="0" w:space="0" w:color="auto"/>
              </w:divBdr>
              <w:divsChild>
                <w:div w:id="261110701">
                  <w:marLeft w:val="0"/>
                  <w:marRight w:val="0"/>
                  <w:marTop w:val="0"/>
                  <w:marBottom w:val="0"/>
                  <w:divBdr>
                    <w:top w:val="none" w:sz="0" w:space="0" w:color="auto"/>
                    <w:left w:val="none" w:sz="0" w:space="0" w:color="auto"/>
                    <w:bottom w:val="none" w:sz="0" w:space="0" w:color="auto"/>
                    <w:right w:val="none" w:sz="0" w:space="0" w:color="auto"/>
                  </w:divBdr>
                </w:div>
              </w:divsChild>
            </w:div>
            <w:div w:id="1746024012">
              <w:marLeft w:val="0"/>
              <w:marRight w:val="0"/>
              <w:marTop w:val="0"/>
              <w:marBottom w:val="0"/>
              <w:divBdr>
                <w:top w:val="none" w:sz="0" w:space="0" w:color="auto"/>
                <w:left w:val="none" w:sz="0" w:space="0" w:color="auto"/>
                <w:bottom w:val="none" w:sz="0" w:space="0" w:color="auto"/>
                <w:right w:val="none" w:sz="0" w:space="0" w:color="auto"/>
              </w:divBdr>
              <w:divsChild>
                <w:div w:id="859853749">
                  <w:marLeft w:val="0"/>
                  <w:marRight w:val="0"/>
                  <w:marTop w:val="0"/>
                  <w:marBottom w:val="0"/>
                  <w:divBdr>
                    <w:top w:val="none" w:sz="0" w:space="0" w:color="auto"/>
                    <w:left w:val="none" w:sz="0" w:space="0" w:color="auto"/>
                    <w:bottom w:val="none" w:sz="0" w:space="0" w:color="auto"/>
                    <w:right w:val="none" w:sz="0" w:space="0" w:color="auto"/>
                  </w:divBdr>
                </w:div>
              </w:divsChild>
            </w:div>
            <w:div w:id="1789547836">
              <w:marLeft w:val="0"/>
              <w:marRight w:val="0"/>
              <w:marTop w:val="0"/>
              <w:marBottom w:val="0"/>
              <w:divBdr>
                <w:top w:val="none" w:sz="0" w:space="0" w:color="auto"/>
                <w:left w:val="none" w:sz="0" w:space="0" w:color="auto"/>
                <w:bottom w:val="none" w:sz="0" w:space="0" w:color="auto"/>
                <w:right w:val="none" w:sz="0" w:space="0" w:color="auto"/>
              </w:divBdr>
              <w:divsChild>
                <w:div w:id="1728643822">
                  <w:marLeft w:val="0"/>
                  <w:marRight w:val="0"/>
                  <w:marTop w:val="0"/>
                  <w:marBottom w:val="0"/>
                  <w:divBdr>
                    <w:top w:val="none" w:sz="0" w:space="0" w:color="auto"/>
                    <w:left w:val="none" w:sz="0" w:space="0" w:color="auto"/>
                    <w:bottom w:val="none" w:sz="0" w:space="0" w:color="auto"/>
                    <w:right w:val="none" w:sz="0" w:space="0" w:color="auto"/>
                  </w:divBdr>
                </w:div>
              </w:divsChild>
            </w:div>
            <w:div w:id="2027435638">
              <w:marLeft w:val="0"/>
              <w:marRight w:val="0"/>
              <w:marTop w:val="0"/>
              <w:marBottom w:val="0"/>
              <w:divBdr>
                <w:top w:val="none" w:sz="0" w:space="0" w:color="auto"/>
                <w:left w:val="none" w:sz="0" w:space="0" w:color="auto"/>
                <w:bottom w:val="none" w:sz="0" w:space="0" w:color="auto"/>
                <w:right w:val="none" w:sz="0" w:space="0" w:color="auto"/>
              </w:divBdr>
              <w:divsChild>
                <w:div w:id="1373387296">
                  <w:marLeft w:val="0"/>
                  <w:marRight w:val="0"/>
                  <w:marTop w:val="0"/>
                  <w:marBottom w:val="0"/>
                  <w:divBdr>
                    <w:top w:val="none" w:sz="0" w:space="0" w:color="auto"/>
                    <w:left w:val="none" w:sz="0" w:space="0" w:color="auto"/>
                    <w:bottom w:val="none" w:sz="0" w:space="0" w:color="auto"/>
                    <w:right w:val="none" w:sz="0" w:space="0" w:color="auto"/>
                  </w:divBdr>
                </w:div>
              </w:divsChild>
            </w:div>
            <w:div w:id="2057535418">
              <w:marLeft w:val="0"/>
              <w:marRight w:val="0"/>
              <w:marTop w:val="0"/>
              <w:marBottom w:val="0"/>
              <w:divBdr>
                <w:top w:val="none" w:sz="0" w:space="0" w:color="auto"/>
                <w:left w:val="none" w:sz="0" w:space="0" w:color="auto"/>
                <w:bottom w:val="none" w:sz="0" w:space="0" w:color="auto"/>
                <w:right w:val="none" w:sz="0" w:space="0" w:color="auto"/>
              </w:divBdr>
              <w:divsChild>
                <w:div w:id="1986546022">
                  <w:marLeft w:val="0"/>
                  <w:marRight w:val="0"/>
                  <w:marTop w:val="0"/>
                  <w:marBottom w:val="0"/>
                  <w:divBdr>
                    <w:top w:val="none" w:sz="0" w:space="0" w:color="auto"/>
                    <w:left w:val="none" w:sz="0" w:space="0" w:color="auto"/>
                    <w:bottom w:val="none" w:sz="0" w:space="0" w:color="auto"/>
                    <w:right w:val="none" w:sz="0" w:space="0" w:color="auto"/>
                  </w:divBdr>
                </w:div>
              </w:divsChild>
            </w:div>
            <w:div w:id="2085179024">
              <w:marLeft w:val="0"/>
              <w:marRight w:val="0"/>
              <w:marTop w:val="0"/>
              <w:marBottom w:val="0"/>
              <w:divBdr>
                <w:top w:val="none" w:sz="0" w:space="0" w:color="auto"/>
                <w:left w:val="none" w:sz="0" w:space="0" w:color="auto"/>
                <w:bottom w:val="none" w:sz="0" w:space="0" w:color="auto"/>
                <w:right w:val="none" w:sz="0" w:space="0" w:color="auto"/>
              </w:divBdr>
              <w:divsChild>
                <w:div w:id="1222520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00.png"/><Relationship Id="rId117" Type="http://schemas.openxmlformats.org/officeDocument/2006/relationships/image" Target="media/image48.png"/><Relationship Id="rId21" Type="http://schemas.openxmlformats.org/officeDocument/2006/relationships/diagramColors" Target="diagrams/colors2.xml"/><Relationship Id="rId42" Type="http://schemas.openxmlformats.org/officeDocument/2006/relationships/image" Target="media/image18.png"/><Relationship Id="rId47" Type="http://schemas.openxmlformats.org/officeDocument/2006/relationships/hyperlink" Target="https://www.youtube.com/watch?v=srbe6V2MK3g" TargetMode="External"/><Relationship Id="rId63" Type="http://schemas.openxmlformats.org/officeDocument/2006/relationships/image" Target="media/image25.png"/><Relationship Id="rId68" Type="http://schemas.openxmlformats.org/officeDocument/2006/relationships/image" Target="media/image29.png"/><Relationship Id="rId84" Type="http://schemas.openxmlformats.org/officeDocument/2006/relationships/chart" Target="charts/chart16.xml"/><Relationship Id="rId89" Type="http://schemas.openxmlformats.org/officeDocument/2006/relationships/chart" Target="charts/chart20.xml"/><Relationship Id="rId112" Type="http://schemas.openxmlformats.org/officeDocument/2006/relationships/image" Target="media/image44.png"/><Relationship Id="rId133" Type="http://schemas.openxmlformats.org/officeDocument/2006/relationships/image" Target="media/image55.svg"/><Relationship Id="rId138" Type="http://schemas.openxmlformats.org/officeDocument/2006/relationships/image" Target="media/image58.png"/><Relationship Id="rId154" Type="http://schemas.openxmlformats.org/officeDocument/2006/relationships/image" Target="media/image66.png"/><Relationship Id="rId159" Type="http://schemas.openxmlformats.org/officeDocument/2006/relationships/theme" Target="theme/theme1.xml"/><Relationship Id="rId16" Type="http://schemas.openxmlformats.org/officeDocument/2006/relationships/image" Target="media/image5.png"/><Relationship Id="rId11" Type="http://schemas.openxmlformats.org/officeDocument/2006/relationships/diagramData" Target="diagrams/data1.xml"/><Relationship Id="rId32" Type="http://schemas.openxmlformats.org/officeDocument/2006/relationships/image" Target="media/image130.png"/><Relationship Id="rId37" Type="http://schemas.openxmlformats.org/officeDocument/2006/relationships/image" Target="media/image16.jpeg"/><Relationship Id="rId53" Type="http://schemas.openxmlformats.org/officeDocument/2006/relationships/chart" Target="charts/chart4.xml"/><Relationship Id="rId58" Type="http://schemas.openxmlformats.org/officeDocument/2006/relationships/chart" Target="charts/chart6.xml"/><Relationship Id="rId74" Type="http://schemas.openxmlformats.org/officeDocument/2006/relationships/chart" Target="charts/chart12.xml"/><Relationship Id="rId79" Type="http://schemas.openxmlformats.org/officeDocument/2006/relationships/image" Target="media/image32.png"/><Relationship Id="rId102" Type="http://schemas.openxmlformats.org/officeDocument/2006/relationships/image" Target="media/image41.png"/><Relationship Id="rId123" Type="http://schemas.openxmlformats.org/officeDocument/2006/relationships/image" Target="media/image500.png"/><Relationship Id="rId128" Type="http://schemas.openxmlformats.org/officeDocument/2006/relationships/footer" Target="footer2.xml"/><Relationship Id="rId144" Type="http://schemas.openxmlformats.org/officeDocument/2006/relationships/image" Target="media/image62.png"/><Relationship Id="rId5" Type="http://schemas.openxmlformats.org/officeDocument/2006/relationships/numbering" Target="numbering.xml"/><Relationship Id="rId90" Type="http://schemas.openxmlformats.org/officeDocument/2006/relationships/chart" Target="charts/chart21.xml"/><Relationship Id="rId95" Type="http://schemas.openxmlformats.org/officeDocument/2006/relationships/image" Target="media/image39.png"/><Relationship Id="rId22" Type="http://schemas.microsoft.com/office/2007/relationships/diagramDrawing" Target="diagrams/drawing2.xml"/><Relationship Id="rId27"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hyperlink" Target="https://www.abeille-assurances.fr/conseils-en-assurance/mon-epargne/investissement-responsable-video.html" TargetMode="External"/><Relationship Id="rId64" Type="http://schemas.openxmlformats.org/officeDocument/2006/relationships/chart" Target="charts/chart7.xml"/><Relationship Id="rId69" Type="http://schemas.openxmlformats.org/officeDocument/2006/relationships/chart" Target="charts/chart8.xml"/><Relationship Id="rId113" Type="http://schemas.openxmlformats.org/officeDocument/2006/relationships/chart" Target="charts/chart26.xml"/><Relationship Id="rId118" Type="http://schemas.openxmlformats.org/officeDocument/2006/relationships/image" Target="media/image47.png"/><Relationship Id="rId134" Type="http://schemas.openxmlformats.org/officeDocument/2006/relationships/hyperlink" Target="https://www.facebook.com/AvivaFrance" TargetMode="External"/><Relationship Id="rId139" Type="http://schemas.openxmlformats.org/officeDocument/2006/relationships/image" Target="media/image59.svg"/><Relationship Id="rId80" Type="http://schemas.openxmlformats.org/officeDocument/2006/relationships/chart" Target="charts/chart15.xml"/><Relationship Id="rId85" Type="http://schemas.openxmlformats.org/officeDocument/2006/relationships/chart" Target="charts/chart17.xml"/><Relationship Id="rId155" Type="http://schemas.openxmlformats.org/officeDocument/2006/relationships/image" Target="media/image67.png"/><Relationship Id="rId3" Type="http://schemas.openxmlformats.org/officeDocument/2006/relationships/customXml" Target="../customXml/item3.xml"/><Relationship Id="rId12" Type="http://schemas.openxmlformats.org/officeDocument/2006/relationships/diagramLayout" Target="diagrams/layout1.xml"/><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image" Target="media/image17.png"/><Relationship Id="rId46" Type="http://schemas.openxmlformats.org/officeDocument/2006/relationships/hyperlink" Target="https://www.abeille-assurances.fr/conseils-en-assurance/mon-epargne/investissement-responsable-video.html" TargetMode="External"/><Relationship Id="rId59" Type="http://schemas.openxmlformats.org/officeDocument/2006/relationships/hyperlink" Target="https://institutdelafinancedurable.com/finance-a-impact/" TargetMode="External"/><Relationship Id="rId67" Type="http://schemas.openxmlformats.org/officeDocument/2006/relationships/image" Target="media/image28.png"/><Relationship Id="rId103" Type="http://schemas.openxmlformats.org/officeDocument/2006/relationships/image" Target="media/image410.png"/><Relationship Id="rId116" Type="http://schemas.microsoft.com/office/2014/relationships/chartEx" Target="charts/chartEx3.xml"/><Relationship Id="rId124" Type="http://schemas.openxmlformats.org/officeDocument/2006/relationships/image" Target="media/image51.png"/><Relationship Id="rId129" Type="http://schemas.openxmlformats.org/officeDocument/2006/relationships/header" Target="header3.xml"/><Relationship Id="rId137" Type="http://schemas.openxmlformats.org/officeDocument/2006/relationships/hyperlink" Target="https://twitter.com/AvivaFrance" TargetMode="External"/><Relationship Id="rId158" Type="http://schemas.openxmlformats.org/officeDocument/2006/relationships/glossaryDocument" Target="glossary/document.xml"/><Relationship Id="rId20" Type="http://schemas.openxmlformats.org/officeDocument/2006/relationships/diagramQuickStyle" Target="diagrams/quickStyle2.xml"/><Relationship Id="rId41" Type="http://schemas.openxmlformats.org/officeDocument/2006/relationships/hyperlink" Target="https://www.abeille-assurances.fr/documents/abeille/pdf/politique-sfdr-incidences-negatives.pdf" TargetMode="External"/><Relationship Id="rId54" Type="http://schemas.openxmlformats.org/officeDocument/2006/relationships/chart" Target="charts/chart5.xml"/><Relationship Id="rId62" Type="http://schemas.openxmlformats.org/officeDocument/2006/relationships/image" Target="media/image240.png"/><Relationship Id="rId70" Type="http://schemas.openxmlformats.org/officeDocument/2006/relationships/chart" Target="charts/chart9.xml"/><Relationship Id="rId75" Type="http://schemas.openxmlformats.org/officeDocument/2006/relationships/chart" Target="charts/chart120.xml"/><Relationship Id="rId83" Type="http://schemas.openxmlformats.org/officeDocument/2006/relationships/image" Target="media/image35.png"/><Relationship Id="rId88" Type="http://schemas.openxmlformats.org/officeDocument/2006/relationships/chart" Target="charts/chart19.xml"/><Relationship Id="rId91" Type="http://schemas.openxmlformats.org/officeDocument/2006/relationships/chart" Target="charts/chart22.xml"/><Relationship Id="rId96" Type="http://schemas.openxmlformats.org/officeDocument/2006/relationships/image" Target="media/image40.png"/><Relationship Id="rId111" Type="http://schemas.microsoft.com/office/2014/relationships/chartEx" Target="charts/chartEx2.xml"/><Relationship Id="rId132" Type="http://schemas.openxmlformats.org/officeDocument/2006/relationships/image" Target="media/image54.png"/><Relationship Id="rId140" Type="http://schemas.openxmlformats.org/officeDocument/2006/relationships/hyperlink" Target="https://www.linkedin.com/company/abeille-assurances/mycompany/" TargetMode="External"/><Relationship Id="rId145" Type="http://schemas.openxmlformats.org/officeDocument/2006/relationships/image" Target="media/image63.svg"/><Relationship Id="rId153"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styles" Target="styles.xml"/><Relationship Id="rId15" Type="http://schemas.microsoft.com/office/2007/relationships/diagramDrawing" Target="diagrams/drawing1.xml"/><Relationship Id="rId23" Type="http://schemas.openxmlformats.org/officeDocument/2006/relationships/image" Target="media/image8.png"/><Relationship Id="rId28" Type="http://schemas.openxmlformats.org/officeDocument/2006/relationships/image" Target="media/image110.png"/><Relationship Id="rId36" Type="http://schemas.openxmlformats.org/officeDocument/2006/relationships/image" Target="media/image150.png"/><Relationship Id="rId49" Type="http://schemas.openxmlformats.org/officeDocument/2006/relationships/hyperlink" Target="https://www.youtube.com/watch?v=srbe6V2MK3g" TargetMode="External"/><Relationship Id="rId57" Type="http://schemas.openxmlformats.org/officeDocument/2006/relationships/image" Target="media/image22.tmp"/><Relationship Id="rId114" Type="http://schemas.openxmlformats.org/officeDocument/2006/relationships/image" Target="media/image45.png"/><Relationship Id="rId119" Type="http://schemas.openxmlformats.org/officeDocument/2006/relationships/chart" Target="charts/chart27.xml"/><Relationship Id="rId127"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20.png"/><Relationship Id="rId52" Type="http://schemas.openxmlformats.org/officeDocument/2006/relationships/chart" Target="charts/chart3.xml"/><Relationship Id="rId60" Type="http://schemas.openxmlformats.org/officeDocument/2006/relationships/image" Target="media/image23.png"/><Relationship Id="rId65" Type="http://schemas.openxmlformats.org/officeDocument/2006/relationships/image" Target="media/image26.tmp"/><Relationship Id="rId73" Type="http://schemas.openxmlformats.org/officeDocument/2006/relationships/chart" Target="charts/chart11.xml"/><Relationship Id="rId78" Type="http://schemas.openxmlformats.org/officeDocument/2006/relationships/image" Target="media/image31.tmp"/><Relationship Id="rId81" Type="http://schemas.openxmlformats.org/officeDocument/2006/relationships/image" Target="media/image33.png"/><Relationship Id="rId86" Type="http://schemas.openxmlformats.org/officeDocument/2006/relationships/chart" Target="charts/chart18.xml"/><Relationship Id="rId94" Type="http://schemas.openxmlformats.org/officeDocument/2006/relationships/image" Target="media/image38.png"/><Relationship Id="rId99" Type="http://schemas.openxmlformats.org/officeDocument/2006/relationships/hyperlink" Target="https://tnfd.global/wp-content/uploads/2024/06/TNFD-Additional-guidance-for-financial-Institutions_v2.0.pdf" TargetMode="External"/><Relationship Id="rId101" Type="http://schemas.openxmlformats.org/officeDocument/2006/relationships/chart" Target="charts/chart25.xml"/><Relationship Id="rId122" Type="http://schemas.openxmlformats.org/officeDocument/2006/relationships/image" Target="media/image50.png"/><Relationship Id="rId130" Type="http://schemas.openxmlformats.org/officeDocument/2006/relationships/footer" Target="footer3.xml"/><Relationship Id="rId135" Type="http://schemas.openxmlformats.org/officeDocument/2006/relationships/image" Target="media/image56.png"/><Relationship Id="rId143" Type="http://schemas.openxmlformats.org/officeDocument/2006/relationships/hyperlink" Target="https://www.instagram.com/avivafrance/" TargetMode="External"/><Relationship Id="rId151" Type="http://schemas.openxmlformats.org/officeDocument/2006/relationships/image" Target="media/image63.jpeg"/><Relationship Id="rId156" Type="http://schemas.openxmlformats.org/officeDocument/2006/relationships/image" Target="media/image68.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diagramQuickStyle" Target="diagrams/quickStyle1.xml"/><Relationship Id="rId18" Type="http://schemas.openxmlformats.org/officeDocument/2006/relationships/diagramData" Target="diagrams/data2.xml"/><Relationship Id="rId39" Type="http://schemas.openxmlformats.org/officeDocument/2006/relationships/image" Target="media/image170.png"/><Relationship Id="rId34" Type="http://schemas.openxmlformats.org/officeDocument/2006/relationships/image" Target="media/image140.png"/><Relationship Id="rId50" Type="http://schemas.openxmlformats.org/officeDocument/2006/relationships/chart" Target="charts/chart1.xml"/><Relationship Id="rId55" Type="http://schemas.openxmlformats.org/officeDocument/2006/relationships/image" Target="media/image21.png"/><Relationship Id="rId76" Type="http://schemas.openxmlformats.org/officeDocument/2006/relationships/chart" Target="charts/chart13.xml"/><Relationship Id="rId97" Type="http://schemas.openxmlformats.org/officeDocument/2006/relationships/image" Target="media/image400.png"/><Relationship Id="rId104" Type="http://schemas.microsoft.com/office/2014/relationships/chartEx" Target="charts/chartEx1.xml"/><Relationship Id="rId120" Type="http://schemas.openxmlformats.org/officeDocument/2006/relationships/image" Target="media/image49.png"/><Relationship Id="rId125" Type="http://schemas.openxmlformats.org/officeDocument/2006/relationships/header" Target="header1.xml"/><Relationship Id="rId141" Type="http://schemas.openxmlformats.org/officeDocument/2006/relationships/image" Target="media/image60.png"/><Relationship Id="rId146" Type="http://schemas.openxmlformats.org/officeDocument/2006/relationships/hyperlink" Target="http://www.abeille-assurances.fr/" TargetMode="External"/><Relationship Id="rId7" Type="http://schemas.openxmlformats.org/officeDocument/2006/relationships/settings" Target="settings.xml"/><Relationship Id="rId71" Type="http://schemas.openxmlformats.org/officeDocument/2006/relationships/chart" Target="charts/chart10.xml"/><Relationship Id="rId92" Type="http://schemas.openxmlformats.org/officeDocument/2006/relationships/image" Target="media/image37.jpe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9.png"/><Relationship Id="rId40" Type="http://schemas.openxmlformats.org/officeDocument/2006/relationships/hyperlink" Target="https://www.abeille-assurances.fr/documents/abeille/pdf/politique-sfdr-integration-risques-durabilite.pdf" TargetMode="External"/><Relationship Id="rId45" Type="http://schemas.openxmlformats.org/officeDocument/2006/relationships/image" Target="media/image200.png"/><Relationship Id="rId66" Type="http://schemas.openxmlformats.org/officeDocument/2006/relationships/image" Target="media/image27.png"/><Relationship Id="rId87" Type="http://schemas.openxmlformats.org/officeDocument/2006/relationships/image" Target="media/image36.tmp"/><Relationship Id="rId110" Type="http://schemas.openxmlformats.org/officeDocument/2006/relationships/image" Target="media/image43.png"/><Relationship Id="rId115" Type="http://schemas.openxmlformats.org/officeDocument/2006/relationships/image" Target="media/image46.png"/><Relationship Id="rId131" Type="http://schemas.openxmlformats.org/officeDocument/2006/relationships/image" Target="media/image53.jpg"/><Relationship Id="rId136" Type="http://schemas.openxmlformats.org/officeDocument/2006/relationships/image" Target="media/image57.svg"/><Relationship Id="rId157" Type="http://schemas.openxmlformats.org/officeDocument/2006/relationships/fontTable" Target="fontTable.xml"/><Relationship Id="rId61" Type="http://schemas.openxmlformats.org/officeDocument/2006/relationships/image" Target="media/image24.png"/><Relationship Id="rId82" Type="http://schemas.openxmlformats.org/officeDocument/2006/relationships/image" Target="media/image34.png"/><Relationship Id="rId152" Type="http://schemas.openxmlformats.org/officeDocument/2006/relationships/image" Target="media/image64.png"/><Relationship Id="rId19" Type="http://schemas.openxmlformats.org/officeDocument/2006/relationships/diagramLayout" Target="diagrams/layout2.xml"/><Relationship Id="rId14" Type="http://schemas.openxmlformats.org/officeDocument/2006/relationships/diagramColors" Target="diagrams/colors1.xml"/><Relationship Id="rId30" Type="http://schemas.openxmlformats.org/officeDocument/2006/relationships/image" Target="media/image120.png"/><Relationship Id="rId35" Type="http://schemas.openxmlformats.org/officeDocument/2006/relationships/image" Target="media/image15.png"/><Relationship Id="rId56" Type="http://schemas.openxmlformats.org/officeDocument/2006/relationships/image" Target="media/image210.png"/><Relationship Id="rId77" Type="http://schemas.openxmlformats.org/officeDocument/2006/relationships/chart" Target="charts/chart14.xml"/><Relationship Id="rId100" Type="http://schemas.openxmlformats.org/officeDocument/2006/relationships/chart" Target="charts/chart24.xml"/><Relationship Id="rId126"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chart" Target="charts/chart2.xml"/><Relationship Id="rId72" Type="http://schemas.openxmlformats.org/officeDocument/2006/relationships/image" Target="media/image30.png"/><Relationship Id="rId93" Type="http://schemas.openxmlformats.org/officeDocument/2006/relationships/image" Target="media/image370.jpeg"/><Relationship Id="rId98" Type="http://schemas.openxmlformats.org/officeDocument/2006/relationships/chart" Target="charts/chart23.xml"/><Relationship Id="rId121" Type="http://schemas.openxmlformats.org/officeDocument/2006/relationships/image" Target="media/image490.png"/><Relationship Id="rId142" Type="http://schemas.openxmlformats.org/officeDocument/2006/relationships/image" Target="media/image61.svg"/></Relationships>
</file>

<file path=word/_rels/footnotes.xml.rels><?xml version="1.0" encoding="UTF-8" standalone="yes"?>
<Relationships xmlns="http://schemas.openxmlformats.org/package/2006/relationships"><Relationship Id="rId3" Type="http://schemas.openxmlformats.org/officeDocument/2006/relationships/hyperlink" Target="http://www.unpri.org" TargetMode="External"/><Relationship Id="rId2" Type="http://schemas.openxmlformats.org/officeDocument/2006/relationships/hyperlink" Target="https://eur-lex.europa.eu/legal-content/FR/ALL/?uri=CELEX:32022L2464" TargetMode="External"/><Relationship Id="rId1" Type="http://schemas.openxmlformats.org/officeDocument/2006/relationships/hyperlink" Target="https://institutdelafinancedurable.com/app/uploads/2021/09/Finance-for-Tomorrow-Definition-de-la-finance-a-impact-Septembre-2021.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2.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be4you-my.sharepoint.com/personal/ce-lorenzo_desgranges_bearingpoint_com/Documents/Desktop/AA%2029/Fichiers%20excel%20calcul%20rapport%20LEC29%20-%202026/v2%20-%202025_12_31_Couverture%20&amp;%20r&#233;partition%20actifs.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https://be4you-my.sharepoint.com/personal/ce-lorenzo_desgranges_bearingpoint_com/Documents/Desktop/AA%2029/Fichiers%20excel%20calcul%20rapport%20LEC29%20-%202026/Template_ABEILLE_CONSO_HUC%20(1).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https://be4you-my.sharepoint.com/personal/ce-lorenzo_desgranges_bearingpoint_com/Documents/Desktop/AA%2029/Template_ABEILLE_CONSO_HUC%20(1).xlsx" TargetMode="Externa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2.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2.xml"/><Relationship Id="rId1" Type="http://schemas.microsoft.com/office/2011/relationships/chartStyle" Target="style12.xml"/><Relationship Id="rId5" Type="http://schemas.openxmlformats.org/officeDocument/2006/relationships/chartUserShapes" Target="../drawings/drawing3.xml"/><Relationship Id="rId4" Type="http://schemas.openxmlformats.org/officeDocument/2006/relationships/package" Target="../embeddings/Microsoft_Excel_Worksheet1.xlsx"/></Relationships>
</file>

<file path=word/charts/_rels/chart120.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120.xml"/><Relationship Id="rId1" Type="http://schemas.microsoft.com/office/2011/relationships/chartStyle" Target="style120.xml"/><Relationship Id="rId5" Type="http://schemas.openxmlformats.org/officeDocument/2006/relationships/chartUserShapes" Target="../drawings/drawing30.xml"/><Relationship Id="rId4" Type="http://schemas.openxmlformats.org/officeDocument/2006/relationships/package" Target="../embeddings/Microsoft_Excel_Worksheet10.xlsx"/></Relationships>
</file>

<file path=word/charts/_rels/chart13.xml.rels><?xml version="1.0" encoding="UTF-8" standalone="yes"?>
<Relationships xmlns="http://schemas.openxmlformats.org/package/2006/relationships"><Relationship Id="rId3" Type="http://schemas.openxmlformats.org/officeDocument/2006/relationships/oleObject" Target="https://be4you-my.sharepoint.com/personal/ce-lorenzo_desgranges_bearingpoint_com/Documents/Desktop/AA%2029/Fichiers%20excel%20calcul%20rapport%20LEC29%20-%202026/Template_ABEILLE_CONSO_HUC%20(1).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https://be4you-my.sharepoint.com/personal/ce-lorenzo_desgranges_bearingpoint_com/Documents/Desktop/AA%2029/Fichiers%20excel%20calcul%20rapport%20LEC29%20-%202026/AA29%20-%20Govies%20calculs.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https://be4you-my.sharepoint.com/personal/ce-lorenzo_desgranges_bearingpoint_com/Documents/Desktop/AA%2029/26%20_%2020260428_Fichier%20de%20calcul%20LEC29%202025%20Abeille%20et%20Masterfile%20-%20Collecte%20de%20donn&#233;es%202026%20-%20OIRE%20(4).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https://be4you-my.sharepoint.com/personal/ce-lorenzo_desgranges_bearingpoint_com/Documents/Desktop/AA%2029/Template_ABEILLE_ASSURANCES_ARP_HORS_UC.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2.xlsx"/></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https://be4you-my.sharepoint.com/personal/ce-lorenzo_desgranges_bearingpoint_com/Documents/Desktop/AA%2029/Template_ABEILLE_ASSURANCES_ARP.xlsx" TargetMode="External"/><Relationship Id="rId1" Type="http://schemas.openxmlformats.org/officeDocument/2006/relationships/themeOverride" Target="../theme/themeOverride6.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be4you-my.sharepoint.com/personal/ce-lorenzo_desgranges_bearingpoint_com/Documents/Desktop/AA%2029/Fichiers%20excel%20calcul%20rapport%20LEC29%20-%202026/v2%20-%202025_12_31_Couverture%20&amp;%20r&#233;partition%20actifs.xlsx" TargetMode="External"/></Relationships>
</file>

<file path=word/charts/_rels/chart20.xml.rels><?xml version="1.0" encoding="UTF-8" standalone="yes"?>
<Relationships xmlns="http://schemas.openxmlformats.org/package/2006/relationships"><Relationship Id="rId2" Type="http://schemas.openxmlformats.org/officeDocument/2006/relationships/oleObject" Target="https://be4you-my.sharepoint.com/personal/ce-lorenzo_desgranges_bearingpoint_com/Documents/Desktop/AA%2029/Template_ABEILLE_ASSURANCES_ARP.xlsx" TargetMode="External"/><Relationship Id="rId1" Type="http://schemas.openxmlformats.org/officeDocument/2006/relationships/themeOverride" Target="../theme/themeOverride7.xml"/></Relationships>
</file>

<file path=word/charts/_rels/chart21.xml.rels><?xml version="1.0" encoding="UTF-8" standalone="yes"?>
<Relationships xmlns="http://schemas.openxmlformats.org/package/2006/relationships"><Relationship Id="rId3" Type="http://schemas.openxmlformats.org/officeDocument/2006/relationships/oleObject" Target="https://be4you-my.sharepoint.com/personal/ce-lorenzo_desgranges_bearingpoint_com/Documents/Desktop/AA%2029/Template_ABEILLE_ASSURANCE_CONSO%20(1).xlsx" TargetMode="External"/><Relationship Id="rId2" Type="http://schemas.microsoft.com/office/2011/relationships/chartColorStyle" Target="colors19.xml"/><Relationship Id="rId1" Type="http://schemas.microsoft.com/office/2011/relationships/chartStyle" Target="style19.xml"/></Relationships>
</file>

<file path=word/charts/_rels/chart22.xml.rels><?xml version="1.0" encoding="UTF-8" standalone="yes"?>
<Relationships xmlns="http://schemas.openxmlformats.org/package/2006/relationships"><Relationship Id="rId3" Type="http://schemas.openxmlformats.org/officeDocument/2006/relationships/oleObject" Target="https://be4you-my.sharepoint.com/personal/ce-lorenzo_desgranges_bearingpoint_com/Documents/Desktop/AA%2029/Template_ABEILLE_ASSURANCE_CONSO%20(1).xlsx" TargetMode="External"/><Relationship Id="rId2" Type="http://schemas.microsoft.com/office/2011/relationships/chartColorStyle" Target="colors20.xml"/><Relationship Id="rId1" Type="http://schemas.microsoft.com/office/2011/relationships/chartStyle" Target="style20.xml"/></Relationships>
</file>

<file path=word/charts/_rels/chart23.xml.rels><?xml version="1.0" encoding="UTF-8" standalone="yes"?>
<Relationships xmlns="http://schemas.openxmlformats.org/package/2006/relationships"><Relationship Id="rId3" Type="http://schemas.openxmlformats.org/officeDocument/2006/relationships/oleObject" Target="https://be4you-my.sharepoint.com/personal/ce-lorenzo_desgranges_bearingpoint_com/Documents/Desktop/AA%2029/Fichiers%20excel%20calcul%20rapport%20LEC29%20-%202026/AA29-Corporates%20VERSION%20SAVE%20%201.xlsx" TargetMode="External"/><Relationship Id="rId2" Type="http://schemas.microsoft.com/office/2011/relationships/chartColorStyle" Target="colors21.xml"/><Relationship Id="rId1" Type="http://schemas.microsoft.com/office/2011/relationships/chartStyle" Target="style21.xml"/></Relationships>
</file>

<file path=word/charts/_rels/chart24.xml.rels><?xml version="1.0" encoding="UTF-8" standalone="yes"?>
<Relationships xmlns="http://schemas.openxmlformats.org/package/2006/relationships"><Relationship Id="rId3" Type="http://schemas.openxmlformats.org/officeDocument/2006/relationships/oleObject" Target="https://be4you-my.sharepoint.com/personal/ce-lorenzo_desgranges_bearingpoint_com/Documents/Desktop/AA%2029/AA29-Corporates%20VERSION%20SAVE%20%201.xlsx" TargetMode="External"/><Relationship Id="rId2" Type="http://schemas.microsoft.com/office/2011/relationships/chartColorStyle" Target="colors22.xml"/><Relationship Id="rId1" Type="http://schemas.microsoft.com/office/2011/relationships/chartStyle" Target="style22.xm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https://be4you-my.sharepoint.com/personal/ce-lorenzo_desgranges_bearingpoint_com/Documents/Desktop/AA%2029/Template_ABEILLE_ASSURANCES_ARP.xlsx" TargetMode="External"/></Relationships>
</file>

<file path=word/charts/_rels/chart26.xml.rels><?xml version="1.0" encoding="UTF-8" standalone="yes"?>
<Relationships xmlns="http://schemas.openxmlformats.org/package/2006/relationships"><Relationship Id="rId3" Type="http://schemas.openxmlformats.org/officeDocument/2006/relationships/image" Target="../media/image42.png"/><Relationship Id="rId2" Type="http://schemas.microsoft.com/office/2011/relationships/chartColorStyle" Target="colors26.xml"/><Relationship Id="rId1" Type="http://schemas.microsoft.com/office/2011/relationships/chartStyle" Target="style26.xml"/><Relationship Id="rId5" Type="http://schemas.openxmlformats.org/officeDocument/2006/relationships/chartUserShapes" Target="../drawings/drawing5.xml"/><Relationship Id="rId4" Type="http://schemas.openxmlformats.org/officeDocument/2006/relationships/oleObject" Target="https://be4you-my.sharepoint.com/personal/ce-lorenzo_desgranges_bearingpoint_com/Documents/Desktop/AA%2029/AA29-Govies%20analysis.xlsx"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3" Type="http://schemas.openxmlformats.org/officeDocument/2006/relationships/oleObject" Target="https://be4you-my.sharepoint.com/personal/ce-lorenzo_desgranges_bearingpoint_com/Documents/Desktop/AA%2029/Excel%20de%20travail%20%25SFDR%2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be4you-my.sharepoint.com/personal/ce-lorenzo_desgranges_bearingpoint_com/Documents/Desktop/AA%2029/Excel%20de%20travail%20%25SFDR%20.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be4you-my.sharepoint.com/personal/ce-lorenzo_desgranges_bearingpoint_com/Documents/Desktop/AA%2029/Fichiers%20excel%20calcul%20rapport%20LEC29%20-%202026/Excel%20de%20travail%20%25SFDR%2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be4you-my.sharepoint.com/personal/ce-lorenzo_desgranges_bearingpoint_com/Documents/Desktop/AA%2029/Fichiers%20excel%20calcul%20rapport%20LEC29%20-%202026/Reporting%20Actifs%20verts%201225_Nouvelle_m&#233;thodologie%20(1).xlsm"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1.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be4you-my.sharepoint.com/personal/ce-lorenzo_desgranges_bearingpoint_com/Documents/Desktop/AA%2029/Fichiers%20excel%20calcul%20rapport%20LEC29%20-%202026/Template_ABEILLE_CONSO_HUC%20(1).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be4you-my.sharepoint.com/personal/ce-lorenzo_desgranges_bearingpoint_com/Documents/Desktop/AA%2029/Fichiers%20excel%20calcul%20rapport%20LEC29%20-%202026/AA29-Corporates%20VERSION%20SAVE%20%201.xlsx" TargetMode="External"/><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24.xml"/><Relationship Id="rId2" Type="http://schemas.microsoft.com/office/2011/relationships/chartStyle" Target="style24.xml"/><Relationship Id="rId1" Type="http://schemas.openxmlformats.org/officeDocument/2006/relationships/oleObject" Target="https://be4you-my.sharepoint.com/personal/ce-lorenzo_desgranges_bearingpoint_com/Documents/Desktop/AA%2029/Fichiers%20excel%20calcul%20rapport%20LEC29%20-%202026/AA29-Corporates%20VForest%20IQ.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25.xml"/><Relationship Id="rId2" Type="http://schemas.microsoft.com/office/2011/relationships/chartStyle" Target="style25.xml"/><Relationship Id="rId1" Type="http://schemas.openxmlformats.org/officeDocument/2006/relationships/oleObject" Target="https://be4you-my.sharepoint.com/personal/ce-lorenzo_desgranges_bearingpoint_com/Documents/Desktop/AA%2029/Fichiers%20excel%20calcul%20rapport%20LEC29%20-%202026/AA29-Corporates%20VForest%20IQ.xlsx" TargetMode="External"/></Relationships>
</file>

<file path=word/charts/_rels/chartEx3.xml.rels><?xml version="1.0" encoding="UTF-8" standalone="yes"?>
<Relationships xmlns="http://schemas.openxmlformats.org/package/2006/relationships"><Relationship Id="rId3" Type="http://schemas.microsoft.com/office/2011/relationships/chartColorStyle" Target="colors27.xml"/><Relationship Id="rId2" Type="http://schemas.microsoft.com/office/2011/relationships/chartStyle" Target="style27.xml"/><Relationship Id="rId1" Type="http://schemas.openxmlformats.org/officeDocument/2006/relationships/oleObject" Target="https://be4you-my.sharepoint.com/personal/ce-lorenzo_desgranges_bearingpoint_com/Documents/Desktop/AA%2029/Fichiers%20excel%20calcul%20rapport%20LEC29%20-%202026/AA29%20-%20Govies%20calcul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fr-FR" sz="1100" b="1">
                <a:solidFill>
                  <a:sysClr val="windowText" lastClr="000000"/>
                </a:solidFill>
              </a:rPr>
              <a:t>Décomposition</a:t>
            </a:r>
            <a:r>
              <a:rPr lang="fr-FR" sz="1100" b="1" baseline="0">
                <a:solidFill>
                  <a:sysClr val="windowText" lastClr="000000"/>
                </a:solidFill>
              </a:rPr>
              <a:t> des actifs obligataires du portefeuille d'Abeille Retraite Professionnelle à fin 2025</a:t>
            </a:r>
            <a:endParaRPr lang="fr-FR" sz="1100" b="1">
              <a:solidFill>
                <a:sysClr val="windowText" lastClr="000000"/>
              </a:solidFill>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32473827192126642"/>
          <c:y val="0.2662685093596262"/>
          <c:w val="0.40475791589881049"/>
          <c:h val="0.46079540461146939"/>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1D3-4F5B-BC76-0D08761EDB06}"/>
              </c:ext>
            </c:extLst>
          </c:dPt>
          <c:dPt>
            <c:idx val="1"/>
            <c:bubble3D val="0"/>
            <c:spPr>
              <a:solidFill>
                <a:schemeClr val="accent2">
                  <a:lumMod val="40000"/>
                  <a:lumOff val="60000"/>
                </a:schemeClr>
              </a:solidFill>
              <a:ln w="19050">
                <a:solidFill>
                  <a:schemeClr val="lt1"/>
                </a:solidFill>
              </a:ln>
              <a:effectLst/>
            </c:spPr>
            <c:extLst>
              <c:ext xmlns:c16="http://schemas.microsoft.com/office/drawing/2014/chart" uri="{C3380CC4-5D6E-409C-BE32-E72D297353CC}">
                <c16:uniqueId val="{00000003-61D3-4F5B-BC76-0D08761EDB0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1D3-4F5B-BC76-0D08761EDB0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1D3-4F5B-BC76-0D08761EDB06}"/>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fr-FR"/>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ARP!$E$19:$E$22</c:f>
              <c:strCache>
                <c:ptCount val="4"/>
                <c:pt idx="0">
                  <c:v>Obligations financières</c:v>
                </c:pt>
                <c:pt idx="1">
                  <c:v>Fonds obligataires</c:v>
                </c:pt>
                <c:pt idx="2">
                  <c:v>Obligations souveraines</c:v>
                </c:pt>
                <c:pt idx="3">
                  <c:v>Obligations d'entreprises</c:v>
                </c:pt>
              </c:strCache>
            </c:strRef>
          </c:cat>
          <c:val>
            <c:numRef>
              <c:f>ARP!$F$19:$F$22</c:f>
              <c:numCache>
                <c:formatCode>_(* #,##0.00_);_(* \(#,##0.00\);_(* "-"??_);_(@_)</c:formatCode>
                <c:ptCount val="4"/>
                <c:pt idx="0">
                  <c:v>360786918.78999996</c:v>
                </c:pt>
                <c:pt idx="1">
                  <c:v>265588340.24999982</c:v>
                </c:pt>
                <c:pt idx="2">
                  <c:v>1424249022.5600002</c:v>
                </c:pt>
                <c:pt idx="3">
                  <c:v>440224787.67999989</c:v>
                </c:pt>
              </c:numCache>
            </c:numRef>
          </c:val>
          <c:extLst>
            <c:ext xmlns:c16="http://schemas.microsoft.com/office/drawing/2014/chart" uri="{C3380CC4-5D6E-409C-BE32-E72D297353CC}">
              <c16:uniqueId val="{00000008-61D3-4F5B-BC76-0D08761EDB0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1.4805360964784122E-2"/>
          <c:y val="0.82465397855418832"/>
          <c:w val="0.90619638442887718"/>
          <c:h val="0.1451952676769675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lumMod val="85000"/>
        </a:schemeClr>
      </a:solidFill>
      <a:round/>
    </a:ln>
    <a:effectLst/>
  </c:spPr>
  <c:txPr>
    <a:bodyPr/>
    <a:lstStyle/>
    <a:p>
      <a:pPr>
        <a:defRPr/>
      </a:pPr>
      <a:endParaRPr lang="fr-FR"/>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100" b="0" i="0" u="none" strike="noStrike" kern="1200" spc="0" baseline="0">
                <a:solidFill>
                  <a:sysClr val="windowText" lastClr="000000"/>
                </a:solidFill>
                <a:latin typeface="+mn-lt"/>
                <a:ea typeface="+mn-ea"/>
                <a:cs typeface="+mn-cs"/>
              </a:defRPr>
            </a:pPr>
            <a:r>
              <a:rPr lang="fr-FR" sz="1100" b="1" i="0" u="none" strike="noStrike" kern="1200" spc="0" baseline="0">
                <a:solidFill>
                  <a:sysClr val="windowText" lastClr="000000"/>
                </a:solidFill>
                <a:cs typeface="Prompt Medium" panose="00000600000000000000" pitchFamily="2" charset="-34"/>
              </a:rPr>
              <a:t>Projection de l'alignement aux 3 scénarios du GIEC</a:t>
            </a:r>
          </a:p>
          <a:p>
            <a:pPr algn="l">
              <a:defRPr sz="1100">
                <a:solidFill>
                  <a:sysClr val="windowText" lastClr="000000"/>
                </a:solidFill>
              </a:defRPr>
            </a:pPr>
            <a:r>
              <a:rPr lang="fr-FR" sz="1100" b="1" i="0" u="none" strike="noStrike" kern="1200" spc="0" baseline="0">
                <a:solidFill>
                  <a:sysClr val="windowText" lastClr="000000"/>
                </a:solidFill>
              </a:rPr>
              <a:t>Teq CO</a:t>
            </a:r>
            <a:r>
              <a:rPr lang="fr-FR" sz="1100" b="1" i="0" u="none" strike="noStrike" kern="1200" spc="0" baseline="-25000">
                <a:solidFill>
                  <a:sysClr val="windowText" lastClr="000000"/>
                </a:solidFill>
              </a:rPr>
              <a:t>2 </a:t>
            </a:r>
            <a:r>
              <a:rPr lang="fr-FR" sz="1100" b="1" i="0" u="none" strike="noStrike" kern="1200" spc="0" baseline="0">
                <a:solidFill>
                  <a:sysClr val="windowText" lastClr="000000"/>
                </a:solidFill>
              </a:rPr>
              <a:t>/M€ - Scope 1 - 2 - 3</a:t>
            </a:r>
          </a:p>
        </c:rich>
      </c:tx>
      <c:layout>
        <c:manualLayout>
          <c:xMode val="edge"/>
          <c:yMode val="edge"/>
          <c:x val="0"/>
          <c:y val="6.4334515163442596E-3"/>
        </c:manualLayout>
      </c:layout>
      <c:overlay val="0"/>
      <c:spPr>
        <a:noFill/>
        <a:ln>
          <a:noFill/>
        </a:ln>
        <a:effectLst/>
      </c:spPr>
      <c:txPr>
        <a:bodyPr rot="0" spcFirstLastPara="1" vertOverflow="ellipsis" vert="horz" wrap="square" anchor="ctr" anchorCtr="1"/>
        <a:lstStyle/>
        <a:p>
          <a:pPr algn="l">
            <a:defRPr sz="1100" b="0" i="0" u="none" strike="noStrike" kern="1200" spc="0" baseline="0">
              <a:solidFill>
                <a:sysClr val="windowText" lastClr="000000"/>
              </a:solidFill>
              <a:latin typeface="+mn-lt"/>
              <a:ea typeface="+mn-ea"/>
              <a:cs typeface="+mn-cs"/>
            </a:defRPr>
          </a:pPr>
          <a:endParaRPr lang="fr-FR"/>
        </a:p>
      </c:txPr>
    </c:title>
    <c:autoTitleDeleted val="0"/>
    <c:plotArea>
      <c:layout>
        <c:manualLayout>
          <c:layoutTarget val="inner"/>
          <c:xMode val="edge"/>
          <c:yMode val="edge"/>
          <c:x val="5.7512217342515715E-2"/>
          <c:y val="0.16047138047138046"/>
          <c:w val="0.92031483365526701"/>
          <c:h val="0.60113072987088734"/>
        </c:manualLayout>
      </c:layout>
      <c:lineChart>
        <c:grouping val="standard"/>
        <c:varyColors val="0"/>
        <c:ser>
          <c:idx val="4"/>
          <c:order val="0"/>
          <c:tx>
            <c:strRef>
              <c:f>'VI - ALIGNEMENT'!$J$4</c:f>
              <c:strCache>
                <c:ptCount val="1"/>
                <c:pt idx="0">
                  <c:v>Portefeuille corrige de la credibilite</c:v>
                </c:pt>
              </c:strCache>
            </c:strRef>
          </c:tx>
          <c:spPr>
            <a:ln w="28575" cap="rnd">
              <a:solidFill>
                <a:schemeClr val="accent5"/>
              </a:solidFill>
              <a:round/>
            </a:ln>
            <a:effectLst/>
          </c:spPr>
          <c:marker>
            <c:symbol val="none"/>
          </c:marker>
          <c:cat>
            <c:numRef>
              <c:f>'VI - ALIGNEMENT'!$K$26:$O$26</c:f>
              <c:numCache>
                <c:formatCode>General</c:formatCode>
                <c:ptCount val="5"/>
                <c:pt idx="0">
                  <c:v>2024</c:v>
                </c:pt>
                <c:pt idx="1">
                  <c:v>2025</c:v>
                </c:pt>
                <c:pt idx="2">
                  <c:v>2030</c:v>
                </c:pt>
                <c:pt idx="3">
                  <c:v>2040</c:v>
                </c:pt>
                <c:pt idx="4">
                  <c:v>2050</c:v>
                </c:pt>
              </c:numCache>
            </c:numRef>
          </c:cat>
          <c:val>
            <c:numRef>
              <c:f>'VI - ALIGNEMENT'!$K$81:$O$81</c:f>
              <c:numCache>
                <c:formatCode>_(* #,##0.00_);_(* \(#,##0.00\);_(* "-"??_);_(@_)</c:formatCode>
                <c:ptCount val="5"/>
                <c:pt idx="0" formatCode="General">
                  <c:v>303</c:v>
                </c:pt>
                <c:pt idx="1">
                  <c:v>300.89081052614199</c:v>
                </c:pt>
                <c:pt idx="2">
                  <c:v>278.18690737966102</c:v>
                </c:pt>
                <c:pt idx="3">
                  <c:v>262.13470645804102</c:v>
                </c:pt>
                <c:pt idx="4">
                  <c:v>236.29730374597401</c:v>
                </c:pt>
              </c:numCache>
            </c:numRef>
          </c:val>
          <c:smooth val="0"/>
          <c:extLst>
            <c:ext xmlns:c16="http://schemas.microsoft.com/office/drawing/2014/chart" uri="{C3380CC4-5D6E-409C-BE32-E72D297353CC}">
              <c16:uniqueId val="{00000000-F229-4A08-AB4C-0C1BB9BFDFBA}"/>
            </c:ext>
          </c:extLst>
        </c:ser>
        <c:ser>
          <c:idx val="1"/>
          <c:order val="1"/>
          <c:tx>
            <c:strRef>
              <c:f>'VI - ALIGNEMENT'!$J$29</c:f>
              <c:strCache>
                <c:ptCount val="1"/>
                <c:pt idx="0">
                  <c:v>Scenario politiques actuelles</c:v>
                </c:pt>
              </c:strCache>
            </c:strRef>
          </c:tx>
          <c:spPr>
            <a:ln w="28575" cap="rnd">
              <a:solidFill>
                <a:schemeClr val="accent2"/>
              </a:solidFill>
              <a:round/>
            </a:ln>
            <a:effectLst/>
          </c:spPr>
          <c:marker>
            <c:symbol val="none"/>
          </c:marker>
          <c:cat>
            <c:numRef>
              <c:f>'VI - ALIGNEMENT'!$K$26:$O$26</c:f>
              <c:numCache>
                <c:formatCode>General</c:formatCode>
                <c:ptCount val="5"/>
                <c:pt idx="0">
                  <c:v>2024</c:v>
                </c:pt>
                <c:pt idx="1">
                  <c:v>2025</c:v>
                </c:pt>
                <c:pt idx="2">
                  <c:v>2030</c:v>
                </c:pt>
                <c:pt idx="3">
                  <c:v>2040</c:v>
                </c:pt>
                <c:pt idx="4">
                  <c:v>2050</c:v>
                </c:pt>
              </c:numCache>
            </c:numRef>
          </c:cat>
          <c:val>
            <c:numRef>
              <c:f>'VI - ALIGNEMENT'!$K$82:$O$82</c:f>
              <c:numCache>
                <c:formatCode>_(* #,##0.00_);_(* \(#,##0.00\);_(* "-"??_);_(@_)</c:formatCode>
                <c:ptCount val="5"/>
                <c:pt idx="0" formatCode="General">
                  <c:v>303</c:v>
                </c:pt>
                <c:pt idx="1">
                  <c:v>300.89081052614199</c:v>
                </c:pt>
                <c:pt idx="2">
                  <c:v>307.56626063369498</c:v>
                </c:pt>
                <c:pt idx="3">
                  <c:v>318.491522834465</c:v>
                </c:pt>
                <c:pt idx="4">
                  <c:v>318.16359586304998</c:v>
                </c:pt>
              </c:numCache>
            </c:numRef>
          </c:val>
          <c:smooth val="0"/>
          <c:extLst>
            <c:ext xmlns:c16="http://schemas.microsoft.com/office/drawing/2014/chart" uri="{C3380CC4-5D6E-409C-BE32-E72D297353CC}">
              <c16:uniqueId val="{00000001-F229-4A08-AB4C-0C1BB9BFDFBA}"/>
            </c:ext>
          </c:extLst>
        </c:ser>
        <c:ser>
          <c:idx val="2"/>
          <c:order val="2"/>
          <c:tx>
            <c:strRef>
              <c:f>'VI - ALIGNEMENT'!$J$30</c:f>
              <c:strCache>
                <c:ptCount val="1"/>
                <c:pt idx="0">
                  <c:v>Scenario limitation du rechauffement 2 degres</c:v>
                </c:pt>
              </c:strCache>
            </c:strRef>
          </c:tx>
          <c:spPr>
            <a:ln w="28575" cap="rnd">
              <a:solidFill>
                <a:schemeClr val="accent3"/>
              </a:solidFill>
              <a:round/>
            </a:ln>
            <a:effectLst/>
          </c:spPr>
          <c:marker>
            <c:symbol val="none"/>
          </c:marker>
          <c:cat>
            <c:numRef>
              <c:f>'VI - ALIGNEMENT'!$K$26:$O$26</c:f>
              <c:numCache>
                <c:formatCode>General</c:formatCode>
                <c:ptCount val="5"/>
                <c:pt idx="0">
                  <c:v>2024</c:v>
                </c:pt>
                <c:pt idx="1">
                  <c:v>2025</c:v>
                </c:pt>
                <c:pt idx="2">
                  <c:v>2030</c:v>
                </c:pt>
                <c:pt idx="3">
                  <c:v>2040</c:v>
                </c:pt>
                <c:pt idx="4">
                  <c:v>2050</c:v>
                </c:pt>
              </c:numCache>
            </c:numRef>
          </c:cat>
          <c:val>
            <c:numRef>
              <c:f>'VI - ALIGNEMENT'!$K$83:$O$83</c:f>
              <c:numCache>
                <c:formatCode>_(* #,##0.00_);_(* \(#,##0.00\);_(* "-"??_);_(@_)</c:formatCode>
                <c:ptCount val="5"/>
                <c:pt idx="0" formatCode="General">
                  <c:v>303</c:v>
                </c:pt>
                <c:pt idx="1">
                  <c:v>300.89081052614199</c:v>
                </c:pt>
                <c:pt idx="2">
                  <c:v>265.37611380920703</c:v>
                </c:pt>
                <c:pt idx="3">
                  <c:v>160.629349467119</c:v>
                </c:pt>
                <c:pt idx="4">
                  <c:v>91.2227478662968</c:v>
                </c:pt>
              </c:numCache>
            </c:numRef>
          </c:val>
          <c:smooth val="0"/>
          <c:extLst>
            <c:ext xmlns:c16="http://schemas.microsoft.com/office/drawing/2014/chart" uri="{C3380CC4-5D6E-409C-BE32-E72D297353CC}">
              <c16:uniqueId val="{00000002-F229-4A08-AB4C-0C1BB9BFDFBA}"/>
            </c:ext>
          </c:extLst>
        </c:ser>
        <c:ser>
          <c:idx val="3"/>
          <c:order val="3"/>
          <c:tx>
            <c:strRef>
              <c:f>'VI - ALIGNEMENT'!$J$31</c:f>
              <c:strCache>
                <c:ptCount val="1"/>
                <c:pt idx="0">
                  <c:v>Scenario limitation du rechauffement 1.5 degres</c:v>
                </c:pt>
              </c:strCache>
            </c:strRef>
          </c:tx>
          <c:spPr>
            <a:ln w="28575" cap="rnd">
              <a:solidFill>
                <a:schemeClr val="accent4"/>
              </a:solidFill>
              <a:round/>
            </a:ln>
            <a:effectLst/>
          </c:spPr>
          <c:marker>
            <c:symbol val="none"/>
          </c:marker>
          <c:cat>
            <c:numRef>
              <c:f>'VI - ALIGNEMENT'!$K$26:$O$26</c:f>
              <c:numCache>
                <c:formatCode>General</c:formatCode>
                <c:ptCount val="5"/>
                <c:pt idx="0">
                  <c:v>2024</c:v>
                </c:pt>
                <c:pt idx="1">
                  <c:v>2025</c:v>
                </c:pt>
                <c:pt idx="2">
                  <c:v>2030</c:v>
                </c:pt>
                <c:pt idx="3">
                  <c:v>2040</c:v>
                </c:pt>
                <c:pt idx="4">
                  <c:v>2050</c:v>
                </c:pt>
              </c:numCache>
            </c:numRef>
          </c:cat>
          <c:val>
            <c:numRef>
              <c:f>'VI - ALIGNEMENT'!$K$84:$O$84</c:f>
              <c:numCache>
                <c:formatCode>_(* #,##0.00_);_(* \(#,##0.00\);_(* "-"??_);_(@_)</c:formatCode>
                <c:ptCount val="5"/>
                <c:pt idx="0" formatCode="General">
                  <c:v>303</c:v>
                </c:pt>
                <c:pt idx="1">
                  <c:v>300.89081052614199</c:v>
                </c:pt>
                <c:pt idx="2">
                  <c:v>215.99455141783301</c:v>
                </c:pt>
                <c:pt idx="3">
                  <c:v>81.426427141766197</c:v>
                </c:pt>
                <c:pt idx="4">
                  <c:v>5.6932986051702503</c:v>
                </c:pt>
              </c:numCache>
            </c:numRef>
          </c:val>
          <c:smooth val="0"/>
          <c:extLst>
            <c:ext xmlns:c16="http://schemas.microsoft.com/office/drawing/2014/chart" uri="{C3380CC4-5D6E-409C-BE32-E72D297353CC}">
              <c16:uniqueId val="{00000003-F229-4A08-AB4C-0C1BB9BFDFBA}"/>
            </c:ext>
          </c:extLst>
        </c:ser>
        <c:ser>
          <c:idx val="0"/>
          <c:order val="4"/>
          <c:tx>
            <c:strRef>
              <c:f>'VI - ALIGNEMENT'!$J$3</c:f>
              <c:strCache>
                <c:ptCount val="1"/>
                <c:pt idx="0">
                  <c:v>Portefeuille</c:v>
                </c:pt>
              </c:strCache>
            </c:strRef>
          </c:tx>
          <c:spPr>
            <a:ln w="28575" cap="rnd">
              <a:solidFill>
                <a:schemeClr val="accent1"/>
              </a:solidFill>
              <a:round/>
            </a:ln>
            <a:effectLst/>
          </c:spPr>
          <c:marker>
            <c:symbol val="none"/>
          </c:marker>
          <c:cat>
            <c:numRef>
              <c:f>'VI - ALIGNEMENT'!$K$26:$O$26</c:f>
              <c:numCache>
                <c:formatCode>General</c:formatCode>
                <c:ptCount val="5"/>
                <c:pt idx="0">
                  <c:v>2024</c:v>
                </c:pt>
                <c:pt idx="1">
                  <c:v>2025</c:v>
                </c:pt>
                <c:pt idx="2">
                  <c:v>2030</c:v>
                </c:pt>
                <c:pt idx="3">
                  <c:v>2040</c:v>
                </c:pt>
                <c:pt idx="4">
                  <c:v>2050</c:v>
                </c:pt>
              </c:numCache>
            </c:numRef>
          </c:cat>
          <c:val>
            <c:numRef>
              <c:f>'VI - ALIGNEMENT'!$K$80:$O$80</c:f>
              <c:numCache>
                <c:formatCode>_(* #,##0.00_);_(* \(#,##0.00\);_(* "-"??_);_(@_)</c:formatCode>
                <c:ptCount val="5"/>
                <c:pt idx="0" formatCode="General">
                  <c:v>303</c:v>
                </c:pt>
                <c:pt idx="1">
                  <c:v>300.89081052614199</c:v>
                </c:pt>
                <c:pt idx="2">
                  <c:v>256.64393739530698</c:v>
                </c:pt>
                <c:pt idx="3">
                  <c:v>220.419905916207</c:v>
                </c:pt>
                <c:pt idx="4">
                  <c:v>166.77263617625101</c:v>
                </c:pt>
              </c:numCache>
            </c:numRef>
          </c:val>
          <c:smooth val="0"/>
          <c:extLst>
            <c:ext xmlns:c16="http://schemas.microsoft.com/office/drawing/2014/chart" uri="{C3380CC4-5D6E-409C-BE32-E72D297353CC}">
              <c16:uniqueId val="{00000004-F229-4A08-AB4C-0C1BB9BFDFBA}"/>
            </c:ext>
          </c:extLst>
        </c:ser>
        <c:dLbls>
          <c:showLegendKey val="0"/>
          <c:showVal val="0"/>
          <c:showCatName val="0"/>
          <c:showSerName val="0"/>
          <c:showPercent val="0"/>
          <c:showBubbleSize val="0"/>
        </c:dLbls>
        <c:smooth val="0"/>
        <c:axId val="793002464"/>
        <c:axId val="792998504"/>
      </c:lineChart>
      <c:catAx>
        <c:axId val="793002464"/>
        <c:scaling>
          <c:orientation val="minMax"/>
        </c:scaling>
        <c:delete val="0"/>
        <c:axPos val="b"/>
        <c:numFmt formatCode="General" sourceLinked="1"/>
        <c:majorTickMark val="out"/>
        <c:minorTickMark val="none"/>
        <c:tickLblPos val="nextTo"/>
        <c:spPr>
          <a:noFill/>
          <a:ln w="9525" cap="flat" cmpd="sng" algn="ctr">
            <a:solidFill>
              <a:srgbClr val="000000"/>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crossAx val="792998504"/>
        <c:crosses val="autoZero"/>
        <c:auto val="1"/>
        <c:lblAlgn val="ctr"/>
        <c:lblOffset val="100"/>
        <c:noMultiLvlLbl val="0"/>
      </c:catAx>
      <c:valAx>
        <c:axId val="792998504"/>
        <c:scaling>
          <c:orientation val="minMax"/>
        </c:scaling>
        <c:delete val="0"/>
        <c:axPos val="l"/>
        <c:majorGridlines>
          <c:spPr>
            <a:ln w="6350" cap="flat" cmpd="sng" algn="ctr">
              <a:solidFill>
                <a:srgbClr val="000000">
                  <a:alpha val="50000"/>
                </a:srgbClr>
              </a:solidFill>
              <a:prstDash val="solid"/>
              <a:round/>
            </a:ln>
            <a:effectLst/>
          </c:spPr>
        </c:majorGridlines>
        <c:numFmt formatCode="#,##0" sourceLinked="0"/>
        <c:majorTickMark val="out"/>
        <c:minorTickMark val="none"/>
        <c:tickLblPos val="nextTo"/>
        <c:spPr>
          <a:noFill/>
          <a:ln>
            <a:solidFill>
              <a:srgbClr val="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crossAx val="793002464"/>
        <c:crosses val="autoZero"/>
        <c:crossBetween val="between"/>
      </c:valAx>
      <c:spPr>
        <a:noFill/>
        <a:ln>
          <a:solidFill>
            <a:srgbClr val="000000"/>
          </a:solidFill>
        </a:ln>
        <a:effectLst/>
      </c:spPr>
    </c:plotArea>
    <c:legend>
      <c:legendPos val="b"/>
      <c:layout>
        <c:manualLayout>
          <c:xMode val="edge"/>
          <c:yMode val="edge"/>
          <c:x val="2.577252173250567E-2"/>
          <c:y val="0.85597073093136089"/>
          <c:w val="0.93101032194027322"/>
          <c:h val="0.1336423425709820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rgbClr val="FFFFFF"/>
    </a:solidFill>
    <a:ln w="9525" cap="flat" cmpd="sng" algn="ctr">
      <a:solidFill>
        <a:schemeClr val="bg1">
          <a:lumMod val="85000"/>
        </a:schemeClr>
      </a:solidFill>
      <a:round/>
    </a:ln>
    <a:effectLst/>
  </c:spPr>
  <c:txPr>
    <a:bodyPr/>
    <a:lstStyle/>
    <a:p>
      <a:pPr>
        <a:defRPr/>
      </a:pPr>
      <a:endParaRPr lang="fr-F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ysClr val="windowText" lastClr="000000"/>
                </a:solidFill>
                <a:latin typeface="+mn-lt"/>
                <a:ea typeface="+mn-ea"/>
                <a:cs typeface="+mn-cs"/>
              </a:defRPr>
            </a:pPr>
            <a:r>
              <a:rPr lang="fr-FR" sz="1100" b="1">
                <a:solidFill>
                  <a:sysClr val="windowText" lastClr="000000"/>
                </a:solidFill>
                <a:effectLst/>
              </a:rPr>
              <a:t>Température du portefeuille au 31/12/25</a:t>
            </a:r>
            <a:endParaRPr lang="en-US" sz="1100">
              <a:solidFill>
                <a:sysClr val="windowText" lastClr="000000"/>
              </a:solidFill>
              <a:effectLst/>
            </a:endParaRPr>
          </a:p>
        </c:rich>
      </c:tx>
      <c:layout>
        <c:manualLayout>
          <c:xMode val="edge"/>
          <c:yMode val="edge"/>
          <c:x val="0.10649943406788735"/>
          <c:y val="8.4441629723453655E-3"/>
        </c:manualLayout>
      </c:layout>
      <c:overlay val="1"/>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752403679171655"/>
          <c:y val="0.17929300687634311"/>
          <c:w val="0.42525898904899784"/>
          <c:h val="0.73658433607768625"/>
        </c:manualLayout>
      </c:layout>
      <c:barChart>
        <c:barDir val="col"/>
        <c:grouping val="clustered"/>
        <c:varyColors val="0"/>
        <c:ser>
          <c:idx val="0"/>
          <c:order val="0"/>
          <c:spPr>
            <a:noFill/>
            <a:ln>
              <a:solidFill>
                <a:srgbClr val="000000"/>
              </a:solidFill>
            </a:ln>
            <a:effectLst/>
          </c:spPr>
          <c:invertIfNegative val="0"/>
          <c:dLbls>
            <c:delete val="1"/>
          </c:dLbls>
          <c:cat>
            <c:numRef>
              <c:f>'VI - ALIGNEMENT'!$B$55</c:f>
              <c:numCache>
                <c:formatCode>_(* #,##0.00_);_(* \(#,##0.00\);_(* "-"??_);_(@_)</c:formatCode>
                <c:ptCount val="1"/>
                <c:pt idx="0">
                  <c:v>1.99071485865738</c:v>
                </c:pt>
              </c:numCache>
            </c:numRef>
          </c:cat>
          <c:val>
            <c:numRef>
              <c:f>'VI - ALIGNEMENT'!$B$57</c:f>
              <c:numCache>
                <c:formatCode>_(* #,##0.00_);_(* \(#,##0.00\);_(* "-"??_);_(@_)</c:formatCode>
                <c:ptCount val="1"/>
                <c:pt idx="0">
                  <c:v>5</c:v>
                </c:pt>
              </c:numCache>
            </c:numRef>
          </c:val>
          <c:extLst>
            <c:ext xmlns:c16="http://schemas.microsoft.com/office/drawing/2014/chart" uri="{C3380CC4-5D6E-409C-BE32-E72D297353CC}">
              <c16:uniqueId val="{00000000-294E-4235-8203-9B031D30E334}"/>
            </c:ext>
          </c:extLst>
        </c:ser>
        <c:dLbls>
          <c:showLegendKey val="0"/>
          <c:showVal val="1"/>
          <c:showCatName val="0"/>
          <c:showSerName val="0"/>
          <c:showPercent val="0"/>
          <c:showBubbleSize val="0"/>
        </c:dLbls>
        <c:gapWidth val="210"/>
        <c:overlap val="-27"/>
        <c:axId val="987497296"/>
        <c:axId val="987504136"/>
      </c:barChart>
      <c:barChart>
        <c:barDir val="col"/>
        <c:grouping val="clustered"/>
        <c:varyColors val="0"/>
        <c:ser>
          <c:idx val="1"/>
          <c:order val="1"/>
          <c:spPr>
            <a:solidFill>
              <a:schemeClr val="accent1">
                <a:lumMod val="75000"/>
              </a:schemeClr>
            </a:solidFill>
            <a:ln>
              <a:noFill/>
            </a:ln>
            <a:effectLst/>
          </c:spPr>
          <c:invertIfNegative val="0"/>
          <c:dLbls>
            <c:delete val="1"/>
          </c:dLbls>
          <c:cat>
            <c:numRef>
              <c:f>'VI - ALIGNEMENT'!$B$55</c:f>
              <c:numCache>
                <c:formatCode>_(* #,##0.00_);_(* \(#,##0.00\);_(* "-"??_);_(@_)</c:formatCode>
                <c:ptCount val="1"/>
                <c:pt idx="0">
                  <c:v>1.99071485865738</c:v>
                </c:pt>
              </c:numCache>
            </c:numRef>
          </c:cat>
          <c:val>
            <c:numRef>
              <c:f>'VI - ALIGNEMENT'!$B$58</c:f>
              <c:numCache>
                <c:formatCode>_(* #,##0.00_);_(* \(#,##0.00\);_(* "-"??_);_(@_)</c:formatCode>
                <c:ptCount val="1"/>
                <c:pt idx="0">
                  <c:v>0</c:v>
                </c:pt>
              </c:numCache>
            </c:numRef>
          </c:val>
          <c:extLst>
            <c:ext xmlns:c16="http://schemas.microsoft.com/office/drawing/2014/chart" uri="{C3380CC4-5D6E-409C-BE32-E72D297353CC}">
              <c16:uniqueId val="{00000001-294E-4235-8203-9B031D30E334}"/>
            </c:ext>
          </c:extLst>
        </c:ser>
        <c:ser>
          <c:idx val="2"/>
          <c:order val="2"/>
          <c:spPr>
            <a:solidFill>
              <a:schemeClr val="accent3"/>
            </a:solidFill>
            <a:ln>
              <a:noFill/>
            </a:ln>
            <a:effectLst/>
          </c:spPr>
          <c:invertIfNegative val="0"/>
          <c:dPt>
            <c:idx val="0"/>
            <c:invertIfNegative val="0"/>
            <c:bubble3D val="0"/>
            <c:spPr>
              <a:solidFill>
                <a:schemeClr val="tx1"/>
              </a:solidFill>
              <a:ln>
                <a:noFill/>
              </a:ln>
              <a:effectLst/>
            </c:spPr>
            <c:extLst>
              <c:ext xmlns:c16="http://schemas.microsoft.com/office/drawing/2014/chart" uri="{C3380CC4-5D6E-409C-BE32-E72D297353CC}">
                <c16:uniqueId val="{00000003-294E-4235-8203-9B031D30E334}"/>
              </c:ext>
            </c:extLst>
          </c:dPt>
          <c:dLbls>
            <c:delete val="1"/>
          </c:dLbls>
          <c:cat>
            <c:numRef>
              <c:f>'VI - ALIGNEMENT'!$B$55</c:f>
              <c:numCache>
                <c:formatCode>_(* #,##0.00_);_(* \(#,##0.00\);_(* "-"??_);_(@_)</c:formatCode>
                <c:ptCount val="1"/>
                <c:pt idx="0">
                  <c:v>1.99071485865738</c:v>
                </c:pt>
              </c:numCache>
            </c:numRef>
          </c:cat>
          <c:val>
            <c:numRef>
              <c:f>'VI - ALIGNEMENT'!$B$59</c:f>
              <c:numCache>
                <c:formatCode>_(* #,##0.00_);_(* \(#,##0.00\);_(* "-"??_);_(@_)</c:formatCode>
                <c:ptCount val="1"/>
                <c:pt idx="0">
                  <c:v>0</c:v>
                </c:pt>
              </c:numCache>
            </c:numRef>
          </c:val>
          <c:extLst>
            <c:ext xmlns:c16="http://schemas.microsoft.com/office/drawing/2014/chart" uri="{C3380CC4-5D6E-409C-BE32-E72D297353CC}">
              <c16:uniqueId val="{00000004-294E-4235-8203-9B031D30E334}"/>
            </c:ext>
          </c:extLst>
        </c:ser>
        <c:ser>
          <c:idx val="3"/>
          <c:order val="3"/>
          <c:spPr>
            <a:solidFill>
              <a:srgbClr val="78BCBA"/>
            </a:solidFill>
            <a:ln>
              <a:noFill/>
            </a:ln>
            <a:effectLst/>
          </c:spPr>
          <c:invertIfNegative val="0"/>
          <c:dLbls>
            <c:delete val="1"/>
          </c:dLbls>
          <c:cat>
            <c:numRef>
              <c:f>'VI - ALIGNEMENT'!$B$55</c:f>
              <c:numCache>
                <c:formatCode>_(* #,##0.00_);_(* \(#,##0.00\);_(* "-"??_);_(@_)</c:formatCode>
                <c:ptCount val="1"/>
                <c:pt idx="0">
                  <c:v>1.99071485865738</c:v>
                </c:pt>
              </c:numCache>
            </c:numRef>
          </c:cat>
          <c:val>
            <c:numRef>
              <c:f>'VI - ALIGNEMENT'!$B$60</c:f>
              <c:numCache>
                <c:formatCode>_(* #,##0.00_);_(* \(#,##0.00\);_(* "-"??_);_(@_)</c:formatCode>
                <c:ptCount val="1"/>
                <c:pt idx="0">
                  <c:v>1.99071485865738</c:v>
                </c:pt>
              </c:numCache>
            </c:numRef>
          </c:val>
          <c:extLst>
            <c:ext xmlns:c16="http://schemas.microsoft.com/office/drawing/2014/chart" uri="{C3380CC4-5D6E-409C-BE32-E72D297353CC}">
              <c16:uniqueId val="{00000005-294E-4235-8203-9B031D30E334}"/>
            </c:ext>
          </c:extLst>
        </c:ser>
        <c:ser>
          <c:idx val="4"/>
          <c:order val="4"/>
          <c:spPr>
            <a:solidFill>
              <a:schemeClr val="accent6">
                <a:lumMod val="75000"/>
              </a:schemeClr>
            </a:solidFill>
            <a:ln>
              <a:noFill/>
            </a:ln>
            <a:effectLst/>
          </c:spPr>
          <c:invertIfNegative val="0"/>
          <c:dLbls>
            <c:delete val="1"/>
          </c:dLbls>
          <c:cat>
            <c:numRef>
              <c:f>'VI - ALIGNEMENT'!$B$55</c:f>
              <c:numCache>
                <c:formatCode>_(* #,##0.00_);_(* \(#,##0.00\);_(* "-"??_);_(@_)</c:formatCode>
                <c:ptCount val="1"/>
                <c:pt idx="0">
                  <c:v>1.99071485865738</c:v>
                </c:pt>
              </c:numCache>
            </c:numRef>
          </c:cat>
          <c:val>
            <c:numRef>
              <c:f>'VI - ALIGNEMENT'!$B$61</c:f>
              <c:numCache>
                <c:formatCode>_(* #,##0.00_);_(* \(#,##0.00\);_(* "-"??_);_(@_)</c:formatCode>
                <c:ptCount val="1"/>
                <c:pt idx="0">
                  <c:v>0</c:v>
                </c:pt>
              </c:numCache>
            </c:numRef>
          </c:val>
          <c:extLst>
            <c:ext xmlns:c16="http://schemas.microsoft.com/office/drawing/2014/chart" uri="{C3380CC4-5D6E-409C-BE32-E72D297353CC}">
              <c16:uniqueId val="{00000006-294E-4235-8203-9B031D30E334}"/>
            </c:ext>
          </c:extLst>
        </c:ser>
        <c:dLbls>
          <c:showLegendKey val="0"/>
          <c:showVal val="1"/>
          <c:showCatName val="0"/>
          <c:showSerName val="0"/>
          <c:showPercent val="0"/>
          <c:showBubbleSize val="0"/>
        </c:dLbls>
        <c:gapWidth val="219"/>
        <c:overlap val="100"/>
        <c:axId val="1019146224"/>
        <c:axId val="1019151984"/>
      </c:barChart>
      <c:lineChart>
        <c:grouping val="standard"/>
        <c:varyColors val="0"/>
        <c:ser>
          <c:idx val="5"/>
          <c:order val="5"/>
          <c:spPr>
            <a:ln w="28575" cap="rnd">
              <a:solidFill>
                <a:schemeClr val="accent6"/>
              </a:solidFill>
              <a:round/>
            </a:ln>
            <a:effectLst/>
          </c:spPr>
          <c:marker>
            <c:symbol val="none"/>
          </c:marker>
          <c:dLbls>
            <c:dLbl>
              <c:idx val="0"/>
              <c:layout>
                <c:manualLayout>
                  <c:x val="-9.0860502841919072E-2"/>
                  <c:y val="-5.1350816740054421E-2"/>
                </c:manualLayout>
              </c:layout>
              <c:tx>
                <c:rich>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Prompt Light" panose="00000400000000000000" pitchFamily="2" charset="-34"/>
                      </a:defRPr>
                    </a:pPr>
                    <a:r>
                      <a:rPr lang="en-US"/>
                      <a:t>2,01</a:t>
                    </a:r>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Prompt Light" panose="00000400000000000000" pitchFamily="2" charset="-34"/>
                    </a:defRPr>
                  </a:pPr>
                  <a:endParaRPr lang="fr-FR"/>
                </a:p>
              </c:tx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294E-4235-8203-9B031D30E334}"/>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Prompt Light" panose="00000400000000000000" pitchFamily="2" charset="-34"/>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'VI - ALIGNEMENT'!$B$55</c:f>
              <c:numCache>
                <c:formatCode>_(* #,##0.00_);_(* \(#,##0.00\);_(* "-"??_);_(@_)</c:formatCode>
                <c:ptCount val="1"/>
                <c:pt idx="0">
                  <c:v>1.99071485865738</c:v>
                </c:pt>
              </c:numCache>
            </c:numRef>
          </c:cat>
          <c:val>
            <c:numRef>
              <c:f>'VI - ALIGNEMENT'!$B$62</c:f>
              <c:numCache>
                <c:formatCode>_(* #,##0.00_);_(* \(#,##0.00\);_(* "-"??_);_(@_)</c:formatCode>
                <c:ptCount val="1"/>
                <c:pt idx="0">
                  <c:v>1.99071485865738</c:v>
                </c:pt>
              </c:numCache>
            </c:numRef>
          </c:val>
          <c:smooth val="0"/>
          <c:extLst>
            <c:ext xmlns:c16="http://schemas.microsoft.com/office/drawing/2014/chart" uri="{C3380CC4-5D6E-409C-BE32-E72D297353CC}">
              <c16:uniqueId val="{00000008-294E-4235-8203-9B031D30E334}"/>
            </c:ext>
          </c:extLst>
        </c:ser>
        <c:dLbls>
          <c:showLegendKey val="0"/>
          <c:showVal val="0"/>
          <c:showCatName val="0"/>
          <c:showSerName val="0"/>
          <c:showPercent val="0"/>
          <c:showBubbleSize val="0"/>
        </c:dLbls>
        <c:marker val="1"/>
        <c:smooth val="0"/>
        <c:axId val="1019146224"/>
        <c:axId val="1019151984"/>
      </c:lineChart>
      <c:catAx>
        <c:axId val="987497296"/>
        <c:scaling>
          <c:orientation val="minMax"/>
        </c:scaling>
        <c:delete val="1"/>
        <c:axPos val="b"/>
        <c:numFmt formatCode="_(* #,##0.00_);_(* \(#,##0.00\);_(* &quot;-&quot;??_);_(@_)" sourceLinked="1"/>
        <c:majorTickMark val="out"/>
        <c:minorTickMark val="none"/>
        <c:tickLblPos val="nextTo"/>
        <c:crossAx val="987504136"/>
        <c:crosses val="autoZero"/>
        <c:auto val="1"/>
        <c:lblAlgn val="ctr"/>
        <c:lblOffset val="100"/>
        <c:tickLblSkip val="1"/>
        <c:noMultiLvlLbl val="0"/>
      </c:catAx>
      <c:valAx>
        <c:axId val="987504136"/>
        <c:scaling>
          <c:orientation val="minMax"/>
          <c:max val="5"/>
        </c:scaling>
        <c:delete val="0"/>
        <c:axPos val="l"/>
        <c:numFmt formatCode="_-* #,##0.0_-;\-* #,##0.0_-;_-* &quot;-&quot;?_-;_-@_-" sourceLinked="0"/>
        <c:majorTickMark val="in"/>
        <c:minorTickMark val="none"/>
        <c:tickLblPos val="nextTo"/>
        <c:spPr>
          <a:noFill/>
          <a:ln>
            <a:solidFill>
              <a:srgbClr val="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crossAx val="987497296"/>
        <c:crosses val="autoZero"/>
        <c:crossBetween val="between"/>
      </c:valAx>
      <c:valAx>
        <c:axId val="1019151984"/>
        <c:scaling>
          <c:orientation val="minMax"/>
          <c:max val="5"/>
        </c:scaling>
        <c:delete val="1"/>
        <c:axPos val="r"/>
        <c:numFmt formatCode="_(* #,##0.00_);_(* \(#,##0.00\);_(* &quot;-&quot;??_);_(@_)" sourceLinked="1"/>
        <c:majorTickMark val="out"/>
        <c:minorTickMark val="none"/>
        <c:tickLblPos val="nextTo"/>
        <c:crossAx val="1019146224"/>
        <c:crosses val="max"/>
        <c:crossBetween val="between"/>
      </c:valAx>
      <c:catAx>
        <c:axId val="1019146224"/>
        <c:scaling>
          <c:orientation val="minMax"/>
        </c:scaling>
        <c:delete val="1"/>
        <c:axPos val="t"/>
        <c:numFmt formatCode="_(* #,##0.00_);_(* \(#,##0.00\);_(* &quot;-&quot;??_);_(@_)" sourceLinked="1"/>
        <c:majorTickMark val="out"/>
        <c:minorTickMark val="none"/>
        <c:tickLblPos val="nextTo"/>
        <c:crossAx val="1019151984"/>
        <c:crosses val="max"/>
        <c:auto val="1"/>
        <c:lblAlgn val="ctr"/>
        <c:lblOffset val="100"/>
        <c:noMultiLvlLbl val="0"/>
      </c:cat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rgbClr val="FFFFFF"/>
    </a:solidFill>
    <a:ln w="9525" cap="flat" cmpd="sng" algn="ctr">
      <a:solidFill>
        <a:schemeClr val="bg1">
          <a:lumMod val="85000"/>
        </a:schemeClr>
      </a:solidFill>
      <a:round/>
    </a:ln>
    <a:effectLst/>
  </c:spPr>
  <c:txPr>
    <a:bodyPr/>
    <a:lstStyle/>
    <a:p>
      <a:pPr>
        <a:defRPr/>
      </a:pPr>
      <a:endParaRPr lang="fr-FR"/>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noFill/>
            <a:ln>
              <a:solidFill>
                <a:srgbClr val="000000"/>
              </a:solidFill>
            </a:ln>
            <a:effectLst/>
          </c:spPr>
          <c:invertIfNegative val="0"/>
          <c:dLbls>
            <c:delete val="1"/>
          </c:dLbls>
          <c:cat>
            <c:numRef>
              <c:f>'VI - ALIGNEMENT'!$C$76</c:f>
              <c:numCache>
                <c:formatCode>_(* #,##0.00_);_(* \(#,##0.00\);_(* "-"??_);_(@_)</c:formatCode>
                <c:ptCount val="1"/>
                <c:pt idx="0">
                  <c:v>2.0297462392701799</c:v>
                </c:pt>
              </c:numCache>
            </c:numRef>
          </c:cat>
          <c:val>
            <c:numRef>
              <c:f>'VI - ALIGNEMENT'!$C$78</c:f>
              <c:numCache>
                <c:formatCode>_(* #,##0.00_);_(* \(#,##0.00\);_(* "-"??_);_(@_)</c:formatCode>
                <c:ptCount val="1"/>
                <c:pt idx="0">
                  <c:v>5</c:v>
                </c:pt>
              </c:numCache>
            </c:numRef>
          </c:val>
          <c:extLst>
            <c:ext xmlns:c16="http://schemas.microsoft.com/office/drawing/2014/chart" uri="{C3380CC4-5D6E-409C-BE32-E72D297353CC}">
              <c16:uniqueId val="{00000000-888D-4435-A4BB-41A5833717BE}"/>
            </c:ext>
          </c:extLst>
        </c:ser>
        <c:dLbls>
          <c:showLegendKey val="0"/>
          <c:showVal val="1"/>
          <c:showCatName val="0"/>
          <c:showSerName val="0"/>
          <c:showPercent val="0"/>
          <c:showBubbleSize val="0"/>
        </c:dLbls>
        <c:gapWidth val="210"/>
        <c:overlap val="-27"/>
        <c:axId val="987497296"/>
        <c:axId val="987504136"/>
      </c:barChart>
      <c:barChart>
        <c:barDir val="col"/>
        <c:grouping val="clustered"/>
        <c:varyColors val="0"/>
        <c:ser>
          <c:idx val="1"/>
          <c:order val="1"/>
          <c:spPr>
            <a:solidFill>
              <a:schemeClr val="accent1">
                <a:lumMod val="75000"/>
              </a:schemeClr>
            </a:solidFill>
            <a:ln>
              <a:noFill/>
            </a:ln>
            <a:effectLst/>
          </c:spPr>
          <c:invertIfNegative val="0"/>
          <c:dLbls>
            <c:delete val="1"/>
          </c:dLbls>
          <c:cat>
            <c:numRef>
              <c:f>'VI - ALIGNEMENT'!$C$76</c:f>
              <c:numCache>
                <c:formatCode>_(* #,##0.00_);_(* \(#,##0.00\);_(* "-"??_);_(@_)</c:formatCode>
                <c:ptCount val="1"/>
                <c:pt idx="0">
                  <c:v>2.0297462392701799</c:v>
                </c:pt>
              </c:numCache>
            </c:numRef>
          </c:cat>
          <c:val>
            <c:numRef>
              <c:f>'VI - ALIGNEMENT'!$C$79</c:f>
              <c:numCache>
                <c:formatCode>_(* #,##0.00_);_(* \(#,##0.00\);_(* "-"??_);_(@_)</c:formatCode>
                <c:ptCount val="1"/>
                <c:pt idx="0">
                  <c:v>0</c:v>
                </c:pt>
              </c:numCache>
            </c:numRef>
          </c:val>
          <c:extLst>
            <c:ext xmlns:c16="http://schemas.microsoft.com/office/drawing/2014/chart" uri="{C3380CC4-5D6E-409C-BE32-E72D297353CC}">
              <c16:uniqueId val="{00000001-888D-4435-A4BB-41A5833717BE}"/>
            </c:ext>
          </c:extLst>
        </c:ser>
        <c:ser>
          <c:idx val="2"/>
          <c:order val="2"/>
          <c:spPr>
            <a:solidFill>
              <a:schemeClr val="accent3"/>
            </a:solidFill>
            <a:ln>
              <a:noFill/>
            </a:ln>
            <a:effectLst/>
          </c:spPr>
          <c:invertIfNegative val="0"/>
          <c:dPt>
            <c:idx val="0"/>
            <c:invertIfNegative val="0"/>
            <c:bubble3D val="0"/>
            <c:spPr>
              <a:solidFill>
                <a:schemeClr val="accent3"/>
              </a:solidFill>
              <a:ln>
                <a:noFill/>
              </a:ln>
              <a:effectLst/>
            </c:spPr>
            <c:extLst>
              <c:ext xmlns:c16="http://schemas.microsoft.com/office/drawing/2014/chart" uri="{C3380CC4-5D6E-409C-BE32-E72D297353CC}">
                <c16:uniqueId val="{00000003-888D-4435-A4BB-41A5833717BE}"/>
              </c:ext>
            </c:extLst>
          </c:dPt>
          <c:dLbls>
            <c:delete val="1"/>
          </c:dLbls>
          <c:cat>
            <c:numRef>
              <c:f>'VI - ALIGNEMENT'!$C$76</c:f>
              <c:numCache>
                <c:formatCode>_(* #,##0.00_);_(* \(#,##0.00\);_(* "-"??_);_(@_)</c:formatCode>
                <c:ptCount val="1"/>
                <c:pt idx="0">
                  <c:v>2.0297462392701799</c:v>
                </c:pt>
              </c:numCache>
            </c:numRef>
          </c:cat>
          <c:val>
            <c:numRef>
              <c:f>'VI - ALIGNEMENT'!$C$80</c:f>
              <c:numCache>
                <c:formatCode>_(* #,##0.00_);_(* \(#,##0.00\);_(* "-"??_);_(@_)</c:formatCode>
                <c:ptCount val="1"/>
                <c:pt idx="0">
                  <c:v>2.0297462392701799</c:v>
                </c:pt>
              </c:numCache>
            </c:numRef>
          </c:val>
          <c:extLst>
            <c:ext xmlns:c16="http://schemas.microsoft.com/office/drawing/2014/chart" uri="{C3380CC4-5D6E-409C-BE32-E72D297353CC}">
              <c16:uniqueId val="{00000004-888D-4435-A4BB-41A5833717BE}"/>
            </c:ext>
          </c:extLst>
        </c:ser>
        <c:ser>
          <c:idx val="3"/>
          <c:order val="3"/>
          <c:spPr>
            <a:solidFill>
              <a:srgbClr val="78BCBA"/>
            </a:solidFill>
            <a:ln>
              <a:noFill/>
            </a:ln>
            <a:effectLst/>
          </c:spPr>
          <c:invertIfNegative val="0"/>
          <c:dLbls>
            <c:delete val="1"/>
          </c:dLbls>
          <c:cat>
            <c:numRef>
              <c:f>'VI - ALIGNEMENT'!$C$76</c:f>
              <c:numCache>
                <c:formatCode>_(* #,##0.00_);_(* \(#,##0.00\);_(* "-"??_);_(@_)</c:formatCode>
                <c:ptCount val="1"/>
                <c:pt idx="0">
                  <c:v>2.0297462392701799</c:v>
                </c:pt>
              </c:numCache>
            </c:numRef>
          </c:cat>
          <c:val>
            <c:numRef>
              <c:f>'VI - ALIGNEMENT'!$C$81</c:f>
              <c:numCache>
                <c:formatCode>_(* #,##0.00_);_(* \(#,##0.00\);_(* "-"??_);_(@_)</c:formatCode>
                <c:ptCount val="1"/>
                <c:pt idx="0">
                  <c:v>0</c:v>
                </c:pt>
              </c:numCache>
            </c:numRef>
          </c:val>
          <c:extLst>
            <c:ext xmlns:c16="http://schemas.microsoft.com/office/drawing/2014/chart" uri="{C3380CC4-5D6E-409C-BE32-E72D297353CC}">
              <c16:uniqueId val="{00000005-888D-4435-A4BB-41A5833717BE}"/>
            </c:ext>
          </c:extLst>
        </c:ser>
        <c:ser>
          <c:idx val="4"/>
          <c:order val="4"/>
          <c:spPr>
            <a:solidFill>
              <a:schemeClr val="accent6">
                <a:lumMod val="75000"/>
              </a:schemeClr>
            </a:solidFill>
            <a:ln>
              <a:noFill/>
            </a:ln>
            <a:effectLst/>
          </c:spPr>
          <c:invertIfNegative val="0"/>
          <c:dLbls>
            <c:delete val="1"/>
          </c:dLbls>
          <c:cat>
            <c:numRef>
              <c:f>'VI - ALIGNEMENT'!$C$76</c:f>
              <c:numCache>
                <c:formatCode>_(* #,##0.00_);_(* \(#,##0.00\);_(* "-"??_);_(@_)</c:formatCode>
                <c:ptCount val="1"/>
                <c:pt idx="0">
                  <c:v>2.0297462392701799</c:v>
                </c:pt>
              </c:numCache>
            </c:numRef>
          </c:cat>
          <c:val>
            <c:numRef>
              <c:f>'VI - ALIGNEMENT'!$C$82</c:f>
              <c:numCache>
                <c:formatCode>_(* #,##0.00_);_(* \(#,##0.00\);_(* "-"??_);_(@_)</c:formatCode>
                <c:ptCount val="1"/>
                <c:pt idx="0">
                  <c:v>0</c:v>
                </c:pt>
              </c:numCache>
            </c:numRef>
          </c:val>
          <c:extLst>
            <c:ext xmlns:c16="http://schemas.microsoft.com/office/drawing/2014/chart" uri="{C3380CC4-5D6E-409C-BE32-E72D297353CC}">
              <c16:uniqueId val="{00000006-888D-4435-A4BB-41A5833717BE}"/>
            </c:ext>
          </c:extLst>
        </c:ser>
        <c:dLbls>
          <c:showLegendKey val="0"/>
          <c:showVal val="1"/>
          <c:showCatName val="0"/>
          <c:showSerName val="0"/>
          <c:showPercent val="0"/>
          <c:showBubbleSize val="0"/>
        </c:dLbls>
        <c:gapWidth val="219"/>
        <c:overlap val="100"/>
        <c:axId val="1019146224"/>
        <c:axId val="1019151984"/>
      </c:barChart>
      <c:lineChart>
        <c:grouping val="standard"/>
        <c:varyColors val="0"/>
        <c:ser>
          <c:idx val="5"/>
          <c:order val="5"/>
          <c:spPr>
            <a:ln w="28575" cap="rnd">
              <a:solidFill>
                <a:schemeClr val="accent6"/>
              </a:solidFill>
              <a:round/>
            </a:ln>
            <a:effectLst/>
          </c:spPr>
          <c:marker>
            <c:symbol val="none"/>
          </c:marker>
          <c:dLbls>
            <c:dLbl>
              <c:idx val="0"/>
              <c:layout>
                <c:manualLayout>
                  <c:x val="-0.14037396935752239"/>
                  <c:y val="-5.5572663116280591E-2"/>
                </c:manualLayout>
              </c:layout>
              <c:tx>
                <c:rich>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Prompt Light" panose="00000400000000000000" pitchFamily="2" charset="-34"/>
                      </a:defRPr>
                    </a:pPr>
                    <a:r>
                      <a:rPr lang="en-US"/>
                      <a:t>2,02</a:t>
                    </a:r>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Prompt Light" panose="00000400000000000000" pitchFamily="2" charset="-34"/>
                    </a:defRPr>
                  </a:pPr>
                  <a:endParaRPr lang="fr-FR"/>
                </a:p>
              </c:tx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888D-4435-A4BB-41A5833717BE}"/>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Prompt Light" panose="00000400000000000000" pitchFamily="2" charset="-34"/>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'VI - ALIGNEMENT'!$C$76</c:f>
              <c:numCache>
                <c:formatCode>_(* #,##0.00_);_(* \(#,##0.00\);_(* "-"??_);_(@_)</c:formatCode>
                <c:ptCount val="1"/>
                <c:pt idx="0">
                  <c:v>2.0297462392701799</c:v>
                </c:pt>
              </c:numCache>
            </c:numRef>
          </c:cat>
          <c:val>
            <c:numRef>
              <c:f>'VI - ALIGNEMENT'!$C$83</c:f>
              <c:numCache>
                <c:formatCode>_(* #,##0.00_);_(* \(#,##0.00\);_(* "-"??_);_(@_)</c:formatCode>
                <c:ptCount val="1"/>
                <c:pt idx="0">
                  <c:v>2.0297462392701799</c:v>
                </c:pt>
              </c:numCache>
            </c:numRef>
          </c:val>
          <c:smooth val="0"/>
          <c:extLst>
            <c:ext xmlns:c16="http://schemas.microsoft.com/office/drawing/2014/chart" uri="{C3380CC4-5D6E-409C-BE32-E72D297353CC}">
              <c16:uniqueId val="{00000008-888D-4435-A4BB-41A5833717BE}"/>
            </c:ext>
          </c:extLst>
        </c:ser>
        <c:dLbls>
          <c:showLegendKey val="0"/>
          <c:showVal val="0"/>
          <c:showCatName val="0"/>
          <c:showSerName val="0"/>
          <c:showPercent val="0"/>
          <c:showBubbleSize val="0"/>
        </c:dLbls>
        <c:marker val="1"/>
        <c:smooth val="0"/>
        <c:axId val="1019146224"/>
        <c:axId val="1019151984"/>
      </c:lineChart>
      <c:catAx>
        <c:axId val="987497296"/>
        <c:scaling>
          <c:orientation val="minMax"/>
        </c:scaling>
        <c:delete val="1"/>
        <c:axPos val="b"/>
        <c:numFmt formatCode="_(* #,##0.00_);_(* \(#,##0.00\);_(* &quot;-&quot;??_);_(@_)" sourceLinked="1"/>
        <c:majorTickMark val="out"/>
        <c:minorTickMark val="none"/>
        <c:tickLblPos val="nextTo"/>
        <c:crossAx val="987504136"/>
        <c:crossesAt val="0"/>
        <c:auto val="1"/>
        <c:lblAlgn val="ctr"/>
        <c:lblOffset val="100"/>
        <c:tickLblSkip val="1"/>
        <c:noMultiLvlLbl val="0"/>
      </c:catAx>
      <c:valAx>
        <c:axId val="987504136"/>
        <c:scaling>
          <c:orientation val="minMax"/>
          <c:max val="5"/>
        </c:scaling>
        <c:delete val="0"/>
        <c:axPos val="l"/>
        <c:numFmt formatCode="_-* #,##0.0_-;\-* #,##0.0_-;_-* &quot;-&quot;?_-;_-@_-" sourceLinked="0"/>
        <c:majorTickMark val="in"/>
        <c:minorTickMark val="none"/>
        <c:tickLblPos val="nextTo"/>
        <c:spPr>
          <a:noFill/>
          <a:ln>
            <a:solidFill>
              <a:srgbClr val="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crossAx val="987497296"/>
        <c:crosses val="autoZero"/>
        <c:crossBetween val="between"/>
      </c:valAx>
      <c:valAx>
        <c:axId val="1019151984"/>
        <c:scaling>
          <c:orientation val="minMax"/>
          <c:max val="5"/>
        </c:scaling>
        <c:delete val="1"/>
        <c:axPos val="r"/>
        <c:numFmt formatCode="_(* #,##0.00_);_(* \(#,##0.00\);_(* &quot;-&quot;??_);_(@_)" sourceLinked="1"/>
        <c:majorTickMark val="out"/>
        <c:minorTickMark val="none"/>
        <c:tickLblPos val="nextTo"/>
        <c:crossAx val="1019146224"/>
        <c:crosses val="max"/>
        <c:crossBetween val="between"/>
      </c:valAx>
      <c:catAx>
        <c:axId val="1019146224"/>
        <c:scaling>
          <c:orientation val="minMax"/>
        </c:scaling>
        <c:delete val="1"/>
        <c:axPos val="t"/>
        <c:numFmt formatCode="_(* #,##0.00_);_(* \(#,##0.00\);_(* &quot;-&quot;??_);_(@_)" sourceLinked="1"/>
        <c:majorTickMark val="out"/>
        <c:minorTickMark val="none"/>
        <c:tickLblPos val="nextTo"/>
        <c:crossAx val="1019151984"/>
        <c:crosses val="max"/>
        <c:auto val="1"/>
        <c:lblAlgn val="ctr"/>
        <c:lblOffset val="100"/>
        <c:noMultiLvlLbl val="0"/>
      </c:cat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fr-FR"/>
    </a:p>
  </c:txPr>
  <c:externalData r:id="rId4">
    <c:autoUpdate val="0"/>
  </c:externalData>
  <c:userShapes r:id="rId5"/>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noFill/>
            <a:ln>
              <a:solidFill>
                <a:srgbClr val="000000"/>
              </a:solidFill>
            </a:ln>
            <a:effectLst/>
          </c:spPr>
          <c:invertIfNegative val="0"/>
          <c:dLbls>
            <c:delete val="1"/>
          </c:dLbls>
          <c:cat>
            <c:numRef>
              <c:f>'VI - ALIGNEMENT'!$C$76</c:f>
              <c:numCache>
                <c:formatCode>_(* #,##0.00_);_(* \(#,##0.00\);_(* "-"??_);_(@_)</c:formatCode>
                <c:ptCount val="1"/>
                <c:pt idx="0">
                  <c:v>2.0297462392701799</c:v>
                </c:pt>
              </c:numCache>
            </c:numRef>
          </c:cat>
          <c:val>
            <c:numRef>
              <c:f>'VI - ALIGNEMENT'!$C$78</c:f>
              <c:numCache>
                <c:formatCode>_(* #,##0.00_);_(* \(#,##0.00\);_(* "-"??_);_(@_)</c:formatCode>
                <c:ptCount val="1"/>
                <c:pt idx="0">
                  <c:v>5</c:v>
                </c:pt>
              </c:numCache>
            </c:numRef>
          </c:val>
          <c:extLst>
            <c:ext xmlns:c16="http://schemas.microsoft.com/office/drawing/2014/chart" uri="{C3380CC4-5D6E-409C-BE32-E72D297353CC}">
              <c16:uniqueId val="{00000000-888D-4435-A4BB-41A5833717BE}"/>
            </c:ext>
          </c:extLst>
        </c:ser>
        <c:dLbls>
          <c:showLegendKey val="0"/>
          <c:showVal val="1"/>
          <c:showCatName val="0"/>
          <c:showSerName val="0"/>
          <c:showPercent val="0"/>
          <c:showBubbleSize val="0"/>
        </c:dLbls>
        <c:gapWidth val="210"/>
        <c:overlap val="-27"/>
        <c:axId val="987497296"/>
        <c:axId val="987504136"/>
      </c:barChart>
      <c:barChart>
        <c:barDir val="col"/>
        <c:grouping val="clustered"/>
        <c:varyColors val="0"/>
        <c:ser>
          <c:idx val="1"/>
          <c:order val="1"/>
          <c:spPr>
            <a:solidFill>
              <a:schemeClr val="accent1">
                <a:lumMod val="75000"/>
              </a:schemeClr>
            </a:solidFill>
            <a:ln>
              <a:noFill/>
            </a:ln>
            <a:effectLst/>
          </c:spPr>
          <c:invertIfNegative val="0"/>
          <c:dLbls>
            <c:delete val="1"/>
          </c:dLbls>
          <c:cat>
            <c:numRef>
              <c:f>'VI - ALIGNEMENT'!$C$76</c:f>
              <c:numCache>
                <c:formatCode>_(* #,##0.00_);_(* \(#,##0.00\);_(* "-"??_);_(@_)</c:formatCode>
                <c:ptCount val="1"/>
                <c:pt idx="0">
                  <c:v>2.0297462392701799</c:v>
                </c:pt>
              </c:numCache>
            </c:numRef>
          </c:cat>
          <c:val>
            <c:numRef>
              <c:f>'VI - ALIGNEMENT'!$C$79</c:f>
              <c:numCache>
                <c:formatCode>_(* #,##0.00_);_(* \(#,##0.00\);_(* "-"??_);_(@_)</c:formatCode>
                <c:ptCount val="1"/>
                <c:pt idx="0">
                  <c:v>0</c:v>
                </c:pt>
              </c:numCache>
            </c:numRef>
          </c:val>
          <c:extLst>
            <c:ext xmlns:c16="http://schemas.microsoft.com/office/drawing/2014/chart" uri="{C3380CC4-5D6E-409C-BE32-E72D297353CC}">
              <c16:uniqueId val="{00000001-888D-4435-A4BB-41A5833717BE}"/>
            </c:ext>
          </c:extLst>
        </c:ser>
        <c:ser>
          <c:idx val="2"/>
          <c:order val="2"/>
          <c:spPr>
            <a:solidFill>
              <a:schemeClr val="accent3"/>
            </a:solidFill>
            <a:ln>
              <a:noFill/>
            </a:ln>
            <a:effectLst/>
          </c:spPr>
          <c:invertIfNegative val="0"/>
          <c:dPt>
            <c:idx val="0"/>
            <c:invertIfNegative val="0"/>
            <c:bubble3D val="0"/>
            <c:spPr>
              <a:solidFill>
                <a:schemeClr val="accent3"/>
              </a:solidFill>
              <a:ln>
                <a:noFill/>
              </a:ln>
              <a:effectLst/>
            </c:spPr>
            <c:extLst>
              <c:ext xmlns:c16="http://schemas.microsoft.com/office/drawing/2014/chart" uri="{C3380CC4-5D6E-409C-BE32-E72D297353CC}">
                <c16:uniqueId val="{00000003-888D-4435-A4BB-41A5833717BE}"/>
              </c:ext>
            </c:extLst>
          </c:dPt>
          <c:dLbls>
            <c:delete val="1"/>
          </c:dLbls>
          <c:cat>
            <c:numRef>
              <c:f>'VI - ALIGNEMENT'!$C$76</c:f>
              <c:numCache>
                <c:formatCode>_(* #,##0.00_);_(* \(#,##0.00\);_(* "-"??_);_(@_)</c:formatCode>
                <c:ptCount val="1"/>
                <c:pt idx="0">
                  <c:v>2.0297462392701799</c:v>
                </c:pt>
              </c:numCache>
            </c:numRef>
          </c:cat>
          <c:val>
            <c:numRef>
              <c:f>'VI - ALIGNEMENT'!$C$80</c:f>
              <c:numCache>
                <c:formatCode>_(* #,##0.00_);_(* \(#,##0.00\);_(* "-"??_);_(@_)</c:formatCode>
                <c:ptCount val="1"/>
                <c:pt idx="0">
                  <c:v>2.0297462392701799</c:v>
                </c:pt>
              </c:numCache>
            </c:numRef>
          </c:val>
          <c:extLst>
            <c:ext xmlns:c16="http://schemas.microsoft.com/office/drawing/2014/chart" uri="{C3380CC4-5D6E-409C-BE32-E72D297353CC}">
              <c16:uniqueId val="{00000004-888D-4435-A4BB-41A5833717BE}"/>
            </c:ext>
          </c:extLst>
        </c:ser>
        <c:ser>
          <c:idx val="3"/>
          <c:order val="3"/>
          <c:spPr>
            <a:solidFill>
              <a:srgbClr val="78BCBA"/>
            </a:solidFill>
            <a:ln>
              <a:noFill/>
            </a:ln>
            <a:effectLst/>
          </c:spPr>
          <c:invertIfNegative val="0"/>
          <c:dLbls>
            <c:delete val="1"/>
          </c:dLbls>
          <c:cat>
            <c:numRef>
              <c:f>'VI - ALIGNEMENT'!$C$76</c:f>
              <c:numCache>
                <c:formatCode>_(* #,##0.00_);_(* \(#,##0.00\);_(* "-"??_);_(@_)</c:formatCode>
                <c:ptCount val="1"/>
                <c:pt idx="0">
                  <c:v>2.0297462392701799</c:v>
                </c:pt>
              </c:numCache>
            </c:numRef>
          </c:cat>
          <c:val>
            <c:numRef>
              <c:f>'VI - ALIGNEMENT'!$C$81</c:f>
              <c:numCache>
                <c:formatCode>_(* #,##0.00_);_(* \(#,##0.00\);_(* "-"??_);_(@_)</c:formatCode>
                <c:ptCount val="1"/>
                <c:pt idx="0">
                  <c:v>0</c:v>
                </c:pt>
              </c:numCache>
            </c:numRef>
          </c:val>
          <c:extLst>
            <c:ext xmlns:c16="http://schemas.microsoft.com/office/drawing/2014/chart" uri="{C3380CC4-5D6E-409C-BE32-E72D297353CC}">
              <c16:uniqueId val="{00000005-888D-4435-A4BB-41A5833717BE}"/>
            </c:ext>
          </c:extLst>
        </c:ser>
        <c:ser>
          <c:idx val="4"/>
          <c:order val="4"/>
          <c:spPr>
            <a:solidFill>
              <a:schemeClr val="accent6">
                <a:lumMod val="75000"/>
              </a:schemeClr>
            </a:solidFill>
            <a:ln>
              <a:noFill/>
            </a:ln>
            <a:effectLst/>
          </c:spPr>
          <c:invertIfNegative val="0"/>
          <c:dLbls>
            <c:delete val="1"/>
          </c:dLbls>
          <c:cat>
            <c:numRef>
              <c:f>'VI - ALIGNEMENT'!$C$76</c:f>
              <c:numCache>
                <c:formatCode>_(* #,##0.00_);_(* \(#,##0.00\);_(* "-"??_);_(@_)</c:formatCode>
                <c:ptCount val="1"/>
                <c:pt idx="0">
                  <c:v>2.0297462392701799</c:v>
                </c:pt>
              </c:numCache>
            </c:numRef>
          </c:cat>
          <c:val>
            <c:numRef>
              <c:f>'VI - ALIGNEMENT'!$C$82</c:f>
              <c:numCache>
                <c:formatCode>_(* #,##0.00_);_(* \(#,##0.00\);_(* "-"??_);_(@_)</c:formatCode>
                <c:ptCount val="1"/>
                <c:pt idx="0">
                  <c:v>0</c:v>
                </c:pt>
              </c:numCache>
            </c:numRef>
          </c:val>
          <c:extLst>
            <c:ext xmlns:c16="http://schemas.microsoft.com/office/drawing/2014/chart" uri="{C3380CC4-5D6E-409C-BE32-E72D297353CC}">
              <c16:uniqueId val="{00000006-888D-4435-A4BB-41A5833717BE}"/>
            </c:ext>
          </c:extLst>
        </c:ser>
        <c:dLbls>
          <c:showLegendKey val="0"/>
          <c:showVal val="1"/>
          <c:showCatName val="0"/>
          <c:showSerName val="0"/>
          <c:showPercent val="0"/>
          <c:showBubbleSize val="0"/>
        </c:dLbls>
        <c:gapWidth val="219"/>
        <c:overlap val="100"/>
        <c:axId val="1019146224"/>
        <c:axId val="1019151984"/>
      </c:barChart>
      <c:lineChart>
        <c:grouping val="standard"/>
        <c:varyColors val="0"/>
        <c:ser>
          <c:idx val="5"/>
          <c:order val="5"/>
          <c:spPr>
            <a:ln w="28575" cap="rnd">
              <a:solidFill>
                <a:schemeClr val="accent6"/>
              </a:solidFill>
              <a:round/>
            </a:ln>
            <a:effectLst/>
          </c:spPr>
          <c:marker>
            <c:symbol val="none"/>
          </c:marker>
          <c:dLbls>
            <c:dLbl>
              <c:idx val="0"/>
              <c:layout>
                <c:manualLayout>
                  <c:x val="-0.14037396935752239"/>
                  <c:y val="-5.5572663116280591E-2"/>
                </c:manualLayout>
              </c:layout>
              <c:tx>
                <c:rich>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Prompt Light" panose="00000400000000000000" pitchFamily="2" charset="-34"/>
                      </a:defRPr>
                    </a:pPr>
                    <a:r>
                      <a:rPr lang="en-US"/>
                      <a:t>2,02</a:t>
                    </a:r>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Prompt Light" panose="00000400000000000000" pitchFamily="2" charset="-34"/>
                    </a:defRPr>
                  </a:pPr>
                  <a:endParaRPr lang="fr-FR"/>
                </a:p>
              </c:tx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888D-4435-A4BB-41A5833717BE}"/>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Prompt Light" panose="00000400000000000000" pitchFamily="2" charset="-34"/>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'VI - ALIGNEMENT'!$C$76</c:f>
              <c:numCache>
                <c:formatCode>_(* #,##0.00_);_(* \(#,##0.00\);_(* "-"??_);_(@_)</c:formatCode>
                <c:ptCount val="1"/>
                <c:pt idx="0">
                  <c:v>2.0297462392701799</c:v>
                </c:pt>
              </c:numCache>
            </c:numRef>
          </c:cat>
          <c:val>
            <c:numRef>
              <c:f>'VI - ALIGNEMENT'!$C$83</c:f>
              <c:numCache>
                <c:formatCode>_(* #,##0.00_);_(* \(#,##0.00\);_(* "-"??_);_(@_)</c:formatCode>
                <c:ptCount val="1"/>
                <c:pt idx="0">
                  <c:v>2.0297462392701799</c:v>
                </c:pt>
              </c:numCache>
            </c:numRef>
          </c:val>
          <c:smooth val="0"/>
          <c:extLst>
            <c:ext xmlns:c16="http://schemas.microsoft.com/office/drawing/2014/chart" uri="{C3380CC4-5D6E-409C-BE32-E72D297353CC}">
              <c16:uniqueId val="{00000008-888D-4435-A4BB-41A5833717BE}"/>
            </c:ext>
          </c:extLst>
        </c:ser>
        <c:dLbls>
          <c:showLegendKey val="0"/>
          <c:showVal val="0"/>
          <c:showCatName val="0"/>
          <c:showSerName val="0"/>
          <c:showPercent val="0"/>
          <c:showBubbleSize val="0"/>
        </c:dLbls>
        <c:marker val="1"/>
        <c:smooth val="0"/>
        <c:axId val="1019146224"/>
        <c:axId val="1019151984"/>
      </c:lineChart>
      <c:catAx>
        <c:axId val="987497296"/>
        <c:scaling>
          <c:orientation val="minMax"/>
        </c:scaling>
        <c:delete val="1"/>
        <c:axPos val="b"/>
        <c:numFmt formatCode="_(* #,##0.00_);_(* \(#,##0.00\);_(* &quot;-&quot;??_);_(@_)" sourceLinked="1"/>
        <c:majorTickMark val="out"/>
        <c:minorTickMark val="none"/>
        <c:tickLblPos val="nextTo"/>
        <c:crossAx val="987504136"/>
        <c:crossesAt val="0"/>
        <c:auto val="1"/>
        <c:lblAlgn val="ctr"/>
        <c:lblOffset val="100"/>
        <c:tickLblSkip val="1"/>
        <c:noMultiLvlLbl val="0"/>
      </c:catAx>
      <c:valAx>
        <c:axId val="987504136"/>
        <c:scaling>
          <c:orientation val="minMax"/>
          <c:max val="5"/>
        </c:scaling>
        <c:delete val="0"/>
        <c:axPos val="l"/>
        <c:numFmt formatCode="_-* #,##0.0_-;\-* #,##0.0_-;_-* &quot;-&quot;?_-;_-@_-" sourceLinked="0"/>
        <c:majorTickMark val="in"/>
        <c:minorTickMark val="none"/>
        <c:tickLblPos val="nextTo"/>
        <c:spPr>
          <a:noFill/>
          <a:ln>
            <a:solidFill>
              <a:srgbClr val="00000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crossAx val="987497296"/>
        <c:crosses val="autoZero"/>
        <c:crossBetween val="between"/>
      </c:valAx>
      <c:valAx>
        <c:axId val="1019151984"/>
        <c:scaling>
          <c:orientation val="minMax"/>
          <c:max val="5"/>
        </c:scaling>
        <c:delete val="1"/>
        <c:axPos val="r"/>
        <c:numFmt formatCode="_(* #,##0.00_);_(* \(#,##0.00\);_(* &quot;-&quot;??_);_(@_)" sourceLinked="1"/>
        <c:majorTickMark val="out"/>
        <c:minorTickMark val="none"/>
        <c:tickLblPos val="nextTo"/>
        <c:crossAx val="1019146224"/>
        <c:crosses val="max"/>
        <c:crossBetween val="between"/>
      </c:valAx>
      <c:catAx>
        <c:axId val="1019146224"/>
        <c:scaling>
          <c:orientation val="minMax"/>
        </c:scaling>
        <c:delete val="1"/>
        <c:axPos val="t"/>
        <c:numFmt formatCode="_(* #,##0.00_);_(* \(#,##0.00\);_(* &quot;-&quot;??_);_(@_)" sourceLinked="1"/>
        <c:majorTickMark val="out"/>
        <c:minorTickMark val="none"/>
        <c:tickLblPos val="nextTo"/>
        <c:crossAx val="1019151984"/>
        <c:crosses val="max"/>
        <c:auto val="1"/>
        <c:lblAlgn val="ctr"/>
        <c:lblOffset val="100"/>
        <c:noMultiLvlLbl val="0"/>
      </c:cat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fr-FR"/>
    </a:p>
  </c:txPr>
  <c:externalData r:id="rId4">
    <c:autoUpdate val="0"/>
  </c:externalData>
  <c:userShapes r:id="rId5"/>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fr-FR" sz="1100" b="1" i="0" u="none" strike="noStrike" kern="1200" spc="0" baseline="0">
                <a:solidFill>
                  <a:sysClr val="windowText" lastClr="000000"/>
                </a:solidFill>
                <a:effectLst/>
              </a:rPr>
              <a:t>Evolution de l'intensité carbone des obligations souveraines (et assimilées) en portefeuille depuis 2022</a:t>
            </a:r>
          </a:p>
        </c:rich>
      </c:tx>
      <c:overlay val="0"/>
      <c:spPr>
        <a:noFill/>
        <a:ln>
          <a:noFill/>
        </a:ln>
        <a:effectLst/>
      </c:spPr>
      <c:txPr>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'XI - CSRD'!$G$27</c:f>
              <c:strCache>
                <c:ptCount val="1"/>
                <c:pt idx="0">
                  <c:v>Emissions par PIB (Teq CO2/million d'EUR) - Emetteurs Souverains</c:v>
                </c:pt>
              </c:strCache>
            </c:strRef>
          </c:tx>
          <c:spPr>
            <a:solidFill>
              <a:schemeClr val="accent3"/>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DD35-4CEC-92D4-C1D26AA2D52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'XI - CSRD'!$H$26:$K$26</c:f>
              <c:numCache>
                <c:formatCode>General</c:formatCode>
                <c:ptCount val="4"/>
                <c:pt idx="0">
                  <c:v>2025</c:v>
                </c:pt>
                <c:pt idx="1">
                  <c:v>2024</c:v>
                </c:pt>
                <c:pt idx="2">
                  <c:v>2023</c:v>
                </c:pt>
                <c:pt idx="3">
                  <c:v>2022</c:v>
                </c:pt>
              </c:numCache>
            </c:numRef>
          </c:cat>
          <c:val>
            <c:numRef>
              <c:f>'XI - CSRD'!$H$29:$K$29</c:f>
              <c:numCache>
                <c:formatCode>General</c:formatCode>
                <c:ptCount val="4"/>
                <c:pt idx="0" formatCode="0">
                  <c:v>151.763461209198</c:v>
                </c:pt>
                <c:pt idx="1">
                  <c:v>287</c:v>
                </c:pt>
                <c:pt idx="2">
                  <c:v>199</c:v>
                </c:pt>
                <c:pt idx="3">
                  <c:v>224</c:v>
                </c:pt>
              </c:numCache>
            </c:numRef>
          </c:val>
          <c:extLst>
            <c:ext xmlns:c16="http://schemas.microsoft.com/office/drawing/2014/chart" uri="{C3380CC4-5D6E-409C-BE32-E72D297353CC}">
              <c16:uniqueId val="{00000000-DD35-4CEC-92D4-C1D26AA2D523}"/>
            </c:ext>
          </c:extLst>
        </c:ser>
        <c:dLbls>
          <c:showLegendKey val="0"/>
          <c:showVal val="0"/>
          <c:showCatName val="0"/>
          <c:showSerName val="0"/>
          <c:showPercent val="0"/>
          <c:showBubbleSize val="0"/>
        </c:dLbls>
        <c:gapWidth val="182"/>
        <c:axId val="1450986288"/>
        <c:axId val="1450980048"/>
      </c:barChart>
      <c:catAx>
        <c:axId val="145098628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50980048"/>
        <c:crosses val="autoZero"/>
        <c:auto val="1"/>
        <c:lblAlgn val="ctr"/>
        <c:lblOffset val="100"/>
        <c:noMultiLvlLbl val="0"/>
      </c:catAx>
      <c:valAx>
        <c:axId val="145098004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5098628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rgbClr val="FFFFFF"/>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r>
              <a:rPr lang="en-US" sz="1100" b="1"/>
              <a:t>Représentation des scores ASCOR sur le portefeuille souverain (en quartiles de performance)</a:t>
            </a:r>
          </a:p>
        </c:rich>
      </c:tx>
      <c:layout>
        <c:manualLayout>
          <c:xMode val="edge"/>
          <c:yMode val="edge"/>
          <c:x val="0.18745280222435992"/>
          <c:y val="2.4245285930511482E-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'ARP - Calculs'!$O$4:$O$7</c:f>
              <c:strCache>
                <c:ptCount val="4"/>
                <c:pt idx="0">
                  <c:v>Top 25%</c:v>
                </c:pt>
                <c:pt idx="1">
                  <c:v>Top 50%</c:v>
                </c:pt>
                <c:pt idx="2">
                  <c:v>Worst 50%</c:v>
                </c:pt>
                <c:pt idx="3">
                  <c:v>Worst 25%</c:v>
                </c:pt>
              </c:strCache>
            </c:strRef>
          </c:cat>
          <c:val>
            <c:numRef>
              <c:f>'ARP - Calculs'!$P$4:$P$7</c:f>
              <c:numCache>
                <c:formatCode>0%</c:formatCode>
                <c:ptCount val="4"/>
                <c:pt idx="0">
                  <c:v>0.88192451818382867</c:v>
                </c:pt>
                <c:pt idx="1">
                  <c:v>4.2378087343878976E-2</c:v>
                </c:pt>
                <c:pt idx="2">
                  <c:v>4.7553627853170619E-2</c:v>
                </c:pt>
                <c:pt idx="3">
                  <c:v>2.5629022507229808E-2</c:v>
                </c:pt>
              </c:numCache>
            </c:numRef>
          </c:val>
          <c:extLst>
            <c:ext xmlns:c16="http://schemas.microsoft.com/office/drawing/2014/chart" uri="{C3380CC4-5D6E-409C-BE32-E72D297353CC}">
              <c16:uniqueId val="{00000000-C17B-4FB7-B041-9424FD94E200}"/>
            </c:ext>
          </c:extLst>
        </c:ser>
        <c:dLbls>
          <c:showLegendKey val="0"/>
          <c:showVal val="0"/>
          <c:showCatName val="0"/>
          <c:showSerName val="0"/>
          <c:showPercent val="0"/>
          <c:showBubbleSize val="0"/>
        </c:dLbls>
        <c:gapWidth val="219"/>
        <c:overlap val="-27"/>
        <c:axId val="2128825136"/>
        <c:axId val="2128826576"/>
      </c:barChart>
      <c:catAx>
        <c:axId val="2128825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128826576"/>
        <c:crosses val="autoZero"/>
        <c:auto val="1"/>
        <c:lblAlgn val="ctr"/>
        <c:lblOffset val="100"/>
        <c:noMultiLvlLbl val="0"/>
      </c:catAx>
      <c:valAx>
        <c:axId val="212882657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12882513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r>
              <a:rPr lang="en-US" sz="1100" b="1"/>
              <a:t>Evolution de la part d'actifs certifiés sur l'ensemble du mandat immobilier</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'Synthèse LEC29'!$B$39:$B$42</c:f>
              <c:strCache>
                <c:ptCount val="4"/>
                <c:pt idx="0">
                  <c:v>Part certifiée 2019</c:v>
                </c:pt>
                <c:pt idx="1">
                  <c:v>Part certifiée 2023</c:v>
                </c:pt>
                <c:pt idx="2">
                  <c:v>Part certifiée 2024</c:v>
                </c:pt>
                <c:pt idx="3">
                  <c:v>Part certifiée 2025</c:v>
                </c:pt>
              </c:strCache>
            </c:strRef>
          </c:cat>
          <c:val>
            <c:numRef>
              <c:f>'Synthèse LEC29'!$G$39:$G$42</c:f>
              <c:numCache>
                <c:formatCode>0%</c:formatCode>
                <c:ptCount val="4"/>
                <c:pt idx="0">
                  <c:v>0.75</c:v>
                </c:pt>
                <c:pt idx="1">
                  <c:v>0.7</c:v>
                </c:pt>
                <c:pt idx="2">
                  <c:v>0.66666666666666663</c:v>
                </c:pt>
                <c:pt idx="3">
                  <c:v>0.6</c:v>
                </c:pt>
              </c:numCache>
            </c:numRef>
          </c:val>
          <c:extLst>
            <c:ext xmlns:c16="http://schemas.microsoft.com/office/drawing/2014/chart" uri="{C3380CC4-5D6E-409C-BE32-E72D297353CC}">
              <c16:uniqueId val="{00000000-A360-42AA-A785-827639731CD5}"/>
            </c:ext>
          </c:extLst>
        </c:ser>
        <c:dLbls>
          <c:showLegendKey val="0"/>
          <c:showVal val="0"/>
          <c:showCatName val="0"/>
          <c:showSerName val="0"/>
          <c:showPercent val="0"/>
          <c:showBubbleSize val="0"/>
        </c:dLbls>
        <c:gapWidth val="219"/>
        <c:overlap val="-27"/>
        <c:axId val="634142944"/>
        <c:axId val="634150624"/>
      </c:barChart>
      <c:catAx>
        <c:axId val="634142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634150624"/>
        <c:crosses val="autoZero"/>
        <c:auto val="1"/>
        <c:lblAlgn val="ctr"/>
        <c:lblOffset val="100"/>
        <c:noMultiLvlLbl val="0"/>
      </c:catAx>
      <c:valAx>
        <c:axId val="634150624"/>
        <c:scaling>
          <c:orientation val="minMax"/>
        </c:scaling>
        <c:delete val="1"/>
        <c:axPos val="l"/>
        <c:numFmt formatCode="0%" sourceLinked="1"/>
        <c:majorTickMark val="none"/>
        <c:minorTickMark val="none"/>
        <c:tickLblPos val="nextTo"/>
        <c:crossAx val="63414294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100" b="1" i="0" u="none" strike="noStrike" kern="1200" spc="0" baseline="0">
                <a:solidFill>
                  <a:sysClr val="windowText" lastClr="000000"/>
                </a:solidFill>
                <a:latin typeface="+mn-lt"/>
                <a:ea typeface="+mn-ea"/>
                <a:cs typeface="+mn-cs"/>
              </a:defRPr>
            </a:pPr>
            <a:r>
              <a:rPr lang="fr-FR" sz="1100" b="1">
                <a:latin typeface="+mn-lt"/>
                <a:cs typeface="Prompt Medium" panose="00000600000000000000" pitchFamily="2" charset="-34"/>
              </a:rPr>
              <a:t>Empreinte biodiversité</a:t>
            </a:r>
            <a:r>
              <a:rPr lang="fr-FR" sz="1100" b="1" baseline="0">
                <a:latin typeface="+mn-lt"/>
                <a:cs typeface="Prompt Medium" panose="00000600000000000000" pitchFamily="2" charset="-34"/>
              </a:rPr>
              <a:t> du portefeuille et de l'indice en valeur absolue par type de pression, </a:t>
            </a:r>
            <a:r>
              <a:rPr lang="fr-FR" sz="1100" b="1" baseline="0">
                <a:latin typeface="+mn-lt"/>
                <a:cs typeface="Prompt Light" panose="00000400000000000000" pitchFamily="2" charset="-34"/>
              </a:rPr>
              <a:t>e</a:t>
            </a:r>
            <a:r>
              <a:rPr lang="fr-FR" sz="1100" b="1">
                <a:latin typeface="+mn-lt"/>
                <a:cs typeface="Prompt Light" panose="00000400000000000000" pitchFamily="2" charset="-34"/>
              </a:rPr>
              <a:t>n MSA</a:t>
            </a:r>
            <a:r>
              <a:rPr lang="fr-FR" sz="1100" b="1" baseline="0">
                <a:latin typeface="+mn-lt"/>
                <a:cs typeface="Prompt Light" panose="00000400000000000000" pitchFamily="2" charset="-34"/>
              </a:rPr>
              <a:t>ppb*</a:t>
            </a:r>
            <a:r>
              <a:rPr lang="fr-FR" sz="1100" b="1">
                <a:latin typeface="+mn-lt"/>
                <a:cs typeface="Prompt Light" panose="00000400000000000000" pitchFamily="2" charset="-34"/>
              </a:rPr>
              <a:t> </a:t>
            </a:r>
          </a:p>
        </c:rich>
      </c:tx>
      <c:layout>
        <c:manualLayout>
          <c:xMode val="edge"/>
          <c:yMode val="edge"/>
          <c:x val="0.14714775246926023"/>
          <c:y val="4.6870952725112259E-3"/>
        </c:manualLayout>
      </c:layout>
      <c:overlay val="0"/>
      <c:spPr>
        <a:noFill/>
        <a:ln>
          <a:noFill/>
        </a:ln>
        <a:effectLst/>
      </c:spPr>
      <c:txPr>
        <a:bodyPr rot="0" spcFirstLastPara="1" vertOverflow="ellipsis" vert="horz" wrap="square" anchor="ctr" anchorCtr="1"/>
        <a:lstStyle/>
        <a:p>
          <a:pPr algn="ctr">
            <a:defRPr sz="1100" b="1" i="0" u="none" strike="noStrike" kern="1200" spc="0" baseline="0">
              <a:solidFill>
                <a:sysClr val="windowText" lastClr="000000"/>
              </a:solidFill>
              <a:latin typeface="+mn-lt"/>
              <a:ea typeface="+mn-ea"/>
              <a:cs typeface="+mn-cs"/>
            </a:defRPr>
          </a:pPr>
          <a:endParaRPr lang="fr-FR"/>
        </a:p>
      </c:txPr>
    </c:title>
    <c:autoTitleDeleted val="0"/>
    <c:plotArea>
      <c:layout/>
      <c:barChart>
        <c:barDir val="bar"/>
        <c:grouping val="clustered"/>
        <c:varyColors val="0"/>
        <c:ser>
          <c:idx val="3"/>
          <c:order val="0"/>
          <c:tx>
            <c:strRef>
              <c:f>'VII - BIODIV'!$B$20</c:f>
              <c:strCache>
                <c:ptCount val="1"/>
                <c:pt idx="0">
                  <c:v>Portefeuille 2025</c:v>
                </c:pt>
              </c:strCache>
            </c:strRef>
          </c:tx>
          <c:spPr>
            <a:solidFill>
              <a:srgbClr val="FFD400"/>
            </a:solidFill>
            <a:ln>
              <a:noFill/>
            </a:ln>
            <a:effectLst/>
          </c:spPr>
          <c:invertIfNegative val="0"/>
          <c:cat>
            <c:strRef>
              <c:f>'VII - BIODIV'!$A$21:$A$24</c:f>
              <c:strCache>
                <c:ptCount val="4"/>
                <c:pt idx="0">
                  <c:v>Usage des sols et des espaces marins </c:v>
                </c:pt>
                <c:pt idx="1">
                  <c:v>Surexploitation</c:v>
                </c:pt>
                <c:pt idx="2">
                  <c:v>Le changement climatique</c:v>
                </c:pt>
                <c:pt idx="3">
                  <c:v>La pollution</c:v>
                </c:pt>
              </c:strCache>
            </c:strRef>
          </c:cat>
          <c:val>
            <c:numRef>
              <c:f>'VII - BIODIV'!$B$21:$B$24</c:f>
              <c:numCache>
                <c:formatCode>0.00</c:formatCode>
                <c:ptCount val="4"/>
                <c:pt idx="0">
                  <c:v>16.425677446347098</c:v>
                </c:pt>
                <c:pt idx="1">
                  <c:v>1.7160825665989199</c:v>
                </c:pt>
                <c:pt idx="2">
                  <c:v>30.264787577660801</c:v>
                </c:pt>
                <c:pt idx="3">
                  <c:v>6.6581578014055003</c:v>
                </c:pt>
              </c:numCache>
            </c:numRef>
          </c:val>
          <c:extLst>
            <c:ext xmlns:c16="http://schemas.microsoft.com/office/drawing/2014/chart" uri="{C3380CC4-5D6E-409C-BE32-E72D297353CC}">
              <c16:uniqueId val="{00000000-A62A-4564-B2BE-0AD470888B50}"/>
            </c:ext>
          </c:extLst>
        </c:ser>
        <c:ser>
          <c:idx val="2"/>
          <c:order val="1"/>
          <c:tx>
            <c:strRef>
              <c:f>'VII - BIODIV'!$C$20</c:f>
              <c:strCache>
                <c:ptCount val="1"/>
                <c:pt idx="0">
                  <c:v>indice 2025</c:v>
                </c:pt>
              </c:strCache>
            </c:strRef>
          </c:tx>
          <c:spPr>
            <a:solidFill>
              <a:srgbClr val="D57B1D"/>
            </a:solidFill>
            <a:ln>
              <a:noFill/>
            </a:ln>
            <a:effectLst/>
          </c:spPr>
          <c:invertIfNegative val="0"/>
          <c:cat>
            <c:strRef>
              <c:f>'VII - BIODIV'!$A$21:$A$24</c:f>
              <c:strCache>
                <c:ptCount val="4"/>
                <c:pt idx="0">
                  <c:v>Usage des sols et des espaces marins </c:v>
                </c:pt>
                <c:pt idx="1">
                  <c:v>Surexploitation</c:v>
                </c:pt>
                <c:pt idx="2">
                  <c:v>Le changement climatique</c:v>
                </c:pt>
                <c:pt idx="3">
                  <c:v>La pollution</c:v>
                </c:pt>
              </c:strCache>
            </c:strRef>
          </c:cat>
          <c:val>
            <c:numRef>
              <c:f>'VII - BIODIV'!$C$21:$C$24</c:f>
              <c:numCache>
                <c:formatCode>0.00</c:formatCode>
                <c:ptCount val="4"/>
                <c:pt idx="0">
                  <c:v>25.068374975727799</c:v>
                </c:pt>
                <c:pt idx="1">
                  <c:v>2.66660435993944</c:v>
                </c:pt>
                <c:pt idx="2">
                  <c:v>43.563139058780699</c:v>
                </c:pt>
                <c:pt idx="3">
                  <c:v>10.3976315711366</c:v>
                </c:pt>
              </c:numCache>
            </c:numRef>
          </c:val>
          <c:extLst xmlns:c15="http://schemas.microsoft.com/office/drawing/2012/chart">
            <c:ext xmlns:c16="http://schemas.microsoft.com/office/drawing/2014/chart" uri="{C3380CC4-5D6E-409C-BE32-E72D297353CC}">
              <c16:uniqueId val="{00000001-A62A-4564-B2BE-0AD470888B50}"/>
            </c:ext>
          </c:extLst>
        </c:ser>
        <c:dLbls>
          <c:showLegendKey val="0"/>
          <c:showVal val="0"/>
          <c:showCatName val="0"/>
          <c:showSerName val="0"/>
          <c:showPercent val="0"/>
          <c:showBubbleSize val="0"/>
        </c:dLbls>
        <c:gapWidth val="150"/>
        <c:overlap val="-25"/>
        <c:axId val="2107095376"/>
        <c:axId val="2107087816"/>
        <c:extLst/>
      </c:barChart>
      <c:catAx>
        <c:axId val="2107095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crossAx val="2107087816"/>
        <c:crosses val="autoZero"/>
        <c:auto val="1"/>
        <c:lblAlgn val="ctr"/>
        <c:lblOffset val="100"/>
        <c:noMultiLvlLbl val="0"/>
      </c:catAx>
      <c:valAx>
        <c:axId val="210708781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crossAx val="2107095376"/>
        <c:crosses val="autoZero"/>
        <c:crossBetween val="between"/>
      </c:valAx>
      <c:spPr>
        <a:noFill/>
        <a:ln>
          <a:noFill/>
        </a:ln>
        <a:effectLst/>
      </c:spPr>
    </c:plotArea>
    <c:legend>
      <c:legendPos val="b"/>
      <c:layout>
        <c:manualLayout>
          <c:xMode val="edge"/>
          <c:yMode val="edge"/>
          <c:x val="0.49070178571428569"/>
          <c:y val="0.89519696969696971"/>
          <c:w val="0.31593749999999998"/>
          <c:h val="7.7313852813852807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rgbClr val="FFFFFF"/>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100" b="0" i="0" u="none" strike="noStrike" kern="1200" spc="0" baseline="0">
                <a:solidFill>
                  <a:sysClr val="windowText" lastClr="000000">
                    <a:lumMod val="65000"/>
                    <a:lumOff val="35000"/>
                  </a:sysClr>
                </a:solidFill>
                <a:latin typeface="+mn-lt"/>
                <a:ea typeface="+mn-ea"/>
                <a:cs typeface="+mn-cs"/>
              </a:defRPr>
            </a:pPr>
            <a:r>
              <a:rPr lang="en-US" sz="1100" b="1" i="0" u="none" strike="noStrike" kern="1200" spc="0" baseline="0">
                <a:solidFill>
                  <a:sysClr val="windowText" lastClr="000000"/>
                </a:solidFill>
                <a:latin typeface="Source Sans Pro" panose="020B0503030403020204" pitchFamily="34" charset="0"/>
                <a:ea typeface="Source Sans Pro" panose="020B0503030403020204" pitchFamily="34" charset="0"/>
              </a:rPr>
              <a:t>Empreinte biodiversité par secteur (MSAppb*/Md€) du portefeuille Abeille Assurances</a:t>
            </a:r>
            <a:endParaRPr lang="en-US" sz="1100" b="1">
              <a:latin typeface="Source Sans Pro" panose="020B0503030403020204" pitchFamily="34" charset="0"/>
              <a:ea typeface="Source Sans Pro" panose="020B0503030403020204" pitchFamily="34"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1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bar"/>
        <c:grouping val="clustered"/>
        <c:varyColors val="0"/>
        <c:ser>
          <c:idx val="1"/>
          <c:order val="0"/>
          <c:tx>
            <c:strRef>
              <c:f>'VII - BIODIV'!$D$135</c:f>
              <c:strCache>
                <c:ptCount val="1"/>
                <c:pt idx="0">
                  <c:v>Portefeuille 2024</c:v>
                </c:pt>
              </c:strCache>
            </c:strRef>
          </c:tx>
          <c:spPr>
            <a:solidFill>
              <a:schemeClr val="accent1"/>
            </a:solidFill>
            <a:ln>
              <a:solidFill>
                <a:schemeClr val="accent1">
                  <a:lumMod val="50000"/>
                </a:schemeClr>
              </a:solidFill>
            </a:ln>
            <a:effectLst/>
          </c:spPr>
          <c:invertIfNegative val="0"/>
          <c:cat>
            <c:strRef>
              <c:f>('VII - BIODIV'!$B$136:$B$143,'VII - BIODIV'!$B$145:$B$147)</c:f>
              <c:strCache>
                <c:ptCount val="11"/>
                <c:pt idx="0">
                  <c:v>Autre</c:v>
                </c:pt>
                <c:pt idx="1">
                  <c:v>Finance</c:v>
                </c:pt>
                <c:pt idx="2">
                  <c:v>Industrie</c:v>
                </c:pt>
                <c:pt idx="3">
                  <c:v>Produits de grande consommation</c:v>
                </c:pt>
                <c:pt idx="4">
                  <c:v>Utilities</c:v>
                </c:pt>
                <c:pt idx="5">
                  <c:v>Produits non essentiels</c:v>
                </c:pt>
                <c:pt idx="6">
                  <c:v>Immobilier</c:v>
                </c:pt>
                <c:pt idx="7">
                  <c:v>Energie</c:v>
                </c:pt>
                <c:pt idx="8">
                  <c:v>IT</c:v>
                </c:pt>
                <c:pt idx="9">
                  <c:v>Matériaux</c:v>
                </c:pt>
                <c:pt idx="10">
                  <c:v>Santé</c:v>
                </c:pt>
              </c:strCache>
              <c:extLst/>
            </c:strRef>
          </c:cat>
          <c:val>
            <c:numRef>
              <c:f>('VII - BIODIV'!$D$136:$D$143,'VII - BIODIV'!$D$145:$D$147)</c:f>
              <c:numCache>
                <c:formatCode>_-* #\ ##0.00\ _€_-;\-* #\ ##0.00\ _€_-;_-* "-"???????\ _€_-;_-@_-</c:formatCode>
                <c:ptCount val="11"/>
                <c:pt idx="0">
                  <c:v>0</c:v>
                </c:pt>
                <c:pt idx="1">
                  <c:v>19.921811356988702</c:v>
                </c:pt>
                <c:pt idx="2">
                  <c:v>42.296522886904903</c:v>
                </c:pt>
                <c:pt idx="3">
                  <c:v>148.837966314482</c:v>
                </c:pt>
                <c:pt idx="4">
                  <c:v>29.390901228629101</c:v>
                </c:pt>
                <c:pt idx="5">
                  <c:v>43.551446557584001</c:v>
                </c:pt>
                <c:pt idx="6">
                  <c:v>1.6106206030090702</c:v>
                </c:pt>
                <c:pt idx="7">
                  <c:v>142.14768688273898</c:v>
                </c:pt>
                <c:pt idx="8">
                  <c:v>15.7355028897023</c:v>
                </c:pt>
                <c:pt idx="9">
                  <c:v>97.877328024046903</c:v>
                </c:pt>
                <c:pt idx="10">
                  <c:v>20.707808743458198</c:v>
                </c:pt>
              </c:numCache>
              <c:extLst/>
            </c:numRef>
          </c:val>
          <c:extLst>
            <c:ext xmlns:c16="http://schemas.microsoft.com/office/drawing/2014/chart" uri="{C3380CC4-5D6E-409C-BE32-E72D297353CC}">
              <c16:uniqueId val="{00000000-F5D8-46AA-84A3-872DA295B135}"/>
            </c:ext>
          </c:extLst>
        </c:ser>
        <c:dLbls>
          <c:showLegendKey val="0"/>
          <c:showVal val="0"/>
          <c:showCatName val="0"/>
          <c:showSerName val="0"/>
          <c:showPercent val="0"/>
          <c:showBubbleSize val="0"/>
        </c:dLbls>
        <c:gapWidth val="182"/>
        <c:axId val="711660960"/>
        <c:axId val="711660600"/>
      </c:barChart>
      <c:catAx>
        <c:axId val="71166096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Source Sans Pro" panose="020B0503030403020204" pitchFamily="34" charset="0"/>
                <a:ea typeface="Source Sans Pro" panose="020B0503030403020204" pitchFamily="34" charset="0"/>
                <a:cs typeface="+mn-cs"/>
              </a:defRPr>
            </a:pPr>
            <a:endParaRPr lang="fr-FR"/>
          </a:p>
        </c:txPr>
        <c:crossAx val="711660600"/>
        <c:crosses val="autoZero"/>
        <c:auto val="1"/>
        <c:lblAlgn val="ctr"/>
        <c:lblOffset val="100"/>
        <c:noMultiLvlLbl val="0"/>
      </c:catAx>
      <c:valAx>
        <c:axId val="711660600"/>
        <c:scaling>
          <c:orientation val="minMax"/>
        </c:scaling>
        <c:delete val="0"/>
        <c:axPos val="t"/>
        <c:majorGridlines>
          <c:spPr>
            <a:ln w="9525" cap="flat" cmpd="sng" algn="ctr">
              <a:solidFill>
                <a:schemeClr val="tx1">
                  <a:lumMod val="15000"/>
                  <a:lumOff val="85000"/>
                </a:schemeClr>
              </a:solidFill>
              <a:prstDash val="sysDot"/>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ource Sans Pro" panose="020B0503030403020204" pitchFamily="34" charset="0"/>
                <a:ea typeface="Source Sans Pro" panose="020B0503030403020204" pitchFamily="34" charset="0"/>
                <a:cs typeface="+mn-cs"/>
              </a:defRPr>
            </a:pPr>
            <a:endParaRPr lang="fr-FR"/>
          </a:p>
        </c:txPr>
        <c:crossAx val="711660960"/>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 lastClr="FFFFFF">
          <a:lumMod val="85000"/>
        </a:sysClr>
      </a:solidFill>
      <a:round/>
    </a:ln>
    <a:effectLst/>
  </c:spPr>
  <c:txPr>
    <a:bodyPr/>
    <a:lstStyle/>
    <a:p>
      <a:pPr>
        <a:defRPr/>
      </a:pPr>
      <a:endParaRPr lang="fr-FR"/>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100" b="0" i="0" u="none" strike="noStrike" kern="1200" spc="0" baseline="0">
                <a:solidFill>
                  <a:schemeClr val="tx1">
                    <a:lumMod val="65000"/>
                    <a:lumOff val="35000"/>
                  </a:schemeClr>
                </a:solidFill>
                <a:latin typeface="+mn-lt"/>
                <a:ea typeface="+mn-ea"/>
                <a:cs typeface="+mn-cs"/>
              </a:defRPr>
            </a:pPr>
            <a:r>
              <a:rPr lang="fr-FR" sz="1100" b="1">
                <a:solidFill>
                  <a:sysClr val="windowText" lastClr="000000"/>
                </a:solidFill>
                <a:latin typeface="+mn-lt"/>
                <a:cs typeface="Prompt Medium" panose="00000600000000000000" pitchFamily="2" charset="-34"/>
              </a:rPr>
              <a:t>Exposition du portefeuille face aux limites planétaires</a:t>
            </a:r>
          </a:p>
          <a:p>
            <a:pPr algn="ctr">
              <a:defRPr sz="1100"/>
            </a:pPr>
            <a:r>
              <a:rPr lang="fr-FR" sz="1100">
                <a:solidFill>
                  <a:sysClr val="windowText" lastClr="000000"/>
                </a:solidFill>
                <a:latin typeface="+mn-lt"/>
                <a:cs typeface="Prompt Light" panose="00000400000000000000" pitchFamily="2" charset="-34"/>
              </a:rPr>
              <a:t>En</a:t>
            </a:r>
            <a:r>
              <a:rPr lang="fr-FR" sz="1100" baseline="0">
                <a:solidFill>
                  <a:sysClr val="windowText" lastClr="000000"/>
                </a:solidFill>
                <a:latin typeface="+mn-lt"/>
                <a:cs typeface="Prompt Light" panose="00000400000000000000" pitchFamily="2" charset="-34"/>
              </a:rPr>
              <a:t> % des limites planétaires</a:t>
            </a:r>
            <a:endParaRPr lang="fr-FR" sz="1100">
              <a:solidFill>
                <a:sysClr val="windowText" lastClr="000000"/>
              </a:solidFill>
              <a:latin typeface="+mn-lt"/>
              <a:cs typeface="Prompt Light" panose="00000400000000000000" pitchFamily="2" charset="-34"/>
            </a:endParaRPr>
          </a:p>
        </c:rich>
      </c:tx>
      <c:layout>
        <c:manualLayout>
          <c:xMode val="edge"/>
          <c:yMode val="edge"/>
          <c:x val="0.19792963335035721"/>
          <c:y val="1.9367619856602382E-2"/>
        </c:manualLayout>
      </c:layout>
      <c:overlay val="0"/>
      <c:spPr>
        <a:noFill/>
        <a:ln>
          <a:noFill/>
        </a:ln>
        <a:effectLst/>
      </c:spPr>
      <c:txPr>
        <a:bodyPr rot="0" spcFirstLastPara="1" vertOverflow="ellipsis" vert="horz" wrap="square" anchor="ctr" anchorCtr="1"/>
        <a:lstStyle/>
        <a:p>
          <a:pPr algn="ctr">
            <a:defRPr sz="11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radarChart>
        <c:radarStyle val="marker"/>
        <c:varyColors val="0"/>
        <c:ser>
          <c:idx val="0"/>
          <c:order val="0"/>
          <c:tx>
            <c:strRef>
              <c:f>'VII - BIODIV'!$I$59</c:f>
              <c:strCache>
                <c:ptCount val="1"/>
                <c:pt idx="0">
                  <c:v>Portefeuille</c:v>
                </c:pt>
              </c:strCache>
            </c:strRef>
          </c:tx>
          <c:spPr>
            <a:ln w="28575" cap="rnd">
              <a:solidFill>
                <a:schemeClr val="accent1"/>
              </a:solidFill>
              <a:round/>
            </a:ln>
            <a:effectLst/>
          </c:spPr>
          <c:marker>
            <c:symbol val="none"/>
          </c:marker>
          <c:cat>
            <c:strRef>
              <c:f>'VII - BIODIV'!$H$61:$H$64</c:f>
              <c:strCache>
                <c:ptCount val="4"/>
                <c:pt idx="0">
                  <c:v>La pollution</c:v>
                </c:pt>
                <c:pt idx="1">
                  <c:v>Le changement climatique</c:v>
                </c:pt>
                <c:pt idx="2">
                  <c:v>La surexploitation des ressources biologiques</c:v>
                </c:pt>
                <c:pt idx="3">
                  <c:v>Le changement d'utilisation des sols</c:v>
                </c:pt>
              </c:strCache>
            </c:strRef>
          </c:cat>
          <c:val>
            <c:numRef>
              <c:f>'VII - BIODIV'!$I$61:$I$64</c:f>
              <c:numCache>
                <c:formatCode>0.00%</c:formatCode>
                <c:ptCount val="4"/>
                <c:pt idx="0">
                  <c:v>1.1754607187206501</c:v>
                </c:pt>
                <c:pt idx="1">
                  <c:v>0.71642465962323099</c:v>
                </c:pt>
                <c:pt idx="2">
                  <c:v>0.727868992730764</c:v>
                </c:pt>
                <c:pt idx="3">
                  <c:v>0.67259930638129395</c:v>
                </c:pt>
              </c:numCache>
            </c:numRef>
          </c:val>
          <c:extLst>
            <c:ext xmlns:c16="http://schemas.microsoft.com/office/drawing/2014/chart" uri="{C3380CC4-5D6E-409C-BE32-E72D297353CC}">
              <c16:uniqueId val="{00000000-7DDA-4472-8F59-DDA47198F8C8}"/>
            </c:ext>
          </c:extLst>
        </c:ser>
        <c:ser>
          <c:idx val="1"/>
          <c:order val="1"/>
          <c:tx>
            <c:strRef>
              <c:f>'VII - BIODIV'!$J$59</c:f>
              <c:strCache>
                <c:ptCount val="1"/>
                <c:pt idx="0">
                  <c:v>Economie Mondiale</c:v>
                </c:pt>
              </c:strCache>
            </c:strRef>
          </c:tx>
          <c:spPr>
            <a:ln w="28575" cap="rnd">
              <a:solidFill>
                <a:schemeClr val="accent2"/>
              </a:solidFill>
              <a:round/>
            </a:ln>
            <a:effectLst/>
          </c:spPr>
          <c:marker>
            <c:symbol val="none"/>
          </c:marker>
          <c:cat>
            <c:strRef>
              <c:f>'VII - BIODIV'!$H$61:$H$64</c:f>
              <c:strCache>
                <c:ptCount val="4"/>
                <c:pt idx="0">
                  <c:v>La pollution</c:v>
                </c:pt>
                <c:pt idx="1">
                  <c:v>Le changement climatique</c:v>
                </c:pt>
                <c:pt idx="2">
                  <c:v>La surexploitation des ressources biologiques</c:v>
                </c:pt>
                <c:pt idx="3">
                  <c:v>Le changement d'utilisation des sols</c:v>
                </c:pt>
              </c:strCache>
            </c:strRef>
          </c:cat>
          <c:val>
            <c:numRef>
              <c:f>'VII - BIODIV'!$J$61:$J$64</c:f>
              <c:numCache>
                <c:formatCode>0.00%</c:formatCode>
                <c:ptCount val="4"/>
                <c:pt idx="0">
                  <c:v>2.8928381052054202</c:v>
                </c:pt>
                <c:pt idx="1">
                  <c:v>1.20857142857143</c:v>
                </c:pt>
                <c:pt idx="2">
                  <c:v>1.75193798449612</c:v>
                </c:pt>
                <c:pt idx="3">
                  <c:v>1.65885579815395</c:v>
                </c:pt>
              </c:numCache>
            </c:numRef>
          </c:val>
          <c:extLst>
            <c:ext xmlns:c16="http://schemas.microsoft.com/office/drawing/2014/chart" uri="{C3380CC4-5D6E-409C-BE32-E72D297353CC}">
              <c16:uniqueId val="{00000001-7DDA-4472-8F59-DDA47198F8C8}"/>
            </c:ext>
          </c:extLst>
        </c:ser>
        <c:ser>
          <c:idx val="2"/>
          <c:order val="2"/>
          <c:tx>
            <c:strRef>
              <c:f>'VII - BIODIV'!$K$59</c:f>
              <c:strCache>
                <c:ptCount val="1"/>
                <c:pt idx="0">
                  <c:v>Limites planétaires</c:v>
                </c:pt>
              </c:strCache>
            </c:strRef>
          </c:tx>
          <c:spPr>
            <a:ln w="28575" cap="rnd">
              <a:solidFill>
                <a:schemeClr val="accent3"/>
              </a:solidFill>
              <a:round/>
            </a:ln>
            <a:effectLst/>
          </c:spPr>
          <c:marker>
            <c:symbol val="none"/>
          </c:marker>
          <c:cat>
            <c:strRef>
              <c:f>'VII - BIODIV'!$H$61:$H$64</c:f>
              <c:strCache>
                <c:ptCount val="4"/>
                <c:pt idx="0">
                  <c:v>La pollution</c:v>
                </c:pt>
                <c:pt idx="1">
                  <c:v>Le changement climatique</c:v>
                </c:pt>
                <c:pt idx="2">
                  <c:v>La surexploitation des ressources biologiques</c:v>
                </c:pt>
                <c:pt idx="3">
                  <c:v>Le changement d'utilisation des sols</c:v>
                </c:pt>
              </c:strCache>
            </c:strRef>
          </c:cat>
          <c:val>
            <c:numRef>
              <c:f>'VII - BIODIV'!$K$61:$K$64</c:f>
              <c:numCache>
                <c:formatCode>0.00%</c:formatCode>
                <c:ptCount val="4"/>
                <c:pt idx="0">
                  <c:v>1</c:v>
                </c:pt>
                <c:pt idx="1">
                  <c:v>1</c:v>
                </c:pt>
                <c:pt idx="2">
                  <c:v>1</c:v>
                </c:pt>
                <c:pt idx="3">
                  <c:v>1</c:v>
                </c:pt>
              </c:numCache>
            </c:numRef>
          </c:val>
          <c:extLst>
            <c:ext xmlns:c16="http://schemas.microsoft.com/office/drawing/2014/chart" uri="{C3380CC4-5D6E-409C-BE32-E72D297353CC}">
              <c16:uniqueId val="{00000002-7DDA-4472-8F59-DDA47198F8C8}"/>
            </c:ext>
          </c:extLst>
        </c:ser>
        <c:dLbls>
          <c:showLegendKey val="0"/>
          <c:showVal val="0"/>
          <c:showCatName val="0"/>
          <c:showSerName val="0"/>
          <c:showPercent val="0"/>
          <c:showBubbleSize val="0"/>
        </c:dLbls>
        <c:axId val="791231528"/>
        <c:axId val="791226488"/>
      </c:radarChart>
      <c:catAx>
        <c:axId val="791231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crossAx val="791226488"/>
        <c:crosses val="autoZero"/>
        <c:auto val="1"/>
        <c:lblAlgn val="ctr"/>
        <c:lblOffset val="100"/>
        <c:noMultiLvlLbl val="0"/>
      </c:catAx>
      <c:valAx>
        <c:axId val="791226488"/>
        <c:scaling>
          <c:orientation val="minMax"/>
        </c:scaling>
        <c:delete val="1"/>
        <c:axPos val="l"/>
        <c:majorGridlines>
          <c:spPr>
            <a:ln w="9525" cap="rnd" cmpd="sng" algn="ctr">
              <a:solidFill>
                <a:srgbClr val="000000">
                  <a:alpha val="50000"/>
                </a:srgbClr>
              </a:solidFill>
              <a:prstDash val="sysDash"/>
              <a:round/>
              <a:headEnd type="none"/>
            </a:ln>
            <a:effectLst/>
          </c:spPr>
        </c:majorGridlines>
        <c:numFmt formatCode="0.0" sourceLinked="0"/>
        <c:majorTickMark val="none"/>
        <c:minorTickMark val="none"/>
        <c:tickLblPos val="nextTo"/>
        <c:crossAx val="791231528"/>
        <c:crosses val="autoZero"/>
        <c:crossBetween val="between"/>
      </c:valAx>
      <c:spPr>
        <a:noFill/>
        <a:ln>
          <a:noFill/>
        </a:ln>
        <a:effectLst/>
      </c:spPr>
    </c:plotArea>
    <c:legend>
      <c:legendPos val="b"/>
      <c:layout>
        <c:manualLayout>
          <c:xMode val="edge"/>
          <c:yMode val="edge"/>
          <c:x val="0.73998892511921399"/>
          <c:y val="0.16663183248296948"/>
          <c:w val="0.22073053940793805"/>
          <c:h val="0.3042340371435196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ysClr val="window" lastClr="FFFFFF"/>
    </a:solidFill>
    <a:ln w="9525" cap="flat" cmpd="sng" algn="ctr">
      <a:solidFill>
        <a:schemeClr val="bg1">
          <a:lumMod val="85000"/>
        </a:schemeClr>
      </a:solidFill>
      <a:round/>
    </a:ln>
    <a:effectLst/>
  </c:spPr>
  <c:txPr>
    <a:bodyPr/>
    <a:lstStyle/>
    <a:p>
      <a:pPr>
        <a:defRPr/>
      </a:pPr>
      <a:endParaRPr lang="fr-FR"/>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200" b="1">
                <a:latin typeface="+mn-lt"/>
              </a:defRPr>
            </a:pPr>
            <a:r>
              <a:rPr lang="fr-FR" sz="1200" b="1">
                <a:latin typeface="+mn-lt"/>
                <a:cs typeface="Prompt Medium" panose="00000600000000000000" pitchFamily="2" charset="-34"/>
              </a:rPr>
              <a:t>Evolution catégories ISR</a:t>
            </a:r>
            <a:br>
              <a:rPr lang="fr-FR" sz="1200" b="1">
                <a:latin typeface="+mn-lt"/>
                <a:cs typeface="Prompt Medium" panose="00000600000000000000" pitchFamily="2" charset="-34"/>
              </a:rPr>
            </a:br>
            <a:r>
              <a:rPr lang="fr-FR" sz="1200" b="1">
                <a:latin typeface="+mn-lt"/>
              </a:rPr>
              <a:t>Emetteurs privés du portefeuille</a:t>
            </a:r>
          </a:p>
        </c:rich>
      </c:tx>
      <c:layout>
        <c:manualLayout>
          <c:xMode val="edge"/>
          <c:yMode val="edge"/>
          <c:x val="0.37706381079875056"/>
          <c:y val="9.0964809747569302E-3"/>
        </c:manualLayout>
      </c:layout>
      <c:overlay val="1"/>
    </c:title>
    <c:autoTitleDeleted val="0"/>
    <c:plotArea>
      <c:layout>
        <c:manualLayout>
          <c:layoutTarget val="inner"/>
          <c:xMode val="edge"/>
          <c:yMode val="edge"/>
          <c:x val="0.16900778968893951"/>
          <c:y val="0.1867565150698145"/>
          <c:w val="0.81845650317806662"/>
          <c:h val="0.79821335942474647"/>
        </c:manualLayout>
      </c:layout>
      <c:barChart>
        <c:barDir val="bar"/>
        <c:grouping val="clustered"/>
        <c:varyColors val="0"/>
        <c:ser>
          <c:idx val="0"/>
          <c:order val="0"/>
          <c:tx>
            <c:strRef>
              <c:f>'I - ESG'!$C$29</c:f>
              <c:strCache>
                <c:ptCount val="1"/>
                <c:pt idx="0">
                  <c:v>Indice N</c:v>
                </c:pt>
              </c:strCache>
            </c:strRef>
          </c:tx>
          <c:invertIfNegative val="0"/>
          <c:dPt>
            <c:idx val="0"/>
            <c:invertIfNegative val="0"/>
            <c:bubble3D val="0"/>
            <c:spPr>
              <a:solidFill>
                <a:srgbClr val="E9D9CE">
                  <a:lumMod val="75000"/>
                </a:srgbClr>
              </a:solidFill>
            </c:spPr>
            <c:extLst>
              <c:ext xmlns:c16="http://schemas.microsoft.com/office/drawing/2014/chart" uri="{C3380CC4-5D6E-409C-BE32-E72D297353CC}">
                <c16:uniqueId val="{00000017-5F5F-4F0D-B679-D2650C73FC24}"/>
              </c:ext>
            </c:extLst>
          </c:dPt>
          <c:dPt>
            <c:idx val="1"/>
            <c:invertIfNegative val="0"/>
            <c:bubble3D val="0"/>
            <c:spPr>
              <a:solidFill>
                <a:srgbClr val="D57B1D">
                  <a:lumMod val="60000"/>
                  <a:lumOff val="40000"/>
                </a:srgbClr>
              </a:solidFill>
            </c:spPr>
            <c:extLst>
              <c:ext xmlns:c16="http://schemas.microsoft.com/office/drawing/2014/chart" uri="{C3380CC4-5D6E-409C-BE32-E72D297353CC}">
                <c16:uniqueId val="{00000016-5F5F-4F0D-B679-D2650C73FC24}"/>
              </c:ext>
            </c:extLst>
          </c:dPt>
          <c:dPt>
            <c:idx val="2"/>
            <c:invertIfNegative val="0"/>
            <c:bubble3D val="0"/>
            <c:spPr>
              <a:solidFill>
                <a:srgbClr val="8A2C24">
                  <a:lumMod val="40000"/>
                  <a:lumOff val="60000"/>
                </a:srgbClr>
              </a:solidFill>
            </c:spPr>
            <c:extLst>
              <c:ext xmlns:c16="http://schemas.microsoft.com/office/drawing/2014/chart" uri="{C3380CC4-5D6E-409C-BE32-E72D297353CC}">
                <c16:uniqueId val="{00000015-5F5F-4F0D-B679-D2650C73FC24}"/>
              </c:ext>
            </c:extLst>
          </c:dPt>
          <c:dPt>
            <c:idx val="3"/>
            <c:invertIfNegative val="0"/>
            <c:bubble3D val="0"/>
            <c:spPr>
              <a:solidFill>
                <a:srgbClr val="FFD400">
                  <a:lumMod val="40000"/>
                  <a:lumOff val="60000"/>
                </a:srgbClr>
              </a:solidFill>
            </c:spPr>
            <c:extLst>
              <c:ext xmlns:c16="http://schemas.microsoft.com/office/drawing/2014/chart" uri="{C3380CC4-5D6E-409C-BE32-E72D297353CC}">
                <c16:uniqueId val="{00000014-5F5F-4F0D-B679-D2650C73FC24}"/>
              </c:ext>
            </c:extLst>
          </c:dPt>
          <c:dPt>
            <c:idx val="4"/>
            <c:invertIfNegative val="0"/>
            <c:bubble3D val="0"/>
            <c:spPr>
              <a:solidFill>
                <a:srgbClr val="784558">
                  <a:lumMod val="40000"/>
                  <a:lumOff val="60000"/>
                </a:srgbClr>
              </a:solidFill>
            </c:spPr>
            <c:extLst>
              <c:ext xmlns:c16="http://schemas.microsoft.com/office/drawing/2014/chart" uri="{C3380CC4-5D6E-409C-BE32-E72D297353CC}">
                <c16:uniqueId val="{00000013-5F5F-4F0D-B679-D2650C73FC24}"/>
              </c:ext>
            </c:extLst>
          </c:dPt>
          <c:dPt>
            <c:idx val="5"/>
            <c:invertIfNegative val="0"/>
            <c:bubble3D val="0"/>
            <c:spPr>
              <a:solidFill>
                <a:srgbClr val="4CA79F">
                  <a:lumMod val="40000"/>
                  <a:lumOff val="60000"/>
                </a:srgbClr>
              </a:solidFill>
            </c:spPr>
            <c:extLst>
              <c:ext xmlns:c16="http://schemas.microsoft.com/office/drawing/2014/chart" uri="{C3380CC4-5D6E-409C-BE32-E72D297353CC}">
                <c16:uniqueId val="{00000012-5F5F-4F0D-B679-D2650C73FC24}"/>
              </c:ext>
            </c:extLst>
          </c:dPt>
          <c:dPt>
            <c:idx val="6"/>
            <c:invertIfNegative val="0"/>
            <c:bubble3D val="0"/>
            <c:spPr>
              <a:solidFill>
                <a:srgbClr val="007932">
                  <a:alpha val="34000"/>
                </a:srgbClr>
              </a:solidFill>
              <a:ln w="3175">
                <a:solidFill>
                  <a:schemeClr val="bg1"/>
                </a:solidFill>
              </a:ln>
            </c:spPr>
            <c:extLst>
              <c:ext xmlns:c16="http://schemas.microsoft.com/office/drawing/2014/chart" uri="{C3380CC4-5D6E-409C-BE32-E72D297353CC}">
                <c16:uniqueId val="{00000001-5F5F-4F0D-B679-D2650C73FC24}"/>
              </c:ext>
            </c:extLst>
          </c:dPt>
          <c:dLbls>
            <c:numFmt formatCode="0%" sourceLinked="0"/>
            <c:spPr>
              <a:noFill/>
              <a:ln>
                <a:noFill/>
              </a:ln>
              <a:effectLst/>
            </c:spPr>
            <c:txPr>
              <a:bodyPr wrap="square" lIns="38100" tIns="19050" rIns="38100" bIns="19050" anchor="ctr">
                <a:spAutoFit/>
              </a:bodyPr>
              <a:lstStyle/>
              <a:p>
                <a:pPr>
                  <a:defRPr sz="900">
                    <a:latin typeface="+mn-lt"/>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 - ESG'!$A$30:$A$35</c:f>
              <c:strCache>
                <c:ptCount val="6"/>
                <c:pt idx="0">
                  <c:v>Non evalue</c:v>
                </c:pt>
                <c:pt idx="1">
                  <c:v>Sous surveillance</c:v>
                </c:pt>
                <c:pt idx="2">
                  <c:v>Incertain</c:v>
                </c:pt>
                <c:pt idx="3">
                  <c:v>Suiveur</c:v>
                </c:pt>
                <c:pt idx="4">
                  <c:v>Implique</c:v>
                </c:pt>
                <c:pt idx="5">
                  <c:v>Leader</c:v>
                </c:pt>
              </c:strCache>
            </c:strRef>
          </c:cat>
          <c:val>
            <c:numRef>
              <c:f>'I - ESG'!$C$30:$C$35</c:f>
              <c:numCache>
                <c:formatCode>0.00%</c:formatCode>
                <c:ptCount val="6"/>
                <c:pt idx="0">
                  <c:v>3.1137371931245501E-2</c:v>
                </c:pt>
                <c:pt idx="1">
                  <c:v>6.0260945782410397E-2</c:v>
                </c:pt>
                <c:pt idx="2">
                  <c:v>0.17735764043709401</c:v>
                </c:pt>
                <c:pt idx="3">
                  <c:v>0.20779321292831199</c:v>
                </c:pt>
                <c:pt idx="4">
                  <c:v>0.197315222317893</c:v>
                </c:pt>
                <c:pt idx="5">
                  <c:v>0.32613560660304503</c:v>
                </c:pt>
              </c:numCache>
            </c:numRef>
          </c:val>
          <c:extLst>
            <c:ext xmlns:c16="http://schemas.microsoft.com/office/drawing/2014/chart" uri="{C3380CC4-5D6E-409C-BE32-E72D297353CC}">
              <c16:uniqueId val="{00000002-5F5F-4F0D-B679-D2650C73FC24}"/>
            </c:ext>
          </c:extLst>
        </c:ser>
        <c:ser>
          <c:idx val="1"/>
          <c:order val="1"/>
          <c:tx>
            <c:strRef>
              <c:f>'I - ESG'!$B$29</c:f>
              <c:strCache>
                <c:ptCount val="1"/>
                <c:pt idx="0">
                  <c:v>PTF N : 2025</c:v>
                </c:pt>
              </c:strCache>
            </c:strRef>
          </c:tx>
          <c:spPr>
            <a:solidFill>
              <a:srgbClr val="007932">
                <a:alpha val="34000"/>
              </a:srgbClr>
            </a:solidFill>
          </c:spPr>
          <c:invertIfNegative val="0"/>
          <c:dPt>
            <c:idx val="0"/>
            <c:invertIfNegative val="0"/>
            <c:bubble3D val="0"/>
            <c:spPr>
              <a:solidFill>
                <a:srgbClr val="E3B174"/>
              </a:solidFill>
            </c:spPr>
            <c:extLst>
              <c:ext xmlns:c16="http://schemas.microsoft.com/office/drawing/2014/chart" uri="{C3380CC4-5D6E-409C-BE32-E72D297353CC}">
                <c16:uniqueId val="{00000004-5F5F-4F0D-B679-D2650C73FC24}"/>
              </c:ext>
            </c:extLst>
          </c:dPt>
          <c:dPt>
            <c:idx val="1"/>
            <c:invertIfNegative val="0"/>
            <c:bubble3D val="0"/>
            <c:spPr>
              <a:solidFill>
                <a:srgbClr val="D57B1D"/>
              </a:solidFill>
            </c:spPr>
            <c:extLst>
              <c:ext xmlns:c16="http://schemas.microsoft.com/office/drawing/2014/chart" uri="{C3380CC4-5D6E-409C-BE32-E72D297353CC}">
                <c16:uniqueId val="{00000006-5F5F-4F0D-B679-D2650C73FC24}"/>
              </c:ext>
            </c:extLst>
          </c:dPt>
          <c:dPt>
            <c:idx val="2"/>
            <c:invertIfNegative val="0"/>
            <c:bubble3D val="0"/>
            <c:spPr>
              <a:solidFill>
                <a:srgbClr val="8A2C24"/>
              </a:solidFill>
            </c:spPr>
            <c:extLst>
              <c:ext xmlns:c16="http://schemas.microsoft.com/office/drawing/2014/chart" uri="{C3380CC4-5D6E-409C-BE32-E72D297353CC}">
                <c16:uniqueId val="{00000008-5F5F-4F0D-B679-D2650C73FC24}"/>
              </c:ext>
            </c:extLst>
          </c:dPt>
          <c:dPt>
            <c:idx val="3"/>
            <c:invertIfNegative val="0"/>
            <c:bubble3D val="0"/>
            <c:spPr>
              <a:solidFill>
                <a:srgbClr val="FFD400"/>
              </a:solidFill>
            </c:spPr>
            <c:extLst>
              <c:ext xmlns:c16="http://schemas.microsoft.com/office/drawing/2014/chart" uri="{C3380CC4-5D6E-409C-BE32-E72D297353CC}">
                <c16:uniqueId val="{0000000A-5F5F-4F0D-B679-D2650C73FC24}"/>
              </c:ext>
            </c:extLst>
          </c:dPt>
          <c:dPt>
            <c:idx val="4"/>
            <c:invertIfNegative val="0"/>
            <c:bubble3D val="0"/>
            <c:spPr>
              <a:solidFill>
                <a:srgbClr val="784558"/>
              </a:solidFill>
            </c:spPr>
            <c:extLst>
              <c:ext xmlns:c16="http://schemas.microsoft.com/office/drawing/2014/chart" uri="{C3380CC4-5D6E-409C-BE32-E72D297353CC}">
                <c16:uniqueId val="{0000000C-5F5F-4F0D-B679-D2650C73FC24}"/>
              </c:ext>
            </c:extLst>
          </c:dPt>
          <c:dPt>
            <c:idx val="5"/>
            <c:invertIfNegative val="0"/>
            <c:bubble3D val="0"/>
            <c:spPr>
              <a:solidFill>
                <a:srgbClr val="4CA79F"/>
              </a:solidFill>
            </c:spPr>
            <c:extLst>
              <c:ext xmlns:c16="http://schemas.microsoft.com/office/drawing/2014/chart" uri="{C3380CC4-5D6E-409C-BE32-E72D297353CC}">
                <c16:uniqueId val="{0000000E-5F5F-4F0D-B679-D2650C73FC24}"/>
              </c:ext>
            </c:extLst>
          </c:dPt>
          <c:dPt>
            <c:idx val="6"/>
            <c:invertIfNegative val="0"/>
            <c:bubble3D val="0"/>
            <c:spPr>
              <a:solidFill>
                <a:srgbClr val="007932"/>
              </a:solidFill>
              <a:ln w="3175">
                <a:solidFill>
                  <a:schemeClr val="bg1"/>
                </a:solidFill>
              </a:ln>
            </c:spPr>
            <c:extLst>
              <c:ext xmlns:c16="http://schemas.microsoft.com/office/drawing/2014/chart" uri="{C3380CC4-5D6E-409C-BE32-E72D297353CC}">
                <c16:uniqueId val="{00000010-5F5F-4F0D-B679-D2650C73FC24}"/>
              </c:ext>
            </c:extLst>
          </c:dPt>
          <c:dLbls>
            <c:numFmt formatCode="0%" sourceLinked="0"/>
            <c:spPr>
              <a:noFill/>
              <a:ln w="3175">
                <a:solidFill>
                  <a:srgbClr val="002E3D"/>
                </a:solidFill>
              </a:ln>
              <a:effectLst/>
            </c:spPr>
            <c:txPr>
              <a:bodyPr wrap="square" lIns="38100" tIns="19050" rIns="38100" bIns="19050" anchor="ctr">
                <a:spAutoFit/>
              </a:bodyPr>
              <a:lstStyle/>
              <a:p>
                <a:pPr>
                  <a:defRPr sz="900">
                    <a:latin typeface="+mn-lt"/>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 - ESG'!$A$30:$A$35</c:f>
              <c:strCache>
                <c:ptCount val="6"/>
                <c:pt idx="0">
                  <c:v>Non evalue</c:v>
                </c:pt>
                <c:pt idx="1">
                  <c:v>Sous surveillance</c:v>
                </c:pt>
                <c:pt idx="2">
                  <c:v>Incertain</c:v>
                </c:pt>
                <c:pt idx="3">
                  <c:v>Suiveur</c:v>
                </c:pt>
                <c:pt idx="4">
                  <c:v>Implique</c:v>
                </c:pt>
                <c:pt idx="5">
                  <c:v>Leader</c:v>
                </c:pt>
              </c:strCache>
            </c:strRef>
          </c:cat>
          <c:val>
            <c:numRef>
              <c:f>'I - ESG'!$B$30:$B$35</c:f>
              <c:numCache>
                <c:formatCode>0.00%</c:formatCode>
                <c:ptCount val="6"/>
                <c:pt idx="0">
                  <c:v>9.3715035333164706E-2</c:v>
                </c:pt>
                <c:pt idx="1">
                  <c:v>6.7942909067105303E-2</c:v>
                </c:pt>
                <c:pt idx="2">
                  <c:v>0.11381280739631799</c:v>
                </c:pt>
                <c:pt idx="3">
                  <c:v>0.171526648764881</c:v>
                </c:pt>
                <c:pt idx="4">
                  <c:v>0.21364077707319301</c:v>
                </c:pt>
                <c:pt idx="5">
                  <c:v>0.33936182236533702</c:v>
                </c:pt>
              </c:numCache>
            </c:numRef>
          </c:val>
          <c:extLst>
            <c:ext xmlns:c16="http://schemas.microsoft.com/office/drawing/2014/chart" uri="{C3380CC4-5D6E-409C-BE32-E72D297353CC}">
              <c16:uniqueId val="{00000011-5F5F-4F0D-B679-D2650C73FC24}"/>
            </c:ext>
          </c:extLst>
        </c:ser>
        <c:dLbls>
          <c:dLblPos val="outEnd"/>
          <c:showLegendKey val="0"/>
          <c:showVal val="1"/>
          <c:showCatName val="0"/>
          <c:showSerName val="0"/>
          <c:showPercent val="0"/>
          <c:showBubbleSize val="0"/>
        </c:dLbls>
        <c:gapWidth val="50"/>
        <c:axId val="203305728"/>
        <c:axId val="203307264"/>
      </c:barChart>
      <c:catAx>
        <c:axId val="203305728"/>
        <c:scaling>
          <c:orientation val="minMax"/>
        </c:scaling>
        <c:delete val="0"/>
        <c:axPos val="l"/>
        <c:numFmt formatCode="General" sourceLinked="0"/>
        <c:majorTickMark val="out"/>
        <c:minorTickMark val="none"/>
        <c:tickLblPos val="nextTo"/>
        <c:txPr>
          <a:bodyPr/>
          <a:lstStyle/>
          <a:p>
            <a:pPr>
              <a:defRPr sz="800">
                <a:latin typeface="+mn-lt"/>
              </a:defRPr>
            </a:pPr>
            <a:endParaRPr lang="fr-FR"/>
          </a:p>
        </c:txPr>
        <c:crossAx val="203307264"/>
        <c:crosses val="autoZero"/>
        <c:auto val="1"/>
        <c:lblAlgn val="ctr"/>
        <c:lblOffset val="100"/>
        <c:noMultiLvlLbl val="0"/>
      </c:catAx>
      <c:valAx>
        <c:axId val="203307264"/>
        <c:scaling>
          <c:orientation val="minMax"/>
          <c:max val="0.60000000000000009"/>
        </c:scaling>
        <c:delete val="1"/>
        <c:axPos val="b"/>
        <c:numFmt formatCode="0%" sourceLinked="0"/>
        <c:majorTickMark val="out"/>
        <c:minorTickMark val="none"/>
        <c:tickLblPos val="nextTo"/>
        <c:crossAx val="203305728"/>
        <c:crosses val="autoZero"/>
        <c:crossBetween val="between"/>
        <c:majorUnit val="0.1"/>
      </c:valAx>
    </c:plotArea>
    <c:plotVisOnly val="1"/>
    <c:dispBlanksAs val="gap"/>
    <c:showDLblsOverMax val="0"/>
  </c:chart>
  <c:spPr>
    <a:ln>
      <a:solidFill>
        <a:sysClr val="window" lastClr="FFFFFF">
          <a:lumMod val="85000"/>
        </a:sysClr>
      </a:solidFill>
    </a:ln>
  </c:spPr>
  <c:txPr>
    <a:bodyPr/>
    <a:lstStyle/>
    <a:p>
      <a:pPr>
        <a:defRPr sz="1050">
          <a:latin typeface="Prompt" panose="00000500000000000000" pitchFamily="2" charset="-34"/>
          <a:cs typeface="Prompt" panose="00000500000000000000" pitchFamily="2" charset="-34"/>
        </a:defRPr>
      </a:pPr>
      <a:endParaRPr lang="fr-FR"/>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i="0" u="none" strike="noStrike" kern="1200" spc="0" baseline="0">
                <a:solidFill>
                  <a:sysClr val="windowText" lastClr="000000"/>
                </a:solidFill>
              </a:rPr>
              <a:t>Répartition des actifs du portefeuille d'Abeille Retraite Professionnelle à fin 2025</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manualLayout>
          <c:layoutTarget val="inner"/>
          <c:xMode val="edge"/>
          <c:yMode val="edge"/>
          <c:x val="0.29200794324306684"/>
          <c:y val="0.22170164416718133"/>
          <c:w val="0.40542305960384406"/>
          <c:h val="0.57269537755466726"/>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346-4444-AD04-FA6DA70328A2}"/>
              </c:ext>
            </c:extLst>
          </c:dPt>
          <c:dPt>
            <c:idx val="1"/>
            <c:bubble3D val="0"/>
            <c:spPr>
              <a:solidFill>
                <a:schemeClr val="accent2">
                  <a:lumMod val="40000"/>
                  <a:lumOff val="60000"/>
                </a:schemeClr>
              </a:solidFill>
              <a:ln w="19050">
                <a:solidFill>
                  <a:schemeClr val="lt1"/>
                </a:solidFill>
              </a:ln>
              <a:effectLst/>
            </c:spPr>
            <c:extLst>
              <c:ext xmlns:c16="http://schemas.microsoft.com/office/drawing/2014/chart" uri="{C3380CC4-5D6E-409C-BE32-E72D297353CC}">
                <c16:uniqueId val="{00000003-8346-4444-AD04-FA6DA70328A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346-4444-AD04-FA6DA70328A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346-4444-AD04-FA6DA70328A2}"/>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346-4444-AD04-FA6DA70328A2}"/>
              </c:ext>
            </c:extLst>
          </c:dPt>
          <c:dPt>
            <c:idx val="5"/>
            <c:bubble3D val="0"/>
            <c:spPr>
              <a:solidFill>
                <a:schemeClr val="accent6">
                  <a:lumMod val="90000"/>
                </a:schemeClr>
              </a:solidFill>
              <a:ln w="19050">
                <a:solidFill>
                  <a:schemeClr val="lt1"/>
                </a:solidFill>
              </a:ln>
              <a:effectLst/>
            </c:spPr>
            <c:extLst>
              <c:ext xmlns:c16="http://schemas.microsoft.com/office/drawing/2014/chart" uri="{C3380CC4-5D6E-409C-BE32-E72D297353CC}">
                <c16:uniqueId val="{0000000B-8346-4444-AD04-FA6DA70328A2}"/>
              </c:ext>
            </c:extLst>
          </c:dPt>
          <c:dLbls>
            <c:dLbl>
              <c:idx val="0"/>
              <c:layout>
                <c:manualLayout>
                  <c:x val="-3.2319674239993899E-2"/>
                  <c:y val="7.7872599021713201E-2"/>
                </c:manualLayout>
              </c:layout>
              <c:dLblPos val="bestFit"/>
              <c:showLegendKey val="0"/>
              <c:showVal val="0"/>
              <c:showCatName val="0"/>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8346-4444-AD04-FA6DA70328A2}"/>
                </c:ext>
              </c:extLst>
            </c:dLbl>
            <c:dLbl>
              <c:idx val="1"/>
              <c:delete val="1"/>
              <c:extLst>
                <c:ext xmlns:c15="http://schemas.microsoft.com/office/drawing/2012/chart" uri="{CE6537A1-D6FC-4f65-9D91-7224C49458BB}"/>
                <c:ext xmlns:c16="http://schemas.microsoft.com/office/drawing/2014/chart" uri="{C3380CC4-5D6E-409C-BE32-E72D297353CC}">
                  <c16:uniqueId val="{00000003-8346-4444-AD04-FA6DA70328A2}"/>
                </c:ext>
              </c:extLst>
            </c:dLbl>
            <c:dLbl>
              <c:idx val="2"/>
              <c:delete val="1"/>
              <c:extLst>
                <c:ext xmlns:c15="http://schemas.microsoft.com/office/drawing/2012/chart" uri="{CE6537A1-D6FC-4f65-9D91-7224C49458BB}"/>
                <c:ext xmlns:c16="http://schemas.microsoft.com/office/drawing/2014/chart" uri="{C3380CC4-5D6E-409C-BE32-E72D297353CC}">
                  <c16:uniqueId val="{00000005-8346-4444-AD04-FA6DA70328A2}"/>
                </c:ext>
              </c:extLst>
            </c:dLbl>
            <c:dLbl>
              <c:idx val="4"/>
              <c:delete val="1"/>
              <c:extLst>
                <c:ext xmlns:c15="http://schemas.microsoft.com/office/drawing/2012/chart" uri="{CE6537A1-D6FC-4f65-9D91-7224C49458BB}"/>
                <c:ext xmlns:c16="http://schemas.microsoft.com/office/drawing/2014/chart" uri="{C3380CC4-5D6E-409C-BE32-E72D297353CC}">
                  <c16:uniqueId val="{00000009-8346-4444-AD04-FA6DA70328A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fr-FR"/>
              </a:p>
            </c:txPr>
            <c:dLblPos val="bestFit"/>
            <c:showLegendKey val="0"/>
            <c:showVal val="0"/>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ARP!$B$40:$B$45</c:f>
              <c:strCache>
                <c:ptCount val="6"/>
                <c:pt idx="0">
                  <c:v>Action</c:v>
                </c:pt>
                <c:pt idx="1">
                  <c:v>Immobilier</c:v>
                </c:pt>
                <c:pt idx="2">
                  <c:v>Monétaire</c:v>
                </c:pt>
                <c:pt idx="3">
                  <c:v>Obligations</c:v>
                </c:pt>
                <c:pt idx="4">
                  <c:v>Prêts </c:v>
                </c:pt>
                <c:pt idx="5">
                  <c:v>Unités de Compte</c:v>
                </c:pt>
              </c:strCache>
            </c:strRef>
          </c:cat>
          <c:val>
            <c:numRef>
              <c:f>ARP!$C$40:$C$45</c:f>
              <c:numCache>
                <c:formatCode>_-* #\ ##0_-;\-* #\ ##0_-;_-* "-"??_-;_-@_-</c:formatCode>
                <c:ptCount val="6"/>
                <c:pt idx="0">
                  <c:v>572372810.40999973</c:v>
                </c:pt>
                <c:pt idx="1">
                  <c:v>198956160.30000001</c:v>
                </c:pt>
                <c:pt idx="2">
                  <c:v>230591716.76000002</c:v>
                </c:pt>
                <c:pt idx="3">
                  <c:v>2490849069.2799978</c:v>
                </c:pt>
                <c:pt idx="4">
                  <c:v>196894241.63000005</c:v>
                </c:pt>
                <c:pt idx="5">
                  <c:v>5116951558.0300083</c:v>
                </c:pt>
              </c:numCache>
            </c:numRef>
          </c:val>
          <c:extLst>
            <c:ext xmlns:c16="http://schemas.microsoft.com/office/drawing/2014/chart" uri="{C3380CC4-5D6E-409C-BE32-E72D297353CC}">
              <c16:uniqueId val="{0000000C-8346-4444-AD04-FA6DA70328A2}"/>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3.0668948990071884E-2"/>
          <c:y val="0.84805498389405864"/>
          <c:w val="0.95025600060861959"/>
          <c:h val="0.1235359251968503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lumMod val="85000"/>
        </a:schemeClr>
      </a:solidFill>
      <a:round/>
    </a:ln>
    <a:effectLst/>
  </c:spPr>
  <c:txPr>
    <a:bodyPr/>
    <a:lstStyle/>
    <a:p>
      <a:pPr>
        <a:defRPr/>
      </a:pPr>
      <a:endParaRPr lang="fr-FR"/>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lgn="ctr">
              <a:defRPr sz="1100"/>
            </a:pPr>
            <a:r>
              <a:rPr lang="fr-FR" sz="1100"/>
              <a:t>Evolution catégories ISR</a:t>
            </a:r>
            <a:br>
              <a:rPr lang="fr-FR" sz="1100"/>
            </a:br>
            <a:r>
              <a:rPr lang="fr-FR" sz="1100"/>
              <a:t>Emetteurs publics du portefeuille</a:t>
            </a:r>
          </a:p>
        </c:rich>
      </c:tx>
      <c:layout>
        <c:manualLayout>
          <c:xMode val="edge"/>
          <c:yMode val="edge"/>
          <c:x val="0.20040080160320642"/>
          <c:y val="9.0967450724710377E-3"/>
        </c:manualLayout>
      </c:layout>
      <c:overlay val="1"/>
    </c:title>
    <c:autoTitleDeleted val="0"/>
    <c:plotArea>
      <c:layout>
        <c:manualLayout>
          <c:layoutTarget val="inner"/>
          <c:xMode val="edge"/>
          <c:yMode val="edge"/>
          <c:x val="0.2917209289635263"/>
          <c:y val="0.13996800695771017"/>
          <c:w val="0.69574336932633907"/>
          <c:h val="0.79821335942474647"/>
        </c:manualLayout>
      </c:layout>
      <c:barChart>
        <c:barDir val="bar"/>
        <c:grouping val="clustered"/>
        <c:varyColors val="0"/>
        <c:ser>
          <c:idx val="0"/>
          <c:order val="0"/>
          <c:spPr>
            <a:solidFill>
              <a:srgbClr val="00647F"/>
            </a:solidFill>
          </c:spPr>
          <c:invertIfNegative val="0"/>
          <c:dPt>
            <c:idx val="0"/>
            <c:invertIfNegative val="0"/>
            <c:bubble3D val="0"/>
            <c:spPr>
              <a:solidFill>
                <a:srgbClr val="E3B174"/>
              </a:solidFill>
            </c:spPr>
            <c:extLst>
              <c:ext xmlns:c16="http://schemas.microsoft.com/office/drawing/2014/chart" uri="{C3380CC4-5D6E-409C-BE32-E72D297353CC}">
                <c16:uniqueId val="{00000000-6C04-4F03-B426-A75AE1B643F3}"/>
              </c:ext>
            </c:extLst>
          </c:dPt>
          <c:dPt>
            <c:idx val="1"/>
            <c:invertIfNegative val="0"/>
            <c:bubble3D val="0"/>
            <c:spPr>
              <a:solidFill>
                <a:srgbClr val="D57B1D"/>
              </a:solidFill>
            </c:spPr>
            <c:extLst>
              <c:ext xmlns:c16="http://schemas.microsoft.com/office/drawing/2014/chart" uri="{C3380CC4-5D6E-409C-BE32-E72D297353CC}">
                <c16:uniqueId val="{00000001-6C04-4F03-B426-A75AE1B643F3}"/>
              </c:ext>
            </c:extLst>
          </c:dPt>
          <c:dPt>
            <c:idx val="2"/>
            <c:invertIfNegative val="0"/>
            <c:bubble3D val="0"/>
            <c:spPr>
              <a:solidFill>
                <a:srgbClr val="8A2C24"/>
              </a:solidFill>
            </c:spPr>
            <c:extLst>
              <c:ext xmlns:c16="http://schemas.microsoft.com/office/drawing/2014/chart" uri="{C3380CC4-5D6E-409C-BE32-E72D297353CC}">
                <c16:uniqueId val="{00000002-6C04-4F03-B426-A75AE1B643F3}"/>
              </c:ext>
            </c:extLst>
          </c:dPt>
          <c:dPt>
            <c:idx val="3"/>
            <c:invertIfNegative val="0"/>
            <c:bubble3D val="0"/>
            <c:spPr>
              <a:solidFill>
                <a:srgbClr val="FFD400"/>
              </a:solidFill>
            </c:spPr>
            <c:extLst>
              <c:ext xmlns:c16="http://schemas.microsoft.com/office/drawing/2014/chart" uri="{C3380CC4-5D6E-409C-BE32-E72D297353CC}">
                <c16:uniqueId val="{00000003-6C04-4F03-B426-A75AE1B643F3}"/>
              </c:ext>
            </c:extLst>
          </c:dPt>
          <c:dPt>
            <c:idx val="4"/>
            <c:invertIfNegative val="0"/>
            <c:bubble3D val="0"/>
            <c:spPr>
              <a:solidFill>
                <a:srgbClr val="784558"/>
              </a:solidFill>
            </c:spPr>
            <c:extLst>
              <c:ext xmlns:c16="http://schemas.microsoft.com/office/drawing/2014/chart" uri="{C3380CC4-5D6E-409C-BE32-E72D297353CC}">
                <c16:uniqueId val="{00000004-6C04-4F03-B426-A75AE1B643F3}"/>
              </c:ext>
            </c:extLst>
          </c:dPt>
          <c:dPt>
            <c:idx val="5"/>
            <c:invertIfNegative val="0"/>
            <c:bubble3D val="0"/>
            <c:spPr>
              <a:solidFill>
                <a:srgbClr val="4CA79F"/>
              </a:solidFill>
            </c:spPr>
            <c:extLst>
              <c:ext xmlns:c16="http://schemas.microsoft.com/office/drawing/2014/chart" uri="{C3380CC4-5D6E-409C-BE32-E72D297353CC}">
                <c16:uniqueId val="{00000005-6C04-4F03-B426-A75AE1B643F3}"/>
              </c:ext>
            </c:extLst>
          </c:dPt>
          <c:dPt>
            <c:idx val="6"/>
            <c:invertIfNegative val="0"/>
            <c:bubble3D val="0"/>
            <c:spPr>
              <a:solidFill>
                <a:srgbClr val="00647F"/>
              </a:solidFill>
              <a:ln w="3175">
                <a:solidFill>
                  <a:schemeClr val="bg1"/>
                </a:solidFill>
              </a:ln>
            </c:spPr>
            <c:extLst>
              <c:ext xmlns:c16="http://schemas.microsoft.com/office/drawing/2014/chart" uri="{C3380CC4-5D6E-409C-BE32-E72D297353CC}">
                <c16:uniqueId val="{00000007-6C04-4F03-B426-A75AE1B643F3}"/>
              </c:ext>
            </c:extLst>
          </c:dPt>
          <c:dLbls>
            <c:numFmt formatCode="0%" sourceLinked="0"/>
            <c:spPr>
              <a:noFill/>
              <a:ln>
                <a:noFill/>
              </a:ln>
              <a:effectLst/>
            </c:spPr>
            <c:txPr>
              <a:bodyPr/>
              <a:lstStyle/>
              <a:p>
                <a:pPr>
                  <a:defRPr sz="900"/>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 - ESG'!$A$58:$A$63</c:f>
              <c:strCache>
                <c:ptCount val="6"/>
                <c:pt idx="0">
                  <c:v>Non evalue</c:v>
                </c:pt>
                <c:pt idx="1">
                  <c:v>Sous surveillance</c:v>
                </c:pt>
                <c:pt idx="2">
                  <c:v>Incertain</c:v>
                </c:pt>
                <c:pt idx="3">
                  <c:v>Suiveur</c:v>
                </c:pt>
                <c:pt idx="4">
                  <c:v>Implique</c:v>
                </c:pt>
                <c:pt idx="5">
                  <c:v>Leader</c:v>
                </c:pt>
              </c:strCache>
            </c:strRef>
          </c:cat>
          <c:val>
            <c:numRef>
              <c:f>'I - ESG'!$B$58:$B$63</c:f>
              <c:numCache>
                <c:formatCode>0.00%</c:formatCode>
                <c:ptCount val="6"/>
                <c:pt idx="0">
                  <c:v>4.18868431655329E-2</c:v>
                </c:pt>
                <c:pt idx="1">
                  <c:v>4.4444452315735197E-2</c:v>
                </c:pt>
                <c:pt idx="2">
                  <c:v>6.1171757297687597E-2</c:v>
                </c:pt>
                <c:pt idx="3">
                  <c:v>9.54724354233875E-2</c:v>
                </c:pt>
                <c:pt idx="4">
                  <c:v>0.63481066438625799</c:v>
                </c:pt>
                <c:pt idx="5">
                  <c:v>0.122213847411399</c:v>
                </c:pt>
              </c:numCache>
            </c:numRef>
          </c:val>
          <c:extLst>
            <c:ext xmlns:c16="http://schemas.microsoft.com/office/drawing/2014/chart" uri="{C3380CC4-5D6E-409C-BE32-E72D297353CC}">
              <c16:uniqueId val="{00000008-6C04-4F03-B426-A75AE1B643F3}"/>
            </c:ext>
          </c:extLst>
        </c:ser>
        <c:ser>
          <c:idx val="1"/>
          <c:order val="1"/>
          <c:spPr>
            <a:solidFill>
              <a:srgbClr val="F37A6E"/>
            </a:solidFill>
          </c:spPr>
          <c:invertIfNegative val="0"/>
          <c:dPt>
            <c:idx val="6"/>
            <c:invertIfNegative val="0"/>
            <c:bubble3D val="0"/>
            <c:spPr>
              <a:solidFill>
                <a:srgbClr val="F37A6E"/>
              </a:solidFill>
              <a:ln w="3175">
                <a:solidFill>
                  <a:schemeClr val="bg1"/>
                </a:solidFill>
              </a:ln>
            </c:spPr>
            <c:extLst>
              <c:ext xmlns:c16="http://schemas.microsoft.com/office/drawing/2014/chart" uri="{C3380CC4-5D6E-409C-BE32-E72D297353CC}">
                <c16:uniqueId val="{0000000A-6C04-4F03-B426-A75AE1B643F3}"/>
              </c:ext>
            </c:extLst>
          </c:dPt>
          <c:dLbls>
            <c:spPr>
              <a:noFill/>
              <a:ln w="3175">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'I - ESG'!$A$58:$A$63</c:f>
              <c:strCache>
                <c:ptCount val="6"/>
                <c:pt idx="0">
                  <c:v>Non evalue</c:v>
                </c:pt>
                <c:pt idx="1">
                  <c:v>Sous surveillance</c:v>
                </c:pt>
                <c:pt idx="2">
                  <c:v>Incertain</c:v>
                </c:pt>
                <c:pt idx="3">
                  <c:v>Suiveur</c:v>
                </c:pt>
                <c:pt idx="4">
                  <c:v>Implique</c:v>
                </c:pt>
                <c:pt idx="5">
                  <c:v>Leader</c:v>
                </c:pt>
              </c:strCache>
            </c:strRef>
          </c:cat>
          <c:val>
            <c:numRef>
              <c:f>'I - ESG'!$D$58:$D$63</c:f>
              <c:numCache>
                <c:formatCode>General</c:formatCode>
                <c:ptCount val="6"/>
              </c:numCache>
            </c:numRef>
          </c:val>
          <c:extLst>
            <c:ext xmlns:c16="http://schemas.microsoft.com/office/drawing/2014/chart" uri="{C3380CC4-5D6E-409C-BE32-E72D297353CC}">
              <c16:uniqueId val="{0000000B-6C04-4F03-B426-A75AE1B643F3}"/>
            </c:ext>
          </c:extLst>
        </c:ser>
        <c:dLbls>
          <c:dLblPos val="outEnd"/>
          <c:showLegendKey val="0"/>
          <c:showVal val="1"/>
          <c:showCatName val="0"/>
          <c:showSerName val="0"/>
          <c:showPercent val="0"/>
          <c:showBubbleSize val="0"/>
        </c:dLbls>
        <c:gapWidth val="50"/>
        <c:axId val="203305728"/>
        <c:axId val="203307264"/>
      </c:barChart>
      <c:catAx>
        <c:axId val="203305728"/>
        <c:scaling>
          <c:orientation val="minMax"/>
        </c:scaling>
        <c:delete val="0"/>
        <c:axPos val="l"/>
        <c:numFmt formatCode="General" sourceLinked="0"/>
        <c:majorTickMark val="out"/>
        <c:minorTickMark val="none"/>
        <c:tickLblPos val="nextTo"/>
        <c:txPr>
          <a:bodyPr/>
          <a:lstStyle/>
          <a:p>
            <a:pPr>
              <a:defRPr sz="900"/>
            </a:pPr>
            <a:endParaRPr lang="fr-FR"/>
          </a:p>
        </c:txPr>
        <c:crossAx val="203307264"/>
        <c:crosses val="autoZero"/>
        <c:auto val="1"/>
        <c:lblAlgn val="ctr"/>
        <c:lblOffset val="100"/>
        <c:noMultiLvlLbl val="0"/>
      </c:catAx>
      <c:valAx>
        <c:axId val="203307264"/>
        <c:scaling>
          <c:orientation val="minMax"/>
          <c:max val="0.8"/>
        </c:scaling>
        <c:delete val="1"/>
        <c:axPos val="b"/>
        <c:numFmt formatCode="0%" sourceLinked="0"/>
        <c:majorTickMark val="out"/>
        <c:minorTickMark val="none"/>
        <c:tickLblPos val="nextTo"/>
        <c:crossAx val="203305728"/>
        <c:crosses val="autoZero"/>
        <c:crossBetween val="between"/>
        <c:majorUnit val="0.1"/>
      </c:valAx>
    </c:plotArea>
    <c:plotVisOnly val="1"/>
    <c:dispBlanksAs val="gap"/>
    <c:showDLblsOverMax val="0"/>
  </c:chart>
  <c:txPr>
    <a:bodyPr/>
    <a:lstStyle/>
    <a:p>
      <a:pPr>
        <a:defRPr sz="1050">
          <a:latin typeface="+mn-lt"/>
          <a:cs typeface="Prompt" panose="00000500000000000000" pitchFamily="2" charset="-34"/>
        </a:defRPr>
      </a:pPr>
      <a:endParaRPr lang="fr-FR"/>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100" b="1" i="0" u="none" strike="noStrike" kern="1200" spc="0" baseline="0">
                <a:solidFill>
                  <a:sysClr val="windowText" lastClr="000000"/>
                </a:solidFill>
                <a:latin typeface="+mn-lt"/>
                <a:ea typeface="+mn-ea"/>
                <a:cs typeface="+mn-cs"/>
              </a:defRPr>
            </a:pPr>
            <a:r>
              <a:rPr lang="en-US" sz="1100" b="1">
                <a:solidFill>
                  <a:sysClr val="windowText" lastClr="000000"/>
                </a:solidFill>
              </a:rPr>
              <a:t>Impacts Climate</a:t>
            </a:r>
            <a:r>
              <a:rPr lang="en-US" sz="1100" b="1" baseline="0">
                <a:solidFill>
                  <a:sysClr val="windowText" lastClr="000000"/>
                </a:solidFill>
              </a:rPr>
              <a:t> Var (%) de chaque aléa climatique, dans le cas d'un scénario de réchauffement 2°C</a:t>
            </a:r>
            <a:endParaRPr lang="en-US" sz="1100" b="1">
              <a:solidFill>
                <a:sysClr val="windowText" lastClr="000000"/>
              </a:solidFill>
            </a:endParaRPr>
          </a:p>
        </c:rich>
      </c:tx>
      <c:layout>
        <c:manualLayout>
          <c:xMode val="edge"/>
          <c:yMode val="edge"/>
          <c:x val="0.1786480784468237"/>
          <c:y val="1.3633011063490481E-2"/>
        </c:manualLayout>
      </c:layout>
      <c:overlay val="0"/>
      <c:spPr>
        <a:noFill/>
        <a:ln>
          <a:noFill/>
        </a:ln>
        <a:effectLst/>
      </c:spPr>
      <c:txPr>
        <a:bodyPr rot="0" spcFirstLastPara="1" vertOverflow="ellipsis" vert="horz" wrap="square" anchor="ctr" anchorCtr="1"/>
        <a:lstStyle/>
        <a:p>
          <a:pPr algn="ctr">
            <a:defRPr sz="11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Feuil1!$I$3</c:f>
              <c:strCache>
                <c:ptCount val="1"/>
                <c:pt idx="0">
                  <c:v>2°C transition ordonnée</c:v>
                </c:pt>
              </c:strCache>
            </c:strRef>
          </c:tx>
          <c:spPr>
            <a:solidFill>
              <a:schemeClr val="accent1"/>
            </a:solidFill>
            <a:ln>
              <a:noFill/>
            </a:ln>
            <a:effectLst/>
          </c:spPr>
          <c:invertIfNegative val="0"/>
          <c:dPt>
            <c:idx val="3"/>
            <c:invertIfNegative val="0"/>
            <c:bubble3D val="0"/>
            <c:spPr>
              <a:solidFill>
                <a:srgbClr val="00B050"/>
              </a:solidFill>
              <a:ln>
                <a:noFill/>
              </a:ln>
              <a:effectLst/>
            </c:spPr>
            <c:extLst>
              <c:ext xmlns:c16="http://schemas.microsoft.com/office/drawing/2014/chart" uri="{C3380CC4-5D6E-409C-BE32-E72D297353CC}">
                <c16:uniqueId val="{00000001-9073-4122-AB05-EC228E6BC96A}"/>
              </c:ext>
            </c:extLst>
          </c:dPt>
          <c:cat>
            <c:strRef>
              <c:f>Feuil1!$H$4:$H$13</c:f>
              <c:strCache>
                <c:ptCount val="10"/>
                <c:pt idx="0">
                  <c:v>Cyclones tropicaux</c:v>
                </c:pt>
                <c:pt idx="1">
                  <c:v>Inondations côtières</c:v>
                </c:pt>
                <c:pt idx="2">
                  <c:v>Chaleur extrême</c:v>
                </c:pt>
                <c:pt idx="3">
                  <c:v>Froid extrême</c:v>
                </c:pt>
                <c:pt idx="4">
                  <c:v>Précipitations</c:v>
                </c:pt>
                <c:pt idx="5">
                  <c:v>Chutes de neige extrêmes</c:v>
                </c:pt>
                <c:pt idx="6">
                  <c:v>Vents extrêmes</c:v>
                </c:pt>
                <c:pt idx="7">
                  <c:v>Inondations fluviales</c:v>
                </c:pt>
                <c:pt idx="8">
                  <c:v>Faible débit des rivières</c:v>
                </c:pt>
                <c:pt idx="9">
                  <c:v>Incendies de forêt</c:v>
                </c:pt>
              </c:strCache>
            </c:strRef>
          </c:cat>
          <c:val>
            <c:numRef>
              <c:f>Feuil1!$I$4:$I$13</c:f>
              <c:numCache>
                <c:formatCode>0.00%</c:formatCode>
                <c:ptCount val="10"/>
                <c:pt idx="0">
                  <c:v>-1E-3</c:v>
                </c:pt>
                <c:pt idx="1">
                  <c:v>-2E-3</c:v>
                </c:pt>
                <c:pt idx="2">
                  <c:v>-4.0000000000000001E-3</c:v>
                </c:pt>
                <c:pt idx="3">
                  <c:v>1E-3</c:v>
                </c:pt>
                <c:pt idx="4">
                  <c:v>-1E-3</c:v>
                </c:pt>
                <c:pt idx="5">
                  <c:v>0</c:v>
                </c:pt>
                <c:pt idx="6">
                  <c:v>0</c:v>
                </c:pt>
                <c:pt idx="7">
                  <c:v>0</c:v>
                </c:pt>
                <c:pt idx="8">
                  <c:v>-8.9999999999999993E-3</c:v>
                </c:pt>
                <c:pt idx="9">
                  <c:v>0</c:v>
                </c:pt>
              </c:numCache>
            </c:numRef>
          </c:val>
          <c:extLst>
            <c:ext xmlns:c16="http://schemas.microsoft.com/office/drawing/2014/chart" uri="{C3380CC4-5D6E-409C-BE32-E72D297353CC}">
              <c16:uniqueId val="{00000002-9073-4122-AB05-EC228E6BC96A}"/>
            </c:ext>
          </c:extLst>
        </c:ser>
        <c:dLbls>
          <c:showLegendKey val="0"/>
          <c:showVal val="0"/>
          <c:showCatName val="0"/>
          <c:showSerName val="0"/>
          <c:showPercent val="0"/>
          <c:showBubbleSize val="0"/>
        </c:dLbls>
        <c:gapWidth val="30"/>
        <c:axId val="1577056912"/>
        <c:axId val="1577057392"/>
      </c:barChart>
      <c:catAx>
        <c:axId val="15770569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en-US"/>
          </a:p>
        </c:txPr>
        <c:crossAx val="1577057392"/>
        <c:crosses val="autoZero"/>
        <c:auto val="1"/>
        <c:lblAlgn val="ctr"/>
        <c:lblOffset val="100"/>
        <c:noMultiLvlLbl val="0"/>
      </c:catAx>
      <c:valAx>
        <c:axId val="1577057392"/>
        <c:scaling>
          <c:orientation val="minMax"/>
        </c:scaling>
        <c:delete val="0"/>
        <c:axPos val="b"/>
        <c:numFmt formatCode="0.0%" sourceLinked="0"/>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1577056912"/>
        <c:crosses val="autoZero"/>
        <c:crossBetween val="between"/>
        <c:majorUnit val="1.0000000000000002E-3"/>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rgbClr val="FFFFFF"/>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en-US" sz="1100" b="1">
                <a:solidFill>
                  <a:sysClr val="windowText" lastClr="000000"/>
                </a:solidFill>
              </a:rPr>
              <a:t>Pertes attendues sur les investissements corporate en %</a:t>
            </a:r>
          </a:p>
        </c:rich>
      </c:tx>
      <c:layout>
        <c:manualLayout>
          <c:xMode val="edge"/>
          <c:yMode val="edge"/>
          <c:x val="0.25290774357930884"/>
          <c:y val="1.737710825849002E-2"/>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4921597908664734"/>
          <c:y val="0.19192919479742943"/>
          <c:w val="0.52020804793752262"/>
          <c:h val="0.66090864715446151"/>
        </c:manualLayout>
      </c:layout>
      <c:barChart>
        <c:barDir val="bar"/>
        <c:grouping val="stacked"/>
        <c:varyColors val="0"/>
        <c:ser>
          <c:idx val="0"/>
          <c:order val="0"/>
          <c:tx>
            <c:strRef>
              <c:f>Feuil1!$C$2</c:f>
              <c:strCache>
                <c:ptCount val="1"/>
                <c:pt idx="0">
                  <c:v>Risques de transition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Feuil1!$B$3:$B$6</c:f>
              <c:strCache>
                <c:ptCount val="4"/>
                <c:pt idx="0">
                  <c:v>Scénario 1.5°C - Transition ordonnée</c:v>
                </c:pt>
                <c:pt idx="1">
                  <c:v>Scénario 1.5°C - Transition désordonnée</c:v>
                </c:pt>
                <c:pt idx="2">
                  <c:v>Scénario 2°C - Transition ordonnée</c:v>
                </c:pt>
                <c:pt idx="3">
                  <c:v>Scénario 3°C NDC</c:v>
                </c:pt>
              </c:strCache>
            </c:strRef>
          </c:cat>
          <c:val>
            <c:numRef>
              <c:f>Feuil1!$C$3:$C$6</c:f>
              <c:numCache>
                <c:formatCode>0.00%</c:formatCode>
                <c:ptCount val="4"/>
                <c:pt idx="0">
                  <c:v>7.4999999999999997E-2</c:v>
                </c:pt>
                <c:pt idx="1">
                  <c:v>7.0999999999999994E-2</c:v>
                </c:pt>
                <c:pt idx="2" formatCode="0%">
                  <c:v>0.01</c:v>
                </c:pt>
                <c:pt idx="3">
                  <c:v>1.7999999999999999E-2</c:v>
                </c:pt>
              </c:numCache>
            </c:numRef>
          </c:val>
          <c:extLst>
            <c:ext xmlns:c16="http://schemas.microsoft.com/office/drawing/2014/chart" uri="{C3380CC4-5D6E-409C-BE32-E72D297353CC}">
              <c16:uniqueId val="{00000000-03CB-4085-AB27-EA8EF8483120}"/>
            </c:ext>
          </c:extLst>
        </c:ser>
        <c:ser>
          <c:idx val="1"/>
          <c:order val="1"/>
          <c:tx>
            <c:strRef>
              <c:f>Feuil1!$D$2</c:f>
              <c:strCache>
                <c:ptCount val="1"/>
                <c:pt idx="0">
                  <c:v>Risques physiques</c:v>
                </c:pt>
              </c:strCache>
            </c:strRef>
          </c:tx>
          <c:spPr>
            <a:solidFill>
              <a:schemeClr val="accent2"/>
            </a:solidFill>
            <a:ln>
              <a:noFill/>
            </a:ln>
            <a:effectLst/>
          </c:spPr>
          <c:invertIfNegative val="0"/>
          <c:dLbls>
            <c:dLbl>
              <c:idx val="0"/>
              <c:layout>
                <c:manualLayout>
                  <c:x val="3.2945536909296816E-2"/>
                  <c:y val="-1.0109248165177166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514-4907-BAEF-81A91A08143D}"/>
                </c:ext>
              </c:extLst>
            </c:dLbl>
            <c:dLbl>
              <c:idx val="1"/>
              <c:layout>
                <c:manualLayout>
                  <c:x val="3.70637290229587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514-4907-BAEF-81A91A08143D}"/>
                </c:ext>
              </c:extLst>
            </c:dLbl>
            <c:dLbl>
              <c:idx val="2"/>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1-B514-4907-BAEF-81A91A08143D}"/>
                </c:ext>
              </c:extLst>
            </c:dLbl>
            <c:dLbl>
              <c:idx val="3"/>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0-B514-4907-BAEF-81A91A08143D}"/>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Feuil1!$B$3:$B$6</c:f>
              <c:strCache>
                <c:ptCount val="4"/>
                <c:pt idx="0">
                  <c:v>Scénario 1.5°C - Transition ordonnée</c:v>
                </c:pt>
                <c:pt idx="1">
                  <c:v>Scénario 1.5°C - Transition désordonnée</c:v>
                </c:pt>
                <c:pt idx="2">
                  <c:v>Scénario 2°C - Transition ordonnée</c:v>
                </c:pt>
                <c:pt idx="3">
                  <c:v>Scénario 3°C NDC</c:v>
                </c:pt>
              </c:strCache>
            </c:strRef>
          </c:cat>
          <c:val>
            <c:numRef>
              <c:f>Feuil1!$D$3:$D$6</c:f>
              <c:numCache>
                <c:formatCode>0.00%</c:formatCode>
                <c:ptCount val="4"/>
                <c:pt idx="0">
                  <c:v>4.0000000000000001E-3</c:v>
                </c:pt>
                <c:pt idx="1">
                  <c:v>4.0000000000000001E-3</c:v>
                </c:pt>
                <c:pt idx="2">
                  <c:v>8.0000000000000002E-3</c:v>
                </c:pt>
                <c:pt idx="3">
                  <c:v>1.0999999999999999E-2</c:v>
                </c:pt>
              </c:numCache>
            </c:numRef>
          </c:val>
          <c:extLst>
            <c:ext xmlns:c16="http://schemas.microsoft.com/office/drawing/2014/chart" uri="{C3380CC4-5D6E-409C-BE32-E72D297353CC}">
              <c16:uniqueId val="{00000001-03CB-4085-AB27-EA8EF8483120}"/>
            </c:ext>
          </c:extLst>
        </c:ser>
        <c:dLbls>
          <c:showLegendKey val="0"/>
          <c:showVal val="0"/>
          <c:showCatName val="0"/>
          <c:showSerName val="0"/>
          <c:showPercent val="0"/>
          <c:showBubbleSize val="0"/>
        </c:dLbls>
        <c:gapWidth val="50"/>
        <c:overlap val="100"/>
        <c:axId val="1161870512"/>
        <c:axId val="1161869072"/>
      </c:barChart>
      <c:catAx>
        <c:axId val="11618705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61869072"/>
        <c:crosses val="autoZero"/>
        <c:auto val="1"/>
        <c:lblAlgn val="ctr"/>
        <c:lblOffset val="100"/>
        <c:noMultiLvlLbl val="0"/>
      </c:catAx>
      <c:valAx>
        <c:axId val="1161869072"/>
        <c:scaling>
          <c:orientation val="minMax"/>
        </c:scaling>
        <c:delete val="1"/>
        <c:axPos val="b"/>
        <c:numFmt formatCode="0.00%" sourceLinked="1"/>
        <c:majorTickMark val="none"/>
        <c:minorTickMark val="none"/>
        <c:tickLblPos val="nextTo"/>
        <c:crossAx val="1161870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rgbClr val="FFFFFF"/>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n-US" sz="1100" b="1" i="0" u="none" strike="noStrike" kern="1200" spc="0" baseline="0">
                <a:solidFill>
                  <a:sysClr val="windowText" lastClr="000000"/>
                </a:solidFill>
                <a:effectLst/>
              </a:rPr>
              <a:t>Répartition des encours exposés aux entreprises NA100+ par quartile de performance biodiversité</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9594838145231844"/>
          <c:y val="0.20538057742782151"/>
          <c:w val="0.40044181977252841"/>
          <c:h val="0.6674030329542141"/>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43A-44AC-B011-9D6ECE2CCC6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43A-44AC-B011-9D6ECE2CCC6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43A-44AC-B011-9D6ECE2CCC6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43A-44AC-B011-9D6ECE2CCC69}"/>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'Calculs ARP'!$J$20:$J$23</c:f>
              <c:strCache>
                <c:ptCount val="4"/>
                <c:pt idx="0">
                  <c:v>Top 25%</c:v>
                </c:pt>
                <c:pt idx="1">
                  <c:v>Top 50%</c:v>
                </c:pt>
                <c:pt idx="2">
                  <c:v>Worst 50%</c:v>
                </c:pt>
                <c:pt idx="3">
                  <c:v>Worst 25%</c:v>
                </c:pt>
              </c:strCache>
            </c:strRef>
          </c:cat>
          <c:val>
            <c:numRef>
              <c:f>'Calculs ARP'!$L$20:$L$23</c:f>
              <c:numCache>
                <c:formatCode>0%</c:formatCode>
                <c:ptCount val="4"/>
                <c:pt idx="0">
                  <c:v>0.17642523344371946</c:v>
                </c:pt>
                <c:pt idx="1">
                  <c:v>0.3842687632888</c:v>
                </c:pt>
                <c:pt idx="2">
                  <c:v>0.15721122006848559</c:v>
                </c:pt>
                <c:pt idx="3">
                  <c:v>0.28209478319899478</c:v>
                </c:pt>
              </c:numCache>
            </c:numRef>
          </c:val>
          <c:extLst>
            <c:ext xmlns:c16="http://schemas.microsoft.com/office/drawing/2014/chart" uri="{C3380CC4-5D6E-409C-BE32-E72D297353CC}">
              <c16:uniqueId val="{00000008-043A-44AC-B011-9D6ECE2CCC69}"/>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22426263437489588"/>
          <c:y val="0.87743036215782033"/>
          <c:w val="0.55147457253189047"/>
          <c:h val="9.7749583238059504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en-US" sz="1100" b="1">
                <a:solidFill>
                  <a:sysClr val="windowText" lastClr="000000"/>
                </a:solidFill>
              </a:rPr>
              <a:t>Répartition des encours du portefeuille consolidé</a:t>
            </a:r>
          </a:p>
        </c:rich>
      </c:tx>
      <c:layout>
        <c:manualLayout>
          <c:xMode val="edge"/>
          <c:yMode val="edge"/>
          <c:x val="0.1682833838767592"/>
          <c:y val="0"/>
        </c:manualLayout>
      </c:layout>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37076471494772756"/>
          <c:y val="0.18002730810122347"/>
          <c:w val="0.22799622799193697"/>
          <c:h val="0.64911966351453942"/>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A38-4831-8A2E-72D9676CEC8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A38-4831-8A2E-72D9676CEC8A}"/>
              </c:ext>
            </c:extLst>
          </c:dPt>
          <c:dLbls>
            <c:dLbl>
              <c:idx val="0"/>
              <c:layout>
                <c:manualLayout>
                  <c:x val="-9.8524809739382033E-2"/>
                  <c:y val="0.12000080621321652"/>
                </c:manualLayout>
              </c:layout>
              <c:numFmt formatCode="0%" sourceLinked="0"/>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A38-4831-8A2E-72D9676CEC8A}"/>
                </c:ext>
              </c:extLst>
            </c:dLbl>
            <c:dLbl>
              <c:idx val="1"/>
              <c:layout>
                <c:manualLayout>
                  <c:x val="9.894553371564245E-2"/>
                  <c:y val="-0.14593265432264649"/>
                </c:manualLayout>
              </c:layout>
              <c:numFmt formatCode="0%" sourceLinked="0"/>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A38-4831-8A2E-72D9676CEC8A}"/>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Calculs!$O$14:$O$15</c:f>
              <c:strCache>
                <c:ptCount val="2"/>
                <c:pt idx="0">
                  <c:v>Secteurs prioritaires TNFD</c:v>
                </c:pt>
                <c:pt idx="1">
                  <c:v>Secteurs non prioritaires TNFD</c:v>
                </c:pt>
              </c:strCache>
            </c:strRef>
          </c:cat>
          <c:val>
            <c:numRef>
              <c:f>Calculs!$Q$14:$Q$15</c:f>
              <c:numCache>
                <c:formatCode>0%</c:formatCode>
                <c:ptCount val="2"/>
                <c:pt idx="0">
                  <c:v>0.338970584132399</c:v>
                </c:pt>
                <c:pt idx="1">
                  <c:v>0.66102941586760089</c:v>
                </c:pt>
              </c:numCache>
            </c:numRef>
          </c:val>
          <c:extLst>
            <c:ext xmlns:c16="http://schemas.microsoft.com/office/drawing/2014/chart" uri="{C3380CC4-5D6E-409C-BE32-E72D297353CC}">
              <c16:uniqueId val="{00000004-EA38-4831-8A2E-72D9676CEC8A}"/>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3.335284724286848E-2"/>
          <c:y val="0.8505653176803214"/>
          <c:w val="0.94284120876598476"/>
          <c:h val="0.106541972355844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lumMod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100" b="0" i="0" u="none" strike="noStrike" kern="1200" spc="0" baseline="0">
                <a:solidFill>
                  <a:schemeClr val="tx1"/>
                </a:solidFill>
                <a:latin typeface="Source Sans Pro (Corps)"/>
                <a:ea typeface="+mn-ea"/>
                <a:cs typeface="+mn-cs"/>
              </a:defRPr>
            </a:pPr>
            <a:r>
              <a:rPr lang="fr-FR" sz="1100" b="1">
                <a:solidFill>
                  <a:schemeClr val="tx1"/>
                </a:solidFill>
              </a:rPr>
              <a:t>Niveau de dépendance à la biodiversité du portefeuille </a:t>
            </a:r>
          </a:p>
          <a:p>
            <a:pPr algn="ctr">
              <a:defRPr sz="1100">
                <a:solidFill>
                  <a:schemeClr val="tx1"/>
                </a:solidFill>
              </a:defRPr>
            </a:pPr>
            <a:r>
              <a:rPr lang="fr-FR" sz="1100">
                <a:solidFill>
                  <a:schemeClr val="tx1"/>
                </a:solidFill>
              </a:rPr>
              <a:t>En % des activités de production et de la chaine d'approvisionnement</a:t>
            </a:r>
          </a:p>
        </c:rich>
      </c:tx>
      <c:layout>
        <c:manualLayout>
          <c:xMode val="edge"/>
          <c:yMode val="edge"/>
          <c:x val="0.20157226365652087"/>
          <c:y val="4.629690237375585E-3"/>
        </c:manualLayout>
      </c:layout>
      <c:overlay val="0"/>
      <c:spPr>
        <a:noFill/>
        <a:ln>
          <a:noFill/>
        </a:ln>
        <a:effectLst/>
      </c:spPr>
      <c:txPr>
        <a:bodyPr rot="0" spcFirstLastPara="1" vertOverflow="ellipsis" vert="horz" wrap="square" anchor="ctr" anchorCtr="1"/>
        <a:lstStyle/>
        <a:p>
          <a:pPr algn="ctr">
            <a:defRPr sz="1100" b="0" i="0" u="none" strike="noStrike" kern="1200" spc="0" baseline="0">
              <a:solidFill>
                <a:schemeClr val="tx1"/>
              </a:solidFill>
              <a:latin typeface="Source Sans Pro (Corps)"/>
              <a:ea typeface="+mn-ea"/>
              <a:cs typeface="+mn-cs"/>
            </a:defRPr>
          </a:pPr>
          <a:endParaRPr lang="fr-FR"/>
        </a:p>
      </c:txPr>
    </c:title>
    <c:autoTitleDeleted val="0"/>
    <c:plotArea>
      <c:layout/>
      <c:barChart>
        <c:barDir val="bar"/>
        <c:grouping val="clustered"/>
        <c:varyColors val="0"/>
        <c:ser>
          <c:idx val="2"/>
          <c:order val="0"/>
          <c:tx>
            <c:strRef>
              <c:f>'VII - BIODIV'!$C$57</c:f>
              <c:strCache>
                <c:ptCount val="1"/>
                <c:pt idx="0">
                  <c:v>indice 2025</c:v>
                </c:pt>
              </c:strCache>
            </c:strRef>
          </c:tx>
          <c:spPr>
            <a:solidFill>
              <a:srgbClr val="D57B1D"/>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Source Sans Pro (Corps)"/>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'VII - BIODIV'!$A$58:$A$59</c:f>
              <c:strCache>
                <c:ptCount val="2"/>
                <c:pt idx="0">
                  <c:v>Production</c:v>
                </c:pt>
                <c:pt idx="1">
                  <c:v>Chaine d'Approvisionnement</c:v>
                </c:pt>
              </c:strCache>
            </c:strRef>
          </c:cat>
          <c:val>
            <c:numRef>
              <c:f>'VII - BIODIV'!$C$58:$C$59</c:f>
              <c:numCache>
                <c:formatCode>0.00%</c:formatCode>
                <c:ptCount val="2"/>
                <c:pt idx="0">
                  <c:v>0.46038521086316303</c:v>
                </c:pt>
                <c:pt idx="1">
                  <c:v>0.442134387934007</c:v>
                </c:pt>
              </c:numCache>
            </c:numRef>
          </c:val>
          <c:extLst xmlns:c15="http://schemas.microsoft.com/office/drawing/2012/chart">
            <c:ext xmlns:c16="http://schemas.microsoft.com/office/drawing/2014/chart" uri="{C3380CC4-5D6E-409C-BE32-E72D297353CC}">
              <c16:uniqueId val="{00000000-DC73-4172-B011-73788515D3E3}"/>
            </c:ext>
          </c:extLst>
        </c:ser>
        <c:ser>
          <c:idx val="3"/>
          <c:order val="1"/>
          <c:tx>
            <c:strRef>
              <c:f>'VII - BIODIV'!$B$57</c:f>
              <c:strCache>
                <c:ptCount val="1"/>
                <c:pt idx="0">
                  <c:v>Portefeuille 2025</c:v>
                </c:pt>
              </c:strCache>
            </c:strRef>
          </c:tx>
          <c:spPr>
            <a:solidFill>
              <a:srgbClr val="FFD400"/>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Source Sans Pro (Corps)"/>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'VII - BIODIV'!$A$58:$A$59</c:f>
              <c:strCache>
                <c:ptCount val="2"/>
                <c:pt idx="0">
                  <c:v>Production</c:v>
                </c:pt>
                <c:pt idx="1">
                  <c:v>Chaine d'Approvisionnement</c:v>
                </c:pt>
              </c:strCache>
            </c:strRef>
          </c:cat>
          <c:val>
            <c:numRef>
              <c:f>'VII - BIODIV'!$B$58:$B$59</c:f>
              <c:numCache>
                <c:formatCode>0.00%</c:formatCode>
                <c:ptCount val="2"/>
                <c:pt idx="0">
                  <c:v>0.39443457922071901</c:v>
                </c:pt>
                <c:pt idx="1">
                  <c:v>0.42720314649503599</c:v>
                </c:pt>
              </c:numCache>
            </c:numRef>
          </c:val>
          <c:extLst xmlns:c15="http://schemas.microsoft.com/office/drawing/2012/chart">
            <c:ext xmlns:c16="http://schemas.microsoft.com/office/drawing/2014/chart" uri="{C3380CC4-5D6E-409C-BE32-E72D297353CC}">
              <c16:uniqueId val="{00000001-DC73-4172-B011-73788515D3E3}"/>
            </c:ext>
          </c:extLst>
        </c:ser>
        <c:dLbls>
          <c:dLblPos val="outEnd"/>
          <c:showLegendKey val="0"/>
          <c:showVal val="1"/>
          <c:showCatName val="0"/>
          <c:showSerName val="0"/>
          <c:showPercent val="0"/>
          <c:showBubbleSize val="0"/>
        </c:dLbls>
        <c:gapWidth val="150"/>
        <c:overlap val="-25"/>
        <c:axId val="2107095376"/>
        <c:axId val="2107087816"/>
        <c:extLst/>
      </c:barChart>
      <c:catAx>
        <c:axId val="21070953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Source Sans Pro (Corps)"/>
                <a:ea typeface="+mn-ea"/>
                <a:cs typeface="+mn-cs"/>
              </a:defRPr>
            </a:pPr>
            <a:endParaRPr lang="fr-FR"/>
          </a:p>
        </c:txPr>
        <c:crossAx val="2107087816"/>
        <c:crosses val="autoZero"/>
        <c:auto val="1"/>
        <c:lblAlgn val="ctr"/>
        <c:lblOffset val="100"/>
        <c:noMultiLvlLbl val="0"/>
      </c:catAx>
      <c:valAx>
        <c:axId val="210708781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Source Sans Pro (Corps)"/>
                <a:ea typeface="+mn-ea"/>
                <a:cs typeface="+mn-cs"/>
              </a:defRPr>
            </a:pPr>
            <a:endParaRPr lang="fr-FR"/>
          </a:p>
        </c:txPr>
        <c:crossAx val="2107095376"/>
        <c:crosses val="autoZero"/>
        <c:crossBetween val="between"/>
      </c:valAx>
      <c:spPr>
        <a:noFill/>
        <a:ln>
          <a:noFill/>
        </a:ln>
        <a:effectLst/>
      </c:spPr>
    </c:plotArea>
    <c:legend>
      <c:legendPos val="b"/>
      <c:layout>
        <c:manualLayout>
          <c:xMode val="edge"/>
          <c:yMode val="edge"/>
          <c:x val="0.2888840038917731"/>
          <c:y val="0.89519704291242319"/>
          <c:w val="0.44039841269841268"/>
          <c:h val="7.731385281385280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Source Sans Pro (Corps)"/>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rgbClr val="FFFFFF"/>
    </a:solidFill>
    <a:ln w="9525" cap="flat" cmpd="sng" algn="ctr">
      <a:solidFill>
        <a:schemeClr val="tx1">
          <a:lumMod val="15000"/>
          <a:lumOff val="85000"/>
        </a:schemeClr>
      </a:solidFill>
      <a:round/>
    </a:ln>
    <a:effectLst/>
  </c:spPr>
  <c:txPr>
    <a:bodyPr/>
    <a:lstStyle/>
    <a:p>
      <a:pPr>
        <a:defRPr>
          <a:latin typeface="Source Sans Pro (Corps)"/>
        </a:defRPr>
      </a:pPr>
      <a:endParaRPr lang="fr-FR"/>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r>
              <a:rPr lang="fr-FR" sz="1100" b="1" i="0" u="none" strike="noStrike" kern="1200" spc="0" baseline="0">
                <a:solidFill>
                  <a:schemeClr val="tx1"/>
                </a:solidFill>
              </a:rPr>
              <a:t>Analyse de l'exposition aux risques physiques des souverains </a:t>
            </a:r>
            <a:r>
              <a:rPr lang="fr-FR" sz="1100" b="1" i="0" u="none" strike="noStrike" baseline="0">
                <a:solidFill>
                  <a:schemeClr val="tx1"/>
                </a:solidFill>
              </a:rPr>
              <a:t>- Abeille Assurances</a:t>
            </a:r>
            <a:endParaRPr lang="en-GB" sz="1100" b="1">
              <a:solidFill>
                <a:schemeClr val="tx1"/>
              </a:solidFill>
              <a:effectLst/>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endParaRPr lang="en-GB"/>
        </a:p>
      </c:txPr>
    </c:title>
    <c:autoTitleDeleted val="0"/>
    <c:plotArea>
      <c:layout>
        <c:manualLayout>
          <c:layoutTarget val="inner"/>
          <c:xMode val="edge"/>
          <c:yMode val="edge"/>
          <c:x val="7.6282195061149055E-2"/>
          <c:y val="0.10696257596244665"/>
          <c:w val="0.90561544612543965"/>
          <c:h val="0.79443888050036038"/>
        </c:manualLayout>
      </c:layout>
      <c:scatterChart>
        <c:scatterStyle val="lineMarker"/>
        <c:varyColors val="0"/>
        <c:ser>
          <c:idx val="0"/>
          <c:order val="0"/>
          <c:spPr>
            <a:ln w="25400" cap="rnd">
              <a:noFill/>
              <a:round/>
            </a:ln>
            <a:effectLst/>
          </c:spPr>
          <c:marker>
            <c:symbol val="circle"/>
            <c:size val="7"/>
            <c:spPr>
              <a:solidFill>
                <a:schemeClr val="accent1"/>
              </a:solidFill>
              <a:ln w="9525">
                <a:solidFill>
                  <a:schemeClr val="tx1"/>
                </a:solidFill>
              </a:ln>
              <a:effectLst/>
            </c:spPr>
          </c:marker>
          <c:dLbls>
            <c:dLbl>
              <c:idx val="0"/>
              <c:layout>
                <c:manualLayout>
                  <c:x val="1.5823176089222308E-2"/>
                  <c:y val="-3.2578438491501535E-2"/>
                </c:manualLayout>
              </c:layout>
              <c:tx>
                <c:rich>
                  <a:bodyPr rot="0" spcFirstLastPara="1" vertOverflow="ellipsis" vert="horz" wrap="square" lIns="38100" tIns="19050" rIns="38100" bIns="19050" anchor="ctr" anchorCtr="1">
                    <a:spAutoFit/>
                  </a:bodyPr>
                  <a:lstStyle/>
                  <a:p>
                    <a:pPr algn="l">
                      <a:defRPr sz="900" b="0" i="0" u="none" strike="noStrike" kern="1200" baseline="0">
                        <a:solidFill>
                          <a:sysClr val="windowText" lastClr="000000"/>
                        </a:solidFill>
                        <a:latin typeface="Calibri"/>
                        <a:ea typeface="Calibri"/>
                        <a:cs typeface="Calibri"/>
                      </a:defRPr>
                    </a:pPr>
                    <a:fld id="{D26A24BE-6C94-4A4D-AE10-D1CB98B2F517}" type="CELLRANGE">
                      <a:rPr lang="en-US"/>
                      <a:pPr algn="l">
                        <a:defRPr>
                          <a:solidFill>
                            <a:sysClr val="windowText" lastClr="000000"/>
                          </a:solidFill>
                          <a:latin typeface="Calibri"/>
                          <a:ea typeface="Calibri"/>
                          <a:cs typeface="Calibri"/>
                        </a:defRPr>
                      </a:pPr>
                      <a:t>[PLAGECELL]</a:t>
                    </a:fld>
                    <a:endParaRPr lang="fr-FR"/>
                  </a:p>
                </c:rich>
              </c:tx>
              <c:spPr>
                <a:noFill/>
                <a:ln>
                  <a:noFill/>
                </a:ln>
                <a:effectLst/>
              </c:spPr>
              <c:txPr>
                <a:bodyPr rot="0" spcFirstLastPara="1" vertOverflow="ellipsis" vert="horz" wrap="square" lIns="38100" tIns="19050" rIns="38100" bIns="19050" anchor="ctr" anchorCtr="1">
                  <a:spAutoFit/>
                </a:bodyPr>
                <a:lstStyle/>
                <a:p>
                  <a:pPr algn="l">
                    <a:defRPr sz="900" b="0" i="0" u="none" strike="noStrike" kern="1200" baseline="0">
                      <a:solidFill>
                        <a:sysClr val="windowText" lastClr="000000"/>
                      </a:solidFill>
                      <a:latin typeface="Calibri"/>
                      <a:ea typeface="Calibri"/>
                      <a:cs typeface="Calibri"/>
                    </a:defRPr>
                  </a:pPr>
                  <a:endParaRPr lang="fr-FR"/>
                </a:p>
              </c:txPr>
              <c:dLblPos val="r"/>
              <c:showLegendKey val="0"/>
              <c:showVal val="0"/>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0-2BDF-4D0E-BA6B-CEACA3D576A7}"/>
                </c:ext>
              </c:extLst>
            </c:dLbl>
            <c:dLbl>
              <c:idx val="1"/>
              <c:layout>
                <c:manualLayout>
                  <c:x val="2.2004770656423638E-2"/>
                  <c:y val="-5.0665010867074908E-2"/>
                </c:manualLayout>
              </c:layout>
              <c:tx>
                <c:rich>
                  <a:bodyPr/>
                  <a:lstStyle/>
                  <a:p>
                    <a:fld id="{E92591BC-7DB4-404D-BAF5-46F18240D6D4}" type="CELLRANGE">
                      <a:rPr lang="en-US"/>
                      <a:pPr/>
                      <a:t>[PLAGECELL]</a:t>
                    </a:fld>
                    <a:endParaRPr lang="fr-FR"/>
                  </a:p>
                </c:rich>
              </c:tx>
              <c:dLblPos val="r"/>
              <c:showLegendKey val="0"/>
              <c:showVal val="0"/>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1-2BDF-4D0E-BA6B-CEACA3D576A7}"/>
                </c:ext>
              </c:extLst>
            </c:dLbl>
            <c:dLbl>
              <c:idx val="2"/>
              <c:layout>
                <c:manualLayout>
                  <c:x val="-6.8138484783527409E-2"/>
                  <c:y val="-9.0968659532643312E-3"/>
                </c:manualLayout>
              </c:layout>
              <c:tx>
                <c:rich>
                  <a:bodyPr/>
                  <a:lstStyle/>
                  <a:p>
                    <a:fld id="{AEB6B19E-F5A2-4F3F-A277-0AE70116CDBF}" type="CELLRANGE">
                      <a:rPr lang="en-US"/>
                      <a:pPr/>
                      <a:t>[PLAGECELL]</a:t>
                    </a:fld>
                    <a:endParaRPr lang="fr-FR"/>
                  </a:p>
                </c:rich>
              </c:tx>
              <c:dLblPos val="r"/>
              <c:showLegendKey val="0"/>
              <c:showVal val="0"/>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2-2BDF-4D0E-BA6B-CEACA3D576A7}"/>
                </c:ext>
              </c:extLst>
            </c:dLbl>
            <c:dLbl>
              <c:idx val="3"/>
              <c:layout>
                <c:manualLayout>
                  <c:x val="-7.6470205359676677E-2"/>
                  <c:y val="3.9932414515538743E-2"/>
                </c:manualLayout>
              </c:layout>
              <c:tx>
                <c:rich>
                  <a:bodyPr/>
                  <a:lstStyle/>
                  <a:p>
                    <a:fld id="{F4DF62B9-4AD5-4B0E-A896-F2167348CBAF}" type="CELLRANGE">
                      <a:rPr lang="en-US"/>
                      <a:pPr/>
                      <a:t>[PLAGECELL]</a:t>
                    </a:fld>
                    <a:endParaRPr lang="fr-FR"/>
                  </a:p>
                </c:rich>
              </c:tx>
              <c:dLblPos val="r"/>
              <c:showLegendKey val="0"/>
              <c:showVal val="0"/>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3-2BDF-4D0E-BA6B-CEACA3D576A7}"/>
                </c:ext>
              </c:extLst>
            </c:dLbl>
            <c:dLbl>
              <c:idx val="4"/>
              <c:tx>
                <c:rich>
                  <a:bodyPr/>
                  <a:lstStyle/>
                  <a:p>
                    <a:fld id="{FBD002A8-4FBC-4025-884D-5261FD815CA2}" type="CELLRANGE">
                      <a:rPr lang="en-US"/>
                      <a:pPr/>
                      <a:t>[PLAGECELL]</a:t>
                    </a:fld>
                    <a:endParaRPr lang="fr-FR"/>
                  </a:p>
                </c:rich>
              </c:tx>
              <c:dLblPos val="t"/>
              <c:showLegendKey val="0"/>
              <c:showVal val="0"/>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4-2BDF-4D0E-BA6B-CEACA3D576A7}"/>
                </c:ext>
              </c:extLst>
            </c:dLbl>
            <c:dLbl>
              <c:idx val="5"/>
              <c:layout>
                <c:manualLayout>
                  <c:x val="-4.6157023825124474E-2"/>
                  <c:y val="-6.8759902785600166E-2"/>
                </c:manualLayout>
              </c:layout>
              <c:tx>
                <c:rich>
                  <a:bodyPr/>
                  <a:lstStyle/>
                  <a:p>
                    <a:fld id="{CB236B5D-C95D-45AA-B465-5A8FB3DC4C98}" type="CELLRANGE">
                      <a:rPr lang="en-US"/>
                      <a:pPr/>
                      <a:t>[PLAGECELL]</a:t>
                    </a:fld>
                    <a:endParaRPr lang="fr-FR"/>
                  </a:p>
                </c:rich>
              </c:tx>
              <c:dLblPos val="r"/>
              <c:showLegendKey val="0"/>
              <c:showVal val="0"/>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5-2BDF-4D0E-BA6B-CEACA3D576A7}"/>
                </c:ext>
              </c:extLst>
            </c:dLbl>
            <c:dLbl>
              <c:idx val="6"/>
              <c:layout>
                <c:manualLayout>
                  <c:x val="4.3553308589457601E-3"/>
                  <c:y val="-7.7094014750882329E-3"/>
                </c:manualLayout>
              </c:layout>
              <c:tx>
                <c:rich>
                  <a:bodyPr/>
                  <a:lstStyle/>
                  <a:p>
                    <a:fld id="{863E444F-63C5-4DCA-8EA7-637ABD95FF37}" type="CELLRANGE">
                      <a:rPr lang="en-US"/>
                      <a:pPr/>
                      <a:t>[PLAGECELL]</a:t>
                    </a:fld>
                    <a:endParaRPr lang="fr-FR"/>
                  </a:p>
                </c:rich>
              </c:tx>
              <c:dLblPos val="r"/>
              <c:showLegendKey val="0"/>
              <c:showVal val="0"/>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6-2BDF-4D0E-BA6B-CEACA3D576A7}"/>
                </c:ext>
              </c:extLst>
            </c:dLbl>
            <c:dLbl>
              <c:idx val="7"/>
              <c:layout>
                <c:manualLayout>
                  <c:x val="-9.3748135340976032E-4"/>
                  <c:y val="-3.4839260038448207E-2"/>
                </c:manualLayout>
              </c:layout>
              <c:tx>
                <c:rich>
                  <a:bodyPr/>
                  <a:lstStyle/>
                  <a:p>
                    <a:fld id="{B596CF95-34C6-443D-82AB-5252F7FA06D3}" type="CELLRANGE">
                      <a:rPr lang="en-US"/>
                      <a:pPr/>
                      <a:t>[PLAGECELL]</a:t>
                    </a:fld>
                    <a:endParaRPr lang="fr-FR"/>
                  </a:p>
                </c:rich>
              </c:tx>
              <c:dLblPos val="r"/>
              <c:showLegendKey val="0"/>
              <c:showVal val="0"/>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7-2BDF-4D0E-BA6B-CEACA3D576A7}"/>
                </c:ext>
              </c:extLst>
            </c:dLbl>
            <c:dLbl>
              <c:idx val="8"/>
              <c:layout>
                <c:manualLayout>
                  <c:x val="-0.10104862484606486"/>
                  <c:y val="-6.5976713250392824E-2"/>
                </c:manualLayout>
              </c:layout>
              <c:tx>
                <c:rich>
                  <a:bodyPr/>
                  <a:lstStyle/>
                  <a:p>
                    <a:fld id="{BDA7A700-BA69-40B5-A4CD-F322AA3BD0DC}" type="CELLRANGE">
                      <a:rPr lang="en-US"/>
                      <a:pPr/>
                      <a:t>[PLAGECELL]</a:t>
                    </a:fld>
                    <a:endParaRPr lang="fr-FR"/>
                  </a:p>
                </c:rich>
              </c:tx>
              <c:dLblPos val="r"/>
              <c:showLegendKey val="0"/>
              <c:showVal val="0"/>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8-2BDF-4D0E-BA6B-CEACA3D576A7}"/>
                </c:ext>
              </c:extLst>
            </c:dLbl>
            <c:dLbl>
              <c:idx val="9"/>
              <c:tx>
                <c:rich>
                  <a:bodyPr/>
                  <a:lstStyle/>
                  <a:p>
                    <a:fld id="{ADCB2B31-57CD-4EB7-96EC-4543CD088915}" type="CELLRANGE">
                      <a:rPr lang="en-US"/>
                      <a:pPr/>
                      <a:t>[PLAGECELL]</a:t>
                    </a:fld>
                    <a:endParaRPr lang="fr-FR"/>
                  </a:p>
                </c:rich>
              </c:tx>
              <c:dLblPos val="t"/>
              <c:showLegendKey val="0"/>
              <c:showVal val="0"/>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9-2BDF-4D0E-BA6B-CEACA3D576A7}"/>
                </c:ext>
              </c:extLst>
            </c:dLbl>
            <c:dLbl>
              <c:idx val="10"/>
              <c:layout>
                <c:manualLayout>
                  <c:x val="-6.3936174736672194E-2"/>
                  <c:y val="4.5162838502687756E-2"/>
                </c:manualLayout>
              </c:layout>
              <c:tx>
                <c:rich>
                  <a:bodyPr/>
                  <a:lstStyle/>
                  <a:p>
                    <a:fld id="{EB47472F-BB1B-4B33-BF28-8ECDD69616E3}" type="CELLRANGE">
                      <a:rPr lang="en-US"/>
                      <a:pPr/>
                      <a:t>[PLAGECELL]</a:t>
                    </a:fld>
                    <a:endParaRPr lang="fr-FR"/>
                  </a:p>
                </c:rich>
              </c:tx>
              <c:dLblPos val="r"/>
              <c:showLegendKey val="0"/>
              <c:showVal val="0"/>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A-2BDF-4D0E-BA6B-CEACA3D576A7}"/>
                </c:ext>
              </c:extLst>
            </c:dLbl>
            <c:dLbl>
              <c:idx val="11"/>
              <c:layout>
                <c:manualLayout>
                  <c:x val="-6.2668024360571992E-2"/>
                  <c:y val="2.1681278635218581E-2"/>
                </c:manualLayout>
              </c:layout>
              <c:tx>
                <c:rich>
                  <a:bodyPr/>
                  <a:lstStyle/>
                  <a:p>
                    <a:fld id="{64743418-9FAA-4FC9-8812-EF409F60D0BE}" type="CELLRANGE">
                      <a:rPr lang="en-US"/>
                      <a:pPr/>
                      <a:t>[PLAGECELL]</a:t>
                    </a:fld>
                    <a:endParaRPr lang="fr-FR"/>
                  </a:p>
                </c:rich>
              </c:tx>
              <c:dLblPos val="r"/>
              <c:showLegendKey val="0"/>
              <c:showVal val="0"/>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B-2BDF-4D0E-BA6B-CEACA3D576A7}"/>
                </c:ext>
              </c:extLst>
            </c:dLbl>
            <c:dLbl>
              <c:idx val="12"/>
              <c:layout>
                <c:manualLayout>
                  <c:x val="-4.6242621076475567E-2"/>
                  <c:y val="1.2637992447431811E-2"/>
                </c:manualLayout>
              </c:layout>
              <c:tx>
                <c:rich>
                  <a:bodyPr/>
                  <a:lstStyle/>
                  <a:p>
                    <a:fld id="{186A7ABA-DA14-4EEE-98E0-E6075C32CB5A}" type="CELLRANGE">
                      <a:rPr lang="en-US"/>
                      <a:pPr/>
                      <a:t>[PLAGECELL]</a:t>
                    </a:fld>
                    <a:endParaRPr lang="fr-FR"/>
                  </a:p>
                </c:rich>
              </c:tx>
              <c:dLblPos val="r"/>
              <c:showLegendKey val="0"/>
              <c:showVal val="0"/>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C-2BDF-4D0E-BA6B-CEACA3D576A7}"/>
                </c:ext>
              </c:extLst>
            </c:dLbl>
            <c:dLbl>
              <c:idx val="13"/>
              <c:layout>
                <c:manualLayout>
                  <c:x val="-5.5428585020352084E-2"/>
                  <c:y val="3.4081439776608639E-3"/>
                </c:manualLayout>
              </c:layout>
              <c:tx>
                <c:rich>
                  <a:bodyPr/>
                  <a:lstStyle/>
                  <a:p>
                    <a:fld id="{DAE9A77D-F482-46F9-9612-AFEF46A6C1ED}" type="CELLRANGE">
                      <a:rPr lang="en-US"/>
                      <a:pPr/>
                      <a:t>[PLAGECELL]</a:t>
                    </a:fld>
                    <a:endParaRPr lang="fr-FR"/>
                  </a:p>
                </c:rich>
              </c:tx>
              <c:dLblPos val="r"/>
              <c:showLegendKey val="0"/>
              <c:showVal val="0"/>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D-2BDF-4D0E-BA6B-CEACA3D576A7}"/>
                </c:ext>
              </c:extLst>
            </c:dLbl>
            <c:dLbl>
              <c:idx val="14"/>
              <c:layout>
                <c:manualLayout>
                  <c:x val="-0.16393660866237203"/>
                  <c:y val="1.0541713874966751E-2"/>
                </c:manualLayout>
              </c:layout>
              <c:tx>
                <c:rich>
                  <a:bodyPr/>
                  <a:lstStyle/>
                  <a:p>
                    <a:fld id="{80D56B48-0AF5-4157-AAAD-65FAB6EEB1B4}" type="CELLRANGE">
                      <a:rPr lang="en-US"/>
                      <a:pPr/>
                      <a:t>[PLAGECELL]</a:t>
                    </a:fld>
                    <a:endParaRPr lang="fr-FR"/>
                  </a:p>
                </c:rich>
              </c:tx>
              <c:dLblPos val="r"/>
              <c:showLegendKey val="0"/>
              <c:showVal val="0"/>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E-2BDF-4D0E-BA6B-CEACA3D576A7}"/>
                </c:ext>
              </c:extLst>
            </c:dLbl>
            <c:dLbl>
              <c:idx val="15"/>
              <c:layout>
                <c:manualLayout>
                  <c:x val="-1.4452837531733805E-3"/>
                  <c:y val="-5.4485799281415613E-3"/>
                </c:manualLayout>
              </c:layout>
              <c:tx>
                <c:rich>
                  <a:bodyPr/>
                  <a:lstStyle/>
                  <a:p>
                    <a:fld id="{8F7C0FF6-D9F1-456D-B5FC-15C58FF9CFFE}" type="CELLRANGE">
                      <a:rPr lang="en-US"/>
                      <a:pPr/>
                      <a:t>[PLAGECELL]</a:t>
                    </a:fld>
                    <a:endParaRPr lang="fr-FR"/>
                  </a:p>
                </c:rich>
              </c:tx>
              <c:dLblPos val="r"/>
              <c:showLegendKey val="0"/>
              <c:showVal val="0"/>
              <c:showCatName val="0"/>
              <c:showSerName val="0"/>
              <c:showPercent val="0"/>
              <c:showBubbleSize val="0"/>
              <c:separator> </c:separator>
              <c:extLst>
                <c:ext xmlns:c15="http://schemas.microsoft.com/office/drawing/2012/chart" uri="{CE6537A1-D6FC-4f65-9D91-7224C49458BB}">
                  <c15:dlblFieldTable/>
                  <c15:showDataLabelsRange val="1"/>
                </c:ext>
                <c:ext xmlns:c16="http://schemas.microsoft.com/office/drawing/2014/chart" uri="{C3380CC4-5D6E-409C-BE32-E72D297353CC}">
                  <c16:uniqueId val="{0000000F-2BDF-4D0E-BA6B-CEACA3D576A7}"/>
                </c:ext>
              </c:extLst>
            </c:dLbl>
            <c:dLbl>
              <c:idx val="16"/>
              <c:tx>
                <c:rich>
                  <a:bodyPr/>
                  <a:lstStyle/>
                  <a:p>
                    <a:endParaRPr lang="en-US"/>
                  </a:p>
                </c:rich>
              </c:tx>
              <c:dLblPos val="t"/>
              <c:showLegendKey val="0"/>
              <c:showVal val="0"/>
              <c:showCatName val="0"/>
              <c:showSerName val="0"/>
              <c:showPercent val="0"/>
              <c:showBubbleSize val="0"/>
              <c:separator> </c:separator>
              <c:extLst>
                <c:ext xmlns:c15="http://schemas.microsoft.com/office/drawing/2012/chart" uri="{CE6537A1-D6FC-4f65-9D91-7224C49458BB}">
                  <c15:showDataLabelsRange val="1"/>
                </c:ext>
                <c:ext xmlns:c16="http://schemas.microsoft.com/office/drawing/2014/chart" uri="{C3380CC4-5D6E-409C-BE32-E72D297353CC}">
                  <c16:uniqueId val="{00000010-2BDF-4D0E-BA6B-CEACA3D576A7}"/>
                </c:ext>
              </c:extLst>
            </c:dLbl>
            <c:dLbl>
              <c:idx val="17"/>
              <c:tx>
                <c:rich>
                  <a:bodyPr/>
                  <a:lstStyle/>
                  <a:p>
                    <a:endParaRPr lang="en-US"/>
                  </a:p>
                </c:rich>
              </c:tx>
              <c:dLblPos val="t"/>
              <c:showLegendKey val="0"/>
              <c:showVal val="0"/>
              <c:showCatName val="0"/>
              <c:showSerName val="0"/>
              <c:showPercent val="0"/>
              <c:showBubbleSize val="0"/>
              <c:separator> </c:separator>
              <c:extLst>
                <c:ext xmlns:c15="http://schemas.microsoft.com/office/drawing/2012/chart" uri="{CE6537A1-D6FC-4f65-9D91-7224C49458BB}">
                  <c15:showDataLabelsRange val="1"/>
                </c:ext>
                <c:ext xmlns:c16="http://schemas.microsoft.com/office/drawing/2014/chart" uri="{C3380CC4-5D6E-409C-BE32-E72D297353CC}">
                  <c16:uniqueId val="{00000011-2BDF-4D0E-BA6B-CEACA3D576A7}"/>
                </c:ext>
              </c:extLst>
            </c:dLbl>
            <c:dLbl>
              <c:idx val="18"/>
              <c:tx>
                <c:rich>
                  <a:bodyPr/>
                  <a:lstStyle/>
                  <a:p>
                    <a:endParaRPr lang="en-US"/>
                  </a:p>
                </c:rich>
              </c:tx>
              <c:dLblPos val="t"/>
              <c:showLegendKey val="0"/>
              <c:showVal val="0"/>
              <c:showCatName val="0"/>
              <c:showSerName val="0"/>
              <c:showPercent val="0"/>
              <c:showBubbleSize val="0"/>
              <c:separator> </c:separator>
              <c:extLst>
                <c:ext xmlns:c15="http://schemas.microsoft.com/office/drawing/2012/chart" uri="{CE6537A1-D6FC-4f65-9D91-7224C49458BB}">
                  <c15:showDataLabelsRange val="1"/>
                </c:ext>
                <c:ext xmlns:c16="http://schemas.microsoft.com/office/drawing/2014/chart" uri="{C3380CC4-5D6E-409C-BE32-E72D297353CC}">
                  <c16:uniqueId val="{00000012-2BDF-4D0E-BA6B-CEACA3D576A7}"/>
                </c:ext>
              </c:extLst>
            </c:dLbl>
            <c:dLbl>
              <c:idx val="19"/>
              <c:tx>
                <c:rich>
                  <a:bodyPr/>
                  <a:lstStyle/>
                  <a:p>
                    <a:endParaRPr lang="en-US"/>
                  </a:p>
                </c:rich>
              </c:tx>
              <c:dLblPos val="t"/>
              <c:showLegendKey val="0"/>
              <c:showVal val="0"/>
              <c:showCatName val="0"/>
              <c:showSerName val="0"/>
              <c:showPercent val="0"/>
              <c:showBubbleSize val="0"/>
              <c:separator> </c:separator>
              <c:extLst>
                <c:ext xmlns:c15="http://schemas.microsoft.com/office/drawing/2012/chart" uri="{CE6537A1-D6FC-4f65-9D91-7224C49458BB}">
                  <c15:showDataLabelsRange val="1"/>
                </c:ext>
                <c:ext xmlns:c16="http://schemas.microsoft.com/office/drawing/2014/chart" uri="{C3380CC4-5D6E-409C-BE32-E72D297353CC}">
                  <c16:uniqueId val="{00000013-2BDF-4D0E-BA6B-CEACA3D576A7}"/>
                </c:ext>
              </c:extLst>
            </c:dLbl>
            <c:dLbl>
              <c:idx val="20"/>
              <c:tx>
                <c:rich>
                  <a:bodyPr/>
                  <a:lstStyle/>
                  <a:p>
                    <a:endParaRPr lang="en-US"/>
                  </a:p>
                </c:rich>
              </c:tx>
              <c:dLblPos val="t"/>
              <c:showLegendKey val="0"/>
              <c:showVal val="0"/>
              <c:showCatName val="0"/>
              <c:showSerName val="0"/>
              <c:showPercent val="0"/>
              <c:showBubbleSize val="0"/>
              <c:separator> </c:separator>
              <c:extLst>
                <c:ext xmlns:c15="http://schemas.microsoft.com/office/drawing/2012/chart" uri="{CE6537A1-D6FC-4f65-9D91-7224C49458BB}">
                  <c15:showDataLabelsRange val="1"/>
                </c:ext>
                <c:ext xmlns:c16="http://schemas.microsoft.com/office/drawing/2014/chart" uri="{C3380CC4-5D6E-409C-BE32-E72D297353CC}">
                  <c16:uniqueId val="{00000014-2BDF-4D0E-BA6B-CEACA3D576A7}"/>
                </c:ext>
              </c:extLst>
            </c:dLbl>
            <c:dLbl>
              <c:idx val="21"/>
              <c:tx>
                <c:rich>
                  <a:bodyPr/>
                  <a:lstStyle/>
                  <a:p>
                    <a:endParaRPr lang="en-US"/>
                  </a:p>
                </c:rich>
              </c:tx>
              <c:dLblPos val="t"/>
              <c:showLegendKey val="0"/>
              <c:showVal val="0"/>
              <c:showCatName val="0"/>
              <c:showSerName val="0"/>
              <c:showPercent val="0"/>
              <c:showBubbleSize val="0"/>
              <c:separator> </c:separator>
              <c:extLst>
                <c:ext xmlns:c15="http://schemas.microsoft.com/office/drawing/2012/chart" uri="{CE6537A1-D6FC-4f65-9D91-7224C49458BB}">
                  <c15:showDataLabelsRange val="1"/>
                </c:ext>
                <c:ext xmlns:c16="http://schemas.microsoft.com/office/drawing/2014/chart" uri="{C3380CC4-5D6E-409C-BE32-E72D297353CC}">
                  <c16:uniqueId val="{00000015-2BDF-4D0E-BA6B-CEACA3D576A7}"/>
                </c:ext>
              </c:extLst>
            </c:dLbl>
            <c:dLbl>
              <c:idx val="22"/>
              <c:tx>
                <c:rich>
                  <a:bodyPr/>
                  <a:lstStyle/>
                  <a:p>
                    <a:endParaRPr lang="en-US"/>
                  </a:p>
                </c:rich>
              </c:tx>
              <c:dLblPos val="t"/>
              <c:showLegendKey val="0"/>
              <c:showVal val="0"/>
              <c:showCatName val="0"/>
              <c:showSerName val="0"/>
              <c:showPercent val="0"/>
              <c:showBubbleSize val="0"/>
              <c:separator> </c:separator>
              <c:extLst>
                <c:ext xmlns:c15="http://schemas.microsoft.com/office/drawing/2012/chart" uri="{CE6537A1-D6FC-4f65-9D91-7224C49458BB}">
                  <c15:showDataLabelsRange val="1"/>
                </c:ext>
                <c:ext xmlns:c16="http://schemas.microsoft.com/office/drawing/2014/chart" uri="{C3380CC4-5D6E-409C-BE32-E72D297353CC}">
                  <c16:uniqueId val="{00000016-2BDF-4D0E-BA6B-CEACA3D576A7}"/>
                </c:ext>
              </c:extLst>
            </c:dLbl>
            <c:dLbl>
              <c:idx val="23"/>
              <c:tx>
                <c:rich>
                  <a:bodyPr/>
                  <a:lstStyle/>
                  <a:p>
                    <a:endParaRPr lang="en-US"/>
                  </a:p>
                </c:rich>
              </c:tx>
              <c:dLblPos val="t"/>
              <c:showLegendKey val="0"/>
              <c:showVal val="0"/>
              <c:showCatName val="0"/>
              <c:showSerName val="0"/>
              <c:showPercent val="0"/>
              <c:showBubbleSize val="0"/>
              <c:separator> </c:separator>
              <c:extLst>
                <c:ext xmlns:c15="http://schemas.microsoft.com/office/drawing/2012/chart" uri="{CE6537A1-D6FC-4f65-9D91-7224C49458BB}">
                  <c15:showDataLabelsRange val="1"/>
                </c:ext>
                <c:ext xmlns:c16="http://schemas.microsoft.com/office/drawing/2014/chart" uri="{C3380CC4-5D6E-409C-BE32-E72D297353CC}">
                  <c16:uniqueId val="{00000017-2BDF-4D0E-BA6B-CEACA3D576A7}"/>
                </c:ext>
              </c:extLst>
            </c:dLbl>
            <c:dLbl>
              <c:idx val="24"/>
              <c:tx>
                <c:rich>
                  <a:bodyPr/>
                  <a:lstStyle/>
                  <a:p>
                    <a:endParaRPr lang="en-US"/>
                  </a:p>
                </c:rich>
              </c:tx>
              <c:dLblPos val="t"/>
              <c:showLegendKey val="0"/>
              <c:showVal val="0"/>
              <c:showCatName val="0"/>
              <c:showSerName val="0"/>
              <c:showPercent val="0"/>
              <c:showBubbleSize val="0"/>
              <c:separator> </c:separator>
              <c:extLst>
                <c:ext xmlns:c15="http://schemas.microsoft.com/office/drawing/2012/chart" uri="{CE6537A1-D6FC-4f65-9D91-7224C49458BB}">
                  <c15:showDataLabelsRange val="1"/>
                </c:ext>
                <c:ext xmlns:c16="http://schemas.microsoft.com/office/drawing/2014/chart" uri="{C3380CC4-5D6E-409C-BE32-E72D297353CC}">
                  <c16:uniqueId val="{00000018-2BDF-4D0E-BA6B-CEACA3D576A7}"/>
                </c:ext>
              </c:extLst>
            </c:dLbl>
            <c:dLbl>
              <c:idx val="25"/>
              <c:tx>
                <c:rich>
                  <a:bodyPr/>
                  <a:lstStyle/>
                  <a:p>
                    <a:endParaRPr lang="en-US"/>
                  </a:p>
                </c:rich>
              </c:tx>
              <c:dLblPos val="t"/>
              <c:showLegendKey val="0"/>
              <c:showVal val="0"/>
              <c:showCatName val="0"/>
              <c:showSerName val="0"/>
              <c:showPercent val="0"/>
              <c:showBubbleSize val="0"/>
              <c:separator> </c:separator>
              <c:extLst>
                <c:ext xmlns:c15="http://schemas.microsoft.com/office/drawing/2012/chart" uri="{CE6537A1-D6FC-4f65-9D91-7224C49458BB}">
                  <c15:showDataLabelsRange val="1"/>
                </c:ext>
                <c:ext xmlns:c16="http://schemas.microsoft.com/office/drawing/2014/chart" uri="{C3380CC4-5D6E-409C-BE32-E72D297353CC}">
                  <c16:uniqueId val="{00000019-2BDF-4D0E-BA6B-CEACA3D576A7}"/>
                </c:ext>
              </c:extLst>
            </c:dLbl>
            <c:dLbl>
              <c:idx val="26"/>
              <c:tx>
                <c:rich>
                  <a:bodyPr/>
                  <a:lstStyle/>
                  <a:p>
                    <a:endParaRPr lang="en-US"/>
                  </a:p>
                </c:rich>
              </c:tx>
              <c:dLblPos val="t"/>
              <c:showLegendKey val="0"/>
              <c:showVal val="0"/>
              <c:showCatName val="0"/>
              <c:showSerName val="0"/>
              <c:showPercent val="0"/>
              <c:showBubbleSize val="0"/>
              <c:separator> </c:separator>
              <c:extLst>
                <c:ext xmlns:c15="http://schemas.microsoft.com/office/drawing/2012/chart" uri="{CE6537A1-D6FC-4f65-9D91-7224C49458BB}">
                  <c15:showDataLabelsRange val="1"/>
                </c:ext>
                <c:ext xmlns:c16="http://schemas.microsoft.com/office/drawing/2014/chart" uri="{C3380CC4-5D6E-409C-BE32-E72D297353CC}">
                  <c16:uniqueId val="{0000001A-2BDF-4D0E-BA6B-CEACA3D576A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Calibri"/>
                    <a:ea typeface="Calibri"/>
                    <a:cs typeface="Calibri"/>
                  </a:defRPr>
                </a:pPr>
                <a:endParaRPr lang="en-US"/>
              </a:p>
            </c:txPr>
            <c:dLblPos val="t"/>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xVal>
            <c:numRef>
              <c:f>'ND GAIN'!$F$2:$F$28</c:f>
              <c:numCache>
                <c:formatCode>General</c:formatCode>
                <c:ptCount val="27"/>
                <c:pt idx="0">
                  <c:v>0.64903139482682803</c:v>
                </c:pt>
                <c:pt idx="1">
                  <c:v>0.68161124281923002</c:v>
                </c:pt>
                <c:pt idx="2">
                  <c:v>0.64731255719909297</c:v>
                </c:pt>
                <c:pt idx="3">
                  <c:v>0.52497012207002502</c:v>
                </c:pt>
                <c:pt idx="4">
                  <c:v>0.58668083133140303</c:v>
                </c:pt>
                <c:pt idx="5">
                  <c:v>0.53736081172126504</c:v>
                </c:pt>
                <c:pt idx="6">
                  <c:v>0.67619762838437103</c:v>
                </c:pt>
                <c:pt idx="7">
                  <c:v>0.68505812006592304</c:v>
                </c:pt>
                <c:pt idx="8">
                  <c:v>0.67132502165123997</c:v>
                </c:pt>
                <c:pt idx="9">
                  <c:v>0.361279364751315</c:v>
                </c:pt>
                <c:pt idx="10">
                  <c:v>0.68132259540557505</c:v>
                </c:pt>
                <c:pt idx="11">
                  <c:v>0.65511671414807304</c:v>
                </c:pt>
                <c:pt idx="12">
                  <c:v>0.573929157340897</c:v>
                </c:pt>
                <c:pt idx="13">
                  <c:v>0.530893745356944</c:v>
                </c:pt>
                <c:pt idx="14">
                  <c:v>0.50048785000909302</c:v>
                </c:pt>
                <c:pt idx="15">
                  <c:v>0.74559470298101005</c:v>
                </c:pt>
              </c:numCache>
            </c:numRef>
          </c:xVal>
          <c:yVal>
            <c:numRef>
              <c:f>'ND GAIN'!$G$2:$G$28</c:f>
              <c:numCache>
                <c:formatCode>General</c:formatCode>
                <c:ptCount val="27"/>
                <c:pt idx="0">
                  <c:v>0.30416628267345103</c:v>
                </c:pt>
                <c:pt idx="1">
                  <c:v>0.30148883558213202</c:v>
                </c:pt>
                <c:pt idx="2">
                  <c:v>0.31201924343519399</c:v>
                </c:pt>
                <c:pt idx="3">
                  <c:v>0.304735938404402</c:v>
                </c:pt>
                <c:pt idx="4">
                  <c:v>0.33470200102428899</c:v>
                </c:pt>
                <c:pt idx="5">
                  <c:v>0.341886849901753</c:v>
                </c:pt>
                <c:pt idx="6">
                  <c:v>0.29531656858989402</c:v>
                </c:pt>
                <c:pt idx="7">
                  <c:v>0.368956663778576</c:v>
                </c:pt>
                <c:pt idx="8">
                  <c:v>0.35387957219063298</c:v>
                </c:pt>
                <c:pt idx="9">
                  <c:v>0.38650969248350497</c:v>
                </c:pt>
                <c:pt idx="10">
                  <c:v>0.28805559894961702</c:v>
                </c:pt>
                <c:pt idx="11">
                  <c:v>0.31132701026558002</c:v>
                </c:pt>
                <c:pt idx="12">
                  <c:v>0.31849017075529701</c:v>
                </c:pt>
                <c:pt idx="13">
                  <c:v>0.33223649233254599</c:v>
                </c:pt>
                <c:pt idx="14">
                  <c:v>0.36021708161682198</c:v>
                </c:pt>
                <c:pt idx="15">
                  <c:v>0.28020040059879298</c:v>
                </c:pt>
                <c:pt idx="22" formatCode="_-* #\ ##0.00\ _€_-;\-* #\ ##0.00\ _€_-;_-* &quot;-&quot;??\ _€_-;_-@_-">
                  <c:v>66.386262087190005</c:v>
                </c:pt>
              </c:numCache>
            </c:numRef>
          </c:yVal>
          <c:smooth val="0"/>
          <c:extLst>
            <c:ext xmlns:c15="http://schemas.microsoft.com/office/drawing/2012/chart" uri="{02D57815-91ED-43cb-92C2-25804820EDAC}">
              <c15:datalabelsRange>
                <c15:f>'ND GAIN'!$C$2:$C$28</c15:f>
                <c15:dlblRangeCache>
                  <c:ptCount val="27"/>
                  <c:pt idx="0">
                    <c:v>France</c:v>
                  </c:pt>
                  <c:pt idx="1">
                    <c:v>Germany</c:v>
                  </c:pt>
                  <c:pt idx="2">
                    <c:v>United States</c:v>
                  </c:pt>
                  <c:pt idx="3">
                    <c:v>Spain</c:v>
                  </c:pt>
                  <c:pt idx="4">
                    <c:v>Belgium</c:v>
                  </c:pt>
                  <c:pt idx="5">
                    <c:v>Italy</c:v>
                  </c:pt>
                  <c:pt idx="6">
                    <c:v>Austria</c:v>
                  </c:pt>
                  <c:pt idx="7">
                    <c:v>Japan</c:v>
                  </c:pt>
                  <c:pt idx="8">
                    <c:v>Netherlands</c:v>
                  </c:pt>
                  <c:pt idx="9">
                    <c:v>Mexico</c:v>
                  </c:pt>
                  <c:pt idx="10">
                    <c:v>United Kingdom</c:v>
                  </c:pt>
                  <c:pt idx="11">
                    <c:v>Luxembourg</c:v>
                  </c:pt>
                  <c:pt idx="12">
                    <c:v>Portugal</c:v>
                  </c:pt>
                  <c:pt idx="13">
                    <c:v>Chile</c:v>
                  </c:pt>
                  <c:pt idx="14">
                    <c:v>Slovak Republic</c:v>
                  </c:pt>
                  <c:pt idx="15">
                    <c:v>Finland</c:v>
                  </c:pt>
                </c15:dlblRangeCache>
              </c15:datalabelsRange>
            </c:ext>
            <c:ext xmlns:c16="http://schemas.microsoft.com/office/drawing/2014/chart" uri="{C3380CC4-5D6E-409C-BE32-E72D297353CC}">
              <c16:uniqueId val="{0000001B-2BDF-4D0E-BA6B-CEACA3D576A7}"/>
            </c:ext>
          </c:extLst>
        </c:ser>
        <c:ser>
          <c:idx val="1"/>
          <c:order val="1"/>
          <c:spPr>
            <a:ln w="25400" cap="rnd">
              <a:noFill/>
              <a:round/>
            </a:ln>
            <a:effectLst/>
          </c:spPr>
          <c:marker>
            <c:symbol val="none"/>
          </c:marker>
          <c:xVal>
            <c:numRef>
              <c:f>'ND GAIN'!$L$34:$L$35</c:f>
              <c:numCache>
                <c:formatCode>General</c:formatCode>
                <c:ptCount val="2"/>
                <c:pt idx="0">
                  <c:v>0</c:v>
                </c:pt>
                <c:pt idx="1">
                  <c:v>1</c:v>
                </c:pt>
              </c:numCache>
            </c:numRef>
          </c:xVal>
          <c:yVal>
            <c:numRef>
              <c:f>'ND GAIN'!$M$34:$M$35</c:f>
              <c:numCache>
                <c:formatCode>General</c:formatCode>
                <c:ptCount val="2"/>
                <c:pt idx="0">
                  <c:v>0.5</c:v>
                </c:pt>
                <c:pt idx="1">
                  <c:v>0.5</c:v>
                </c:pt>
              </c:numCache>
            </c:numRef>
          </c:yVal>
          <c:smooth val="0"/>
          <c:extLst>
            <c:ext xmlns:c16="http://schemas.microsoft.com/office/drawing/2014/chart" uri="{C3380CC4-5D6E-409C-BE32-E72D297353CC}">
              <c16:uniqueId val="{0000001C-2BDF-4D0E-BA6B-CEACA3D576A7}"/>
            </c:ext>
          </c:extLst>
        </c:ser>
        <c:ser>
          <c:idx val="2"/>
          <c:order val="2"/>
          <c:spPr>
            <a:ln w="25400" cap="rnd">
              <a:noFill/>
              <a:round/>
            </a:ln>
            <a:effectLst/>
          </c:spPr>
          <c:marker>
            <c:symbol val="none"/>
          </c:marker>
          <c:xVal>
            <c:numRef>
              <c:f>'ND GAIN'!$L$36:$L$37</c:f>
              <c:numCache>
                <c:formatCode>General</c:formatCode>
                <c:ptCount val="2"/>
                <c:pt idx="0">
                  <c:v>0.5</c:v>
                </c:pt>
                <c:pt idx="1">
                  <c:v>0.5</c:v>
                </c:pt>
              </c:numCache>
            </c:numRef>
          </c:xVal>
          <c:yVal>
            <c:numRef>
              <c:f>'ND GAIN'!$M$36:$M$37</c:f>
              <c:numCache>
                <c:formatCode>General</c:formatCode>
                <c:ptCount val="2"/>
                <c:pt idx="0">
                  <c:v>0</c:v>
                </c:pt>
                <c:pt idx="1">
                  <c:v>1</c:v>
                </c:pt>
              </c:numCache>
            </c:numRef>
          </c:yVal>
          <c:smooth val="0"/>
          <c:extLst>
            <c:ext xmlns:c16="http://schemas.microsoft.com/office/drawing/2014/chart" uri="{C3380CC4-5D6E-409C-BE32-E72D297353CC}">
              <c16:uniqueId val="{0000001D-2BDF-4D0E-BA6B-CEACA3D576A7}"/>
            </c:ext>
          </c:extLst>
        </c:ser>
        <c:dLbls>
          <c:showLegendKey val="0"/>
          <c:showVal val="0"/>
          <c:showCatName val="0"/>
          <c:showSerName val="0"/>
          <c:showPercent val="0"/>
          <c:showBubbleSize val="0"/>
        </c:dLbls>
        <c:axId val="831040904"/>
        <c:axId val="831039920"/>
      </c:scatterChart>
      <c:valAx>
        <c:axId val="831040904"/>
        <c:scaling>
          <c:orientation val="minMax"/>
          <c:max val="1"/>
        </c:scaling>
        <c:delete val="0"/>
        <c:axPos val="b"/>
        <c:title>
          <c:tx>
            <c:rich>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r>
                  <a:rPr lang="en-US" sz="1100" b="0" i="0" u="none" strike="noStrike" kern="1200" baseline="0">
                    <a:solidFill>
                      <a:schemeClr val="tx1"/>
                    </a:solidFill>
                  </a:rPr>
                  <a:t>Préparation</a:t>
                </a:r>
                <a:endParaRPr lang="en-US" sz="1100">
                  <a:solidFill>
                    <a:schemeClr val="tx1"/>
                  </a:solidFill>
                </a:endParaRPr>
              </a:p>
            </c:rich>
          </c:tx>
          <c:layout>
            <c:manualLayout>
              <c:xMode val="edge"/>
              <c:yMode val="edge"/>
              <c:x val="0.49447486710806543"/>
              <c:y val="0.94483870967741934"/>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fr-FR"/>
          </a:p>
        </c:txPr>
        <c:crossAx val="831039920"/>
        <c:crosses val="autoZero"/>
        <c:crossBetween val="midCat"/>
        <c:majorUnit val="0.1"/>
        <c:minorUnit val="2.0000000000000004E-2"/>
      </c:valAx>
      <c:valAx>
        <c:axId val="831039920"/>
        <c:scaling>
          <c:orientation val="minMax"/>
          <c:max val="1"/>
        </c:scaling>
        <c:delete val="0"/>
        <c:axPos val="l"/>
        <c:title>
          <c:tx>
            <c:rich>
              <a:bodyPr rot="-5400000" spcFirstLastPara="1" vertOverflow="ellipsis" vert="horz" wrap="square" anchor="ctr" anchorCtr="1"/>
              <a:lstStyle/>
              <a:p>
                <a:pPr>
                  <a:defRPr sz="1100" b="0" i="0" u="none" strike="noStrike" kern="1200" baseline="0">
                    <a:solidFill>
                      <a:schemeClr val="tx1"/>
                    </a:solidFill>
                    <a:latin typeface="+mn-lt"/>
                    <a:ea typeface="+mn-ea"/>
                    <a:cs typeface="+mn-cs"/>
                  </a:defRPr>
                </a:pPr>
                <a:r>
                  <a:rPr lang="en-US" sz="1100" b="0" i="0" u="none" strike="noStrike" kern="1200" baseline="0">
                    <a:solidFill>
                      <a:schemeClr val="tx1"/>
                    </a:solidFill>
                  </a:rPr>
                  <a:t>Vulnérabilité</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fr-FR"/>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fr-FR"/>
          </a:p>
        </c:txPr>
        <c:crossAx val="831040904"/>
        <c:crosses val="autoZero"/>
        <c:crossBetween val="midCat"/>
      </c:valAx>
      <c:spPr>
        <a:blipFill>
          <a:blip xmlns:r="http://schemas.openxmlformats.org/officeDocument/2006/relationships" r:embed="rId3"/>
          <a:stretch>
            <a:fillRect/>
          </a:stretch>
        </a:blip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lumMod val="85000"/>
        </a:schemeClr>
      </a:solidFill>
      <a:round/>
    </a:ln>
    <a:effectLst/>
  </c:spPr>
  <c:txPr>
    <a:bodyPr/>
    <a:lstStyle/>
    <a:p>
      <a:pPr>
        <a:defRPr/>
      </a:pPr>
      <a:endParaRPr lang="fr-FR"/>
    </a:p>
  </c:txPr>
  <c:externalData r:id="rId4">
    <c:autoUpdate val="0"/>
  </c:externalData>
  <c:userShapes r:id="rId5"/>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en-US" sz="1100" b="1" i="0" u="none" strike="noStrike" kern="1200" spc="0" baseline="0">
                <a:solidFill>
                  <a:sysClr val="windowText" lastClr="000000"/>
                </a:solidFill>
                <a:latin typeface="+mn-lt"/>
                <a:ea typeface="+mn-ea"/>
                <a:cs typeface="+mn-cs"/>
              </a:defRPr>
            </a:pPr>
            <a:r>
              <a:rPr lang="fr-FR" sz="1100" b="1"/>
              <a:t>Exposition de notre portefeuille immobilier aux risques physiques</a:t>
            </a:r>
          </a:p>
        </c:rich>
      </c:tx>
      <c:overlay val="0"/>
      <c:spPr>
        <a:noFill/>
        <a:ln>
          <a:noFill/>
        </a:ln>
        <a:effectLst/>
      </c:spPr>
      <c:txPr>
        <a:bodyPr rot="0" spcFirstLastPara="1" vertOverflow="ellipsis" vert="horz" wrap="square" anchor="ctr" anchorCtr="1"/>
        <a:lstStyle/>
        <a:p>
          <a:pPr>
            <a:defRPr lang="en-US" sz="1100" b="1" i="0" u="none" strike="noStrike" kern="1200" spc="0" baseline="0">
              <a:solidFill>
                <a:sysClr val="windowText" lastClr="000000"/>
              </a:solidFill>
              <a:latin typeface="+mn-lt"/>
              <a:ea typeface="+mn-ea"/>
              <a:cs typeface="+mn-cs"/>
            </a:defRPr>
          </a:pPr>
          <a:endParaRPr lang="fr-FR"/>
        </a:p>
      </c:txPr>
    </c:title>
    <c:autoTitleDeleted val="0"/>
    <c:plotArea>
      <c:layout/>
      <c:barChart>
        <c:barDir val="col"/>
        <c:grouping val="stacked"/>
        <c:varyColors val="0"/>
        <c:ser>
          <c:idx val="0"/>
          <c:order val="0"/>
          <c:tx>
            <c:strRef>
              <c:f>'[26 _ 20260428_Fichier de calcul LEC29 2025 Abeille et Masterfile - Collecte de données 2026 - OIRE (4).xlsx]Risques climatiques 2025 R4RE'!$DR$384</c:f>
              <c:strCache>
                <c:ptCount val="1"/>
                <c:pt idx="0">
                  <c:v>Degré 5</c:v>
                </c:pt>
              </c:strCache>
            </c:strRef>
          </c:tx>
          <c:spPr>
            <a:solidFill>
              <a:schemeClr val="accent6">
                <a:shade val="53000"/>
              </a:schemeClr>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0-9378-4948-935C-A2D7F5247778}"/>
                </c:ext>
              </c:extLst>
            </c:dLbl>
            <c:dLbl>
              <c:idx val="4"/>
              <c:delete val="1"/>
              <c:extLst>
                <c:ext xmlns:c15="http://schemas.microsoft.com/office/drawing/2012/chart" uri="{CE6537A1-D6FC-4f65-9D91-7224C49458BB}"/>
                <c:ext xmlns:c16="http://schemas.microsoft.com/office/drawing/2014/chart" uri="{C3380CC4-5D6E-409C-BE32-E72D297353CC}">
                  <c16:uniqueId val="{0000000C-9378-4948-935C-A2D7F5247778}"/>
                </c:ext>
              </c:extLst>
            </c:dLbl>
            <c:spPr>
              <a:noFill/>
              <a:ln>
                <a:no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'[26 _ 20260428_Fichier de calcul LEC29 2025 Abeille et Masterfile - Collecte de données 2026 - OIRE (4).xlsx]Risques climatiques 2025 R4RE'!$CM$546:$CM$550</c:f>
              <c:strCache>
                <c:ptCount val="5"/>
                <c:pt idx="0">
                  <c:v>VAGUES DE CHALEURS</c:v>
                </c:pt>
                <c:pt idx="1">
                  <c:v>SECHERESSES</c:v>
                </c:pt>
                <c:pt idx="2">
                  <c:v>PRECIPITATIONS ET INONDATIONS</c:v>
                </c:pt>
                <c:pt idx="3">
                  <c:v>FEUX DE FORETS</c:v>
                </c:pt>
                <c:pt idx="4">
                  <c:v>GRANDS FROIDS</c:v>
                </c:pt>
              </c:strCache>
            </c:strRef>
          </c:cat>
          <c:val>
            <c:numRef>
              <c:f>'[26 _ 20260428_Fichier de calcul LEC29 2025 Abeille et Masterfile - Collecte de données 2026 - OIRE (4).xlsx]Risques climatiques 2025 R4RE'!$DR$546:$DR$550</c:f>
              <c:numCache>
                <c:formatCode>0%</c:formatCode>
                <c:ptCount val="5"/>
                <c:pt idx="0">
                  <c:v>1</c:v>
                </c:pt>
                <c:pt idx="1">
                  <c:v>0.52277029198135294</c:v>
                </c:pt>
                <c:pt idx="2">
                  <c:v>5.4548375586188941E-2</c:v>
                </c:pt>
                <c:pt idx="3">
                  <c:v>0</c:v>
                </c:pt>
                <c:pt idx="4">
                  <c:v>0</c:v>
                </c:pt>
              </c:numCache>
            </c:numRef>
          </c:val>
          <c:extLst>
            <c:ext xmlns:c16="http://schemas.microsoft.com/office/drawing/2014/chart" uri="{C3380CC4-5D6E-409C-BE32-E72D297353CC}">
              <c16:uniqueId val="{00000001-9378-4948-935C-A2D7F5247778}"/>
            </c:ext>
          </c:extLst>
        </c:ser>
        <c:ser>
          <c:idx val="1"/>
          <c:order val="1"/>
          <c:tx>
            <c:strRef>
              <c:f>'[26 _ 20260428_Fichier de calcul LEC29 2025 Abeille et Masterfile - Collecte de données 2026 - OIRE (4).xlsx]Risques climatiques 2025 R4RE'!$DS$384</c:f>
              <c:strCache>
                <c:ptCount val="1"/>
                <c:pt idx="0">
                  <c:v>Degré 4</c:v>
                </c:pt>
              </c:strCache>
            </c:strRef>
          </c:tx>
          <c:spPr>
            <a:solidFill>
              <a:schemeClr val="accent6">
                <a:shade val="76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F-9378-4948-935C-A2D7F5247778}"/>
                </c:ext>
              </c:extLst>
            </c:dLbl>
            <c:dLbl>
              <c:idx val="1"/>
              <c:delete val="1"/>
              <c:extLst>
                <c:ext xmlns:c15="http://schemas.microsoft.com/office/drawing/2012/chart" uri="{CE6537A1-D6FC-4f65-9D91-7224C49458BB}"/>
                <c:ext xmlns:c16="http://schemas.microsoft.com/office/drawing/2014/chart" uri="{C3380CC4-5D6E-409C-BE32-E72D297353CC}">
                  <c16:uniqueId val="{00000010-9378-4948-935C-A2D7F5247778}"/>
                </c:ext>
              </c:extLst>
            </c:dLbl>
            <c:dLbl>
              <c:idx val="3"/>
              <c:delete val="1"/>
              <c:extLst>
                <c:ext xmlns:c15="http://schemas.microsoft.com/office/drawing/2012/chart" uri="{CE6537A1-D6FC-4f65-9D91-7224C49458BB}"/>
                <c:ext xmlns:c16="http://schemas.microsoft.com/office/drawing/2014/chart" uri="{C3380CC4-5D6E-409C-BE32-E72D297353CC}">
                  <c16:uniqueId val="{00000008-9378-4948-935C-A2D7F5247778}"/>
                </c:ext>
              </c:extLst>
            </c:dLbl>
            <c:dLbl>
              <c:idx val="4"/>
              <c:delete val="1"/>
              <c:extLst>
                <c:ext xmlns:c15="http://schemas.microsoft.com/office/drawing/2012/chart" uri="{CE6537A1-D6FC-4f65-9D91-7224C49458BB}"/>
                <c:ext xmlns:c16="http://schemas.microsoft.com/office/drawing/2014/chart" uri="{C3380CC4-5D6E-409C-BE32-E72D297353CC}">
                  <c16:uniqueId val="{0000000B-9378-4948-935C-A2D7F5247778}"/>
                </c:ext>
              </c:extLst>
            </c:dLbl>
            <c:spPr>
              <a:noFill/>
              <a:ln>
                <a:no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'[26 _ 20260428_Fichier de calcul LEC29 2025 Abeille et Masterfile - Collecte de données 2026 - OIRE (4).xlsx]Risques climatiques 2025 R4RE'!$CM$546:$CM$550</c:f>
              <c:strCache>
                <c:ptCount val="5"/>
                <c:pt idx="0">
                  <c:v>VAGUES DE CHALEURS</c:v>
                </c:pt>
                <c:pt idx="1">
                  <c:v>SECHERESSES</c:v>
                </c:pt>
                <c:pt idx="2">
                  <c:v>PRECIPITATIONS ET INONDATIONS</c:v>
                </c:pt>
                <c:pt idx="3">
                  <c:v>FEUX DE FORETS</c:v>
                </c:pt>
                <c:pt idx="4">
                  <c:v>GRANDS FROIDS</c:v>
                </c:pt>
              </c:strCache>
            </c:strRef>
          </c:cat>
          <c:val>
            <c:numRef>
              <c:f>'[26 _ 20260428_Fichier de calcul LEC29 2025 Abeille et Masterfile - Collecte de données 2026 - OIRE (4).xlsx]Risques climatiques 2025 R4RE'!$DS$546:$DS$550</c:f>
              <c:numCache>
                <c:formatCode>0%</c:formatCode>
                <c:ptCount val="5"/>
                <c:pt idx="0">
                  <c:v>0</c:v>
                </c:pt>
                <c:pt idx="1">
                  <c:v>0</c:v>
                </c:pt>
                <c:pt idx="2">
                  <c:v>0.37341212374229604</c:v>
                </c:pt>
                <c:pt idx="3">
                  <c:v>0</c:v>
                </c:pt>
                <c:pt idx="4">
                  <c:v>0</c:v>
                </c:pt>
              </c:numCache>
            </c:numRef>
          </c:val>
          <c:extLst>
            <c:ext xmlns:c16="http://schemas.microsoft.com/office/drawing/2014/chart" uri="{C3380CC4-5D6E-409C-BE32-E72D297353CC}">
              <c16:uniqueId val="{00000002-9378-4948-935C-A2D7F5247778}"/>
            </c:ext>
          </c:extLst>
        </c:ser>
        <c:ser>
          <c:idx val="2"/>
          <c:order val="2"/>
          <c:tx>
            <c:strRef>
              <c:f>'[26 _ 20260428_Fichier de calcul LEC29 2025 Abeille et Masterfile - Collecte de données 2026 - OIRE (4).xlsx]Risques climatiques 2025 R4RE'!$DT$384</c:f>
              <c:strCache>
                <c:ptCount val="1"/>
                <c:pt idx="0">
                  <c:v>Degré 3</c:v>
                </c:pt>
              </c:strCache>
            </c:strRef>
          </c:tx>
          <c:spPr>
            <a:solidFill>
              <a:schemeClr val="accent6"/>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D-9378-4948-935C-A2D7F5247778}"/>
                </c:ext>
              </c:extLst>
            </c:dLbl>
            <c:dLbl>
              <c:idx val="1"/>
              <c:delete val="1"/>
              <c:extLst>
                <c:ext xmlns:c15="http://schemas.microsoft.com/office/drawing/2012/chart" uri="{CE6537A1-D6FC-4f65-9D91-7224C49458BB}"/>
                <c:ext xmlns:c16="http://schemas.microsoft.com/office/drawing/2014/chart" uri="{C3380CC4-5D6E-409C-BE32-E72D297353CC}">
                  <c16:uniqueId val="{0000000E-9378-4948-935C-A2D7F5247778}"/>
                </c:ext>
              </c:extLst>
            </c:dLbl>
            <c:dLbl>
              <c:idx val="4"/>
              <c:delete val="1"/>
              <c:extLst>
                <c:ext xmlns:c15="http://schemas.microsoft.com/office/drawing/2012/chart" uri="{CE6537A1-D6FC-4f65-9D91-7224C49458BB}"/>
                <c:ext xmlns:c16="http://schemas.microsoft.com/office/drawing/2014/chart" uri="{C3380CC4-5D6E-409C-BE32-E72D297353CC}">
                  <c16:uniqueId val="{0000000A-9378-4948-935C-A2D7F5247778}"/>
                </c:ext>
              </c:extLst>
            </c:dLbl>
            <c:spPr>
              <a:noFill/>
              <a:ln>
                <a:no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'[26 _ 20260428_Fichier de calcul LEC29 2025 Abeille et Masterfile - Collecte de données 2026 - OIRE (4).xlsx]Risques climatiques 2025 R4RE'!$CM$546:$CM$550</c:f>
              <c:strCache>
                <c:ptCount val="5"/>
                <c:pt idx="0">
                  <c:v>VAGUES DE CHALEURS</c:v>
                </c:pt>
                <c:pt idx="1">
                  <c:v>SECHERESSES</c:v>
                </c:pt>
                <c:pt idx="2">
                  <c:v>PRECIPITATIONS ET INONDATIONS</c:v>
                </c:pt>
                <c:pt idx="3">
                  <c:v>FEUX DE FORETS</c:v>
                </c:pt>
                <c:pt idx="4">
                  <c:v>GRANDS FROIDS</c:v>
                </c:pt>
              </c:strCache>
            </c:strRef>
          </c:cat>
          <c:val>
            <c:numRef>
              <c:f>'[26 _ 20260428_Fichier de calcul LEC29 2025 Abeille et Masterfile - Collecte de données 2026 - OIRE (4).xlsx]Risques climatiques 2025 R4RE'!$DT$546:$DT$550</c:f>
              <c:numCache>
                <c:formatCode>0%</c:formatCode>
                <c:ptCount val="5"/>
                <c:pt idx="0">
                  <c:v>0</c:v>
                </c:pt>
                <c:pt idx="1">
                  <c:v>0</c:v>
                </c:pt>
                <c:pt idx="2">
                  <c:v>0.47762816586493262</c:v>
                </c:pt>
                <c:pt idx="3">
                  <c:v>1</c:v>
                </c:pt>
                <c:pt idx="4">
                  <c:v>0</c:v>
                </c:pt>
              </c:numCache>
            </c:numRef>
          </c:val>
          <c:extLst>
            <c:ext xmlns:c16="http://schemas.microsoft.com/office/drawing/2014/chart" uri="{C3380CC4-5D6E-409C-BE32-E72D297353CC}">
              <c16:uniqueId val="{00000003-9378-4948-935C-A2D7F5247778}"/>
            </c:ext>
          </c:extLst>
        </c:ser>
        <c:ser>
          <c:idx val="3"/>
          <c:order val="3"/>
          <c:tx>
            <c:strRef>
              <c:f>'[26 _ 20260428_Fichier de calcul LEC29 2025 Abeille et Masterfile - Collecte de données 2026 - OIRE (4).xlsx]Risques climatiques 2025 R4RE'!$DU$384</c:f>
              <c:strCache>
                <c:ptCount val="1"/>
                <c:pt idx="0">
                  <c:v>Degré 2</c:v>
                </c:pt>
              </c:strCache>
            </c:strRef>
          </c:tx>
          <c:spPr>
            <a:solidFill>
              <a:schemeClr val="accent6">
                <a:tint val="77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9-9378-4948-935C-A2D7F5247778}"/>
                </c:ext>
              </c:extLst>
            </c:dLbl>
            <c:dLbl>
              <c:idx val="3"/>
              <c:delete val="1"/>
              <c:extLst>
                <c:ext xmlns:c15="http://schemas.microsoft.com/office/drawing/2012/chart" uri="{CE6537A1-D6FC-4f65-9D91-7224C49458BB}"/>
                <c:ext xmlns:c16="http://schemas.microsoft.com/office/drawing/2014/chart" uri="{C3380CC4-5D6E-409C-BE32-E72D297353CC}">
                  <c16:uniqueId val="{00000006-9378-4948-935C-A2D7F5247778}"/>
                </c:ext>
              </c:extLst>
            </c:dLbl>
            <c:dLbl>
              <c:idx val="4"/>
              <c:delete val="1"/>
              <c:extLst>
                <c:ext xmlns:c15="http://schemas.microsoft.com/office/drawing/2012/chart" uri="{CE6537A1-D6FC-4f65-9D91-7224C49458BB}"/>
                <c:ext xmlns:c16="http://schemas.microsoft.com/office/drawing/2014/chart" uri="{C3380CC4-5D6E-409C-BE32-E72D297353CC}">
                  <c16:uniqueId val="{00000007-9378-4948-935C-A2D7F5247778}"/>
                </c:ext>
              </c:extLst>
            </c:dLbl>
            <c:spPr>
              <a:noFill/>
              <a:ln>
                <a:no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fr-F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'[26 _ 20260428_Fichier de calcul LEC29 2025 Abeille et Masterfile - Collecte de données 2026 - OIRE (4).xlsx]Risques climatiques 2025 R4RE'!$CM$546:$CM$550</c:f>
              <c:strCache>
                <c:ptCount val="5"/>
                <c:pt idx="0">
                  <c:v>VAGUES DE CHALEURS</c:v>
                </c:pt>
                <c:pt idx="1">
                  <c:v>SECHERESSES</c:v>
                </c:pt>
                <c:pt idx="2">
                  <c:v>PRECIPITATIONS ET INONDATIONS</c:v>
                </c:pt>
                <c:pt idx="3">
                  <c:v>FEUX DE FORETS</c:v>
                </c:pt>
                <c:pt idx="4">
                  <c:v>GRANDS FROIDS</c:v>
                </c:pt>
              </c:strCache>
            </c:strRef>
          </c:cat>
          <c:val>
            <c:numRef>
              <c:f>'[26 _ 20260428_Fichier de calcul LEC29 2025 Abeille et Masterfile - Collecte de données 2026 - OIRE (4).xlsx]Risques climatiques 2025 R4RE'!$DU$546:$DU$550</c:f>
              <c:numCache>
                <c:formatCode>0%</c:formatCode>
                <c:ptCount val="5"/>
                <c:pt idx="0">
                  <c:v>0</c:v>
                </c:pt>
                <c:pt idx="1">
                  <c:v>0.47722970801864695</c:v>
                </c:pt>
                <c:pt idx="2">
                  <c:v>9.4411334806582453E-2</c:v>
                </c:pt>
                <c:pt idx="3">
                  <c:v>0</c:v>
                </c:pt>
                <c:pt idx="4">
                  <c:v>0</c:v>
                </c:pt>
              </c:numCache>
            </c:numRef>
          </c:val>
          <c:extLst>
            <c:ext xmlns:c16="http://schemas.microsoft.com/office/drawing/2014/chart" uri="{C3380CC4-5D6E-409C-BE32-E72D297353CC}">
              <c16:uniqueId val="{00000004-9378-4948-935C-A2D7F5247778}"/>
            </c:ext>
          </c:extLst>
        </c:ser>
        <c:ser>
          <c:idx val="4"/>
          <c:order val="4"/>
          <c:tx>
            <c:strRef>
              <c:f>'[26 _ 20260428_Fichier de calcul LEC29 2025 Abeille et Masterfile - Collecte de données 2026 - OIRE (4).xlsx]Risques climatiques 2025 R4RE'!$DV$384</c:f>
              <c:strCache>
                <c:ptCount val="1"/>
                <c:pt idx="0">
                  <c:v>Degré 1</c:v>
                </c:pt>
              </c:strCache>
            </c:strRef>
          </c:tx>
          <c:spPr>
            <a:solidFill>
              <a:schemeClr val="accent6">
                <a:tint val="54000"/>
              </a:schemeClr>
            </a:solidFill>
            <a:ln>
              <a:noFill/>
            </a:ln>
            <a:effectLst/>
          </c:spPr>
          <c:invertIfNegative val="0"/>
          <c:dLbls>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378-4948-935C-A2D7F5247778}"/>
                </c:ext>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'[26 _ 20260428_Fichier de calcul LEC29 2025 Abeille et Masterfile - Collecte de données 2026 - OIRE (4).xlsx]Risques climatiques 2025 R4RE'!$CM$546:$CM$550</c:f>
              <c:strCache>
                <c:ptCount val="5"/>
                <c:pt idx="0">
                  <c:v>VAGUES DE CHALEURS</c:v>
                </c:pt>
                <c:pt idx="1">
                  <c:v>SECHERESSES</c:v>
                </c:pt>
                <c:pt idx="2">
                  <c:v>PRECIPITATIONS ET INONDATIONS</c:v>
                </c:pt>
                <c:pt idx="3">
                  <c:v>FEUX DE FORETS</c:v>
                </c:pt>
                <c:pt idx="4">
                  <c:v>GRANDS FROIDS</c:v>
                </c:pt>
              </c:strCache>
            </c:strRef>
          </c:cat>
          <c:val>
            <c:numRef>
              <c:f>'[26 _ 20260428_Fichier de calcul LEC29 2025 Abeille et Masterfile - Collecte de données 2026 - OIRE (4).xlsx]Risques climatiques 2025 R4RE'!$DV$546:$DV$550</c:f>
              <c:numCache>
                <c:formatCode>0%</c:formatCode>
                <c:ptCount val="5"/>
                <c:pt idx="0">
                  <c:v>0</c:v>
                </c:pt>
                <c:pt idx="1">
                  <c:v>0</c:v>
                </c:pt>
                <c:pt idx="2">
                  <c:v>0</c:v>
                </c:pt>
                <c:pt idx="3">
                  <c:v>0</c:v>
                </c:pt>
                <c:pt idx="4">
                  <c:v>1</c:v>
                </c:pt>
              </c:numCache>
            </c:numRef>
          </c:val>
          <c:extLst>
            <c:ext xmlns:c16="http://schemas.microsoft.com/office/drawing/2014/chart" uri="{C3380CC4-5D6E-409C-BE32-E72D297353CC}">
              <c16:uniqueId val="{00000005-9378-4948-935C-A2D7F5247778}"/>
            </c:ext>
          </c:extLst>
        </c:ser>
        <c:dLbls>
          <c:showLegendKey val="0"/>
          <c:showVal val="0"/>
          <c:showCatName val="0"/>
          <c:showSerName val="0"/>
          <c:showPercent val="0"/>
          <c:showBubbleSize val="0"/>
        </c:dLbls>
        <c:gapWidth val="75"/>
        <c:overlap val="100"/>
        <c:axId val="815705072"/>
        <c:axId val="815701832"/>
      </c:barChart>
      <c:catAx>
        <c:axId val="815705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fr-FR"/>
          </a:p>
        </c:txPr>
        <c:crossAx val="815701832"/>
        <c:crosses val="autoZero"/>
        <c:auto val="1"/>
        <c:lblAlgn val="ctr"/>
        <c:lblOffset val="100"/>
        <c:noMultiLvlLbl val="0"/>
      </c:catAx>
      <c:valAx>
        <c:axId val="8157018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fr-FR"/>
          </a:p>
        </c:txPr>
        <c:crossAx val="815705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ysClr val="windowText" lastClr="000000"/>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lang="en-US" sz="900" b="0" i="0" u="none" strike="noStrike" kern="1200" baseline="0">
          <a:solidFill>
            <a:sysClr val="windowText" lastClr="000000"/>
          </a:solidFill>
          <a:latin typeface="+mn-lt"/>
          <a:ea typeface="+mn-ea"/>
          <a:cs typeface="+mn-cs"/>
        </a:defRPr>
      </a:pPr>
      <a:endParaRPr lang="fr-F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fr-FR" sz="1000" b="1" i="0" u="none" strike="noStrike" kern="1200" spc="0" baseline="0">
                <a:solidFill>
                  <a:sysClr val="windowText" lastClr="000000"/>
                </a:solidFill>
              </a:rPr>
              <a:t>Répartition de la classification SFDR des UC, en nombre de fonds</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doughnutChart>
        <c:varyColors val="1"/>
        <c:ser>
          <c:idx val="0"/>
          <c:order val="0"/>
          <c:tx>
            <c:strRef>
              <c:f>Summary!$J$28</c:f>
              <c:strCache>
                <c:ptCount val="1"/>
                <c:pt idx="0">
                  <c:v>Total</c:v>
                </c:pt>
              </c:strCache>
            </c:strRef>
          </c:tx>
          <c:dPt>
            <c:idx val="0"/>
            <c:bubble3D val="0"/>
            <c:spPr>
              <a:solidFill>
                <a:schemeClr val="accent6">
                  <a:lumMod val="90000"/>
                </a:schemeClr>
              </a:solidFill>
              <a:ln w="19050">
                <a:solidFill>
                  <a:schemeClr val="lt1"/>
                </a:solidFill>
              </a:ln>
              <a:effectLst/>
            </c:spPr>
            <c:extLst>
              <c:ext xmlns:c16="http://schemas.microsoft.com/office/drawing/2014/chart" uri="{C3380CC4-5D6E-409C-BE32-E72D297353CC}">
                <c16:uniqueId val="{00000001-7348-4647-8E0F-4A24F2821B1C}"/>
              </c:ext>
            </c:extLst>
          </c:dPt>
          <c:dPt>
            <c:idx val="1"/>
            <c:bubble3D val="0"/>
            <c:spPr>
              <a:solidFill>
                <a:srgbClr val="4CA79F"/>
              </a:solidFill>
              <a:ln w="19050">
                <a:solidFill>
                  <a:schemeClr val="lt1"/>
                </a:solidFill>
              </a:ln>
              <a:effectLst/>
            </c:spPr>
            <c:extLst>
              <c:ext xmlns:c16="http://schemas.microsoft.com/office/drawing/2014/chart" uri="{C3380CC4-5D6E-409C-BE32-E72D297353CC}">
                <c16:uniqueId val="{00000003-7348-4647-8E0F-4A24F2821B1C}"/>
              </c:ext>
            </c:extLst>
          </c:dPt>
          <c:dPt>
            <c:idx val="2"/>
            <c:bubble3D val="0"/>
            <c:spPr>
              <a:solidFill>
                <a:srgbClr val="1F3864"/>
              </a:solidFill>
              <a:ln w="19050">
                <a:solidFill>
                  <a:schemeClr val="lt1"/>
                </a:solidFill>
              </a:ln>
              <a:effectLst/>
            </c:spPr>
            <c:extLst>
              <c:ext xmlns:c16="http://schemas.microsoft.com/office/drawing/2014/chart" uri="{C3380CC4-5D6E-409C-BE32-E72D297353CC}">
                <c16:uniqueId val="{00000005-7348-4647-8E0F-4A24F2821B1C}"/>
              </c:ext>
            </c:extLst>
          </c:dPt>
          <c:dLbls>
            <c:dLbl>
              <c:idx val="0"/>
              <c:layout>
                <c:manualLayout>
                  <c:x val="0.25368886547632252"/>
                  <c:y val="-7.1645394906418039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7348-4647-8E0F-4A24F2821B1C}"/>
                </c:ext>
              </c:extLst>
            </c:dLbl>
            <c:dLbl>
              <c:idx val="1"/>
              <c:layout>
                <c:manualLayout>
                  <c:x val="-0.15083037595652657"/>
                  <c:y val="0.16886113628615837"/>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7348-4647-8E0F-4A24F2821B1C}"/>
                </c:ext>
              </c:extLst>
            </c:dLbl>
            <c:dLbl>
              <c:idx val="2"/>
              <c:layout>
                <c:manualLayout>
                  <c:x val="-0.15419028817222388"/>
                  <c:y val="-5.9028213550226319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7348-4647-8E0F-4A24F2821B1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fr-FR"/>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(Summary!$M$25,Summary!$O$25,Summary!$Q$25)</c:f>
              <c:strCache>
                <c:ptCount val="3"/>
                <c:pt idx="0">
                  <c:v>Nb Art 8</c:v>
                </c:pt>
                <c:pt idx="1">
                  <c:v>Nb Art 9</c:v>
                </c:pt>
                <c:pt idx="2">
                  <c:v>Nb Art 6</c:v>
                </c:pt>
              </c:strCache>
            </c:strRef>
          </c:cat>
          <c:val>
            <c:numRef>
              <c:f>(Summary!$M$28,Summary!$O$28,Summary!$Q$28)</c:f>
              <c:numCache>
                <c:formatCode>0%</c:formatCode>
                <c:ptCount val="3"/>
                <c:pt idx="0">
                  <c:v>0.75124378109452739</c:v>
                </c:pt>
                <c:pt idx="1">
                  <c:v>7.4626865671641784E-2</c:v>
                </c:pt>
                <c:pt idx="2">
                  <c:v>0.17412935323383086</c:v>
                </c:pt>
              </c:numCache>
            </c:numRef>
          </c:val>
          <c:extLst>
            <c:ext xmlns:c16="http://schemas.microsoft.com/office/drawing/2014/chart" uri="{C3380CC4-5D6E-409C-BE32-E72D297353CC}">
              <c16:uniqueId val="{00000006-7348-4647-8E0F-4A24F2821B1C}"/>
            </c:ext>
          </c:extLst>
        </c:ser>
        <c:dLbls>
          <c:showLegendKey val="0"/>
          <c:showVal val="0"/>
          <c:showCatName val="0"/>
          <c:showSerName val="0"/>
          <c:showPercent val="0"/>
          <c:showBubbleSize val="0"/>
          <c:showLeaderLines val="1"/>
        </c:dLbls>
        <c:firstSliceAng val="0"/>
        <c:holeSize val="60"/>
      </c:doughnut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fr-FR" sz="1000" b="1">
                <a:solidFill>
                  <a:sysClr val="windowText" lastClr="000000"/>
                </a:solidFill>
              </a:rPr>
              <a:t>Répartition de la classification</a:t>
            </a:r>
            <a:r>
              <a:rPr lang="fr-FR" sz="1000" b="1" baseline="0">
                <a:solidFill>
                  <a:sysClr val="windowText" lastClr="000000"/>
                </a:solidFill>
              </a:rPr>
              <a:t> SFDR des UC, en % d'encours</a:t>
            </a:r>
            <a:endParaRPr lang="fr-FR" sz="1000" b="1">
              <a:solidFill>
                <a:sysClr val="windowText" lastClr="000000"/>
              </a:solidFill>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doughnutChart>
        <c:varyColors val="1"/>
        <c:ser>
          <c:idx val="0"/>
          <c:order val="0"/>
          <c:dPt>
            <c:idx val="0"/>
            <c:bubble3D val="0"/>
            <c:spPr>
              <a:solidFill>
                <a:schemeClr val="accent6">
                  <a:lumMod val="90000"/>
                </a:schemeClr>
              </a:solidFill>
              <a:ln w="19050">
                <a:solidFill>
                  <a:schemeClr val="lt1"/>
                </a:solidFill>
              </a:ln>
              <a:effectLst/>
            </c:spPr>
            <c:extLst>
              <c:ext xmlns:c16="http://schemas.microsoft.com/office/drawing/2014/chart" uri="{C3380CC4-5D6E-409C-BE32-E72D297353CC}">
                <c16:uniqueId val="{00000001-AFC1-462E-8E9D-0209D44F1D1A}"/>
              </c:ext>
            </c:extLst>
          </c:dPt>
          <c:dPt>
            <c:idx val="1"/>
            <c:bubble3D val="0"/>
            <c:spPr>
              <a:solidFill>
                <a:srgbClr val="4CA79F"/>
              </a:solidFill>
              <a:ln w="19050">
                <a:solidFill>
                  <a:schemeClr val="lt1"/>
                </a:solidFill>
              </a:ln>
              <a:effectLst/>
            </c:spPr>
            <c:extLst>
              <c:ext xmlns:c16="http://schemas.microsoft.com/office/drawing/2014/chart" uri="{C3380CC4-5D6E-409C-BE32-E72D297353CC}">
                <c16:uniqueId val="{00000003-AFC1-462E-8E9D-0209D44F1D1A}"/>
              </c:ext>
            </c:extLst>
          </c:dPt>
          <c:dPt>
            <c:idx val="2"/>
            <c:bubble3D val="0"/>
            <c:spPr>
              <a:solidFill>
                <a:srgbClr val="1F3864"/>
              </a:solidFill>
              <a:ln w="19050">
                <a:solidFill>
                  <a:schemeClr val="lt1"/>
                </a:solidFill>
              </a:ln>
              <a:effectLst/>
            </c:spPr>
            <c:extLst>
              <c:ext xmlns:c16="http://schemas.microsoft.com/office/drawing/2014/chart" uri="{C3380CC4-5D6E-409C-BE32-E72D297353CC}">
                <c16:uniqueId val="{00000005-AFC1-462E-8E9D-0209D44F1D1A}"/>
              </c:ext>
            </c:extLst>
          </c:dPt>
          <c:dLbls>
            <c:dLbl>
              <c:idx val="0"/>
              <c:layout>
                <c:manualLayout>
                  <c:x val="0.12741530208057289"/>
                  <c:y val="-0.16912417691632395"/>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AFC1-462E-8E9D-0209D44F1D1A}"/>
                </c:ext>
              </c:extLst>
            </c:dLbl>
            <c:dLbl>
              <c:idx val="1"/>
              <c:layout>
                <c:manualLayout>
                  <c:x val="0.25220988169359981"/>
                  <c:y val="7.1382238041614407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AFC1-462E-8E9D-0209D44F1D1A}"/>
                </c:ext>
              </c:extLst>
            </c:dLbl>
            <c:dLbl>
              <c:idx val="2"/>
              <c:layout>
                <c:manualLayout>
                  <c:x val="-0.15839497038185671"/>
                  <c:y val="-7.7601375052854693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AFC1-462E-8E9D-0209D44F1D1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fr-FR"/>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(Summary!$M$19,Summary!$O$19,Summary!$Q$19)</c:f>
              <c:strCache>
                <c:ptCount val="3"/>
                <c:pt idx="0">
                  <c:v>% Art 8</c:v>
                </c:pt>
                <c:pt idx="1">
                  <c:v>% Art 9</c:v>
                </c:pt>
                <c:pt idx="2">
                  <c:v>% Art 6</c:v>
                </c:pt>
              </c:strCache>
            </c:strRef>
          </c:cat>
          <c:val>
            <c:numRef>
              <c:f>(Summary!$M$22,Summary!$O$22,Summary!$Q$22)</c:f>
              <c:numCache>
                <c:formatCode>0%</c:formatCode>
                <c:ptCount val="3"/>
                <c:pt idx="0">
                  <c:v>0.45312599717234198</c:v>
                </c:pt>
                <c:pt idx="1">
                  <c:v>1.5004337517951306E-2</c:v>
                </c:pt>
                <c:pt idx="2">
                  <c:v>0.5318696653097067</c:v>
                </c:pt>
              </c:numCache>
            </c:numRef>
          </c:val>
          <c:extLst>
            <c:ext xmlns:c16="http://schemas.microsoft.com/office/drawing/2014/chart" uri="{C3380CC4-5D6E-409C-BE32-E72D297353CC}">
              <c16:uniqueId val="{00000006-AFC1-462E-8E9D-0209D44F1D1A}"/>
            </c:ext>
          </c:extLst>
        </c:ser>
        <c:dLbls>
          <c:showLegendKey val="0"/>
          <c:showVal val="0"/>
          <c:showCatName val="0"/>
          <c:showSerName val="0"/>
          <c:showPercent val="0"/>
          <c:showBubbleSize val="0"/>
          <c:showLeaderLines val="1"/>
        </c:dLbls>
        <c:firstSliceAng val="0"/>
        <c:holeSize val="60"/>
      </c:doughnut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US" sz="1200" b="1">
                <a:solidFill>
                  <a:schemeClr val="tx1"/>
                </a:solidFill>
              </a:rPr>
              <a:t>Evolution</a:t>
            </a:r>
            <a:r>
              <a:rPr lang="en-US" sz="1200" b="1" baseline="0">
                <a:solidFill>
                  <a:schemeClr val="tx1"/>
                </a:solidFill>
              </a:rPr>
              <a:t> du % d'encours UC article 8 ou 9</a:t>
            </a:r>
            <a:endParaRPr lang="en-US" sz="1200" b="1">
              <a:solidFill>
                <a:schemeClr val="tx1"/>
              </a:solidFill>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'Graphs et calculs'!$W$19</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'Graphs et calculs'!$V$22:$V$24</c:f>
              <c:numCache>
                <c:formatCode>General</c:formatCode>
                <c:ptCount val="3"/>
                <c:pt idx="0">
                  <c:v>2023</c:v>
                </c:pt>
                <c:pt idx="1">
                  <c:v>2024</c:v>
                </c:pt>
                <c:pt idx="2">
                  <c:v>2025</c:v>
                </c:pt>
              </c:numCache>
            </c:numRef>
          </c:cat>
          <c:val>
            <c:numRef>
              <c:f>'Graphs et calculs'!$W$22:$W$24</c:f>
              <c:numCache>
                <c:formatCode>0%</c:formatCode>
                <c:ptCount val="3"/>
                <c:pt idx="0">
                  <c:v>0.32</c:v>
                </c:pt>
                <c:pt idx="1">
                  <c:v>0.41</c:v>
                </c:pt>
                <c:pt idx="2">
                  <c:v>0.47</c:v>
                </c:pt>
              </c:numCache>
            </c:numRef>
          </c:val>
          <c:extLst>
            <c:ext xmlns:c16="http://schemas.microsoft.com/office/drawing/2014/chart" uri="{C3380CC4-5D6E-409C-BE32-E72D297353CC}">
              <c16:uniqueId val="{00000000-9DE9-4923-8650-424CE4983EEC}"/>
            </c:ext>
          </c:extLst>
        </c:ser>
        <c:dLbls>
          <c:showLegendKey val="0"/>
          <c:showVal val="0"/>
          <c:showCatName val="0"/>
          <c:showSerName val="0"/>
          <c:showPercent val="0"/>
          <c:showBubbleSize val="0"/>
        </c:dLbls>
        <c:gapWidth val="219"/>
        <c:overlap val="-27"/>
        <c:axId val="273868319"/>
        <c:axId val="273880799"/>
      </c:barChart>
      <c:catAx>
        <c:axId val="2738683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273880799"/>
        <c:crosses val="autoZero"/>
        <c:auto val="1"/>
        <c:lblAlgn val="ctr"/>
        <c:lblOffset val="100"/>
        <c:noMultiLvlLbl val="0"/>
      </c:catAx>
      <c:valAx>
        <c:axId val="273880799"/>
        <c:scaling>
          <c:orientation val="minMax"/>
        </c:scaling>
        <c:delete val="1"/>
        <c:axPos val="l"/>
        <c:numFmt formatCode="0%" sourceLinked="1"/>
        <c:majorTickMark val="none"/>
        <c:minorTickMark val="none"/>
        <c:tickLblPos val="nextTo"/>
        <c:crossAx val="273868319"/>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baseline="0">
                <a:solidFill>
                  <a:sysClr val="windowText" lastClr="000000"/>
                </a:solidFill>
                <a:latin typeface="+mn-lt"/>
                <a:ea typeface="+mn-ea"/>
                <a:cs typeface="+mn-cs"/>
              </a:defRPr>
            </a:pPr>
            <a:r>
              <a:rPr lang="fr-FR" sz="1100" b="1" i="0" baseline="0">
                <a:solidFill>
                  <a:sysClr val="windowText" lastClr="000000"/>
                </a:solidFill>
                <a:effectLst/>
              </a:rPr>
              <a:t>Décomposition des investissements durables (M€)</a:t>
            </a:r>
            <a:endParaRPr lang="fr-FR" sz="1100">
              <a:solidFill>
                <a:sysClr val="windowText" lastClr="000000"/>
              </a:solidFill>
              <a:effectLst/>
            </a:endParaRPr>
          </a:p>
        </c:rich>
      </c:tx>
      <c:layout>
        <c:manualLayout>
          <c:xMode val="edge"/>
          <c:yMode val="edge"/>
          <c:x val="0.32306129542716661"/>
          <c:y val="1.3424170120899671E-2"/>
        </c:manualLayout>
      </c:layout>
      <c:overlay val="0"/>
      <c:spPr>
        <a:noFill/>
        <a:ln>
          <a:noFill/>
        </a:ln>
        <a:effectLst/>
      </c:spPr>
      <c:txPr>
        <a:bodyPr rot="0" spcFirstLastPara="1" vertOverflow="ellipsis" vert="horz" wrap="square" anchor="ctr" anchorCtr="1"/>
        <a:lstStyle/>
        <a:p>
          <a:pPr>
            <a:defRPr sz="1100" b="0" i="0" u="none" strike="noStrike" baseline="0">
              <a:solidFill>
                <a:sysClr val="windowText" lastClr="000000"/>
              </a:solidFill>
              <a:latin typeface="+mn-lt"/>
              <a:ea typeface="+mn-ea"/>
              <a:cs typeface="+mn-cs"/>
            </a:defRPr>
          </a:pPr>
          <a:endParaRPr lang="fr-FR"/>
        </a:p>
      </c:txPr>
    </c:title>
    <c:autoTitleDeleted val="0"/>
    <c:plotArea>
      <c:layout>
        <c:manualLayout>
          <c:layoutTarget val="inner"/>
          <c:xMode val="edge"/>
          <c:yMode val="edge"/>
          <c:x val="8.576305244500898E-2"/>
          <c:y val="6.9185212914621534E-3"/>
          <c:w val="0.85910229107070946"/>
          <c:h val="0.72952964885851301"/>
        </c:manualLayout>
      </c:layout>
      <c:barChart>
        <c:barDir val="col"/>
        <c:grouping val="stacked"/>
        <c:varyColors val="0"/>
        <c:ser>
          <c:idx val="10"/>
          <c:order val="0"/>
          <c:tx>
            <c:strRef>
              <c:f>'Vue Entités'!$X$35</c:f>
              <c:strCache>
                <c:ptCount val="1"/>
                <c:pt idx="0">
                  <c:v>Base Achats</c:v>
                </c:pt>
              </c:strCache>
            </c:strRef>
          </c:tx>
          <c:spPr>
            <a:noFill/>
            <a:ln>
              <a:noFill/>
            </a:ln>
            <a:effectLst/>
          </c:spPr>
          <c:invertIfNegative val="0"/>
          <c:dLbls>
            <c:delete val="1"/>
          </c:dLbls>
          <c:cat>
            <c:strRef>
              <c:f>('Vue Entités'!$Y$26:$Z$26,'Vue Entités'!$AB$26:$AD$26)</c:f>
              <c:strCache>
                <c:ptCount val="5"/>
                <c:pt idx="0">
                  <c:v>31/12/2024</c:v>
                </c:pt>
                <c:pt idx="1">
                  <c:v>Achat</c:v>
                </c:pt>
                <c:pt idx="2">
                  <c:v>Vente</c:v>
                </c:pt>
                <c:pt idx="3">
                  <c:v>Mtm</c:v>
                </c:pt>
                <c:pt idx="4">
                  <c:v>31/12/2025</c:v>
                </c:pt>
              </c:strCache>
              <c:extLst/>
            </c:strRef>
          </c:cat>
          <c:val>
            <c:numRef>
              <c:f>('Vue Entités'!$Y$35:$Z$35,'Vue Entités'!$AB$35:$AD$35)</c:f>
              <c:numCache>
                <c:formatCode>#\ ##0\ \ ;\(#\ ##0\ \ \)</c:formatCode>
                <c:ptCount val="5"/>
                <c:pt idx="1">
                  <c:v>3774378963.7302952</c:v>
                </c:pt>
                <c:pt idx="2">
                  <c:v>3962290582.6427107</c:v>
                </c:pt>
                <c:pt idx="3">
                  <c:v>3572235230.6511192</c:v>
                </c:pt>
              </c:numCache>
              <c:extLst/>
            </c:numRef>
          </c:val>
          <c:extLst>
            <c:ext xmlns:c16="http://schemas.microsoft.com/office/drawing/2014/chart" uri="{C3380CC4-5D6E-409C-BE32-E72D297353CC}">
              <c16:uniqueId val="{00000000-AD77-46D5-BE57-EA91716DD2E4}"/>
            </c:ext>
          </c:extLst>
        </c:ser>
        <c:ser>
          <c:idx val="1"/>
          <c:order val="1"/>
          <c:tx>
            <c:strRef>
              <c:f>'Vue Entités'!$X$27</c:f>
              <c:strCache>
                <c:ptCount val="1"/>
                <c:pt idx="0">
                  <c:v>Fonds actions ou obligations cotées</c:v>
                </c:pt>
              </c:strCache>
            </c:strRef>
          </c:tx>
          <c:spPr>
            <a:solidFill>
              <a:schemeClr val="tx2">
                <a:lumMod val="75000"/>
              </a:schemeClr>
            </a:solidFill>
            <a:ln>
              <a:noFill/>
            </a:ln>
            <a:effectLst/>
          </c:spPr>
          <c:invertIfNegative val="0"/>
          <c:dLbls>
            <c:delete val="1"/>
          </c:dLbls>
          <c:cat>
            <c:strRef>
              <c:f>('Vue Entités'!$Y$26:$Z$26,'Vue Entités'!$AB$26:$AD$26)</c:f>
              <c:strCache>
                <c:ptCount val="5"/>
                <c:pt idx="0">
                  <c:v>31/12/2024</c:v>
                </c:pt>
                <c:pt idx="1">
                  <c:v>Achat</c:v>
                </c:pt>
                <c:pt idx="2">
                  <c:v>Vente</c:v>
                </c:pt>
                <c:pt idx="3">
                  <c:v>Mtm</c:v>
                </c:pt>
                <c:pt idx="4">
                  <c:v>31/12/2025</c:v>
                </c:pt>
              </c:strCache>
              <c:extLst/>
            </c:strRef>
          </c:cat>
          <c:val>
            <c:numRef>
              <c:f>('Vue Entités'!$Y$27:$Z$27,'Vue Entités'!$AB$27:$AD$27)</c:f>
              <c:numCache>
                <c:formatCode>General</c:formatCode>
                <c:ptCount val="5"/>
                <c:pt idx="0" formatCode="#\ ##0\ \ ;\(#\ ##0\ \ \)">
                  <c:v>102414199.243304</c:v>
                </c:pt>
                <c:pt idx="4" formatCode="#\ ##0\ \ ;\(#\ ##0\ \ \)">
                  <c:v>126027997.73531701</c:v>
                </c:pt>
              </c:numCache>
              <c:extLst/>
            </c:numRef>
          </c:val>
          <c:extLst>
            <c:ext xmlns:c16="http://schemas.microsoft.com/office/drawing/2014/chart" uri="{C3380CC4-5D6E-409C-BE32-E72D297353CC}">
              <c16:uniqueId val="{00000001-AD77-46D5-BE57-EA91716DD2E4}"/>
            </c:ext>
          </c:extLst>
        </c:ser>
        <c:ser>
          <c:idx val="7"/>
          <c:order val="2"/>
          <c:tx>
            <c:strRef>
              <c:f>'Vue Entités'!$X$28</c:f>
              <c:strCache>
                <c:ptCount val="1"/>
                <c:pt idx="0">
                  <c:v>Obligations cotées</c:v>
                </c:pt>
              </c:strCache>
            </c:strRef>
          </c:tx>
          <c:spPr>
            <a:solidFill>
              <a:srgbClr val="FFD400"/>
            </a:solidFill>
            <a:ln>
              <a:noFill/>
            </a:ln>
            <a:effectLst/>
          </c:spPr>
          <c:invertIfNegative val="0"/>
          <c:dLbls>
            <c:delete val="1"/>
          </c:dLbls>
          <c:cat>
            <c:strRef>
              <c:f>('Vue Entités'!$Y$26:$Z$26,'Vue Entités'!$AB$26:$AD$26)</c:f>
              <c:strCache>
                <c:ptCount val="5"/>
                <c:pt idx="0">
                  <c:v>31/12/2024</c:v>
                </c:pt>
                <c:pt idx="1">
                  <c:v>Achat</c:v>
                </c:pt>
                <c:pt idx="2">
                  <c:v>Vente</c:v>
                </c:pt>
                <c:pt idx="3">
                  <c:v>Mtm</c:v>
                </c:pt>
                <c:pt idx="4">
                  <c:v>31/12/2025</c:v>
                </c:pt>
              </c:strCache>
              <c:extLst/>
            </c:strRef>
          </c:cat>
          <c:val>
            <c:numRef>
              <c:f>('Vue Entités'!$Y$28:$Z$28,'Vue Entités'!$AB$28:$AD$28)</c:f>
              <c:numCache>
                <c:formatCode>General</c:formatCode>
                <c:ptCount val="5"/>
                <c:pt idx="0" formatCode="#\ ##0\ \ ;\(#\ ##0\ \ \)">
                  <c:v>2481846197.4400005</c:v>
                </c:pt>
                <c:pt idx="4" formatCode="#\ ##0\ \ ;\(#\ ##0\ \ \)">
                  <c:v>3099463528.1758075</c:v>
                </c:pt>
              </c:numCache>
              <c:extLst/>
            </c:numRef>
          </c:val>
          <c:extLst>
            <c:ext xmlns:c16="http://schemas.microsoft.com/office/drawing/2014/chart" uri="{C3380CC4-5D6E-409C-BE32-E72D297353CC}">
              <c16:uniqueId val="{00000002-AD77-46D5-BE57-EA91716DD2E4}"/>
            </c:ext>
          </c:extLst>
        </c:ser>
        <c:ser>
          <c:idx val="5"/>
          <c:order val="3"/>
          <c:tx>
            <c:strRef>
              <c:f>'Vue Entités'!$X$29</c:f>
              <c:strCache>
                <c:ptCount val="1"/>
                <c:pt idx="0">
                  <c:v>Dette privée</c:v>
                </c:pt>
              </c:strCache>
            </c:strRef>
          </c:tx>
          <c:spPr>
            <a:solidFill>
              <a:srgbClr val="4CA79F"/>
            </a:solidFill>
            <a:ln>
              <a:noFill/>
            </a:ln>
            <a:effectLst/>
          </c:spPr>
          <c:invertIfNegative val="0"/>
          <c:dLbls>
            <c:delete val="1"/>
          </c:dLbls>
          <c:cat>
            <c:strRef>
              <c:f>('Vue Entités'!$Y$26:$Z$26,'Vue Entités'!$AB$26:$AD$26)</c:f>
              <c:strCache>
                <c:ptCount val="5"/>
                <c:pt idx="0">
                  <c:v>31/12/2024</c:v>
                </c:pt>
                <c:pt idx="1">
                  <c:v>Achat</c:v>
                </c:pt>
                <c:pt idx="2">
                  <c:v>Vente</c:v>
                </c:pt>
                <c:pt idx="3">
                  <c:v>Mtm</c:v>
                </c:pt>
                <c:pt idx="4">
                  <c:v>31/12/2025</c:v>
                </c:pt>
              </c:strCache>
              <c:extLst/>
            </c:strRef>
          </c:cat>
          <c:val>
            <c:numRef>
              <c:f>('Vue Entités'!$Y$29:$Z$29,'Vue Entités'!$AB$29:$AD$29)</c:f>
              <c:numCache>
                <c:formatCode>General</c:formatCode>
                <c:ptCount val="5"/>
                <c:pt idx="0" formatCode="#\ ##0\ \ ;\(#\ ##0\ \ \)">
                  <c:v>164193528.70811197</c:v>
                </c:pt>
                <c:pt idx="4" formatCode="#\ ##0\ \ ;\(#\ ##0\ \ \)">
                  <c:v>3430675.68</c:v>
                </c:pt>
              </c:numCache>
              <c:extLst/>
            </c:numRef>
          </c:val>
          <c:extLst>
            <c:ext xmlns:c16="http://schemas.microsoft.com/office/drawing/2014/chart" uri="{C3380CC4-5D6E-409C-BE32-E72D297353CC}">
              <c16:uniqueId val="{00000003-AD77-46D5-BE57-EA91716DD2E4}"/>
            </c:ext>
          </c:extLst>
        </c:ser>
        <c:ser>
          <c:idx val="0"/>
          <c:order val="4"/>
          <c:tx>
            <c:strRef>
              <c:f>'Vue Entités'!$X$30</c:f>
              <c:strCache>
                <c:ptCount val="1"/>
                <c:pt idx="0">
                  <c:v>Fonds private equity / infrastructure equity</c:v>
                </c:pt>
              </c:strCache>
            </c:strRef>
          </c:tx>
          <c:spPr>
            <a:solidFill>
              <a:schemeClr val="accent6">
                <a:lumMod val="75000"/>
              </a:schemeClr>
            </a:solidFill>
            <a:ln>
              <a:noFill/>
            </a:ln>
            <a:effectLst/>
          </c:spPr>
          <c:invertIfNegative val="0"/>
          <c:dLbls>
            <c:delete val="1"/>
          </c:dLbls>
          <c:cat>
            <c:strRef>
              <c:f>('Vue Entités'!$Y$26:$Z$26,'Vue Entités'!$AB$26:$AD$26)</c:f>
              <c:strCache>
                <c:ptCount val="5"/>
                <c:pt idx="0">
                  <c:v>31/12/2024</c:v>
                </c:pt>
                <c:pt idx="1">
                  <c:v>Achat</c:v>
                </c:pt>
                <c:pt idx="2">
                  <c:v>Vente</c:v>
                </c:pt>
                <c:pt idx="3">
                  <c:v>Mtm</c:v>
                </c:pt>
                <c:pt idx="4">
                  <c:v>31/12/2025</c:v>
                </c:pt>
              </c:strCache>
              <c:extLst/>
            </c:strRef>
          </c:cat>
          <c:val>
            <c:numRef>
              <c:f>('Vue Entités'!$Y$30:$Z$30,'Vue Entités'!$AB$30:$AD$30)</c:f>
              <c:numCache>
                <c:formatCode>General</c:formatCode>
                <c:ptCount val="5"/>
                <c:pt idx="0" formatCode="#\ ##0\ \ ;\(#\ ##0\ \ \)">
                  <c:v>218735924.09</c:v>
                </c:pt>
                <c:pt idx="4" formatCode="#\ ##0\ \ ;\(#\ ##0\ \ \)">
                  <c:v>214807583.91158563</c:v>
                </c:pt>
              </c:numCache>
              <c:extLst/>
            </c:numRef>
          </c:val>
          <c:extLst>
            <c:ext xmlns:c16="http://schemas.microsoft.com/office/drawing/2014/chart" uri="{C3380CC4-5D6E-409C-BE32-E72D297353CC}">
              <c16:uniqueId val="{00000004-AD77-46D5-BE57-EA91716DD2E4}"/>
            </c:ext>
          </c:extLst>
        </c:ser>
        <c:ser>
          <c:idx val="4"/>
          <c:order val="5"/>
          <c:tx>
            <c:strRef>
              <c:f>'Vue Entités'!$X$31</c:f>
              <c:strCache>
                <c:ptCount val="1"/>
                <c:pt idx="0">
                  <c:v>Dette infrastructure</c:v>
                </c:pt>
              </c:strCache>
            </c:strRef>
          </c:tx>
          <c:spPr>
            <a:solidFill>
              <a:schemeClr val="accent6">
                <a:lumMod val="75000"/>
                <a:alpha val="50196"/>
              </a:schemeClr>
            </a:solidFill>
            <a:ln>
              <a:noFill/>
            </a:ln>
            <a:effectLst/>
          </c:spPr>
          <c:invertIfNegative val="0"/>
          <c:dPt>
            <c:idx val="3"/>
            <c:invertIfNegative val="0"/>
            <c:bubble3D val="0"/>
            <c:spPr>
              <a:solidFill>
                <a:schemeClr val="accent6">
                  <a:lumMod val="75000"/>
                  <a:alpha val="50196"/>
                </a:schemeClr>
              </a:solidFill>
              <a:ln>
                <a:noFill/>
              </a:ln>
              <a:effectLst/>
            </c:spPr>
            <c:extLst>
              <c:ext xmlns:c16="http://schemas.microsoft.com/office/drawing/2014/chart" uri="{C3380CC4-5D6E-409C-BE32-E72D297353CC}">
                <c16:uniqueId val="{00000006-AD77-46D5-BE57-EA91716DD2E4}"/>
              </c:ext>
            </c:extLst>
          </c:dPt>
          <c:dLbls>
            <c:delete val="1"/>
          </c:dLbls>
          <c:cat>
            <c:strRef>
              <c:f>('Vue Entités'!$Y$26:$Z$26,'Vue Entités'!$AB$26:$AD$26)</c:f>
              <c:strCache>
                <c:ptCount val="5"/>
                <c:pt idx="0">
                  <c:v>31/12/2024</c:v>
                </c:pt>
                <c:pt idx="1">
                  <c:v>Achat</c:v>
                </c:pt>
                <c:pt idx="2">
                  <c:v>Vente</c:v>
                </c:pt>
                <c:pt idx="3">
                  <c:v>Mtm</c:v>
                </c:pt>
                <c:pt idx="4">
                  <c:v>31/12/2025</c:v>
                </c:pt>
              </c:strCache>
              <c:extLst/>
            </c:strRef>
          </c:cat>
          <c:val>
            <c:numRef>
              <c:f>('Vue Entités'!$Y$31:$Z$31,'Vue Entités'!$AB$31:$AD$31)</c:f>
              <c:numCache>
                <c:formatCode>General</c:formatCode>
                <c:ptCount val="5"/>
                <c:pt idx="0" formatCode="#\ ##0\ \ ;\(#\ ##0\ \ \)">
                  <c:v>84148679.995921791</c:v>
                </c:pt>
                <c:pt idx="4" formatCode="#\ ##0\ \ ;\(#\ ##0\ \ \)">
                  <c:v>75006205.633305758</c:v>
                </c:pt>
              </c:numCache>
              <c:extLst/>
            </c:numRef>
          </c:val>
          <c:extLst>
            <c:ext xmlns:c16="http://schemas.microsoft.com/office/drawing/2014/chart" uri="{C3380CC4-5D6E-409C-BE32-E72D297353CC}">
              <c16:uniqueId val="{00000007-AD77-46D5-BE57-EA91716DD2E4}"/>
            </c:ext>
          </c:extLst>
        </c:ser>
        <c:ser>
          <c:idx val="6"/>
          <c:order val="6"/>
          <c:tx>
            <c:strRef>
              <c:f>'Vue Entités'!$X$32</c:f>
              <c:strCache>
                <c:ptCount val="1"/>
                <c:pt idx="0">
                  <c:v>Dette immobilière</c:v>
                </c:pt>
              </c:strCache>
            </c:strRef>
          </c:tx>
          <c:spPr>
            <a:solidFill>
              <a:schemeClr val="accent3">
                <a:lumMod val="50000"/>
              </a:schemeClr>
            </a:solidFill>
            <a:ln>
              <a:noFill/>
            </a:ln>
            <a:effectLst/>
          </c:spPr>
          <c:invertIfNegative val="0"/>
          <c:dLbls>
            <c:delete val="1"/>
          </c:dLbls>
          <c:cat>
            <c:strRef>
              <c:f>('Vue Entités'!$Y$26:$Z$26,'Vue Entités'!$AB$26:$AD$26)</c:f>
              <c:strCache>
                <c:ptCount val="5"/>
                <c:pt idx="0">
                  <c:v>31/12/2024</c:v>
                </c:pt>
                <c:pt idx="1">
                  <c:v>Achat</c:v>
                </c:pt>
                <c:pt idx="2">
                  <c:v>Vente</c:v>
                </c:pt>
                <c:pt idx="3">
                  <c:v>Mtm</c:v>
                </c:pt>
                <c:pt idx="4">
                  <c:v>31/12/2025</c:v>
                </c:pt>
              </c:strCache>
              <c:extLst/>
            </c:strRef>
          </c:cat>
          <c:val>
            <c:numRef>
              <c:f>('Vue Entités'!$Y$32:$Z$32,'Vue Entités'!$AB$32:$AD$32)</c:f>
              <c:numCache>
                <c:formatCode>General</c:formatCode>
                <c:ptCount val="5"/>
                <c:pt idx="0" formatCode="#\ ##0\ \ ;\(#\ ##0\ \ \)">
                  <c:v>214586387.19382429</c:v>
                </c:pt>
                <c:pt idx="4" formatCode="#\ ##0\ \ ;\(#\ ##0\ \ \)">
                  <c:v>0</c:v>
                </c:pt>
              </c:numCache>
              <c:extLst/>
            </c:numRef>
          </c:val>
          <c:extLst>
            <c:ext xmlns:c16="http://schemas.microsoft.com/office/drawing/2014/chart" uri="{C3380CC4-5D6E-409C-BE32-E72D297353CC}">
              <c16:uniqueId val="{00000008-AD77-46D5-BE57-EA91716DD2E4}"/>
            </c:ext>
          </c:extLst>
        </c:ser>
        <c:ser>
          <c:idx val="2"/>
          <c:order val="7"/>
          <c:tx>
            <c:strRef>
              <c:f>'Vue Entités'!$X$33</c:f>
              <c:strCache>
                <c:ptCount val="1"/>
                <c:pt idx="0">
                  <c:v>Equity immobilier</c:v>
                </c:pt>
              </c:strCache>
            </c:strRef>
          </c:tx>
          <c:spPr>
            <a:solidFill>
              <a:schemeClr val="accent3">
                <a:lumMod val="90000"/>
              </a:schemeClr>
            </a:solidFill>
            <a:ln>
              <a:noFill/>
            </a:ln>
            <a:effectLst/>
          </c:spPr>
          <c:invertIfNegative val="0"/>
          <c:dLbls>
            <c:delete val="1"/>
          </c:dLbls>
          <c:cat>
            <c:strRef>
              <c:f>('Vue Entités'!$Y$26:$Z$26,'Vue Entités'!$AB$26:$AD$26)</c:f>
              <c:strCache>
                <c:ptCount val="5"/>
                <c:pt idx="0">
                  <c:v>31/12/2024</c:v>
                </c:pt>
                <c:pt idx="1">
                  <c:v>Achat</c:v>
                </c:pt>
                <c:pt idx="2">
                  <c:v>Vente</c:v>
                </c:pt>
                <c:pt idx="3">
                  <c:v>Mtm</c:v>
                </c:pt>
                <c:pt idx="4">
                  <c:v>31/12/2025</c:v>
                </c:pt>
              </c:strCache>
              <c:extLst/>
            </c:strRef>
          </c:cat>
          <c:val>
            <c:numRef>
              <c:f>('Vue Entités'!$Y$33:$Z$33,'Vue Entités'!$AB$33:$AD$33)</c:f>
              <c:numCache>
                <c:formatCode>General</c:formatCode>
                <c:ptCount val="5"/>
                <c:pt idx="0" formatCode="#\ ##0\ \ ;\(#\ ##0\ \ \)">
                  <c:v>508454047.05913287</c:v>
                </c:pt>
                <c:pt idx="4" formatCode="#\ ##0\ \ ;\(#\ ##0\ \ \)">
                  <c:v>53499239.5151034</c:v>
                </c:pt>
              </c:numCache>
              <c:extLst/>
            </c:numRef>
          </c:val>
          <c:extLst>
            <c:ext xmlns:c16="http://schemas.microsoft.com/office/drawing/2014/chart" uri="{C3380CC4-5D6E-409C-BE32-E72D297353CC}">
              <c16:uniqueId val="{00000009-AD77-46D5-BE57-EA91716DD2E4}"/>
            </c:ext>
          </c:extLst>
        </c:ser>
        <c:ser>
          <c:idx val="3"/>
          <c:order val="8"/>
          <c:tx>
            <c:strRef>
              <c:f>'Vue Entités'!$X$34</c:f>
              <c:strCache>
                <c:ptCount val="1"/>
                <c:pt idx="0">
                  <c:v>Somme positives</c:v>
                </c:pt>
              </c:strCache>
            </c:strRef>
          </c:tx>
          <c:spPr>
            <a:solidFill>
              <a:schemeClr val="tx1">
                <a:lumMod val="50000"/>
                <a:lumOff val="50000"/>
              </a:schemeClr>
            </a:solidFill>
            <a:ln>
              <a:noFill/>
            </a:ln>
            <a:effectLst/>
          </c:spPr>
          <c:invertIfNegative val="0"/>
          <c:dPt>
            <c:idx val="1"/>
            <c:invertIfNegative val="0"/>
            <c:bubble3D val="0"/>
            <c:spPr>
              <a:solidFill>
                <a:schemeClr val="accent6"/>
              </a:solidFill>
              <a:ln>
                <a:noFill/>
              </a:ln>
              <a:effectLst/>
            </c:spPr>
            <c:extLst>
              <c:ext xmlns:c16="http://schemas.microsoft.com/office/drawing/2014/chart" uri="{C3380CC4-5D6E-409C-BE32-E72D297353CC}">
                <c16:uniqueId val="{0000000B-AD77-46D5-BE57-EA91716DD2E4}"/>
              </c:ext>
            </c:extLst>
          </c:dPt>
          <c:dPt>
            <c:idx val="2"/>
            <c:invertIfNegative val="0"/>
            <c:bubble3D val="0"/>
            <c:spPr>
              <a:solidFill>
                <a:srgbClr val="FF0000"/>
              </a:solidFill>
              <a:ln>
                <a:noFill/>
              </a:ln>
              <a:effectLst/>
            </c:spPr>
            <c:extLst>
              <c:ext xmlns:c16="http://schemas.microsoft.com/office/drawing/2014/chart" uri="{C3380CC4-5D6E-409C-BE32-E72D297353CC}">
                <c16:uniqueId val="{0000000D-AD77-46D5-BE57-EA91716DD2E4}"/>
              </c:ext>
            </c:extLst>
          </c:dPt>
          <c:dPt>
            <c:idx val="3"/>
            <c:invertIfNegative val="0"/>
            <c:bubble3D val="0"/>
            <c:spPr>
              <a:solidFill>
                <a:srgbClr val="FF0000"/>
              </a:solidFill>
              <a:ln>
                <a:solidFill>
                  <a:srgbClr val="FF0000"/>
                </a:solidFill>
              </a:ln>
              <a:effectLst/>
            </c:spPr>
            <c:extLst>
              <c:ext xmlns:c16="http://schemas.microsoft.com/office/drawing/2014/chart" uri="{C3380CC4-5D6E-409C-BE32-E72D297353CC}">
                <c16:uniqueId val="{0000000F-AD77-46D5-BE57-EA91716DD2E4}"/>
              </c:ext>
            </c:extLst>
          </c:dPt>
          <c:dLbls>
            <c:delete val="1"/>
          </c:dLbls>
          <c:cat>
            <c:strRef>
              <c:f>('Vue Entités'!$Y$26:$Z$26,'Vue Entités'!$AB$26:$AD$26)</c:f>
              <c:strCache>
                <c:ptCount val="5"/>
                <c:pt idx="0">
                  <c:v>31/12/2024</c:v>
                </c:pt>
                <c:pt idx="1">
                  <c:v>Achat</c:v>
                </c:pt>
                <c:pt idx="2">
                  <c:v>Vente</c:v>
                </c:pt>
                <c:pt idx="3">
                  <c:v>Mtm</c:v>
                </c:pt>
                <c:pt idx="4">
                  <c:v>31/12/2025</c:v>
                </c:pt>
              </c:strCache>
              <c:extLst/>
            </c:strRef>
          </c:cat>
          <c:val>
            <c:numRef>
              <c:f>('Vue Entités'!$Y$34:$Z$34,'Vue Entités'!$AB$34:$AD$34)</c:f>
              <c:numCache>
                <c:formatCode>#\ ##0\ \ ;\(#\ ##0\ \ \)</c:formatCode>
                <c:ptCount val="5"/>
                <c:pt idx="1">
                  <c:v>313567606.322236</c:v>
                </c:pt>
                <c:pt idx="2">
                  <c:v>125655987.40982066</c:v>
                </c:pt>
                <c:pt idx="3">
                  <c:v>390055351.99159145</c:v>
                </c:pt>
                <c:pt idx="4">
                  <c:v>0</c:v>
                </c:pt>
              </c:numCache>
              <c:extLst/>
            </c:numRef>
          </c:val>
          <c:extLst>
            <c:ext xmlns:c16="http://schemas.microsoft.com/office/drawing/2014/chart" uri="{C3380CC4-5D6E-409C-BE32-E72D297353CC}">
              <c16:uniqueId val="{00000010-AD77-46D5-BE57-EA91716DD2E4}"/>
            </c:ext>
          </c:extLst>
        </c:ser>
        <c:dLbls>
          <c:dLblPos val="inEnd"/>
          <c:showLegendKey val="0"/>
          <c:showVal val="1"/>
          <c:showCatName val="0"/>
          <c:showSerName val="0"/>
          <c:showPercent val="0"/>
          <c:showBubbleSize val="0"/>
        </c:dLbls>
        <c:gapWidth val="12"/>
        <c:overlap val="100"/>
        <c:axId val="1208598712"/>
        <c:axId val="1208586248"/>
      </c:barChart>
      <c:catAx>
        <c:axId val="1208598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baseline="0">
                <a:solidFill>
                  <a:sysClr val="windowText" lastClr="000000"/>
                </a:solidFill>
                <a:latin typeface="+mn-lt"/>
                <a:ea typeface="+mn-ea"/>
                <a:cs typeface="+mn-cs"/>
              </a:defRPr>
            </a:pPr>
            <a:endParaRPr lang="fr-FR"/>
          </a:p>
        </c:txPr>
        <c:crossAx val="1208586248"/>
        <c:crosses val="autoZero"/>
        <c:auto val="1"/>
        <c:lblAlgn val="ctr"/>
        <c:lblOffset val="100"/>
        <c:noMultiLvlLbl val="0"/>
      </c:catAx>
      <c:valAx>
        <c:axId val="1208586248"/>
        <c:scaling>
          <c:orientation val="minMax"/>
        </c:scaling>
        <c:delete val="1"/>
        <c:axPos val="l"/>
        <c:numFmt formatCode="#\ ##0\ \ ;\(#\ ##0\ \ \)" sourceLinked="1"/>
        <c:majorTickMark val="none"/>
        <c:minorTickMark val="none"/>
        <c:tickLblPos val="nextTo"/>
        <c:crossAx val="1208598712"/>
        <c:crosses val="autoZero"/>
        <c:crossBetween val="between"/>
      </c:valAx>
      <c:spPr>
        <a:noFill/>
        <a:ln>
          <a:noFill/>
        </a:ln>
        <a:effectLst/>
      </c:spPr>
    </c:plotArea>
    <c:legend>
      <c:legendPos val="b"/>
      <c:legendEntry>
        <c:idx val="0"/>
        <c:delete val="1"/>
      </c:legendEntry>
      <c:legendEntry>
        <c:idx val="8"/>
        <c:delete val="1"/>
      </c:legendEntry>
      <c:layout>
        <c:manualLayout>
          <c:xMode val="edge"/>
          <c:yMode val="edge"/>
          <c:x val="5.2445974114409946E-2"/>
          <c:y val="0.82986347223559886"/>
          <c:w val="0.90171887589799216"/>
          <c:h val="0.1389148650441312"/>
        </c:manualLayout>
      </c:layout>
      <c:overlay val="0"/>
      <c:spPr>
        <a:noFill/>
        <a:ln>
          <a:noFill/>
        </a:ln>
        <a:effectLst/>
      </c:spPr>
      <c:txPr>
        <a:bodyPr rot="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a:pPr>
      <a:endParaRPr lang="fr-FR"/>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400" b="1" i="0" u="none" strike="noStrike" kern="1200" spc="0" baseline="0">
                <a:solidFill>
                  <a:sysClr val="windowText" lastClr="000000"/>
                </a:solidFill>
              </a:rPr>
              <a:t>Répartition des votes par thématiques E.S.G</a:t>
            </a:r>
          </a:p>
        </c:rich>
      </c:tx>
      <c:layout>
        <c:manualLayout>
          <c:xMode val="edge"/>
          <c:yMode val="edge"/>
          <c:x val="1.6301561773314008E-4"/>
          <c:y val="2.468526289804986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fr-FR"/>
        </a:p>
      </c:txPr>
    </c:title>
    <c:autoTitleDeleted val="0"/>
    <c:plotArea>
      <c:layout/>
      <c:barChart>
        <c:barDir val="bar"/>
        <c:grouping val="clustered"/>
        <c:varyColors val="0"/>
        <c:ser>
          <c:idx val="0"/>
          <c:order val="0"/>
          <c:tx>
            <c:strRef>
              <c:f>Feuil1!$B$1</c:f>
              <c:strCache>
                <c:ptCount val="1"/>
                <c:pt idx="0">
                  <c:v>Sujets environnementaux</c:v>
                </c:pt>
              </c:strCache>
            </c:strRef>
          </c:tx>
          <c:spPr>
            <a:solidFill>
              <a:schemeClr val="accent1"/>
            </a:solidFill>
            <a:ln>
              <a:noFill/>
            </a:ln>
            <a:effectLst/>
          </c:spPr>
          <c:invertIfNegative val="0"/>
          <c:dLbls>
            <c:dLbl>
              <c:idx val="0"/>
              <c:layout>
                <c:manualLayout>
                  <c:x val="2.2131238242779684E-3"/>
                  <c:y val="-4.4744468654584472E-4"/>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fr-FR"/>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D72-4344-97C2-C3E8B13D417F}"/>
                </c:ext>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Feuil1!$A$2</c:f>
              <c:numCache>
                <c:formatCode>General</c:formatCode>
                <c:ptCount val="1"/>
              </c:numCache>
            </c:numRef>
          </c:cat>
          <c:val>
            <c:numRef>
              <c:f>Feuil1!$B$2</c:f>
              <c:numCache>
                <c:formatCode>General</c:formatCode>
                <c:ptCount val="1"/>
                <c:pt idx="0">
                  <c:v>52</c:v>
                </c:pt>
              </c:numCache>
            </c:numRef>
          </c:val>
          <c:extLst>
            <c:ext xmlns:c16="http://schemas.microsoft.com/office/drawing/2014/chart" uri="{C3380CC4-5D6E-409C-BE32-E72D297353CC}">
              <c16:uniqueId val="{00000001-4D72-4344-97C2-C3E8B13D417F}"/>
            </c:ext>
          </c:extLst>
        </c:ser>
        <c:ser>
          <c:idx val="1"/>
          <c:order val="1"/>
          <c:tx>
            <c:strRef>
              <c:f>Feuil1!$C$1</c:f>
              <c:strCache>
                <c:ptCount val="1"/>
                <c:pt idx="0">
                  <c:v>Sujets sociaux</c:v>
                </c:pt>
              </c:strCache>
            </c:strRef>
          </c:tx>
          <c:spPr>
            <a:solidFill>
              <a:schemeClr val="accent2"/>
            </a:solidFill>
            <a:ln>
              <a:noFill/>
            </a:ln>
            <a:effectLst/>
          </c:spPr>
          <c:invertIfNegative val="0"/>
          <c:dLbls>
            <c:dLbl>
              <c:idx val="0"/>
              <c:layout>
                <c:manualLayout>
                  <c:x val="6.639371472833824E-3"/>
                  <c:y val="-3.560509021783377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D72-4344-97C2-C3E8B13D417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Feuil1!$A$2</c:f>
              <c:numCache>
                <c:formatCode>General</c:formatCode>
                <c:ptCount val="1"/>
              </c:numCache>
            </c:numRef>
          </c:cat>
          <c:val>
            <c:numRef>
              <c:f>Feuil1!$C$2</c:f>
              <c:numCache>
                <c:formatCode>General</c:formatCode>
                <c:ptCount val="1"/>
                <c:pt idx="0">
                  <c:v>149</c:v>
                </c:pt>
              </c:numCache>
            </c:numRef>
          </c:val>
          <c:extLst>
            <c:ext xmlns:c16="http://schemas.microsoft.com/office/drawing/2014/chart" uri="{C3380CC4-5D6E-409C-BE32-E72D297353CC}">
              <c16:uniqueId val="{00000003-4D72-4344-97C2-C3E8B13D417F}"/>
            </c:ext>
          </c:extLst>
        </c:ser>
        <c:ser>
          <c:idx val="2"/>
          <c:order val="2"/>
          <c:tx>
            <c:strRef>
              <c:f>Feuil1!$D$1</c:f>
              <c:strCache>
                <c:ptCount val="1"/>
                <c:pt idx="0">
                  <c:v>Sujets de gouvernance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fr-F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Feuil1!$A$2</c:f>
              <c:numCache>
                <c:formatCode>General</c:formatCode>
                <c:ptCount val="1"/>
              </c:numCache>
            </c:numRef>
          </c:cat>
          <c:val>
            <c:numRef>
              <c:f>Feuil1!$D$2</c:f>
              <c:numCache>
                <c:formatCode>General</c:formatCode>
                <c:ptCount val="1"/>
                <c:pt idx="0">
                  <c:v>9392</c:v>
                </c:pt>
              </c:numCache>
            </c:numRef>
          </c:val>
          <c:extLst>
            <c:ext xmlns:c16="http://schemas.microsoft.com/office/drawing/2014/chart" uri="{C3380CC4-5D6E-409C-BE32-E72D297353CC}">
              <c16:uniqueId val="{00000004-4D72-4344-97C2-C3E8B13D417F}"/>
            </c:ext>
          </c:extLst>
        </c:ser>
        <c:dLbls>
          <c:dLblPos val="ctr"/>
          <c:showLegendKey val="0"/>
          <c:showVal val="1"/>
          <c:showCatName val="0"/>
          <c:showSerName val="0"/>
          <c:showPercent val="0"/>
          <c:showBubbleSize val="0"/>
        </c:dLbls>
        <c:gapWidth val="150"/>
        <c:axId val="941524192"/>
        <c:axId val="941527432"/>
      </c:barChart>
      <c:catAx>
        <c:axId val="9415241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fr-FR"/>
          </a:p>
        </c:txPr>
        <c:crossAx val="941527432"/>
        <c:crosses val="autoZero"/>
        <c:auto val="1"/>
        <c:lblAlgn val="ctr"/>
        <c:lblOffset val="100"/>
        <c:noMultiLvlLbl val="0"/>
      </c:catAx>
      <c:valAx>
        <c:axId val="9415274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fr-FR"/>
          </a:p>
        </c:txPr>
        <c:crossAx val="941524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lumMod val="85000"/>
        </a:schemeClr>
      </a:solidFill>
      <a:round/>
    </a:ln>
    <a:effectLst/>
  </c:spPr>
  <c:txPr>
    <a:bodyPr/>
    <a:lstStyle/>
    <a:p>
      <a:pPr>
        <a:defRPr/>
      </a:pPr>
      <a:endParaRPr lang="fr-F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r>
              <a:rPr lang="en-US" sz="1100" b="1">
                <a:solidFill>
                  <a:sysClr val="windowText" lastClr="000000"/>
                </a:solidFill>
              </a:rPr>
              <a:t>Empreinte carbone (Scope 1,2,3/M€ </a:t>
            </a:r>
            <a:r>
              <a:rPr lang="en-US" sz="1100" b="1" baseline="0">
                <a:solidFill>
                  <a:sysClr val="windowText" lastClr="000000"/>
                </a:solidFill>
              </a:rPr>
              <a:t>EVIC) du portefeuille d'investissements corporate Abeille Retraite Professionnelle </a:t>
            </a:r>
            <a:endParaRPr lang="en-US" sz="1100" b="1">
              <a:solidFill>
                <a:sysClr val="windowText" lastClr="000000"/>
              </a:solidFill>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ysClr val="windowText" lastClr="000000"/>
              </a:solidFill>
              <a:latin typeface="+mn-lt"/>
              <a:ea typeface="+mn-ea"/>
              <a:cs typeface="+mn-cs"/>
            </a:defRPr>
          </a:pPr>
          <a:endParaRPr lang="en-US"/>
        </a:p>
      </c:txPr>
    </c:title>
    <c:autoTitleDeleted val="0"/>
    <c:plotArea>
      <c:layout/>
      <c:barChart>
        <c:barDir val="bar"/>
        <c:grouping val="clustered"/>
        <c:varyColors val="0"/>
        <c:ser>
          <c:idx val="0"/>
          <c:order val="0"/>
          <c:tx>
            <c:strRef>
              <c:f>'XI - CSRD'!$C$27</c:f>
              <c:strCache>
                <c:ptCount val="1"/>
                <c:pt idx="0">
                  <c:v>Emissions scope 1+2+3 / EVIC (Teq CO2/million d'EUR) (*)</c:v>
                </c:pt>
              </c:strCache>
            </c:strRef>
          </c:tx>
          <c:spPr>
            <a:solidFill>
              <a:schemeClr val="accent1"/>
            </a:solidFill>
            <a:ln>
              <a:noFill/>
            </a:ln>
            <a:effectLst/>
          </c:spPr>
          <c:invertIfNegative val="0"/>
          <c:dPt>
            <c:idx val="0"/>
            <c:invertIfNegative val="0"/>
            <c:bubble3D val="0"/>
            <c:spPr>
              <a:solidFill>
                <a:schemeClr val="accent2"/>
              </a:solidFill>
              <a:ln>
                <a:noFill/>
              </a:ln>
              <a:effectLst/>
            </c:spPr>
            <c:extLst>
              <c:ext xmlns:c16="http://schemas.microsoft.com/office/drawing/2014/chart" uri="{C3380CC4-5D6E-409C-BE32-E72D297353CC}">
                <c16:uniqueId val="{00000001-C7EE-44E6-B2BB-D94EB18F8C92}"/>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'XI - CSRD'!$D$26:$E$26</c:f>
              <c:numCache>
                <c:formatCode>General</c:formatCode>
                <c:ptCount val="2"/>
                <c:pt idx="0">
                  <c:v>2025</c:v>
                </c:pt>
                <c:pt idx="1">
                  <c:v>2024</c:v>
                </c:pt>
              </c:numCache>
            </c:numRef>
          </c:cat>
          <c:val>
            <c:numRef>
              <c:f>'XI - CSRD'!$D$29:$E$29</c:f>
              <c:numCache>
                <c:formatCode>General</c:formatCode>
                <c:ptCount val="2"/>
                <c:pt idx="0">
                  <c:v>301</c:v>
                </c:pt>
                <c:pt idx="1">
                  <c:v>303</c:v>
                </c:pt>
              </c:numCache>
            </c:numRef>
          </c:val>
          <c:extLst>
            <c:ext xmlns:c16="http://schemas.microsoft.com/office/drawing/2014/chart" uri="{C3380CC4-5D6E-409C-BE32-E72D297353CC}">
              <c16:uniqueId val="{00000000-C7EE-44E6-B2BB-D94EB18F8C92}"/>
            </c:ext>
          </c:extLst>
        </c:ser>
        <c:dLbls>
          <c:showLegendKey val="0"/>
          <c:showVal val="0"/>
          <c:showCatName val="0"/>
          <c:showSerName val="0"/>
          <c:showPercent val="0"/>
          <c:showBubbleSize val="0"/>
        </c:dLbls>
        <c:gapWidth val="219"/>
        <c:axId val="1515293504"/>
        <c:axId val="1515292544"/>
      </c:barChart>
      <c:catAx>
        <c:axId val="15152935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1515292544"/>
        <c:crosses val="autoZero"/>
        <c:auto val="1"/>
        <c:lblAlgn val="ctr"/>
        <c:lblOffset val="100"/>
        <c:noMultiLvlLbl val="0"/>
      </c:catAx>
      <c:valAx>
        <c:axId val="1515292544"/>
        <c:scaling>
          <c:orientation val="minMax"/>
          <c:max val="320"/>
          <c:min val="250"/>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515293504"/>
        <c:crosses val="autoZero"/>
        <c:crossBetween val="between"/>
      </c:valAx>
      <c:spPr>
        <a:noFill/>
        <a:ln>
          <a:noFill/>
        </a:ln>
        <a:effectLst/>
      </c:spPr>
    </c:plotArea>
    <c:plotVisOnly val="1"/>
    <c:dispBlanksAs val="gap"/>
    <c:showDLblsOverMax val="0"/>
  </c:chart>
  <c:spPr>
    <a:solidFill>
      <a:srgbClr val="FFFFFF"/>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r>
              <a:rPr lang="en-US" sz="1100" b="1">
                <a:solidFill>
                  <a:schemeClr val="tx1"/>
                </a:solidFill>
              </a:rPr>
              <a:t>Répartition du</a:t>
            </a:r>
            <a:r>
              <a:rPr lang="en-US" sz="1100" b="1" baseline="0">
                <a:solidFill>
                  <a:schemeClr val="tx1"/>
                </a:solidFill>
              </a:rPr>
              <a:t> portefeuille d'investissement par catégorie NZIF</a:t>
            </a:r>
            <a:endParaRPr lang="en-US" sz="1100" b="1">
              <a:solidFill>
                <a:schemeClr val="tx1"/>
              </a:solidFill>
            </a:endParaRP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29594838145231844"/>
          <c:y val="0.20538057742782151"/>
          <c:w val="0.40044181977252841"/>
          <c:h val="0.6674030329542141"/>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9D6-40A7-9AC6-6F28619A1FA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9D6-40A7-9AC6-6F28619A1FA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9D6-40A7-9AC6-6F28619A1FA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9D6-40A7-9AC6-6F28619A1FA7}"/>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'Calculs ARP'!$E$10:$E$13</c:f>
              <c:strCache>
                <c:ptCount val="4"/>
                <c:pt idx="0">
                  <c:v>Not Aligning</c:v>
                </c:pt>
                <c:pt idx="1">
                  <c:v>Committed</c:v>
                </c:pt>
                <c:pt idx="2">
                  <c:v>Aligning</c:v>
                </c:pt>
                <c:pt idx="3">
                  <c:v>Aligned</c:v>
                </c:pt>
              </c:strCache>
            </c:strRef>
          </c:cat>
          <c:val>
            <c:numRef>
              <c:f>'Calculs ARP'!$G$10:$G$13</c:f>
              <c:numCache>
                <c:formatCode>0%</c:formatCode>
                <c:ptCount val="4"/>
                <c:pt idx="0">
                  <c:v>0.37247567739929066</c:v>
                </c:pt>
                <c:pt idx="1">
                  <c:v>0.34035671443191273</c:v>
                </c:pt>
                <c:pt idx="2">
                  <c:v>8.7999826232608436E-2</c:v>
                </c:pt>
                <c:pt idx="3">
                  <c:v>0.19916778193618823</c:v>
                </c:pt>
              </c:numCache>
            </c:numRef>
          </c:val>
          <c:extLst>
            <c:ext xmlns:c16="http://schemas.microsoft.com/office/drawing/2014/chart" uri="{C3380CC4-5D6E-409C-BE32-E72D297353CC}">
              <c16:uniqueId val="{00000008-F9D6-40A7-9AC6-6F28619A1FA7}"/>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'Calculs ARP'!$B$2:$B$6</cx:f>
        <cx:lvl ptCount="5">
          <cx:pt idx="0">Critique</cx:pt>
          <cx:pt idx="1">Très forte</cx:pt>
          <cx:pt idx="2">Forte</cx:pt>
          <cx:pt idx="3">Modérée</cx:pt>
          <cx:pt idx="4">Faible</cx:pt>
        </cx:lvl>
      </cx:strDim>
      <cx:numDim type="size">
        <cx:f>'Calculs ARP'!$E$2:$E$6</cx:f>
        <cx:lvl ptCount="5" formatCode="0%">
          <cx:pt idx="0">0.24261193446164239</cx:pt>
          <cx:pt idx="1">0.28457490695700982</cx:pt>
          <cx:pt idx="2">0.065798572693881396</cx:pt>
          <cx:pt idx="3">0.0080332308072903046</cx:pt>
          <cx:pt idx="4">0.39898135508017607</cx:pt>
        </cx:lvl>
      </cx:numDim>
    </cx:data>
  </cx:chartData>
  <cx:chart>
    <cx:title pos="t" align="ctr" overlay="0">
      <cx:tx>
        <cx:txData>
          <cx:v>Répartition du portefeuille consolidé par catégorie d'exposition à la déforestation</cx:v>
        </cx:txData>
      </cx:tx>
      <cx:txPr>
        <a:bodyPr spcFirstLastPara="1" vertOverflow="ellipsis" horzOverflow="overflow" wrap="square" lIns="0" tIns="0" rIns="0" bIns="0" anchor="ctr" anchorCtr="1"/>
        <a:lstStyle/>
        <a:p>
          <a:pPr algn="ctr" rtl="0">
            <a:defRPr sz="1100"/>
          </a:pPr>
          <a:r>
            <a:rPr lang="fr-FR" sz="1100" b="1" i="0" u="none" strike="noStrike" baseline="0">
              <a:solidFill>
                <a:schemeClr val="tx1"/>
              </a:solidFill>
              <a:latin typeface="Aptos Narrow" panose="02110004020202020204"/>
            </a:rPr>
            <a:t>Répartition du portefeuille consolidé par catégorie d'exposition à la déforestation</a:t>
          </a:r>
        </a:p>
      </cx:txPr>
    </cx:title>
    <cx:plotArea>
      <cx:plotAreaRegion>
        <cx:series layoutId="treemap" uniqueId="{2BD77848-9B4C-4153-BC77-8E715FC4928F}">
          <cx:dataLabels>
            <cx:txPr>
              <a:bodyPr spcFirstLastPara="1" vertOverflow="ellipsis" horzOverflow="overflow" wrap="square" lIns="0" tIns="0" rIns="0" bIns="0" anchor="ctr" anchorCtr="1"/>
              <a:lstStyle/>
              <a:p>
                <a:pPr algn="ctr" rtl="0">
                  <a:defRPr sz="2000"/>
                </a:pPr>
                <a:endParaRPr lang="fr-FR" sz="2000" b="0" i="0" u="none" strike="noStrike" baseline="0">
                  <a:solidFill>
                    <a:sysClr val="window" lastClr="FFFFFF"/>
                  </a:solidFill>
                  <a:latin typeface="Aptos Narrow" panose="02110004020202020204"/>
                </a:endParaRPr>
              </a:p>
            </cx:txPr>
            <cx:visibility seriesName="0" categoryName="0" value="1"/>
            <cx:separator>, </cx:separator>
            <cx:dataLabelHidden idx="3"/>
          </cx:dataLabels>
          <cx:dataId val="0"/>
          <cx:layoutPr/>
        </cx:series>
      </cx:plotAreaRegion>
    </cx:plotArea>
    <cx:legend pos="b" align="ctr" overlay="0"/>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 dir="row">'Calculs ARP'!$F$8:$J$8</cx:f>
        <cx:lvl ptCount="5">
          <cx:pt idx="0">En retard</cx:pt>
          <cx:pt idx="1">Faible</cx:pt>
          <cx:pt idx="2">Modéré</cx:pt>
          <cx:pt idx="3">Avancé</cx:pt>
          <cx:pt idx="4">Leader</cx:pt>
        </cx:lvl>
      </cx:strDim>
      <cx:numDim type="size">
        <cx:f dir="row">'Calculs ARP'!$F$2:$J$2</cx:f>
        <cx:lvl ptCount="5" formatCode="0%">
          <cx:pt idx="0">0.45712659580433046</cx:pt>
          <cx:pt idx="1">0.4514672192784403</cx:pt>
          <cx:pt idx="2">0.091324233301272817</cx:pt>
          <cx:pt idx="3">8.1951615953943126e-05</cx:pt>
          <cx:pt idx="4">0</cx:pt>
        </cx:lvl>
      </cx:numDim>
    </cx:data>
  </cx:chartData>
  <cx:chart>
    <cx:title pos="t" align="ctr" overlay="0">
      <cx:tx>
        <cx:txData>
          <cx:v>Répartition du portefeuille consolidé exposé fortement à la déforestation, par niveau de gestion du risque</cx:v>
        </cx:txData>
      </cx:tx>
      <cx:txPr>
        <a:bodyPr spcFirstLastPara="1" vertOverflow="ellipsis" horzOverflow="overflow" wrap="square" lIns="0" tIns="0" rIns="0" bIns="0" anchor="ctr" anchorCtr="1"/>
        <a:lstStyle/>
        <a:p>
          <a:pPr algn="ctr" rtl="0">
            <a:defRPr sz="1100"/>
          </a:pPr>
          <a:r>
            <a:rPr lang="fr-FR" sz="1100" b="1" i="0" u="none" strike="noStrike" baseline="0">
              <a:solidFill>
                <a:schemeClr val="tx1"/>
              </a:solidFill>
              <a:latin typeface="Aptos Narrow" panose="02110004020202020204"/>
            </a:rPr>
            <a:t>Répartition du portefeuille consolidé exposé fortement à la déforestation, par niveau de gestion du risque</a:t>
          </a:r>
        </a:p>
      </cx:txPr>
    </cx:title>
    <cx:plotArea>
      <cx:plotAreaRegion>
        <cx:series layoutId="treemap" uniqueId="{EA6340C9-1FF2-4B02-88A3-4DD7562D4562}">
          <cx:dataLabels pos="inEnd">
            <cx:txPr>
              <a:bodyPr spcFirstLastPara="1" vertOverflow="ellipsis" horzOverflow="overflow" wrap="square" lIns="0" tIns="0" rIns="0" bIns="0" anchor="ctr" anchorCtr="1"/>
              <a:lstStyle/>
              <a:p>
                <a:pPr algn="ctr" rtl="0">
                  <a:defRPr sz="1400"/>
                </a:pPr>
                <a:endParaRPr lang="fr-FR" sz="1400" b="0" i="0" u="none" strike="noStrike" baseline="0">
                  <a:solidFill>
                    <a:sysClr val="window" lastClr="FFFFFF"/>
                  </a:solidFill>
                  <a:latin typeface="Aptos Narrow" panose="02110004020202020204"/>
                </a:endParaRPr>
              </a:p>
            </cx:txPr>
            <cx:visibility seriesName="0" categoryName="0" value="1"/>
            <cx:separator>, </cx:separator>
          </cx:dataLabels>
          <cx:dataId val="0"/>
          <cx:layoutPr>
            <cx:parentLabelLayout val="overlapping"/>
          </cx:layoutPr>
        </cx:series>
      </cx:plotAreaRegion>
    </cx:plotArea>
    <cx:legend pos="b" align="ctr" overlay="0"/>
  </cx:chart>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'ARP - Calculs'!$AG$5:$AG$7</cx:f>
        <cx:lvl ptCount="3">
          <cx:pt idx="0">Fort</cx:pt>
          <cx:pt idx="1">Moyen-fort</cx:pt>
          <cx:pt idx="2">Moyen-faible</cx:pt>
        </cx:lvl>
      </cx:strDim>
      <cx:numDim type="size">
        <cx:f>'ARP - Calculs'!$AI$5:$AI$7</cx:f>
        <cx:lvl ptCount="3" formatCode="0%">
          <cx:pt idx="0">0.021983798207505383</cx:pt>
          <cx:pt idx="1">0.1299201052741846</cx:pt>
          <cx:pt idx="2">0.84557023813405985</cx:pt>
        </cx:lvl>
      </cx:numDim>
    </cx:data>
  </cx:chartData>
  <cx:chart>
    <cx:title pos="t" align="ctr" overlay="0">
      <cx:tx>
        <cx:txData>
          <cx:v>Répartition des scores d'exposition au risque physique biodiversité sur le portefeuille souverain</cx:v>
        </cx:txData>
      </cx:tx>
      <cx:txPr>
        <a:bodyPr spcFirstLastPara="1" vertOverflow="ellipsis" horzOverflow="overflow" wrap="square" lIns="0" tIns="0" rIns="0" bIns="0" anchor="ctr" anchorCtr="1"/>
        <a:lstStyle/>
        <a:p>
          <a:pPr rtl="0" fontAlgn="base">
            <a:defRPr sz="1100">
              <a:solidFill>
                <a:schemeClr val="tx1"/>
              </a:solidFill>
            </a:defRPr>
          </a:pPr>
          <a:r>
            <a:rPr lang="fr-FR" sz="1100" b="1" i="0" baseline="0">
              <a:solidFill>
                <a:schemeClr val="tx1"/>
              </a:solidFill>
              <a:effectLst/>
            </a:rPr>
            <a:t>Répartition des scores d'exposition au risque physique biodiversité sur le portefeuille souverain</a:t>
          </a:r>
        </a:p>
      </cx:txPr>
    </cx:title>
    <cx:plotArea>
      <cx:plotAreaRegion>
        <cx:series layoutId="treemap" uniqueId="{F11CA745-0FC9-4222-BD10-C8C091F72D0A}">
          <cx:dataLabels pos="inEnd">
            <cx:txPr>
              <a:bodyPr spcFirstLastPara="1" vertOverflow="ellipsis" horzOverflow="overflow" wrap="square" lIns="0" tIns="0" rIns="0" bIns="0" anchor="ctr" anchorCtr="1"/>
              <a:lstStyle/>
              <a:p>
                <a:pPr algn="ctr" rtl="0">
                  <a:defRPr sz="2400"/>
                </a:pPr>
                <a:endParaRPr lang="fr-FR" sz="2400" b="0" i="0" u="none" strike="noStrike" baseline="0">
                  <a:solidFill>
                    <a:sysClr val="window" lastClr="FFFFFF"/>
                  </a:solidFill>
                  <a:latin typeface="Aptos Narrow" panose="02110004020202020204"/>
                </a:endParaRPr>
              </a:p>
            </cx:txPr>
            <cx:visibility seriesName="0" categoryName="0" value="1"/>
            <cx:separator>, </cx:separator>
            <cx:dataLabel idx="1">
              <cx:txPr>
                <a:bodyPr spcFirstLastPara="1" vertOverflow="ellipsis" horzOverflow="overflow" wrap="square" lIns="0" tIns="0" rIns="0" bIns="0" anchor="ctr" anchorCtr="1"/>
                <a:lstStyle/>
                <a:p>
                  <a:pPr algn="ctr" rtl="0">
                    <a:defRPr sz="1400"/>
                  </a:pPr>
                  <a:r>
                    <a:rPr lang="fr-FR" sz="1400" b="0" i="0" u="none" strike="noStrike" baseline="0">
                      <a:solidFill>
                        <a:sysClr val="window" lastClr="FFFFFF"/>
                      </a:solidFill>
                      <a:latin typeface="Aptos Narrow" panose="02110004020202020204"/>
                    </a:rPr>
                    <a:t>13%</a:t>
                  </a:r>
                </a:p>
              </cx:txPr>
              <cx:visibility seriesName="0" categoryName="0" value="1"/>
              <cx:separator>, </cx:separator>
            </cx:dataLabel>
          </cx:dataLabels>
          <cx:dataId val="0"/>
          <cx:layoutPr>
            <cx:parentLabelLayout val="overlapping"/>
          </cx:layoutPr>
        </cx:series>
      </cx:plotAreaRegion>
    </cx:plotArea>
    <cx:legend pos="b" align="ctr" overlay="0">
      <cx:txPr>
        <a:bodyPr spcFirstLastPara="1" vertOverflow="ellipsis" horzOverflow="overflow" wrap="square" lIns="0" tIns="0" rIns="0" bIns="0" anchor="ctr" anchorCtr="1"/>
        <a:lstStyle/>
        <a:p>
          <a:pPr algn="ctr" rtl="0">
            <a:defRPr/>
          </a:pPr>
          <a:endParaRPr lang="fr-FR" sz="900" b="0" i="0" u="none" strike="noStrike" baseline="0">
            <a:solidFill>
              <a:sysClr val="windowText" lastClr="000000">
                <a:lumMod val="65000"/>
                <a:lumOff val="35000"/>
              </a:sysClr>
            </a:solidFill>
            <a:latin typeface="Aptos Narrow" panose="02110004020202020204"/>
          </a:endParaRPr>
        </a:p>
      </cx:txPr>
    </cx:legend>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withinLinear" id="19">
  <a:schemeClr val="accent6"/>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410">
  <cs:axisTitle>
    <cs:lnRef idx="0"/>
    <cs:fillRef idx="0"/>
    <cs:effectRef idx="0"/>
    <cs:fontRef idx="minor">
      <a:schemeClr val="tx1">
        <a:lumMod val="65000"/>
        <a:lumOff val="35000"/>
      </a:schemeClr>
    </cs:fontRef>
    <cs:spPr>
      <a:solidFill>
        <a:schemeClr val="bg1">
          <a:lumMod val="65000"/>
        </a:schemeClr>
      </a:solidFill>
      <a:ln w="19050">
        <a:solidFill>
          <a:schemeClr val="bg1"/>
        </a:solidFill>
      </a:ln>
    </cs:spPr>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5.xml><?xml version="1.0" encoding="utf-8"?>
<cs:chartStyle xmlns:cs="http://schemas.microsoft.com/office/drawing/2012/chartStyle" xmlns:a="http://schemas.openxmlformats.org/drawingml/2006/main" id="410">
  <cs:axisTitle>
    <cs:lnRef idx="0"/>
    <cs:fillRef idx="0"/>
    <cs:effectRef idx="0"/>
    <cs:fontRef idx="minor">
      <a:schemeClr val="tx1">
        <a:lumMod val="65000"/>
        <a:lumOff val="35000"/>
      </a:schemeClr>
    </cs:fontRef>
    <cs:spPr>
      <a:solidFill>
        <a:schemeClr val="bg1">
          <a:lumMod val="65000"/>
        </a:schemeClr>
      </a:solidFill>
      <a:ln w="19050">
        <a:solidFill>
          <a:schemeClr val="bg1"/>
        </a:solidFill>
      </a:ln>
    </cs:spPr>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410">
  <cs:axisTitle>
    <cs:lnRef idx="0"/>
    <cs:fillRef idx="0"/>
    <cs:effectRef idx="0"/>
    <cs:fontRef idx="minor">
      <a:schemeClr val="tx1">
        <a:lumMod val="65000"/>
        <a:lumOff val="35000"/>
      </a:schemeClr>
    </cs:fontRef>
    <cs:spPr>
      <a:solidFill>
        <a:schemeClr val="bg1">
          <a:lumMod val="65000"/>
        </a:schemeClr>
      </a:solidFill>
      <a:ln w="19050">
        <a:solidFill>
          <a:schemeClr val="bg1"/>
        </a:solidFill>
      </a:ln>
    </cs:spPr>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95">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1" Type="http://schemas.openxmlformats.org/officeDocument/2006/relationships/image" Target="../media/image4.jpg"/></Relationships>
</file>

<file path=word/diagrams/_rels/data2.xml.rels><?xml version="1.0" encoding="UTF-8" standalone="yes"?>
<Relationships xmlns="http://schemas.openxmlformats.org/package/2006/relationships"><Relationship Id="rId1" Type="http://schemas.openxmlformats.org/officeDocument/2006/relationships/image" Target="../media/image7.jpg"/></Relationships>
</file>

<file path=word/diagrams/_rels/drawing1.xml.rels><?xml version="1.0" encoding="UTF-8" standalone="yes"?>
<Relationships xmlns="http://schemas.openxmlformats.org/package/2006/relationships"><Relationship Id="rId1" Type="http://schemas.openxmlformats.org/officeDocument/2006/relationships/image" Target="../media/image4.jpg"/></Relationships>
</file>

<file path=word/diagrams/_rels/drawing2.xml.rels><?xml version="1.0" encoding="UTF-8" standalone="yes"?>
<Relationships xmlns="http://schemas.openxmlformats.org/package/2006/relationships"><Relationship Id="rId1" Type="http://schemas.openxmlformats.org/officeDocument/2006/relationships/image" Target="../media/image7.jpg"/></Relationships>
</file>

<file path=word/diagrams/colors1.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95DA0D6-D54E-43F5-B359-8731437CE2E4}" type="doc">
      <dgm:prSet loTypeId="urn:microsoft.com/office/officeart/2008/layout/PictureGrid" loCatId="picture" qsTypeId="urn:microsoft.com/office/officeart/2005/8/quickstyle/simple1" qsCatId="simple" csTypeId="urn:microsoft.com/office/officeart/2005/8/colors/accent6_1" csCatId="accent6" phldr="1"/>
      <dgm:spPr/>
      <dgm:t>
        <a:bodyPr/>
        <a:lstStyle/>
        <a:p>
          <a:endParaRPr lang="fr-FR"/>
        </a:p>
      </dgm:t>
    </dgm:pt>
    <dgm:pt modelId="{C5FBDEC3-841C-4908-AE85-DEC406A0EF70}">
      <dgm:prSet phldrT="[Text]"/>
      <dgm:spPr>
        <a:xfrm>
          <a:off x="3357248" y="672500"/>
          <a:ext cx="946224" cy="51032"/>
        </a:xfrm>
        <a:prstGeom prst="rect">
          <a:avLst/>
        </a:prstGeom>
      </dgm:spPr>
      <dgm:t>
        <a:bodyPr/>
        <a:lstStyle/>
        <a:p>
          <a:pPr>
            <a:buNone/>
          </a:pPr>
          <a:endParaRPr lang="fr-FR">
            <a:solidFill>
              <a:srgbClr val="1C2C36">
                <a:hueOff val="0"/>
                <a:satOff val="0"/>
                <a:lumOff val="0"/>
                <a:alphaOff val="0"/>
              </a:srgbClr>
            </a:solidFill>
            <a:latin typeface="Calibri"/>
            <a:ea typeface="+mn-ea"/>
            <a:cs typeface="+mn-cs"/>
          </a:endParaRPr>
        </a:p>
      </dgm:t>
    </dgm:pt>
    <dgm:pt modelId="{F3DC934E-F8A1-43F6-98A6-308A01280211}" type="sibTrans" cxnId="{8AA53EBB-D970-4F1A-8483-0DAE6EAF5A27}">
      <dgm:prSet/>
      <dgm:spPr/>
      <dgm:t>
        <a:bodyPr/>
        <a:lstStyle/>
        <a:p>
          <a:endParaRPr lang="fr-FR"/>
        </a:p>
      </dgm:t>
    </dgm:pt>
    <dgm:pt modelId="{9680DB53-5A9F-41C3-90A1-1E2AACACA529}" type="parTrans" cxnId="{8AA53EBB-D970-4F1A-8483-0DAE6EAF5A27}">
      <dgm:prSet/>
      <dgm:spPr/>
      <dgm:t>
        <a:bodyPr/>
        <a:lstStyle/>
        <a:p>
          <a:endParaRPr lang="fr-FR"/>
        </a:p>
      </dgm:t>
    </dgm:pt>
    <dgm:pt modelId="{D42DB3E5-AB0F-4F44-BFC6-85A33590EC9A}" type="pres">
      <dgm:prSet presAssocID="{A95DA0D6-D54E-43F5-B359-8731437CE2E4}" presName="Name0" presStyleCnt="0">
        <dgm:presLayoutVars>
          <dgm:dir/>
        </dgm:presLayoutVars>
      </dgm:prSet>
      <dgm:spPr/>
    </dgm:pt>
    <dgm:pt modelId="{6964DD6F-381F-4877-96AC-E24312E4EB59}" type="pres">
      <dgm:prSet presAssocID="{C5FBDEC3-841C-4908-AE85-DEC406A0EF70}" presName="composite" presStyleCnt="0"/>
      <dgm:spPr/>
    </dgm:pt>
    <dgm:pt modelId="{6B70E3D9-B581-4B58-BD45-53E1C82A43FB}" type="pres">
      <dgm:prSet presAssocID="{C5FBDEC3-841C-4908-AE85-DEC406A0EF70}" presName="rect2" presStyleLbl="revTx" presStyleIdx="0" presStyleCnt="1" custScaleY="35955" custLinFactNeighborX="3420" custLinFactNeighborY="32570">
        <dgm:presLayoutVars>
          <dgm:bulletEnabled val="1"/>
        </dgm:presLayoutVars>
      </dgm:prSet>
      <dgm:spPr/>
    </dgm:pt>
    <dgm:pt modelId="{D8BE5B8C-2060-4F9B-A0BE-8D573F8E94B4}" type="pres">
      <dgm:prSet presAssocID="{C5FBDEC3-841C-4908-AE85-DEC406A0EF70}" presName="rect1" presStyleLbl="alignImgPlace1" presStyleIdx="0" presStyleCnt="1" custFlipVert="0" custFlipHor="0" custScaleX="822508" custScaleY="980482" custLinFactNeighborX="29266" custLinFactNeighborY="-24810"/>
      <dgm:spPr>
        <a:xfrm>
          <a:off x="0" y="1"/>
          <a:ext cx="7595998" cy="2447996"/>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a:stretch>
        </a:blipFill>
        <a:ln>
          <a:noFill/>
        </a:ln>
      </dgm:spPr>
    </dgm:pt>
  </dgm:ptLst>
  <dgm:cxnLst>
    <dgm:cxn modelId="{6C1C7373-833E-457C-A154-04AF008E646E}" type="presOf" srcId="{C5FBDEC3-841C-4908-AE85-DEC406A0EF70}" destId="{6B70E3D9-B581-4B58-BD45-53E1C82A43FB}" srcOrd="0" destOrd="0" presId="urn:microsoft.com/office/officeart/2008/layout/PictureGrid"/>
    <dgm:cxn modelId="{8AA53EBB-D970-4F1A-8483-0DAE6EAF5A27}" srcId="{A95DA0D6-D54E-43F5-B359-8731437CE2E4}" destId="{C5FBDEC3-841C-4908-AE85-DEC406A0EF70}" srcOrd="0" destOrd="0" parTransId="{9680DB53-5A9F-41C3-90A1-1E2AACACA529}" sibTransId="{F3DC934E-F8A1-43F6-98A6-308A01280211}"/>
    <dgm:cxn modelId="{DA5478D9-FC24-40CE-B687-2CC027A7110F}" type="presOf" srcId="{A95DA0D6-D54E-43F5-B359-8731437CE2E4}" destId="{D42DB3E5-AB0F-4F44-BFC6-85A33590EC9A}" srcOrd="0" destOrd="0" presId="urn:microsoft.com/office/officeart/2008/layout/PictureGrid"/>
    <dgm:cxn modelId="{E931C999-91E7-4AC8-A4FE-1116038B182B}" type="presParOf" srcId="{D42DB3E5-AB0F-4F44-BFC6-85A33590EC9A}" destId="{6964DD6F-381F-4877-96AC-E24312E4EB59}" srcOrd="0" destOrd="0" presId="urn:microsoft.com/office/officeart/2008/layout/PictureGrid"/>
    <dgm:cxn modelId="{DA7423FA-BA4B-4645-956B-9AB8D12CEE1A}" type="presParOf" srcId="{6964DD6F-381F-4877-96AC-E24312E4EB59}" destId="{6B70E3D9-B581-4B58-BD45-53E1C82A43FB}" srcOrd="0" destOrd="0" presId="urn:microsoft.com/office/officeart/2008/layout/PictureGrid"/>
    <dgm:cxn modelId="{484D6F15-3EC6-464F-9031-AECA9FD02F74}" type="presParOf" srcId="{6964DD6F-381F-4877-96AC-E24312E4EB59}" destId="{D8BE5B8C-2060-4F9B-A0BE-8D573F8E94B4}" srcOrd="1" destOrd="0" presId="urn:microsoft.com/office/officeart/2008/layout/PictureGrid"/>
  </dgm:cxnLst>
  <dgm:bg>
    <a:noFill/>
  </dgm:bg>
  <dgm:whole>
    <a:ln>
      <a:noFill/>
    </a:ln>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95DA0D6-D54E-43F5-B359-8731437CE2E4}" type="doc">
      <dgm:prSet loTypeId="urn:microsoft.com/office/officeart/2008/layout/PictureGrid" loCatId="picture" qsTypeId="urn:microsoft.com/office/officeart/2005/8/quickstyle/simple1" qsCatId="simple" csTypeId="urn:microsoft.com/office/officeart/2005/8/colors/accent6_1" csCatId="accent6" phldr="1"/>
      <dgm:spPr/>
      <dgm:t>
        <a:bodyPr/>
        <a:lstStyle/>
        <a:p>
          <a:endParaRPr lang="fr-FR"/>
        </a:p>
      </dgm:t>
    </dgm:pt>
    <dgm:pt modelId="{C5FBDEC3-841C-4908-AE85-DEC406A0EF70}">
      <dgm:prSet phldrT="[Text]"/>
      <dgm:spPr>
        <a:xfrm>
          <a:off x="3357248" y="672500"/>
          <a:ext cx="946224" cy="51032"/>
        </a:xfrm>
        <a:prstGeom prst="rect">
          <a:avLst/>
        </a:prstGeom>
      </dgm:spPr>
      <dgm:t>
        <a:bodyPr/>
        <a:lstStyle/>
        <a:p>
          <a:pPr>
            <a:buNone/>
          </a:pPr>
          <a:endParaRPr lang="fr-FR">
            <a:solidFill>
              <a:srgbClr val="1C2C36">
                <a:hueOff val="0"/>
                <a:satOff val="0"/>
                <a:lumOff val="0"/>
                <a:alphaOff val="0"/>
              </a:srgbClr>
            </a:solidFill>
            <a:latin typeface="Calibri"/>
            <a:ea typeface="+mn-ea"/>
            <a:cs typeface="+mn-cs"/>
          </a:endParaRPr>
        </a:p>
      </dgm:t>
    </dgm:pt>
    <dgm:pt modelId="{F3DC934E-F8A1-43F6-98A6-308A01280211}" type="sibTrans" cxnId="{8AA53EBB-D970-4F1A-8483-0DAE6EAF5A27}">
      <dgm:prSet/>
      <dgm:spPr/>
      <dgm:t>
        <a:bodyPr/>
        <a:lstStyle/>
        <a:p>
          <a:endParaRPr lang="fr-FR"/>
        </a:p>
      </dgm:t>
    </dgm:pt>
    <dgm:pt modelId="{9680DB53-5A9F-41C3-90A1-1E2AACACA529}" type="parTrans" cxnId="{8AA53EBB-D970-4F1A-8483-0DAE6EAF5A27}">
      <dgm:prSet/>
      <dgm:spPr/>
      <dgm:t>
        <a:bodyPr/>
        <a:lstStyle/>
        <a:p>
          <a:endParaRPr lang="fr-FR"/>
        </a:p>
      </dgm:t>
    </dgm:pt>
    <dgm:pt modelId="{D42DB3E5-AB0F-4F44-BFC6-85A33590EC9A}" type="pres">
      <dgm:prSet presAssocID="{A95DA0D6-D54E-43F5-B359-8731437CE2E4}" presName="Name0" presStyleCnt="0">
        <dgm:presLayoutVars>
          <dgm:dir/>
        </dgm:presLayoutVars>
      </dgm:prSet>
      <dgm:spPr/>
    </dgm:pt>
    <dgm:pt modelId="{6964DD6F-381F-4877-96AC-E24312E4EB59}" type="pres">
      <dgm:prSet presAssocID="{C5FBDEC3-841C-4908-AE85-DEC406A0EF70}" presName="composite" presStyleCnt="0"/>
      <dgm:spPr/>
    </dgm:pt>
    <dgm:pt modelId="{6B70E3D9-B581-4B58-BD45-53E1C82A43FB}" type="pres">
      <dgm:prSet presAssocID="{C5FBDEC3-841C-4908-AE85-DEC406A0EF70}" presName="rect2" presStyleLbl="revTx" presStyleIdx="0" presStyleCnt="1" custScaleY="35955" custLinFactNeighborX="3420" custLinFactNeighborY="32570">
        <dgm:presLayoutVars>
          <dgm:bulletEnabled val="1"/>
        </dgm:presLayoutVars>
      </dgm:prSet>
      <dgm:spPr/>
    </dgm:pt>
    <dgm:pt modelId="{D8BE5B8C-2060-4F9B-A0BE-8D573F8E94B4}" type="pres">
      <dgm:prSet presAssocID="{C5FBDEC3-841C-4908-AE85-DEC406A0EF70}" presName="rect1" presStyleLbl="alignImgPlace1" presStyleIdx="0" presStyleCnt="1" custScaleX="1159770" custScaleY="270613" custLinFactNeighborX="33" custLinFactNeighborY="8979"/>
      <dgm:spPr>
        <a:xfrm>
          <a:off x="0" y="1"/>
          <a:ext cx="7595998" cy="2447996"/>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a:stretch>
        </a:blipFill>
      </dgm:spPr>
    </dgm:pt>
  </dgm:ptLst>
  <dgm:cxnLst>
    <dgm:cxn modelId="{6C1C7373-833E-457C-A154-04AF008E646E}" type="presOf" srcId="{C5FBDEC3-841C-4908-AE85-DEC406A0EF70}" destId="{6B70E3D9-B581-4B58-BD45-53E1C82A43FB}" srcOrd="0" destOrd="0" presId="urn:microsoft.com/office/officeart/2008/layout/PictureGrid"/>
    <dgm:cxn modelId="{8AA53EBB-D970-4F1A-8483-0DAE6EAF5A27}" srcId="{A95DA0D6-D54E-43F5-B359-8731437CE2E4}" destId="{C5FBDEC3-841C-4908-AE85-DEC406A0EF70}" srcOrd="0" destOrd="0" parTransId="{9680DB53-5A9F-41C3-90A1-1E2AACACA529}" sibTransId="{F3DC934E-F8A1-43F6-98A6-308A01280211}"/>
    <dgm:cxn modelId="{DA5478D9-FC24-40CE-B687-2CC027A7110F}" type="presOf" srcId="{A95DA0D6-D54E-43F5-B359-8731437CE2E4}" destId="{D42DB3E5-AB0F-4F44-BFC6-85A33590EC9A}" srcOrd="0" destOrd="0" presId="urn:microsoft.com/office/officeart/2008/layout/PictureGrid"/>
    <dgm:cxn modelId="{E931C999-91E7-4AC8-A4FE-1116038B182B}" type="presParOf" srcId="{D42DB3E5-AB0F-4F44-BFC6-85A33590EC9A}" destId="{6964DD6F-381F-4877-96AC-E24312E4EB59}" srcOrd="0" destOrd="0" presId="urn:microsoft.com/office/officeart/2008/layout/PictureGrid"/>
    <dgm:cxn modelId="{DA7423FA-BA4B-4645-956B-9AB8D12CEE1A}" type="presParOf" srcId="{6964DD6F-381F-4877-96AC-E24312E4EB59}" destId="{6B70E3D9-B581-4B58-BD45-53E1C82A43FB}" srcOrd="0" destOrd="0" presId="urn:microsoft.com/office/officeart/2008/layout/PictureGrid"/>
    <dgm:cxn modelId="{484D6F15-3EC6-464F-9031-AECA9FD02F74}" type="presParOf" srcId="{6964DD6F-381F-4877-96AC-E24312E4EB59}" destId="{D8BE5B8C-2060-4F9B-A0BE-8D573F8E94B4}" srcOrd="1" destOrd="0" presId="urn:microsoft.com/office/officeart/2008/layout/PictureGrid"/>
  </dgm:cxnLst>
  <dgm:bg>
    <a:noFill/>
  </dgm:bg>
  <dgm:whole>
    <a:ln>
      <a:noFill/>
    </a:ln>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70E3D9-B581-4B58-BD45-53E1C82A43FB}">
      <dsp:nvSpPr>
        <dsp:cNvPr id="0" name=""/>
        <dsp:cNvSpPr/>
      </dsp:nvSpPr>
      <dsp:spPr>
        <a:xfrm>
          <a:off x="2010918" y="2382677"/>
          <a:ext cx="550466" cy="296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19050" rIns="19050" bIns="0" numCol="1" spcCol="1270" anchor="b" anchorCtr="0">
          <a:noAutofit/>
        </a:bodyPr>
        <a:lstStyle/>
        <a:p>
          <a:pPr marL="0" lvl="0" indent="0" algn="l" defTabSz="222250">
            <a:lnSpc>
              <a:spcPct val="90000"/>
            </a:lnSpc>
            <a:spcBef>
              <a:spcPct val="0"/>
            </a:spcBef>
            <a:spcAft>
              <a:spcPct val="35000"/>
            </a:spcAft>
            <a:buNone/>
          </a:pPr>
          <a:endParaRPr lang="fr-FR" sz="500" kern="1200">
            <a:solidFill>
              <a:srgbClr val="1C2C36">
                <a:hueOff val="0"/>
                <a:satOff val="0"/>
                <a:lumOff val="0"/>
                <a:alphaOff val="0"/>
              </a:srgbClr>
            </a:solidFill>
            <a:latin typeface="Calibri"/>
            <a:ea typeface="+mn-ea"/>
            <a:cs typeface="+mn-cs"/>
          </a:endParaRPr>
        </a:p>
      </dsp:txBody>
      <dsp:txXfrm>
        <a:off x="2010918" y="2382677"/>
        <a:ext cx="550466" cy="29688"/>
      </dsp:txXfrm>
    </dsp:sp>
    <dsp:sp modelId="{D8BE5B8C-2060-4F9B-A0BE-8D573F8E94B4}">
      <dsp:nvSpPr>
        <dsp:cNvPr id="0" name=""/>
        <dsp:cNvSpPr/>
      </dsp:nvSpPr>
      <dsp:spPr>
        <a:xfrm>
          <a:off x="7017" y="0"/>
          <a:ext cx="4527633" cy="5397228"/>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70E3D9-B581-4B58-BD45-53E1C82A43FB}">
      <dsp:nvSpPr>
        <dsp:cNvPr id="0" name=""/>
        <dsp:cNvSpPr/>
      </dsp:nvSpPr>
      <dsp:spPr>
        <a:xfrm>
          <a:off x="3476260" y="501979"/>
          <a:ext cx="651732" cy="3514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19050" rIns="19050" bIns="0" numCol="1" spcCol="1270" anchor="b" anchorCtr="0">
          <a:noAutofit/>
        </a:bodyPr>
        <a:lstStyle/>
        <a:p>
          <a:pPr marL="0" lvl="0" indent="0" algn="l" defTabSz="222250">
            <a:lnSpc>
              <a:spcPct val="90000"/>
            </a:lnSpc>
            <a:spcBef>
              <a:spcPct val="0"/>
            </a:spcBef>
            <a:spcAft>
              <a:spcPct val="35000"/>
            </a:spcAft>
            <a:buNone/>
          </a:pPr>
          <a:endParaRPr lang="fr-FR" sz="500" kern="1200">
            <a:solidFill>
              <a:srgbClr val="1C2C36">
                <a:hueOff val="0"/>
                <a:satOff val="0"/>
                <a:lumOff val="0"/>
                <a:alphaOff val="0"/>
              </a:srgbClr>
            </a:solidFill>
            <a:latin typeface="Calibri"/>
            <a:ea typeface="+mn-ea"/>
            <a:cs typeface="+mn-cs"/>
          </a:endParaRPr>
        </a:p>
      </dsp:txBody>
      <dsp:txXfrm>
        <a:off x="3476260" y="501979"/>
        <a:ext cx="651732" cy="35149"/>
      </dsp:txXfrm>
    </dsp:sp>
    <dsp:sp modelId="{D8BE5B8C-2060-4F9B-A0BE-8D573F8E94B4}">
      <dsp:nvSpPr>
        <dsp:cNvPr id="0" name=""/>
        <dsp:cNvSpPr/>
      </dsp:nvSpPr>
      <dsp:spPr>
        <a:xfrm>
          <a:off x="754" y="0"/>
          <a:ext cx="7558595" cy="1763672"/>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a:stretch>
        </a:blipFill>
        <a:ln w="12700" cap="flat" cmpd="sng" algn="ctr">
          <a:solidFill>
            <a:schemeClr val="accent6">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PictureGrid">
  <dgm:title val=""/>
  <dgm:desc val=""/>
  <dgm:catLst>
    <dgm:cat type="picture" pri="11000"/>
    <dgm:cat type="pictureconvert" pri="11000"/>
  </dgm:catLst>
  <dgm:samp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lte" val="4">
        <dgm:choose name="Name3">
          <dgm:if name="Name4" func="var" arg="dir" op="equ" val="norm">
            <dgm:alg type="snake">
              <dgm:param type="off" val="ctr"/>
              <dgm:param type="bkpt" val="fixed"/>
              <dgm:param type="bkPtFixedVal" val="2"/>
            </dgm:alg>
          </dgm:if>
          <dgm:else name="Name5">
            <dgm:alg type="snake">
              <dgm:param type="off" val="ctr"/>
              <dgm:param type="grDir" val="tR"/>
              <dgm:param type="bkpt" val="fixed"/>
              <dgm:param type="bkPtFixedVal" val="2"/>
            </dgm:alg>
          </dgm:else>
        </dgm:choose>
      </dgm:if>
      <dgm:else name="Name6">
        <dgm:choose name="Name7">
          <dgm:if name="Name8" axis="ch" ptType="node" func="cnt" op="lte" val="9">
            <dgm:choose name="Name9">
              <dgm:if name="Name10" func="var" arg="dir" op="equ" val="norm">
                <dgm:alg type="snake">
                  <dgm:param type="off" val="ctr"/>
                  <dgm:param type="bkpt" val="fixed"/>
                  <dgm:param type="bkPtFixedVal" val="3"/>
                </dgm:alg>
              </dgm:if>
              <dgm:else name="Name11">
                <dgm:alg type="snake">
                  <dgm:param type="off" val="ctr"/>
                  <dgm:param type="grDir" val="tR"/>
                  <dgm:param type="bkpt" val="fixed"/>
                  <dgm:param type="bkPtFixedVal" val="3"/>
                </dgm:alg>
              </dgm:else>
            </dgm:choose>
          </dgm:if>
          <dgm:else name="Name12">
            <dgm:choose name="Name13">
              <dgm:if name="Name14" axis="ch" ptType="node" func="cnt" op="lte" val="16">
                <dgm:choose name="Name15">
                  <dgm:if name="Name16" func="var" arg="dir" op="equ" val="norm">
                    <dgm:alg type="snake">
                      <dgm:param type="off" val="ctr"/>
                      <dgm:param type="bkpt" val="fixed"/>
                      <dgm:param type="bkPtFixedVal" val="4"/>
                    </dgm:alg>
                  </dgm:if>
                  <dgm:else name="Name17">
                    <dgm:alg type="snake">
                      <dgm:param type="off" val="ctr"/>
                      <dgm:param type="grDir" val="tR"/>
                      <dgm:param type="bkpt" val="fixed"/>
                      <dgm:param type="bkPtFixedVal" val="4"/>
                    </dgm:alg>
                  </dgm:else>
                </dgm:choose>
              </dgm:if>
              <dgm:else name="Name18">
                <dgm:choose name="Name19">
                  <dgm:if name="Name20" axis="ch" ptType="node" func="cnt" op="lte" val="25">
                    <dgm:choose name="Name21">
                      <dgm:if name="Name22" func="var" arg="dir" op="equ" val="norm">
                        <dgm:alg type="snake">
                          <dgm:param type="off" val="ctr"/>
                          <dgm:param type="bkpt" val="fixed"/>
                          <dgm:param type="bkPtFixedVal" val="5"/>
                        </dgm:alg>
                      </dgm:if>
                      <dgm:else name="Name23">
                        <dgm:alg type="snake">
                          <dgm:param type="off" val="ctr"/>
                          <dgm:param type="grDir" val="tR"/>
                          <dgm:param type="bkpt" val="fixed"/>
                          <dgm:param type="bkPtFixedVal" val="5"/>
                        </dgm:alg>
                      </dgm:else>
                    </dgm:choose>
                  </dgm:if>
                  <dgm:else name="Name24">
                    <dgm:choose name="Name25">
                      <dgm:if name="Name26" func="var" arg="dir" op="equ" val="norm">
                        <dgm:alg type="snake">
                          <dgm:param type="off" val="ctr"/>
                        </dgm:alg>
                      </dgm:if>
                      <dgm:else name="Name27">
                        <dgm:alg type="snake">
                          <dgm:param type="off" val="ctr"/>
                          <dgm:param type="grDir" val="tR"/>
                        </dgm:alg>
                      </dgm:else>
                    </dgm:choose>
                  </dgm:else>
                </dgm:choose>
              </dgm:else>
            </dgm:choose>
          </dgm:else>
        </dgm:choose>
      </dgm:else>
    </dgm:choose>
    <dgm:shape xmlns:r="http://schemas.openxmlformats.org/officeDocument/2006/relationships" r:blip="">
      <dgm:adjLst/>
    </dgm:shape>
    <dgm:constrLst>
      <dgm:constr type="primFontSz" for="des" ptType="node" op="equ" val="65"/>
      <dgm:constr type="w" for="ch" forName="composite" refType="h" fact="0.8"/>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0.7568"/>
        </dgm:alg>
        <dgm:shape xmlns:r="http://schemas.openxmlformats.org/officeDocument/2006/relationships" r:blip="">
          <dgm:adjLst/>
        </dgm:shape>
        <dgm:constrLst>
          <dgm:constr type="l" for="ch" forName="rect1" refType="w" fact="0"/>
          <dgm:constr type="t" for="ch" forName="rect1" refType="h" fact="0.15"/>
          <dgm:constr type="w" for="ch" forName="rect1" refType="w"/>
          <dgm:constr type="h" for="ch" forName="rect1" refType="w"/>
          <dgm:constr type="l" for="ch" forName="rect2" refType="w" fact="0"/>
          <dgm:constr type="t" for="ch" forName="rect2" refType="h" fact="0"/>
          <dgm:constr type="w" for="ch" forName="rect2" refType="w"/>
          <dgm:constr type="h" for="ch" forName="rect2" refType="w" fact="0.15"/>
        </dgm:constrLst>
        <dgm:layoutNode name="rect2" styleLbl="revTx">
          <dgm:varLst>
            <dgm:bulletEnabled val="1"/>
          </dgm:varLst>
          <dgm:alg type="tx">
            <dgm:param type="stBulletLvl" val="3"/>
            <dgm:param type="parTxLTRAlign" val="l"/>
            <dgm:param type="parTxRTLAlign" val="r"/>
            <dgm:param type="txAnchorVert" val="b"/>
            <dgm:param type="txAnchorVertCh" val="b"/>
          </dgm:alg>
          <dgm:shape xmlns:r="http://schemas.openxmlformats.org/officeDocument/2006/relationships" type="rect" r:blip="">
            <dgm:adjLst/>
          </dgm:shape>
          <dgm:presOf axis="desOrSelf" ptType="node"/>
          <dgm:constrLst>
            <dgm:constr type="lMarg" refType="primFontSz" fact="0"/>
            <dgm:constr type="rMarg" refType="primFontSz" fact="0.3"/>
            <dgm:constr type="tMarg" refType="primFontSz" fact="0.3"/>
            <dgm:constr type="bMarg" refType="primFontSz" fact="0"/>
            <dgm:constr type="secFontSz" refType="primFontSz" fact="0.8"/>
          </dgm:constrLst>
          <dgm:ruleLst>
            <dgm:rule type="primFontSz" val="5" fact="NaN" max="NaN"/>
          </dgm:ruleLst>
        </dgm:layoutNode>
        <dgm:layoutNode name="rect1" styleLbl="align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PictureGrid">
  <dgm:title val=""/>
  <dgm:desc val=""/>
  <dgm:catLst>
    <dgm:cat type="picture" pri="11000"/>
    <dgm:cat type="pictureconvert" pri="11000"/>
  </dgm:catLst>
  <dgm:samp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varLst>
    <dgm:choose name="Name1">
      <dgm:if name="Name2" axis="ch" ptType="node" func="cnt" op="lte" val="4">
        <dgm:choose name="Name3">
          <dgm:if name="Name4" func="var" arg="dir" op="equ" val="norm">
            <dgm:alg type="snake">
              <dgm:param type="off" val="ctr"/>
              <dgm:param type="bkpt" val="fixed"/>
              <dgm:param type="bkPtFixedVal" val="2"/>
            </dgm:alg>
          </dgm:if>
          <dgm:else name="Name5">
            <dgm:alg type="snake">
              <dgm:param type="off" val="ctr"/>
              <dgm:param type="grDir" val="tR"/>
              <dgm:param type="bkpt" val="fixed"/>
              <dgm:param type="bkPtFixedVal" val="2"/>
            </dgm:alg>
          </dgm:else>
        </dgm:choose>
      </dgm:if>
      <dgm:else name="Name6">
        <dgm:choose name="Name7">
          <dgm:if name="Name8" axis="ch" ptType="node" func="cnt" op="lte" val="9">
            <dgm:choose name="Name9">
              <dgm:if name="Name10" func="var" arg="dir" op="equ" val="norm">
                <dgm:alg type="snake">
                  <dgm:param type="off" val="ctr"/>
                  <dgm:param type="bkpt" val="fixed"/>
                  <dgm:param type="bkPtFixedVal" val="3"/>
                </dgm:alg>
              </dgm:if>
              <dgm:else name="Name11">
                <dgm:alg type="snake">
                  <dgm:param type="off" val="ctr"/>
                  <dgm:param type="grDir" val="tR"/>
                  <dgm:param type="bkpt" val="fixed"/>
                  <dgm:param type="bkPtFixedVal" val="3"/>
                </dgm:alg>
              </dgm:else>
            </dgm:choose>
          </dgm:if>
          <dgm:else name="Name12">
            <dgm:choose name="Name13">
              <dgm:if name="Name14" axis="ch" ptType="node" func="cnt" op="lte" val="16">
                <dgm:choose name="Name15">
                  <dgm:if name="Name16" func="var" arg="dir" op="equ" val="norm">
                    <dgm:alg type="snake">
                      <dgm:param type="off" val="ctr"/>
                      <dgm:param type="bkpt" val="fixed"/>
                      <dgm:param type="bkPtFixedVal" val="4"/>
                    </dgm:alg>
                  </dgm:if>
                  <dgm:else name="Name17">
                    <dgm:alg type="snake">
                      <dgm:param type="off" val="ctr"/>
                      <dgm:param type="grDir" val="tR"/>
                      <dgm:param type="bkpt" val="fixed"/>
                      <dgm:param type="bkPtFixedVal" val="4"/>
                    </dgm:alg>
                  </dgm:else>
                </dgm:choose>
              </dgm:if>
              <dgm:else name="Name18">
                <dgm:choose name="Name19">
                  <dgm:if name="Name20" axis="ch" ptType="node" func="cnt" op="lte" val="25">
                    <dgm:choose name="Name21">
                      <dgm:if name="Name22" func="var" arg="dir" op="equ" val="norm">
                        <dgm:alg type="snake">
                          <dgm:param type="off" val="ctr"/>
                          <dgm:param type="bkpt" val="fixed"/>
                          <dgm:param type="bkPtFixedVal" val="5"/>
                        </dgm:alg>
                      </dgm:if>
                      <dgm:else name="Name23">
                        <dgm:alg type="snake">
                          <dgm:param type="off" val="ctr"/>
                          <dgm:param type="grDir" val="tR"/>
                          <dgm:param type="bkpt" val="fixed"/>
                          <dgm:param type="bkPtFixedVal" val="5"/>
                        </dgm:alg>
                      </dgm:else>
                    </dgm:choose>
                  </dgm:if>
                  <dgm:else name="Name24">
                    <dgm:choose name="Name25">
                      <dgm:if name="Name26" func="var" arg="dir" op="equ" val="norm">
                        <dgm:alg type="snake">
                          <dgm:param type="off" val="ctr"/>
                        </dgm:alg>
                      </dgm:if>
                      <dgm:else name="Name27">
                        <dgm:alg type="snake">
                          <dgm:param type="off" val="ctr"/>
                          <dgm:param type="grDir" val="tR"/>
                        </dgm:alg>
                      </dgm:else>
                    </dgm:choose>
                  </dgm:else>
                </dgm:choose>
              </dgm:else>
            </dgm:choose>
          </dgm:else>
        </dgm:choose>
      </dgm:else>
    </dgm:choose>
    <dgm:shape xmlns:r="http://schemas.openxmlformats.org/officeDocument/2006/relationships" r:blip="">
      <dgm:adjLst/>
    </dgm:shape>
    <dgm:constrLst>
      <dgm:constr type="primFontSz" for="des" ptType="node" op="equ" val="65"/>
      <dgm:constr type="w" for="ch" forName="composite" refType="h" fact="0.8"/>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0.7568"/>
        </dgm:alg>
        <dgm:shape xmlns:r="http://schemas.openxmlformats.org/officeDocument/2006/relationships" r:blip="">
          <dgm:adjLst/>
        </dgm:shape>
        <dgm:constrLst>
          <dgm:constr type="l" for="ch" forName="rect1" refType="w" fact="0"/>
          <dgm:constr type="t" for="ch" forName="rect1" refType="h" fact="0.15"/>
          <dgm:constr type="w" for="ch" forName="rect1" refType="w"/>
          <dgm:constr type="h" for="ch" forName="rect1" refType="w"/>
          <dgm:constr type="l" for="ch" forName="rect2" refType="w" fact="0"/>
          <dgm:constr type="t" for="ch" forName="rect2" refType="h" fact="0"/>
          <dgm:constr type="w" for="ch" forName="rect2" refType="w"/>
          <dgm:constr type="h" for="ch" forName="rect2" refType="w" fact="0.15"/>
        </dgm:constrLst>
        <dgm:layoutNode name="rect2" styleLbl="revTx">
          <dgm:varLst>
            <dgm:bulletEnabled val="1"/>
          </dgm:varLst>
          <dgm:alg type="tx">
            <dgm:param type="stBulletLvl" val="3"/>
            <dgm:param type="parTxLTRAlign" val="l"/>
            <dgm:param type="parTxRTLAlign" val="r"/>
            <dgm:param type="txAnchorVert" val="b"/>
            <dgm:param type="txAnchorVertCh" val="b"/>
          </dgm:alg>
          <dgm:shape xmlns:r="http://schemas.openxmlformats.org/officeDocument/2006/relationships" type="rect" r:blip="">
            <dgm:adjLst/>
          </dgm:shape>
          <dgm:presOf axis="desOrSelf" ptType="node"/>
          <dgm:constrLst>
            <dgm:constr type="lMarg" refType="primFontSz" fact="0"/>
            <dgm:constr type="rMarg" refType="primFontSz" fact="0.3"/>
            <dgm:constr type="tMarg" refType="primFontSz" fact="0.3"/>
            <dgm:constr type="bMarg" refType="primFontSz" fact="0"/>
            <dgm:constr type="secFontSz" refType="primFontSz" fact="0.8"/>
          </dgm:constrLst>
          <dgm:ruleLst>
            <dgm:rule type="primFontSz" val="5" fact="NaN" max="NaN"/>
          </dgm:ruleLst>
        </dgm:layoutNode>
        <dgm:layoutNode name="rect1" styleLbl="align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3.59975E-6</cdr:x>
      <cdr:y>0</cdr:y>
    </cdr:from>
    <cdr:to>
      <cdr:x>3.59975E-6</cdr:x>
      <cdr:y>0</cdr:y>
    </cdr:to>
    <cdr:grpSp>
      <cdr:nvGrpSpPr>
        <cdr:cNvPr id="8" name="Groupe 7">
          <a:extLst xmlns:a="http://schemas.openxmlformats.org/drawingml/2006/main">
            <a:ext uri="{FF2B5EF4-FFF2-40B4-BE49-F238E27FC236}">
              <a16:creationId xmlns:a16="http://schemas.microsoft.com/office/drawing/2014/main" id="{D2C632D8-574E-2298-E74E-2A921AB70966}"/>
            </a:ext>
          </a:extLst>
        </cdr:cNvPr>
        <cdr:cNvGrpSpPr/>
      </cdr:nvGrpSpPr>
      <cdr:grpSpPr>
        <a:xfrm xmlns:a="http://schemas.openxmlformats.org/drawingml/2006/main">
          <a:off x="32" y="0"/>
          <a:ext cx="0" cy="0"/>
          <a:chOff x="32" y="0"/>
          <a:chExt cx="0" cy="0"/>
        </a:xfrm>
      </cdr:grpSpPr>
      <cdr:grpSp>
        <cdr:nvGrpSpPr>
          <cdr:cNvPr id="6" name="Groupe 5">
            <a:extLst xmlns:a="http://schemas.openxmlformats.org/drawingml/2006/main">
              <a:ext uri="{FF2B5EF4-FFF2-40B4-BE49-F238E27FC236}">
                <a16:creationId xmlns:a16="http://schemas.microsoft.com/office/drawing/2014/main" id="{B05C3212-A7C5-045D-7959-AC877E5F6002}"/>
              </a:ext>
            </a:extLst>
          </cdr:cNvPr>
          <cdr:cNvGrpSpPr/>
        </cdr:nvGrpSpPr>
        <cdr:grpSpPr>
          <a:xfrm xmlns:a="http://schemas.openxmlformats.org/drawingml/2006/main">
            <a:off x="45" y="0"/>
            <a:ext cx="0" cy="0"/>
            <a:chOff x="45" y="0"/>
            <a:chExt cx="0" cy="0"/>
          </a:xfrm>
        </cdr:grpSpPr>
      </cdr:grpSp>
    </cdr:grpSp>
  </cdr:relSizeAnchor>
</c:userShapes>
</file>

<file path=word/drawings/drawing2.xml><?xml version="1.0" encoding="utf-8"?>
<c:userShapes xmlns:c="http://schemas.openxmlformats.org/drawingml/2006/chart">
  <cdr:relSizeAnchor xmlns:cdr="http://schemas.openxmlformats.org/drawingml/2006/chartDrawing">
    <cdr:from>
      <cdr:x>0.27924</cdr:x>
      <cdr:y>0.62154</cdr:y>
    </cdr:from>
    <cdr:to>
      <cdr:x>0.69815</cdr:x>
      <cdr:y>0.62304</cdr:y>
    </cdr:to>
    <cdr:cxnSp macro="">
      <cdr:nvCxnSpPr>
        <cdr:cNvPr id="9" name="Connecteur droit 8">
          <a:extLst xmlns:a="http://schemas.openxmlformats.org/drawingml/2006/main">
            <a:ext uri="{FF2B5EF4-FFF2-40B4-BE49-F238E27FC236}">
              <a16:creationId xmlns:a16="http://schemas.microsoft.com/office/drawing/2014/main" id="{2A0D6FEB-5A26-BFE8-3980-A5120864EB18}"/>
            </a:ext>
          </a:extLst>
        </cdr:cNvPr>
        <cdr:cNvCxnSpPr/>
      </cdr:nvCxnSpPr>
      <cdr:spPr>
        <a:xfrm xmlns:a="http://schemas.openxmlformats.org/drawingml/2006/main" flipH="1">
          <a:off x="683393" y="1881441"/>
          <a:ext cx="1025194" cy="4540"/>
        </a:xfrm>
        <a:prstGeom xmlns:a="http://schemas.openxmlformats.org/drawingml/2006/main" prst="line">
          <a:avLst/>
        </a:prstGeom>
        <a:ln xmlns:a="http://schemas.openxmlformats.org/drawingml/2006/main" w="12700">
          <a:solidFill>
            <a:srgbClr val="00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0.27629</cdr:x>
      <cdr:y>0.68893</cdr:y>
    </cdr:from>
    <cdr:to>
      <cdr:x>0.6952</cdr:x>
      <cdr:y>0.69043</cdr:y>
    </cdr:to>
    <cdr:cxnSp macro="">
      <cdr:nvCxnSpPr>
        <cdr:cNvPr id="4" name="Connecteur droit 3">
          <a:extLst xmlns:a="http://schemas.openxmlformats.org/drawingml/2006/main">
            <a:ext uri="{FF2B5EF4-FFF2-40B4-BE49-F238E27FC236}">
              <a16:creationId xmlns:a16="http://schemas.microsoft.com/office/drawing/2014/main" id="{0360D8F8-1A10-8BE3-ACF3-922672641A8B}"/>
            </a:ext>
          </a:extLst>
        </cdr:cNvPr>
        <cdr:cNvCxnSpPr/>
      </cdr:nvCxnSpPr>
      <cdr:spPr>
        <a:xfrm xmlns:a="http://schemas.openxmlformats.org/drawingml/2006/main" flipH="1">
          <a:off x="676162" y="2085435"/>
          <a:ext cx="1025194" cy="4540"/>
        </a:xfrm>
        <a:prstGeom xmlns:a="http://schemas.openxmlformats.org/drawingml/2006/main" prst="line">
          <a:avLst/>
        </a:prstGeom>
        <a:ln xmlns:a="http://schemas.openxmlformats.org/drawingml/2006/main" w="12700">
          <a:solidFill>
            <a:srgbClr val="00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0.27572</cdr:x>
      <cdr:y>0.58824</cdr:y>
    </cdr:from>
    <cdr:to>
      <cdr:x>0.69463</cdr:x>
      <cdr:y>0.58974</cdr:y>
    </cdr:to>
    <cdr:cxnSp macro="">
      <cdr:nvCxnSpPr>
        <cdr:cNvPr id="9" name="Connecteur droit 8">
          <a:extLst xmlns:a="http://schemas.openxmlformats.org/drawingml/2006/main">
            <a:ext uri="{FF2B5EF4-FFF2-40B4-BE49-F238E27FC236}">
              <a16:creationId xmlns:a16="http://schemas.microsoft.com/office/drawing/2014/main" id="{2A0D6FEB-5A26-BFE8-3980-A5120864EB18}"/>
            </a:ext>
          </a:extLst>
        </cdr:cNvPr>
        <cdr:cNvCxnSpPr/>
      </cdr:nvCxnSpPr>
      <cdr:spPr>
        <a:xfrm xmlns:a="http://schemas.openxmlformats.org/drawingml/2006/main" flipH="1">
          <a:off x="449885" y="1607793"/>
          <a:ext cx="683538" cy="4080"/>
        </a:xfrm>
        <a:prstGeom xmlns:a="http://schemas.openxmlformats.org/drawingml/2006/main" prst="line">
          <a:avLst/>
        </a:prstGeom>
        <a:ln xmlns:a="http://schemas.openxmlformats.org/drawingml/2006/main" w="12700">
          <a:solidFill>
            <a:srgbClr val="00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0.27752</cdr:x>
      <cdr:y>0.6769</cdr:y>
    </cdr:from>
    <cdr:to>
      <cdr:x>0.69643</cdr:x>
      <cdr:y>0.6784</cdr:y>
    </cdr:to>
    <cdr:cxnSp macro="">
      <cdr:nvCxnSpPr>
        <cdr:cNvPr id="4" name="Connecteur droit 3">
          <a:extLst xmlns:a="http://schemas.openxmlformats.org/drawingml/2006/main">
            <a:ext uri="{FF2B5EF4-FFF2-40B4-BE49-F238E27FC236}">
              <a16:creationId xmlns:a16="http://schemas.microsoft.com/office/drawing/2014/main" id="{0360D8F8-1A10-8BE3-ACF3-922672641A8B}"/>
            </a:ext>
          </a:extLst>
        </cdr:cNvPr>
        <cdr:cNvCxnSpPr/>
      </cdr:nvCxnSpPr>
      <cdr:spPr>
        <a:xfrm xmlns:a="http://schemas.openxmlformats.org/drawingml/2006/main" flipH="1">
          <a:off x="452829" y="1850117"/>
          <a:ext cx="683538" cy="4080"/>
        </a:xfrm>
        <a:prstGeom xmlns:a="http://schemas.openxmlformats.org/drawingml/2006/main" prst="line">
          <a:avLst/>
        </a:prstGeom>
        <a:ln xmlns:a="http://schemas.openxmlformats.org/drawingml/2006/main" w="12700">
          <a:solidFill>
            <a:srgbClr val="00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0.xml><?xml version="1.0" encoding="utf-8"?>
<c:userShapes xmlns:c="http://schemas.openxmlformats.org/drawingml/2006/chart">
  <cdr:relSizeAnchor xmlns:cdr="http://schemas.openxmlformats.org/drawingml/2006/chartDrawing">
    <cdr:from>
      <cdr:x>0.27572</cdr:x>
      <cdr:y>0.58824</cdr:y>
    </cdr:from>
    <cdr:to>
      <cdr:x>0.69463</cdr:x>
      <cdr:y>0.58974</cdr:y>
    </cdr:to>
    <cdr:cxnSp macro="">
      <cdr:nvCxnSpPr>
        <cdr:cNvPr id="9" name="Connecteur droit 8">
          <a:extLst xmlns:a="http://schemas.openxmlformats.org/drawingml/2006/main">
            <a:ext uri="{FF2B5EF4-FFF2-40B4-BE49-F238E27FC236}">
              <a16:creationId xmlns:a16="http://schemas.microsoft.com/office/drawing/2014/main" id="{2A0D6FEB-5A26-BFE8-3980-A5120864EB18}"/>
            </a:ext>
          </a:extLst>
        </cdr:cNvPr>
        <cdr:cNvCxnSpPr/>
      </cdr:nvCxnSpPr>
      <cdr:spPr>
        <a:xfrm xmlns:a="http://schemas.openxmlformats.org/drawingml/2006/main" flipH="1">
          <a:off x="449885" y="1607793"/>
          <a:ext cx="683538" cy="4080"/>
        </a:xfrm>
        <a:prstGeom xmlns:a="http://schemas.openxmlformats.org/drawingml/2006/main" prst="line">
          <a:avLst/>
        </a:prstGeom>
        <a:ln xmlns:a="http://schemas.openxmlformats.org/drawingml/2006/main" w="12700">
          <a:solidFill>
            <a:srgbClr val="00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0.27752</cdr:x>
      <cdr:y>0.6769</cdr:y>
    </cdr:from>
    <cdr:to>
      <cdr:x>0.69643</cdr:x>
      <cdr:y>0.6784</cdr:y>
    </cdr:to>
    <cdr:cxnSp macro="">
      <cdr:nvCxnSpPr>
        <cdr:cNvPr id="4" name="Connecteur droit 3">
          <a:extLst xmlns:a="http://schemas.openxmlformats.org/drawingml/2006/main">
            <a:ext uri="{FF2B5EF4-FFF2-40B4-BE49-F238E27FC236}">
              <a16:creationId xmlns:a16="http://schemas.microsoft.com/office/drawing/2014/main" id="{0360D8F8-1A10-8BE3-ACF3-922672641A8B}"/>
            </a:ext>
          </a:extLst>
        </cdr:cNvPr>
        <cdr:cNvCxnSpPr/>
      </cdr:nvCxnSpPr>
      <cdr:spPr>
        <a:xfrm xmlns:a="http://schemas.openxmlformats.org/drawingml/2006/main" flipH="1">
          <a:off x="452829" y="1850117"/>
          <a:ext cx="683538" cy="4080"/>
        </a:xfrm>
        <a:prstGeom xmlns:a="http://schemas.openxmlformats.org/drawingml/2006/main" prst="line">
          <a:avLst/>
        </a:prstGeom>
        <a:ln xmlns:a="http://schemas.openxmlformats.org/drawingml/2006/main" w="12700">
          <a:solidFill>
            <a:srgbClr val="00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0.77856</cdr:x>
      <cdr:y>0.78791</cdr:y>
    </cdr:from>
    <cdr:to>
      <cdr:x>0.96913</cdr:x>
      <cdr:y>0.9969</cdr:y>
    </cdr:to>
    <cdr:grpSp>
      <cdr:nvGrpSpPr>
        <cdr:cNvPr id="3" name="Groupe 2">
          <a:extLst xmlns:a="http://schemas.openxmlformats.org/drawingml/2006/main">
            <a:ext uri="{FF2B5EF4-FFF2-40B4-BE49-F238E27FC236}">
              <a16:creationId xmlns:a16="http://schemas.microsoft.com/office/drawing/2014/main" id="{54636C92-3A01-4E11-9563-32194C4D419A}"/>
            </a:ext>
          </a:extLst>
        </cdr:cNvPr>
        <cdr:cNvGrpSpPr/>
      </cdr:nvGrpSpPr>
      <cdr:grpSpPr>
        <a:xfrm xmlns:a="http://schemas.openxmlformats.org/drawingml/2006/main">
          <a:off x="4505327" y="2352532"/>
          <a:ext cx="1102810" cy="623990"/>
          <a:chOff x="-3067975" y="-6634480"/>
          <a:chExt cx="620050" cy="533400"/>
        </a:xfrm>
      </cdr:grpSpPr>
      <cdr:sp macro="" textlink="">
        <cdr:nvSpPr>
          <cdr:cNvPr id="4" name="Zone de texte 69"/>
          <cdr:cNvSpPr txBox="1"/>
        </cdr:nvSpPr>
        <cdr:spPr>
          <a:xfrm xmlns:a="http://schemas.openxmlformats.org/drawingml/2006/main">
            <a:off x="-3067975" y="-6634480"/>
            <a:ext cx="620050" cy="257175"/>
          </a:xfrm>
          <a:prstGeom xmlns:a="http://schemas.openxmlformats.org/drawingml/2006/main" prst="rect">
            <a:avLst/>
          </a:prstGeom>
          <a:solidFill xmlns:a="http://schemas.openxmlformats.org/drawingml/2006/main">
            <a:sysClr val="window" lastClr="FFFFFF"/>
          </a:solidFill>
          <a:ln xmlns:a="http://schemas.openxmlformats.org/drawingml/2006/main" w="6350">
            <a:solidFill>
              <a:schemeClr val="bg1">
                <a:lumMod val="50000"/>
              </a:schemeClr>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spcBef>
                <a:spcPts val="600"/>
              </a:spcBef>
              <a:spcAft>
                <a:spcPts val="0"/>
              </a:spcAft>
            </a:pPr>
            <a:r>
              <a:rPr lang="fr-FR" sz="1000" b="1">
                <a:effectLst/>
                <a:latin typeface="+mn-lt"/>
                <a:ea typeface="Times New Roman" panose="02020603050405020304" pitchFamily="18" charset="0"/>
                <a:cs typeface="Prompt Light" panose="00000400000000000000" pitchFamily="2" charset="-34"/>
              </a:rPr>
              <a:t>ARP</a:t>
            </a:r>
          </a:p>
          <a:p xmlns:a="http://schemas.openxmlformats.org/drawingml/2006/main">
            <a:pPr algn="ctr">
              <a:spcBef>
                <a:spcPts val="600"/>
              </a:spcBef>
              <a:spcAft>
                <a:spcPts val="0"/>
              </a:spcAft>
            </a:pPr>
            <a:endParaRPr lang="fr-FR" sz="1000">
              <a:effectLst/>
              <a:latin typeface="+mn-lt"/>
              <a:ea typeface="Times New Roman" panose="02020603050405020304" pitchFamily="18" charset="0"/>
              <a:cs typeface="Prompt Light" panose="00000400000000000000" pitchFamily="2" charset="-34"/>
            </a:endParaRPr>
          </a:p>
        </cdr:txBody>
      </cdr:sp>
      <cdr:sp macro="" textlink="">
        <cdr:nvSpPr>
          <cdr:cNvPr id="5" name="Zone de texte 72"/>
          <cdr:cNvSpPr txBox="1"/>
        </cdr:nvSpPr>
        <cdr:spPr>
          <a:xfrm xmlns:a="http://schemas.openxmlformats.org/drawingml/2006/main">
            <a:off x="-2962275" y="-6358255"/>
            <a:ext cx="495300" cy="257175"/>
          </a:xfrm>
          <a:prstGeom xmlns:a="http://schemas.openxmlformats.org/drawingml/2006/main" prst="rect">
            <a:avLst/>
          </a:prstGeom>
          <a:solidFill xmlns:a="http://schemas.openxmlformats.org/drawingml/2006/main">
            <a:sysClr val="window" lastClr="FFFFFF"/>
          </a:solidFill>
          <a:ln xmlns:a="http://schemas.openxmlformats.org/drawingml/2006/main" w="6350">
            <a:no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spcBef>
                <a:spcPts val="600"/>
              </a:spcBef>
              <a:spcAft>
                <a:spcPts val="0"/>
              </a:spcAft>
            </a:pPr>
            <a:r>
              <a:rPr lang="fr-FR" sz="1000" i="1">
                <a:effectLst/>
                <a:latin typeface="+mn-lt"/>
                <a:ea typeface="Times New Roman" panose="02020603050405020304" pitchFamily="18" charset="0"/>
                <a:cs typeface="Prompt Light" panose="00000400000000000000" pitchFamily="2" charset="-34"/>
              </a:rPr>
              <a:t>Indice</a:t>
            </a:r>
            <a:endParaRPr lang="fr-FR" sz="1100">
              <a:effectLst/>
              <a:latin typeface="+mn-lt"/>
              <a:ea typeface="Times New Roman" panose="02020603050405020304" pitchFamily="18" charset="0"/>
              <a:cs typeface="Prompt Light" panose="00000400000000000000" pitchFamily="2" charset="-34"/>
            </a:endParaRPr>
          </a:p>
          <a:p xmlns:a="http://schemas.openxmlformats.org/drawingml/2006/main">
            <a:pPr algn="just">
              <a:spcBef>
                <a:spcPts val="600"/>
              </a:spcBef>
              <a:spcAft>
                <a:spcPts val="0"/>
              </a:spcAft>
            </a:pPr>
            <a:r>
              <a:rPr lang="fr-FR" sz="1100">
                <a:effectLst/>
                <a:latin typeface="+mn-lt"/>
                <a:ea typeface="Times New Roman" panose="02020603050405020304" pitchFamily="18" charset="0"/>
                <a:cs typeface="Prompt Light" panose="00000400000000000000" pitchFamily="2" charset="-34"/>
              </a:rPr>
              <a:t> </a:t>
            </a:r>
          </a:p>
        </cdr:txBody>
      </cdr:sp>
    </cdr:grpSp>
  </cdr:relSizeAnchor>
</c:userShapes>
</file>

<file path=word/drawings/drawing5.xml><?xml version="1.0" encoding="utf-8"?>
<c:userShapes xmlns:c="http://schemas.openxmlformats.org/drawingml/2006/chart">
  <cdr:relSizeAnchor xmlns:cdr="http://schemas.openxmlformats.org/drawingml/2006/chartDrawing">
    <cdr:from>
      <cdr:x>0.81303</cdr:x>
      <cdr:y>0.1096</cdr:y>
    </cdr:from>
    <cdr:to>
      <cdr:x>0.95234</cdr:x>
      <cdr:y>0.16451</cdr:y>
    </cdr:to>
    <cdr:sp macro="" textlink="">
      <cdr:nvSpPr>
        <cdr:cNvPr id="2" name="Rectangle: Rounded Corners 1">
          <a:extLst xmlns:a="http://schemas.openxmlformats.org/drawingml/2006/main">
            <a:ext uri="{FF2B5EF4-FFF2-40B4-BE49-F238E27FC236}">
              <a16:creationId xmlns:a16="http://schemas.microsoft.com/office/drawing/2014/main" id="{D7EB7085-3E88-4746-927A-9ECAAAE81E53}"/>
            </a:ext>
          </a:extLst>
        </cdr:cNvPr>
        <cdr:cNvSpPr/>
      </cdr:nvSpPr>
      <cdr:spPr>
        <a:xfrm xmlns:a="http://schemas.openxmlformats.org/drawingml/2006/main">
          <a:off x="4684144" y="500117"/>
          <a:ext cx="802625" cy="250560"/>
        </a:xfrm>
        <a:prstGeom xmlns:a="http://schemas.openxmlformats.org/drawingml/2006/main" prst="roundRect">
          <a:avLst/>
        </a:prstGeom>
        <a:noFill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fld id="{285402C4-F6E1-4963-802D-9E9386AD2C15}" type="TxLink">
            <a:rPr lang="en-US" sz="1100" b="0" i="0" u="none" strike="noStrike">
              <a:solidFill>
                <a:srgbClr val="000000"/>
              </a:solidFill>
              <a:latin typeface="Calibri"/>
              <a:ea typeface="Calibri"/>
              <a:cs typeface="Calibri"/>
            </a:rPr>
            <a:pPr algn="ctr"/>
            <a:t>€ 0m</a:t>
          </a:fld>
          <a:endParaRPr lang="en-GB" sz="1100">
            <a:solidFill>
              <a:sysClr val="windowText" lastClr="000000"/>
            </a:solidFill>
          </a:endParaRPr>
        </a:p>
      </cdr:txBody>
    </cdr:sp>
  </cdr:relSizeAnchor>
  <cdr:relSizeAnchor xmlns:cdr="http://schemas.openxmlformats.org/drawingml/2006/chartDrawing">
    <cdr:from>
      <cdr:x>0.81453</cdr:x>
      <cdr:y>0.8251</cdr:y>
    </cdr:from>
    <cdr:to>
      <cdr:x>0.95691</cdr:x>
      <cdr:y>0.88002</cdr:y>
    </cdr:to>
    <cdr:sp macro="" textlink="">
      <cdr:nvSpPr>
        <cdr:cNvPr id="3" name="Rectangle: Rounded Corners 2">
          <a:extLst xmlns:a="http://schemas.openxmlformats.org/drawingml/2006/main">
            <a:ext uri="{FF2B5EF4-FFF2-40B4-BE49-F238E27FC236}">
              <a16:creationId xmlns:a16="http://schemas.microsoft.com/office/drawing/2014/main" id="{B38D31EF-8CC9-48CA-9EFE-463A6D05F6AE}"/>
            </a:ext>
          </a:extLst>
        </cdr:cNvPr>
        <cdr:cNvSpPr/>
      </cdr:nvSpPr>
      <cdr:spPr>
        <a:xfrm xmlns:a="http://schemas.openxmlformats.org/drawingml/2006/main">
          <a:off x="4692771" y="3765022"/>
          <a:ext cx="820328" cy="250606"/>
        </a:xfrm>
        <a:prstGeom xmlns:a="http://schemas.openxmlformats.org/drawingml/2006/main" prst="roundRect">
          <a:avLst/>
        </a:prstGeom>
        <a:noFill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en-US" sz="1100" b="0" i="0" u="none" strike="noStrike">
              <a:solidFill>
                <a:srgbClr val="000000"/>
              </a:solidFill>
              <a:latin typeface="Calibri"/>
              <a:ea typeface="Calibri"/>
              <a:cs typeface="Calibri"/>
            </a:rPr>
            <a:t>17</a:t>
          </a:r>
          <a:r>
            <a:rPr lang="en-US" sz="1100" b="0" i="0" u="none" strike="noStrike" baseline="0">
              <a:solidFill>
                <a:srgbClr val="000000"/>
              </a:solidFill>
              <a:latin typeface="Calibri"/>
              <a:ea typeface="Calibri"/>
              <a:cs typeface="Calibri"/>
            </a:rPr>
            <a:t> 680 M€</a:t>
          </a:r>
          <a:endParaRPr lang="en-GB" sz="1100">
            <a:solidFill>
              <a:sysClr val="windowText" lastClr="000000"/>
            </a:solidFill>
          </a:endParaRPr>
        </a:p>
      </cdr:txBody>
    </cdr:sp>
  </cdr:relSizeAnchor>
  <cdr:relSizeAnchor xmlns:cdr="http://schemas.openxmlformats.org/drawingml/2006/chartDrawing">
    <cdr:from>
      <cdr:x>0.08795</cdr:x>
      <cdr:y>0.82022</cdr:y>
    </cdr:from>
    <cdr:to>
      <cdr:x>0.21711</cdr:x>
      <cdr:y>0.87514</cdr:y>
    </cdr:to>
    <cdr:sp macro="" textlink="">
      <cdr:nvSpPr>
        <cdr:cNvPr id="4" name="Rectangle: Rounded Corners 3">
          <a:extLst xmlns:a="http://schemas.openxmlformats.org/drawingml/2006/main">
            <a:ext uri="{FF2B5EF4-FFF2-40B4-BE49-F238E27FC236}">
              <a16:creationId xmlns:a16="http://schemas.microsoft.com/office/drawing/2014/main" id="{6206A6B8-4DD1-4230-A983-EDFC4B1DA810}"/>
            </a:ext>
          </a:extLst>
        </cdr:cNvPr>
        <cdr:cNvSpPr/>
      </cdr:nvSpPr>
      <cdr:spPr>
        <a:xfrm xmlns:a="http://schemas.openxmlformats.org/drawingml/2006/main">
          <a:off x="506710" y="3742754"/>
          <a:ext cx="744119" cy="250606"/>
        </a:xfrm>
        <a:prstGeom xmlns:a="http://schemas.openxmlformats.org/drawingml/2006/main" prst="roundRect">
          <a:avLst/>
        </a:prstGeom>
        <a:noFill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r>
            <a:rPr lang="en-US" sz="1100" b="0" i="0" u="none" strike="noStrike">
              <a:solidFill>
                <a:srgbClr val="000000"/>
              </a:solidFill>
              <a:latin typeface="Calibri"/>
              <a:ea typeface="Calibri"/>
              <a:cs typeface="Calibri"/>
            </a:rPr>
            <a:t>262M€</a:t>
          </a:r>
          <a:endParaRPr lang="en-GB" sz="1100">
            <a:solidFill>
              <a:sysClr val="windowText" lastClr="000000"/>
            </a:solidFill>
          </a:endParaRPr>
        </a:p>
      </cdr:txBody>
    </cdr:sp>
  </cdr:relSizeAnchor>
  <cdr:relSizeAnchor xmlns:cdr="http://schemas.openxmlformats.org/drawingml/2006/chartDrawing">
    <cdr:from>
      <cdr:x>0.0979</cdr:x>
      <cdr:y>0.11471</cdr:y>
    </cdr:from>
    <cdr:to>
      <cdr:x>0.20663</cdr:x>
      <cdr:y>0.16962</cdr:y>
    </cdr:to>
    <cdr:sp macro="" textlink="">
      <cdr:nvSpPr>
        <cdr:cNvPr id="5" name="Rectangle: Rounded Corners 4">
          <a:extLst xmlns:a="http://schemas.openxmlformats.org/drawingml/2006/main">
            <a:ext uri="{FF2B5EF4-FFF2-40B4-BE49-F238E27FC236}">
              <a16:creationId xmlns:a16="http://schemas.microsoft.com/office/drawing/2014/main" id="{F19F1A5D-458B-4DE3-84CD-6F284B8E51DA}"/>
            </a:ext>
          </a:extLst>
        </cdr:cNvPr>
        <cdr:cNvSpPr/>
      </cdr:nvSpPr>
      <cdr:spPr>
        <a:xfrm xmlns:a="http://schemas.openxmlformats.org/drawingml/2006/main">
          <a:off x="564037" y="523434"/>
          <a:ext cx="626408" cy="250561"/>
        </a:xfrm>
        <a:prstGeom xmlns:a="http://schemas.openxmlformats.org/drawingml/2006/main" prst="roundRect">
          <a:avLst/>
        </a:prstGeom>
        <a:noFill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fld id="{DB21E6A6-303E-449D-B4D9-01A595F94E7C}" type="TxLink">
            <a:rPr lang="en-US" sz="1100" b="0" i="0" u="none" strike="noStrike">
              <a:solidFill>
                <a:srgbClr val="000000"/>
              </a:solidFill>
              <a:latin typeface="Calibri"/>
              <a:ea typeface="Calibri"/>
              <a:cs typeface="Calibri"/>
            </a:rPr>
            <a:pPr algn="ctr"/>
            <a:t>€ 0m</a:t>
          </a:fld>
          <a:endParaRPr lang="en-GB" sz="1100">
            <a:solidFill>
              <a:sysClr val="windowText" lastClr="000000"/>
            </a:solidFill>
          </a:endParaRP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E7B504962804A9EBEA5E6A8533B8427"/>
        <w:category>
          <w:name w:val="Général"/>
          <w:gallery w:val="placeholder"/>
        </w:category>
        <w:types>
          <w:type w:val="bbPlcHdr"/>
        </w:types>
        <w:behaviors>
          <w:behavior w:val="content"/>
        </w:behaviors>
        <w:guid w:val="{C5CD7CE5-FAA8-49FC-847D-6E87E2D7F4FD}"/>
      </w:docPartPr>
      <w:docPartBody>
        <w:p w:rsidR="008015C7" w:rsidRDefault="00BB049C" w:rsidP="00BB049C">
          <w:pPr>
            <w:pStyle w:val="2E7B504962804A9EBEA5E6A8533B8427"/>
          </w:pPr>
          <w:r w:rsidRPr="00114D16">
            <w:rPr>
              <w:rStyle w:val="Textedelespacerserv"/>
            </w:rPr>
            <w:t>Choisissez un élément.</w:t>
          </w:r>
        </w:p>
      </w:docPartBody>
    </w:docPart>
    <w:docPart>
      <w:docPartPr>
        <w:name w:val="EB512ACEA9C84F6F99E944189B2D7F23"/>
        <w:category>
          <w:name w:val="Général"/>
          <w:gallery w:val="placeholder"/>
        </w:category>
        <w:types>
          <w:type w:val="bbPlcHdr"/>
        </w:types>
        <w:behaviors>
          <w:behavior w:val="content"/>
        </w:behaviors>
        <w:guid w:val="{B7103A33-89EA-44FE-86CD-AD39919C9511}"/>
      </w:docPartPr>
      <w:docPartBody>
        <w:p w:rsidR="008015C7" w:rsidRDefault="00BB049C" w:rsidP="00BB049C">
          <w:pPr>
            <w:pStyle w:val="EB512ACEA9C84F6F99E944189B2D7F23"/>
          </w:pPr>
          <w:r w:rsidRPr="00FE2328">
            <w:rPr>
              <w:rStyle w:val="Textedelespacerserv"/>
            </w:rPr>
            <w:t>[Titre ]</w:t>
          </w:r>
        </w:p>
      </w:docPartBody>
    </w:docPart>
    <w:docPart>
      <w:docPartPr>
        <w:name w:val="F3C2A4BBC3F6436685DC49128F343BAE"/>
        <w:category>
          <w:name w:val="Général"/>
          <w:gallery w:val="placeholder"/>
        </w:category>
        <w:types>
          <w:type w:val="bbPlcHdr"/>
        </w:types>
        <w:behaviors>
          <w:behavior w:val="content"/>
        </w:behaviors>
        <w:guid w:val="{C3D53359-048B-463F-ABFC-92771879E251}"/>
      </w:docPartPr>
      <w:docPartBody>
        <w:p w:rsidR="008015C7" w:rsidRDefault="00BB049C" w:rsidP="00BB049C">
          <w:pPr>
            <w:pStyle w:val="F3C2A4BBC3F6436685DC49128F343BAE"/>
          </w:pPr>
          <w:r w:rsidRPr="00DD2D35">
            <w:rPr>
              <w:rStyle w:val="Textedelespacerserv"/>
            </w:rPr>
            <w:t>[Objet ]</w:t>
          </w:r>
        </w:p>
      </w:docPartBody>
    </w:docPart>
    <w:docPart>
      <w:docPartPr>
        <w:name w:val="124818B3B0DE4096B36CE0C8ABC9D461"/>
        <w:category>
          <w:name w:val="Général"/>
          <w:gallery w:val="placeholder"/>
        </w:category>
        <w:types>
          <w:type w:val="bbPlcHdr"/>
        </w:types>
        <w:behaviors>
          <w:behavior w:val="content"/>
        </w:behaviors>
        <w:guid w:val="{822618F0-3B7A-4961-B45B-D7482648B58E}"/>
      </w:docPartPr>
      <w:docPartBody>
        <w:p w:rsidR="008015C7" w:rsidRDefault="00BB049C" w:rsidP="00BB049C">
          <w:pPr>
            <w:pStyle w:val="124818B3B0DE4096B36CE0C8ABC9D461"/>
          </w:pPr>
          <w:r w:rsidRPr="00FE2328">
            <w:rPr>
              <w:rStyle w:val="Textedelespacerserv"/>
            </w:rPr>
            <w:t>Cliquez ou appuyez ici pour entrer une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urce Sans Pro">
    <w:charset w:val="00"/>
    <w:family w:val="swiss"/>
    <w:pitch w:val="variable"/>
    <w:sig w:usb0="600002F7" w:usb1="02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200247B" w:usb2="00000009" w:usb3="00000000" w:csb0="000001FF" w:csb1="00000000"/>
  </w:font>
  <w:font w:name="Montserrat ExtraBold">
    <w:charset w:val="00"/>
    <w:family w:val="auto"/>
    <w:pitch w:val="variable"/>
    <w:sig w:usb0="2000020F" w:usb1="00000003" w:usb2="00000000" w:usb3="00000000" w:csb0="00000197"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MS Mincho">
    <w:panose1 w:val="02020609040205080304"/>
    <w:charset w:val="80"/>
    <w:family w:val="modern"/>
    <w:pitch w:val="fixed"/>
    <w:sig w:usb0="E00002FF" w:usb1="6AC7FDFB" w:usb2="08000012" w:usb3="00000000" w:csb0="0002009F" w:csb1="00000000"/>
  </w:font>
  <w:font w:name="FrutigerLTStd-Light">
    <w:altName w:val="Cambria"/>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Prompt Medium">
    <w:charset w:val="DE"/>
    <w:family w:val="auto"/>
    <w:pitch w:val="variable"/>
    <w:sig w:usb0="21000007" w:usb1="00000001" w:usb2="00000000" w:usb3="00000000" w:csb0="00010193" w:csb1="00000000"/>
  </w:font>
  <w:font w:name="Prompt Light">
    <w:charset w:val="DE"/>
    <w:family w:val="auto"/>
    <w:pitch w:val="variable"/>
    <w:sig w:usb0="21000007" w:usb1="00000001" w:usb2="00000000" w:usb3="00000000" w:csb0="00010193" w:csb1="00000000"/>
  </w:font>
  <w:font w:name="Prompt">
    <w:charset w:val="DE"/>
    <w:family w:val="auto"/>
    <w:pitch w:val="variable"/>
    <w:sig w:usb0="21000007" w:usb1="00000001" w:usb2="00000000" w:usb3="00000000" w:csb0="00010193"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sDel="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049C"/>
    <w:rsid w:val="00014070"/>
    <w:rsid w:val="00020B7D"/>
    <w:rsid w:val="00020B8E"/>
    <w:rsid w:val="000564B9"/>
    <w:rsid w:val="000569B2"/>
    <w:rsid w:val="00065B97"/>
    <w:rsid w:val="0006771D"/>
    <w:rsid w:val="00067E0F"/>
    <w:rsid w:val="000763F3"/>
    <w:rsid w:val="0008600E"/>
    <w:rsid w:val="00087CD1"/>
    <w:rsid w:val="000A0C84"/>
    <w:rsid w:val="000A7E8C"/>
    <w:rsid w:val="000B3E31"/>
    <w:rsid w:val="000C4DEB"/>
    <w:rsid w:val="000D0833"/>
    <w:rsid w:val="000D08AF"/>
    <w:rsid w:val="000F1A9C"/>
    <w:rsid w:val="000F3BC1"/>
    <w:rsid w:val="001020B2"/>
    <w:rsid w:val="00121A1B"/>
    <w:rsid w:val="00143298"/>
    <w:rsid w:val="0014507D"/>
    <w:rsid w:val="00147AF4"/>
    <w:rsid w:val="001505D0"/>
    <w:rsid w:val="001637C7"/>
    <w:rsid w:val="001655ED"/>
    <w:rsid w:val="00174DDE"/>
    <w:rsid w:val="00185878"/>
    <w:rsid w:val="00195B69"/>
    <w:rsid w:val="001A0096"/>
    <w:rsid w:val="001A1E53"/>
    <w:rsid w:val="001A6742"/>
    <w:rsid w:val="001C0B89"/>
    <w:rsid w:val="001C1658"/>
    <w:rsid w:val="001C4F70"/>
    <w:rsid w:val="001E490E"/>
    <w:rsid w:val="001E57A6"/>
    <w:rsid w:val="001E64C5"/>
    <w:rsid w:val="001E6602"/>
    <w:rsid w:val="001F784B"/>
    <w:rsid w:val="002001F9"/>
    <w:rsid w:val="00201386"/>
    <w:rsid w:val="0020554E"/>
    <w:rsid w:val="00206034"/>
    <w:rsid w:val="00216EB3"/>
    <w:rsid w:val="00233B72"/>
    <w:rsid w:val="002370DC"/>
    <w:rsid w:val="00242135"/>
    <w:rsid w:val="00253E36"/>
    <w:rsid w:val="00254270"/>
    <w:rsid w:val="002549C8"/>
    <w:rsid w:val="00273B33"/>
    <w:rsid w:val="00285E3E"/>
    <w:rsid w:val="002974FC"/>
    <w:rsid w:val="002A05D1"/>
    <w:rsid w:val="002B2591"/>
    <w:rsid w:val="002C19B3"/>
    <w:rsid w:val="002C6067"/>
    <w:rsid w:val="002D5C38"/>
    <w:rsid w:val="002E1162"/>
    <w:rsid w:val="002F13E2"/>
    <w:rsid w:val="002F3EC2"/>
    <w:rsid w:val="00300ACE"/>
    <w:rsid w:val="003072AF"/>
    <w:rsid w:val="003460B9"/>
    <w:rsid w:val="00350FA0"/>
    <w:rsid w:val="003535B2"/>
    <w:rsid w:val="0035644B"/>
    <w:rsid w:val="00365C4F"/>
    <w:rsid w:val="0036693E"/>
    <w:rsid w:val="003678F8"/>
    <w:rsid w:val="00372131"/>
    <w:rsid w:val="003741A5"/>
    <w:rsid w:val="00376A3A"/>
    <w:rsid w:val="00377C2B"/>
    <w:rsid w:val="00380F2A"/>
    <w:rsid w:val="00381197"/>
    <w:rsid w:val="00384022"/>
    <w:rsid w:val="00385937"/>
    <w:rsid w:val="00385CEA"/>
    <w:rsid w:val="00391B28"/>
    <w:rsid w:val="00394961"/>
    <w:rsid w:val="003A000C"/>
    <w:rsid w:val="003A05C2"/>
    <w:rsid w:val="003C5DED"/>
    <w:rsid w:val="003C6362"/>
    <w:rsid w:val="003D38C6"/>
    <w:rsid w:val="003E2D98"/>
    <w:rsid w:val="003E30B1"/>
    <w:rsid w:val="003F6C51"/>
    <w:rsid w:val="00401F6F"/>
    <w:rsid w:val="004163D5"/>
    <w:rsid w:val="00422A3F"/>
    <w:rsid w:val="0043040A"/>
    <w:rsid w:val="00450632"/>
    <w:rsid w:val="00450CD3"/>
    <w:rsid w:val="0046223E"/>
    <w:rsid w:val="0046273C"/>
    <w:rsid w:val="004679FE"/>
    <w:rsid w:val="00480D60"/>
    <w:rsid w:val="00482C46"/>
    <w:rsid w:val="00492B7A"/>
    <w:rsid w:val="00496F8F"/>
    <w:rsid w:val="004B6166"/>
    <w:rsid w:val="004B6F15"/>
    <w:rsid w:val="004C31C3"/>
    <w:rsid w:val="004C35C5"/>
    <w:rsid w:val="004D4218"/>
    <w:rsid w:val="005047FE"/>
    <w:rsid w:val="00512609"/>
    <w:rsid w:val="00523C8E"/>
    <w:rsid w:val="0052676E"/>
    <w:rsid w:val="0053186C"/>
    <w:rsid w:val="00533EED"/>
    <w:rsid w:val="00553671"/>
    <w:rsid w:val="00564433"/>
    <w:rsid w:val="00574D6E"/>
    <w:rsid w:val="005A3714"/>
    <w:rsid w:val="005C2758"/>
    <w:rsid w:val="005D04FB"/>
    <w:rsid w:val="005D4896"/>
    <w:rsid w:val="005E2D61"/>
    <w:rsid w:val="005E63ED"/>
    <w:rsid w:val="005F4446"/>
    <w:rsid w:val="0061143F"/>
    <w:rsid w:val="0064043C"/>
    <w:rsid w:val="006428AC"/>
    <w:rsid w:val="00644F8A"/>
    <w:rsid w:val="00646FD3"/>
    <w:rsid w:val="006618D3"/>
    <w:rsid w:val="0067271F"/>
    <w:rsid w:val="00672F34"/>
    <w:rsid w:val="006831BD"/>
    <w:rsid w:val="00690392"/>
    <w:rsid w:val="006905F0"/>
    <w:rsid w:val="0069091D"/>
    <w:rsid w:val="006A5375"/>
    <w:rsid w:val="006D70A4"/>
    <w:rsid w:val="006E383A"/>
    <w:rsid w:val="006E679E"/>
    <w:rsid w:val="006E762F"/>
    <w:rsid w:val="006F3AA4"/>
    <w:rsid w:val="00702211"/>
    <w:rsid w:val="00724574"/>
    <w:rsid w:val="007324A8"/>
    <w:rsid w:val="00732556"/>
    <w:rsid w:val="00740124"/>
    <w:rsid w:val="00754756"/>
    <w:rsid w:val="0076220D"/>
    <w:rsid w:val="00770703"/>
    <w:rsid w:val="007918D1"/>
    <w:rsid w:val="007A2870"/>
    <w:rsid w:val="007B2CD4"/>
    <w:rsid w:val="007C1F84"/>
    <w:rsid w:val="007C2708"/>
    <w:rsid w:val="007E54D1"/>
    <w:rsid w:val="007F453E"/>
    <w:rsid w:val="00800AF0"/>
    <w:rsid w:val="008015C7"/>
    <w:rsid w:val="00810E85"/>
    <w:rsid w:val="00840A27"/>
    <w:rsid w:val="008439E2"/>
    <w:rsid w:val="00866ADB"/>
    <w:rsid w:val="00871D9E"/>
    <w:rsid w:val="00887E52"/>
    <w:rsid w:val="00892230"/>
    <w:rsid w:val="008A590A"/>
    <w:rsid w:val="008B624A"/>
    <w:rsid w:val="008D59C2"/>
    <w:rsid w:val="008E0163"/>
    <w:rsid w:val="008F00CE"/>
    <w:rsid w:val="00903592"/>
    <w:rsid w:val="009044E7"/>
    <w:rsid w:val="00904E21"/>
    <w:rsid w:val="00915090"/>
    <w:rsid w:val="00916B7A"/>
    <w:rsid w:val="00921BCC"/>
    <w:rsid w:val="00925D03"/>
    <w:rsid w:val="0095221A"/>
    <w:rsid w:val="0096469D"/>
    <w:rsid w:val="00974445"/>
    <w:rsid w:val="00982344"/>
    <w:rsid w:val="00984BC4"/>
    <w:rsid w:val="009913CF"/>
    <w:rsid w:val="009B3380"/>
    <w:rsid w:val="009D6E00"/>
    <w:rsid w:val="009E4F5D"/>
    <w:rsid w:val="00A06AF2"/>
    <w:rsid w:val="00A12899"/>
    <w:rsid w:val="00A12AF8"/>
    <w:rsid w:val="00A40439"/>
    <w:rsid w:val="00A42633"/>
    <w:rsid w:val="00A50753"/>
    <w:rsid w:val="00A51F13"/>
    <w:rsid w:val="00A520E8"/>
    <w:rsid w:val="00A57556"/>
    <w:rsid w:val="00A66EA4"/>
    <w:rsid w:val="00A83E57"/>
    <w:rsid w:val="00A967B1"/>
    <w:rsid w:val="00AE04A9"/>
    <w:rsid w:val="00AE38E4"/>
    <w:rsid w:val="00AF0331"/>
    <w:rsid w:val="00B00912"/>
    <w:rsid w:val="00B01AE0"/>
    <w:rsid w:val="00B118AB"/>
    <w:rsid w:val="00B13ADE"/>
    <w:rsid w:val="00B24145"/>
    <w:rsid w:val="00B26A59"/>
    <w:rsid w:val="00B3513C"/>
    <w:rsid w:val="00B35648"/>
    <w:rsid w:val="00B623B4"/>
    <w:rsid w:val="00B95927"/>
    <w:rsid w:val="00BB0080"/>
    <w:rsid w:val="00BB049C"/>
    <w:rsid w:val="00BB3AEA"/>
    <w:rsid w:val="00BC7815"/>
    <w:rsid w:val="00BD62B9"/>
    <w:rsid w:val="00BD7090"/>
    <w:rsid w:val="00C0287A"/>
    <w:rsid w:val="00C112A1"/>
    <w:rsid w:val="00C20E5D"/>
    <w:rsid w:val="00C24DF1"/>
    <w:rsid w:val="00C2524D"/>
    <w:rsid w:val="00C31CAA"/>
    <w:rsid w:val="00C32F82"/>
    <w:rsid w:val="00C41B28"/>
    <w:rsid w:val="00C47081"/>
    <w:rsid w:val="00CA36B5"/>
    <w:rsid w:val="00CA497F"/>
    <w:rsid w:val="00CA6374"/>
    <w:rsid w:val="00CB17B1"/>
    <w:rsid w:val="00CE0D18"/>
    <w:rsid w:val="00CE272D"/>
    <w:rsid w:val="00CF1833"/>
    <w:rsid w:val="00D1681D"/>
    <w:rsid w:val="00D26973"/>
    <w:rsid w:val="00D4427A"/>
    <w:rsid w:val="00D479CE"/>
    <w:rsid w:val="00D50748"/>
    <w:rsid w:val="00D527C1"/>
    <w:rsid w:val="00D53866"/>
    <w:rsid w:val="00D60472"/>
    <w:rsid w:val="00D67D0C"/>
    <w:rsid w:val="00D7267D"/>
    <w:rsid w:val="00D760E4"/>
    <w:rsid w:val="00D76B8A"/>
    <w:rsid w:val="00D83286"/>
    <w:rsid w:val="00D8422C"/>
    <w:rsid w:val="00D9222F"/>
    <w:rsid w:val="00D93A6C"/>
    <w:rsid w:val="00DA22F6"/>
    <w:rsid w:val="00DC069F"/>
    <w:rsid w:val="00DC4072"/>
    <w:rsid w:val="00DC7A56"/>
    <w:rsid w:val="00DD0673"/>
    <w:rsid w:val="00DD5387"/>
    <w:rsid w:val="00DE702C"/>
    <w:rsid w:val="00DE7684"/>
    <w:rsid w:val="00E032CF"/>
    <w:rsid w:val="00E133F1"/>
    <w:rsid w:val="00E15D20"/>
    <w:rsid w:val="00E25D45"/>
    <w:rsid w:val="00E265F4"/>
    <w:rsid w:val="00E26DE5"/>
    <w:rsid w:val="00E31DFF"/>
    <w:rsid w:val="00E37E29"/>
    <w:rsid w:val="00E560CC"/>
    <w:rsid w:val="00E561F8"/>
    <w:rsid w:val="00E678EB"/>
    <w:rsid w:val="00E73BAF"/>
    <w:rsid w:val="00E73C9D"/>
    <w:rsid w:val="00E81A45"/>
    <w:rsid w:val="00E81F8D"/>
    <w:rsid w:val="00E84A88"/>
    <w:rsid w:val="00E94F12"/>
    <w:rsid w:val="00EB046F"/>
    <w:rsid w:val="00EC3515"/>
    <w:rsid w:val="00EC5783"/>
    <w:rsid w:val="00EE5791"/>
    <w:rsid w:val="00EF6467"/>
    <w:rsid w:val="00EF6A68"/>
    <w:rsid w:val="00F06BEC"/>
    <w:rsid w:val="00F42AC2"/>
    <w:rsid w:val="00F55FFE"/>
    <w:rsid w:val="00F65629"/>
    <w:rsid w:val="00F767B2"/>
    <w:rsid w:val="00FB474F"/>
    <w:rsid w:val="00FB5DBE"/>
    <w:rsid w:val="00FD1FA4"/>
    <w:rsid w:val="00FD68CD"/>
    <w:rsid w:val="00FE3534"/>
    <w:rsid w:val="00FF461D"/>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201386"/>
    <w:rPr>
      <w:color w:val="808080"/>
    </w:rPr>
  </w:style>
  <w:style w:type="paragraph" w:customStyle="1" w:styleId="2E7B504962804A9EBEA5E6A8533B8427">
    <w:name w:val="2E7B504962804A9EBEA5E6A8533B8427"/>
    <w:rsid w:val="00BB049C"/>
  </w:style>
  <w:style w:type="paragraph" w:customStyle="1" w:styleId="EB512ACEA9C84F6F99E944189B2D7F23">
    <w:name w:val="EB512ACEA9C84F6F99E944189B2D7F23"/>
    <w:rsid w:val="00BB049C"/>
  </w:style>
  <w:style w:type="paragraph" w:customStyle="1" w:styleId="F3C2A4BBC3F6436685DC49128F343BAE">
    <w:name w:val="F3C2A4BBC3F6436685DC49128F343BAE"/>
    <w:rsid w:val="00BB049C"/>
  </w:style>
  <w:style w:type="paragraph" w:customStyle="1" w:styleId="124818B3B0DE4096B36CE0C8ABC9D461">
    <w:name w:val="124818B3B0DE4096B36CE0C8ABC9D461"/>
    <w:rsid w:val="00BB049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Abeille Assurances">
  <a:themeElements>
    <a:clrScheme name="Abeille Assurances">
      <a:dk1>
        <a:sysClr val="windowText" lastClr="000000"/>
      </a:dk1>
      <a:lt1>
        <a:sysClr val="window" lastClr="FFFFFF"/>
      </a:lt1>
      <a:dk2>
        <a:srgbClr val="784558"/>
      </a:dk2>
      <a:lt2>
        <a:srgbClr val="4CA79F"/>
      </a:lt2>
      <a:accent1>
        <a:srgbClr val="FFD400"/>
      </a:accent1>
      <a:accent2>
        <a:srgbClr val="8A2C24"/>
      </a:accent2>
      <a:accent3>
        <a:srgbClr val="D57B1D"/>
      </a:accent3>
      <a:accent4>
        <a:srgbClr val="E3B174"/>
      </a:accent4>
      <a:accent5>
        <a:srgbClr val="E9D9CE"/>
      </a:accent5>
      <a:accent6>
        <a:srgbClr val="DBE1ED"/>
      </a:accent6>
      <a:hlink>
        <a:srgbClr val="FFD400"/>
      </a:hlink>
      <a:folHlink>
        <a:srgbClr val="FFD400"/>
      </a:folHlink>
    </a:clrScheme>
    <a:fontScheme name="Abeille Assurances">
      <a:majorFont>
        <a:latin typeface="Montserrat ExtraBold"/>
        <a:ea typeface=""/>
        <a:cs typeface=""/>
      </a:majorFont>
      <a:minorFont>
        <a:latin typeface="Source Sans Pr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accent1"/>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defPPr algn="ctr">
          <a:defRPr/>
        </a:defPPr>
      </a:lstStyle>
      <a:style>
        <a:lnRef idx="2">
          <a:schemeClr val="accent1">
            <a:shade val="50000"/>
          </a:schemeClr>
        </a:lnRef>
        <a:fillRef idx="1">
          <a:schemeClr val="accent1"/>
        </a:fillRef>
        <a:effectRef idx="0">
          <a:schemeClr val="accent1"/>
        </a:effectRef>
        <a:fontRef idx="minor">
          <a:schemeClr val="lt1"/>
        </a:fontRef>
      </a:style>
    </a:spDef>
  </a:objectDefaults>
  <a:extraClrSchemeLst/>
  <a:custClrLst>
    <a:custClr name="POLLEN">
      <a:srgbClr val="FFD400"/>
    </a:custClr>
    <a:custClr name="MIEL DE BRUYÈRE">
      <a:srgbClr val="D57B1D"/>
    </a:custClr>
    <a:custClr name="MIEL D’ARBOUSIER">
      <a:srgbClr val="E3B174"/>
    </a:custClr>
    <a:custClr name="MIEL D’ACACIA">
      <a:srgbClr val="E9D9CE"/>
    </a:custClr>
    <a:custClr name="NUAGE D’HIVER">
      <a:srgbClr val="DBE1ED"/>
    </a:custClr>
    <a:custClr name="MIEL DE PIN">
      <a:srgbClr val="8A2C24"/>
    </a:custClr>
    <a:custClr name="PÂTURAGE">
      <a:srgbClr val="008153"/>
    </a:custClr>
    <a:custClr name="FLORAISON">
      <a:srgbClr val="C74467"/>
    </a:custClr>
    <a:custClr name="PIED DE VIGNE">
      <a:srgbClr val="784558"/>
    </a:custClr>
    <a:custClr name="COURS D’EAU">
      <a:srgbClr val="4CA79F"/>
    </a:custClr>
  </a:custClrLst>
  <a:extLst>
    <a:ext uri="{05A4C25C-085E-4340-85A3-A5531E510DB2}">
      <thm15:themeFamily xmlns:thm15="http://schemas.microsoft.com/office/thememl/2012/main" name="Abeille Assurances" id="{C7061A9A-36E0-4540-BDB7-6FDA1416BAB6}" vid="{60A5258C-4DF5-4623-A952-1C8AB85B5F2B}"/>
    </a:ext>
  </a:extLst>
</a:theme>
</file>

<file path=word/theme/themeOverride1.xml><?xml version="1.0" encoding="utf-8"?>
<a:themeOverride xmlns:a="http://schemas.openxmlformats.org/drawingml/2006/main">
  <a:clrScheme name="Abeille Assurances">
    <a:dk1>
      <a:sysClr val="windowText" lastClr="000000"/>
    </a:dk1>
    <a:lt1>
      <a:sysClr val="window" lastClr="FFFFFF"/>
    </a:lt1>
    <a:dk2>
      <a:srgbClr val="784558"/>
    </a:dk2>
    <a:lt2>
      <a:srgbClr val="4CA79F"/>
    </a:lt2>
    <a:accent1>
      <a:srgbClr val="FFD400"/>
    </a:accent1>
    <a:accent2>
      <a:srgbClr val="8A2C24"/>
    </a:accent2>
    <a:accent3>
      <a:srgbClr val="D57B1D"/>
    </a:accent3>
    <a:accent4>
      <a:srgbClr val="E3B174"/>
    </a:accent4>
    <a:accent5>
      <a:srgbClr val="E9D9CE"/>
    </a:accent5>
    <a:accent6>
      <a:srgbClr val="DBE1ED"/>
    </a:accent6>
    <a:hlink>
      <a:srgbClr val="FFD400"/>
    </a:hlink>
    <a:folHlink>
      <a:srgbClr val="FFD400"/>
    </a:folHlink>
  </a:clrScheme>
  <a:fontScheme name="Abeille Assurances">
    <a:majorFont>
      <a:latin typeface="Montserrat ExtraBold"/>
      <a:ea typeface=""/>
      <a:cs typeface=""/>
    </a:majorFont>
    <a:minorFont>
      <a:latin typeface="Source Sans Pr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Abeille Assurances">
    <a:dk1>
      <a:sysClr val="windowText" lastClr="000000"/>
    </a:dk1>
    <a:lt1>
      <a:sysClr val="window" lastClr="FFFFFF"/>
    </a:lt1>
    <a:dk2>
      <a:srgbClr val="784558"/>
    </a:dk2>
    <a:lt2>
      <a:srgbClr val="4CA79F"/>
    </a:lt2>
    <a:accent1>
      <a:srgbClr val="FFD400"/>
    </a:accent1>
    <a:accent2>
      <a:srgbClr val="8A2C24"/>
    </a:accent2>
    <a:accent3>
      <a:srgbClr val="D57B1D"/>
    </a:accent3>
    <a:accent4>
      <a:srgbClr val="E3B174"/>
    </a:accent4>
    <a:accent5>
      <a:srgbClr val="E9D9CE"/>
    </a:accent5>
    <a:accent6>
      <a:srgbClr val="DBE1ED"/>
    </a:accent6>
    <a:hlink>
      <a:srgbClr val="FFD400"/>
    </a:hlink>
    <a:folHlink>
      <a:srgbClr val="FFD400"/>
    </a:folHlink>
  </a:clrScheme>
  <a:fontScheme name="Abeille Assurances">
    <a:majorFont>
      <a:latin typeface="Montserrat ExtraBold"/>
      <a:ea typeface=""/>
      <a:cs typeface=""/>
    </a:majorFont>
    <a:minorFont>
      <a:latin typeface="Source Sans Pr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Abeille Assurances">
    <a:dk1>
      <a:sysClr val="windowText" lastClr="000000"/>
    </a:dk1>
    <a:lt1>
      <a:sysClr val="window" lastClr="FFFFFF"/>
    </a:lt1>
    <a:dk2>
      <a:srgbClr val="784558"/>
    </a:dk2>
    <a:lt2>
      <a:srgbClr val="4CA79F"/>
    </a:lt2>
    <a:accent1>
      <a:srgbClr val="FFD400"/>
    </a:accent1>
    <a:accent2>
      <a:srgbClr val="8A2C24"/>
    </a:accent2>
    <a:accent3>
      <a:srgbClr val="D57B1D"/>
    </a:accent3>
    <a:accent4>
      <a:srgbClr val="E3B174"/>
    </a:accent4>
    <a:accent5>
      <a:srgbClr val="E9D9CE"/>
    </a:accent5>
    <a:accent6>
      <a:srgbClr val="DBE1ED"/>
    </a:accent6>
    <a:hlink>
      <a:srgbClr val="FFD400"/>
    </a:hlink>
    <a:folHlink>
      <a:srgbClr val="FFD400"/>
    </a:folHlink>
  </a:clrScheme>
  <a:fontScheme name="Abeille Assurances">
    <a:majorFont>
      <a:latin typeface="Montserrat ExtraBold"/>
      <a:ea typeface=""/>
      <a:cs typeface=""/>
    </a:majorFont>
    <a:minorFont>
      <a:latin typeface="Source Sans Pr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Abeille Assurances">
    <a:dk1>
      <a:sysClr val="windowText" lastClr="000000"/>
    </a:dk1>
    <a:lt1>
      <a:sysClr val="window" lastClr="FFFFFF"/>
    </a:lt1>
    <a:dk2>
      <a:srgbClr val="784558"/>
    </a:dk2>
    <a:lt2>
      <a:srgbClr val="4CA79F"/>
    </a:lt2>
    <a:accent1>
      <a:srgbClr val="FFD400"/>
    </a:accent1>
    <a:accent2>
      <a:srgbClr val="8A2C24"/>
    </a:accent2>
    <a:accent3>
      <a:srgbClr val="D57B1D"/>
    </a:accent3>
    <a:accent4>
      <a:srgbClr val="E3B174"/>
    </a:accent4>
    <a:accent5>
      <a:srgbClr val="E9D9CE"/>
    </a:accent5>
    <a:accent6>
      <a:srgbClr val="DBE1ED"/>
    </a:accent6>
    <a:hlink>
      <a:srgbClr val="FFD400"/>
    </a:hlink>
    <a:folHlink>
      <a:srgbClr val="FFD400"/>
    </a:folHlink>
  </a:clrScheme>
  <a:fontScheme name="Abeille Assurances">
    <a:majorFont>
      <a:latin typeface="Montserrat ExtraBold"/>
      <a:ea typeface=""/>
      <a:cs typeface=""/>
    </a:majorFont>
    <a:minorFont>
      <a:latin typeface="Source Sans Pr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i Invest">
    <a:dk1>
      <a:srgbClr val="000000"/>
    </a:dk1>
    <a:lt1>
      <a:srgbClr val="FFFFFF"/>
    </a:lt1>
    <a:dk2>
      <a:srgbClr val="D9D9D9"/>
    </a:dk2>
    <a:lt2>
      <a:srgbClr val="BFBFBF"/>
    </a:lt2>
    <a:accent1>
      <a:srgbClr val="00DAE9"/>
    </a:accent1>
    <a:accent2>
      <a:srgbClr val="FFB242"/>
    </a:accent2>
    <a:accent3>
      <a:srgbClr val="752A61"/>
    </a:accent3>
    <a:accent4>
      <a:srgbClr val="926E78"/>
    </a:accent4>
    <a:accent5>
      <a:srgbClr val="6EC8BD"/>
    </a:accent5>
    <a:accent6>
      <a:srgbClr val="C9D85E"/>
    </a:accent6>
    <a:hlink>
      <a:srgbClr val="002B3A"/>
    </a:hlink>
    <a:folHlink>
      <a:srgbClr val="FF5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Abeille Assurances">
    <a:dk1>
      <a:sysClr val="windowText" lastClr="000000"/>
    </a:dk1>
    <a:lt1>
      <a:sysClr val="window" lastClr="FFFFFF"/>
    </a:lt1>
    <a:dk2>
      <a:srgbClr val="784558"/>
    </a:dk2>
    <a:lt2>
      <a:srgbClr val="4CA79F"/>
    </a:lt2>
    <a:accent1>
      <a:srgbClr val="FFD400"/>
    </a:accent1>
    <a:accent2>
      <a:srgbClr val="8A2C24"/>
    </a:accent2>
    <a:accent3>
      <a:srgbClr val="D57B1D"/>
    </a:accent3>
    <a:accent4>
      <a:srgbClr val="E3B174"/>
    </a:accent4>
    <a:accent5>
      <a:srgbClr val="E9D9CE"/>
    </a:accent5>
    <a:accent6>
      <a:srgbClr val="DBE1ED"/>
    </a:accent6>
    <a:hlink>
      <a:srgbClr val="FFD400"/>
    </a:hlink>
    <a:folHlink>
      <a:srgbClr val="FFD400"/>
    </a:folHlink>
  </a:clrScheme>
  <a:fontScheme name="Abeille Assurances">
    <a:majorFont>
      <a:latin typeface="Montserrat ExtraBold"/>
      <a:ea typeface=""/>
      <a:cs typeface=""/>
    </a:majorFont>
    <a:minorFont>
      <a:latin typeface="Source Sans Pr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i Invest">
    <a:dk1>
      <a:srgbClr val="000000"/>
    </a:dk1>
    <a:lt1>
      <a:srgbClr val="FFFFFF"/>
    </a:lt1>
    <a:dk2>
      <a:srgbClr val="D9D9D9"/>
    </a:dk2>
    <a:lt2>
      <a:srgbClr val="BFBFBF"/>
    </a:lt2>
    <a:accent1>
      <a:srgbClr val="00DAE9"/>
    </a:accent1>
    <a:accent2>
      <a:srgbClr val="FFB242"/>
    </a:accent2>
    <a:accent3>
      <a:srgbClr val="752A61"/>
    </a:accent3>
    <a:accent4>
      <a:srgbClr val="926E78"/>
    </a:accent4>
    <a:accent5>
      <a:srgbClr val="6EC8BD"/>
    </a:accent5>
    <a:accent6>
      <a:srgbClr val="C9D85E"/>
    </a:accent6>
    <a:hlink>
      <a:srgbClr val="002B3A"/>
    </a:hlink>
    <a:folHlink>
      <a:srgbClr val="FF5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i Invest">
    <a:dk1>
      <a:srgbClr val="000000"/>
    </a:dk1>
    <a:lt1>
      <a:srgbClr val="FFFFFF"/>
    </a:lt1>
    <a:dk2>
      <a:srgbClr val="D9D9D9"/>
    </a:dk2>
    <a:lt2>
      <a:srgbClr val="BFBFBF"/>
    </a:lt2>
    <a:accent1>
      <a:srgbClr val="00DAE9"/>
    </a:accent1>
    <a:accent2>
      <a:srgbClr val="FFB242"/>
    </a:accent2>
    <a:accent3>
      <a:srgbClr val="752A61"/>
    </a:accent3>
    <a:accent4>
      <a:srgbClr val="926E78"/>
    </a:accent4>
    <a:accent5>
      <a:srgbClr val="6EC8BD"/>
    </a:accent5>
    <a:accent6>
      <a:srgbClr val="C9D85E"/>
    </a:accent6>
    <a:hlink>
      <a:srgbClr val="002B3A"/>
    </a:hlink>
    <a:folHlink>
      <a:srgbClr val="FF5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i Invest">
    <a:dk1>
      <a:srgbClr val="000000"/>
    </a:dk1>
    <a:lt1>
      <a:srgbClr val="FFFFFF"/>
    </a:lt1>
    <a:dk2>
      <a:srgbClr val="D9D9D9"/>
    </a:dk2>
    <a:lt2>
      <a:srgbClr val="BFBFBF"/>
    </a:lt2>
    <a:accent1>
      <a:srgbClr val="00DAE9"/>
    </a:accent1>
    <a:accent2>
      <a:srgbClr val="FFB242"/>
    </a:accent2>
    <a:accent3>
      <a:srgbClr val="752A61"/>
    </a:accent3>
    <a:accent4>
      <a:srgbClr val="926E78"/>
    </a:accent4>
    <a:accent5>
      <a:srgbClr val="6EC8BD"/>
    </a:accent5>
    <a:accent6>
      <a:srgbClr val="C9D85E"/>
    </a:accent6>
    <a:hlink>
      <a:srgbClr val="002B3A"/>
    </a:hlink>
    <a:folHlink>
      <a:srgbClr val="FF5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3b082629-4c19-42ec-9d36-bbafea9dcd93">
      <UserInfo>
        <DisplayName>Julia BERTUZZI</DisplayName>
        <AccountId>12</AccountId>
        <AccountType/>
      </UserInfo>
      <UserInfo>
        <DisplayName>Jean-Francois COPPENOLLE</DisplayName>
        <AccountId>14</AccountId>
        <AccountType/>
      </UserInfo>
      <UserInfo>
        <DisplayName>Julia MANDZIJ</DisplayName>
        <AccountId>26</AccountId>
        <AccountType/>
      </UserInfo>
    </SharedWithUsers>
    <TaxCatchAll xmlns="59d1a082-1c51-4e22-9d72-d6b630b8e3b2" xsi:nil="true"/>
    <lcf76f155ced4ddcb4097134ff3c332f xmlns="2621579d-17a7-4626-a821-3a7e919c262b">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364F31F94095BA4C82C412C2684D2C4D" ma:contentTypeVersion="12" ma:contentTypeDescription="Crée un document." ma:contentTypeScope="" ma:versionID="203266809f63f8f20dd1e703ad5bf6c3">
  <xsd:schema xmlns:xsd="http://www.w3.org/2001/XMLSchema" xmlns:xs="http://www.w3.org/2001/XMLSchema" xmlns:p="http://schemas.microsoft.com/office/2006/metadata/properties" xmlns:ns2="abc80c9e-4713-4939-b321-05ad4730915b" xmlns:ns3="3b082629-4c19-42ec-9d36-bbafea9dcd93" xmlns:ns4="2621579d-17a7-4626-a821-3a7e919c262b" xmlns:ns5="59d1a082-1c51-4e22-9d72-d6b630b8e3b2" targetNamespace="http://schemas.microsoft.com/office/2006/metadata/properties" ma:root="true" ma:fieldsID="43f01e91bbeee46438f82aade2bbd876" ns2:_="" ns3:_="" ns4:_="" ns5:_="">
    <xsd:import namespace="abc80c9e-4713-4939-b321-05ad4730915b"/>
    <xsd:import namespace="3b082629-4c19-42ec-9d36-bbafea9dcd93"/>
    <xsd:import namespace="2621579d-17a7-4626-a821-3a7e919c262b"/>
    <xsd:import namespace="59d1a082-1c51-4e22-9d72-d6b630b8e3b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4:MediaServiceObjectDetectorVersions" minOccurs="0"/>
                <xsd:element ref="ns4:MediaServiceSearchProperties" minOccurs="0"/>
                <xsd:element ref="ns4:MediaServiceBillingMetadata" minOccurs="0"/>
                <xsd:element ref="ns4:MediaServiceDateTaken" minOccurs="0"/>
                <xsd:element ref="ns4:lcf76f155ced4ddcb4097134ff3c332f" minOccurs="0"/>
                <xsd:element ref="ns5:TaxCatchAll" minOccurs="0"/>
                <xsd:element ref="ns4:MediaServiceOCR" minOccurs="0"/>
                <xsd:element ref="ns4:MediaServiceGenerationTime" minOccurs="0"/>
                <xsd:element ref="ns4:MediaServiceEventHashCode"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c80c9e-4713-4939-b321-05ad4730915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b082629-4c19-42ec-9d36-bbafea9dcd9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621579d-17a7-4626-a821-3a7e919c262b" elementFormDefault="qualified">
    <xsd:import namespace="http://schemas.microsoft.com/office/2006/documentManagement/types"/>
    <xsd:import namespace="http://schemas.microsoft.com/office/infopath/2007/PartnerControls"/>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BillingMetadata" ma:index="14" nillable="true" ma:displayName="MediaServiceBillingMetadata" ma:hidden="true" ma:internalName="MediaServiceBillingMetadata" ma:readOnly="true">
      <xsd:simpleType>
        <xsd:restriction base="dms:Note"/>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lcf76f155ced4ddcb4097134ff3c332f" ma:index="17" nillable="true" ma:taxonomy="true" ma:internalName="lcf76f155ced4ddcb4097134ff3c332f" ma:taxonomyFieldName="MediaServiceImageTags" ma:displayName="Balises d’images" ma:readOnly="false" ma:fieldId="{5cf76f15-5ced-4ddc-b409-7134ff3c332f}" ma:taxonomyMulti="true" ma:sspId="081b5299-37a1-4bcf-9454-37093be9280d"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9d1a082-1c51-4e22-9d72-d6b630b8e3b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2216eb08-79ab-41d0-8dbf-73f0e80ff61f}" ma:internalName="TaxCatchAll" ma:showField="CatchAllData" ma:web="59d1a082-1c51-4e22-9d72-d6b630b8e3b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FB3980B-BCBD-42CD-BDCB-54A6A47A718B}">
  <ds:schemaRefs>
    <ds:schemaRef ds:uri="http://schemas.microsoft.com/sharepoint/v3/contenttype/forms"/>
  </ds:schemaRefs>
</ds:datastoreItem>
</file>

<file path=customXml/itemProps2.xml><?xml version="1.0" encoding="utf-8"?>
<ds:datastoreItem xmlns:ds="http://schemas.openxmlformats.org/officeDocument/2006/customXml" ds:itemID="{8AE3350E-B013-4865-93A3-CE5ACC4A990B}">
  <ds:schemaRefs>
    <ds:schemaRef ds:uri="http://schemas.microsoft.com/office/2006/metadata/properties"/>
    <ds:schemaRef ds:uri="http://schemas.microsoft.com/office/infopath/2007/PartnerControls"/>
    <ds:schemaRef ds:uri="3b082629-4c19-42ec-9d36-bbafea9dcd93"/>
    <ds:schemaRef ds:uri="59d1a082-1c51-4e22-9d72-d6b630b8e3b2"/>
    <ds:schemaRef ds:uri="2621579d-17a7-4626-a821-3a7e919c262b"/>
  </ds:schemaRefs>
</ds:datastoreItem>
</file>

<file path=customXml/itemProps3.xml><?xml version="1.0" encoding="utf-8"?>
<ds:datastoreItem xmlns:ds="http://schemas.openxmlformats.org/officeDocument/2006/customXml" ds:itemID="{48517644-4608-4745-90BF-B6AE914667E5}">
  <ds:schemaRefs>
    <ds:schemaRef ds:uri="http://schemas.openxmlformats.org/officeDocument/2006/bibliography"/>
  </ds:schemaRefs>
</ds:datastoreItem>
</file>

<file path=customXml/itemProps4.xml><?xml version="1.0" encoding="utf-8"?>
<ds:datastoreItem xmlns:ds="http://schemas.openxmlformats.org/officeDocument/2006/customXml" ds:itemID="{115BCDEA-C876-47AC-87B1-E781E7D6476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c80c9e-4713-4939-b321-05ad4730915b"/>
    <ds:schemaRef ds:uri="3b082629-4c19-42ec-9d36-bbafea9dcd93"/>
    <ds:schemaRef ds:uri="2621579d-17a7-4626-a821-3a7e919c262b"/>
    <ds:schemaRef ds:uri="59d1a082-1c51-4e22-9d72-d6b630b8e3b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aa321b6e-c2f4-42f8-95b8-4d018e6d28ec}" enabled="0" method="" siteId="{aa321b6e-c2f4-42f8-95b8-4d018e6d28ec}" removed="1"/>
  <clbl:label id="{f63d9d0a-8db9-4287-b250-be98b3a4ddd4}" enabled="1" method="Privileged" siteId="{24282520-9fc9-4302-96d4-16762af4f697}" removed="0"/>
</clbl:labelList>
</file>

<file path=docProps/app.xml><?xml version="1.0" encoding="utf-8"?>
<Properties xmlns="http://schemas.openxmlformats.org/officeDocument/2006/extended-properties" xmlns:vt="http://schemas.openxmlformats.org/officeDocument/2006/docPropsVTypes">
  <Template>Normal.dotm</Template>
  <TotalTime>1</TotalTime>
  <Pages>5</Pages>
  <Words>40485</Words>
  <Characters>222673</Characters>
  <Application>Microsoft Office Word</Application>
  <DocSecurity>0</DocSecurity>
  <Lines>1855</Lines>
  <Paragraphs>525</Paragraphs>
  <ScaleCrop>false</ScaleCrop>
  <Company/>
  <LinksUpToDate>false</LinksUpToDate>
  <CharactersWithSpaces>262633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Investissement Responsable
Rapport 2026 
Abeille Retraite Professionnelle</dc:title>
  <dc:subject>ARTICLE 29 DE LA LOI ENERGIE CLIMAT</dc:subject>
  <dc:creator>ICAREE</dc:creator>
  <cp:keywords/>
  <dc:description/>
  <cp:lastModifiedBy>Julia BERTUZZI</cp:lastModifiedBy>
  <cp:revision>83</cp:revision>
  <cp:lastPrinted>2025-06-27T06:09:00Z</cp:lastPrinted>
  <dcterms:created xsi:type="dcterms:W3CDTF">2026-06-04T10:00:00Z</dcterms:created>
  <dcterms:modified xsi:type="dcterms:W3CDTF">2026-06-29T13:12:00Z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697b0bf4-d1be-4344-9ff8-3e27dfc29c6c</vt:lpwstr>
  </property>
  <property fmtid="{D5CDD505-2E9C-101B-9397-08002B2CF9AE}" pid="3" name="MSIP_Label_e4aa51bc-fa99-4daa-99b3-4f7aefcb4aa3_Enabled">
    <vt:lpwstr>true</vt:lpwstr>
  </property>
  <property fmtid="{D5CDD505-2E9C-101B-9397-08002B2CF9AE}" pid="4" name="MSIP_Label_e4aa51bc-fa99-4daa-99b3-4f7aefcb4aa3_SetDate">
    <vt:lpwstr>2021-04-05T12:37:10Z</vt:lpwstr>
  </property>
  <property fmtid="{D5CDD505-2E9C-101B-9397-08002B2CF9AE}" pid="5" name="MSIP_Label_e4aa51bc-fa99-4daa-99b3-4f7aefcb4aa3_Method">
    <vt:lpwstr>Privileged</vt:lpwstr>
  </property>
  <property fmtid="{D5CDD505-2E9C-101B-9397-08002B2CF9AE}" pid="6" name="MSIP_Label_e4aa51bc-fa99-4daa-99b3-4f7aefcb4aa3_Name">
    <vt:lpwstr>Internal</vt:lpwstr>
  </property>
  <property fmtid="{D5CDD505-2E9C-101B-9397-08002B2CF9AE}" pid="7" name="MSIP_Label_e4aa51bc-fa99-4daa-99b3-4f7aefcb4aa3_SiteId">
    <vt:lpwstr>42d0d02d-6286-465e-999b-31006231efb1</vt:lpwstr>
  </property>
  <property fmtid="{D5CDD505-2E9C-101B-9397-08002B2CF9AE}" pid="8" name="MSIP_Label_e4aa51bc-fa99-4daa-99b3-4f7aefcb4aa3_ActionId">
    <vt:lpwstr>27479cc0-0f75-4cc9-b087-c83f0b49fbe3</vt:lpwstr>
  </property>
  <property fmtid="{D5CDD505-2E9C-101B-9397-08002B2CF9AE}" pid="9" name="MSIP_Label_e4aa51bc-fa99-4daa-99b3-4f7aefcb4aa3_ContentBits">
    <vt:lpwstr>2</vt:lpwstr>
  </property>
  <property fmtid="{D5CDD505-2E9C-101B-9397-08002B2CF9AE}" pid="10" name="x-AvivaClassification">
    <vt:lpwstr>Aviva-1nternal</vt:lpwstr>
  </property>
  <property fmtid="{D5CDD505-2E9C-101B-9397-08002B2CF9AE}" pid="11" name="AvivaClassification">
    <vt:lpwstr>Aviva-1nternal</vt:lpwstr>
  </property>
  <property fmtid="{D5CDD505-2E9C-101B-9397-08002B2CF9AE}" pid="12" name="MediaServiceImageTags">
    <vt:lpwstr/>
  </property>
  <property fmtid="{D5CDD505-2E9C-101B-9397-08002B2CF9AE}" pid="13" name="ContentTypeId">
    <vt:lpwstr>0x010100364F31F94095BA4C82C412C2684D2C4D</vt:lpwstr>
  </property>
  <property fmtid="{D5CDD505-2E9C-101B-9397-08002B2CF9AE}" pid="14" name="Order">
    <vt:r8>107800</vt:r8>
  </property>
  <property fmtid="{D5CDD505-2E9C-101B-9397-08002B2CF9AE}" pid="15" name="ComplianceAssetId">
    <vt:lpwstr/>
  </property>
  <property fmtid="{D5CDD505-2E9C-101B-9397-08002B2CF9AE}" pid="16" name="_ExtendedDescription">
    <vt:lpwstr/>
  </property>
  <property fmtid="{D5CDD505-2E9C-101B-9397-08002B2CF9AE}" pid="17" name="TriggerFlowInfo">
    <vt:lpwstr/>
  </property>
  <property fmtid="{D5CDD505-2E9C-101B-9397-08002B2CF9AE}" pid="18" name="MSIP_Label_f63d9d0a-8db9-4287-b250-be98b3a4ddd4_Enabled">
    <vt:lpwstr>true</vt:lpwstr>
  </property>
  <property fmtid="{D5CDD505-2E9C-101B-9397-08002B2CF9AE}" pid="19" name="MSIP_Label_f63d9d0a-8db9-4287-b250-be98b3a4ddd4_SetDate">
    <vt:lpwstr>2024-05-28T09:57:09Z</vt:lpwstr>
  </property>
  <property fmtid="{D5CDD505-2E9C-101B-9397-08002B2CF9AE}" pid="20" name="MSIP_Label_f63d9d0a-8db9-4287-b250-be98b3a4ddd4_Method">
    <vt:lpwstr>Privileged</vt:lpwstr>
  </property>
  <property fmtid="{D5CDD505-2E9C-101B-9397-08002B2CF9AE}" pid="21" name="MSIP_Label_f63d9d0a-8db9-4287-b250-be98b3a4ddd4_Name">
    <vt:lpwstr>-Interne-</vt:lpwstr>
  </property>
  <property fmtid="{D5CDD505-2E9C-101B-9397-08002B2CF9AE}" pid="22" name="MSIP_Label_f63d9d0a-8db9-4287-b250-be98b3a4ddd4_SiteId">
    <vt:lpwstr>24282520-9fc9-4302-96d4-16762af4f697</vt:lpwstr>
  </property>
  <property fmtid="{D5CDD505-2E9C-101B-9397-08002B2CF9AE}" pid="23" name="MSIP_Label_f63d9d0a-8db9-4287-b250-be98b3a4ddd4_ActionId">
    <vt:lpwstr>313eedb7-8ff9-41f0-9e26-099a4bb613f4</vt:lpwstr>
  </property>
  <property fmtid="{D5CDD505-2E9C-101B-9397-08002B2CF9AE}" pid="24" name="MSIP_Label_f63d9d0a-8db9-4287-b250-be98b3a4ddd4_ContentBits">
    <vt:lpwstr>2</vt:lpwstr>
  </property>
</Properties>
</file>